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F761F" w14:textId="77777777" w:rsidR="002510A5" w:rsidRPr="00980785" w:rsidRDefault="002510A5" w:rsidP="002510A5">
      <w:pPr>
        <w:jc w:val="center"/>
        <w:rPr>
          <w:b/>
          <w:bCs/>
          <w:iCs/>
          <w:sz w:val="22"/>
          <w:szCs w:val="22"/>
          <w:u w:val="single"/>
          <w:lang w:val="sr-Latn-ME"/>
        </w:rPr>
      </w:pPr>
      <w:r w:rsidRPr="00980785">
        <w:rPr>
          <w:b/>
          <w:bCs/>
          <w:iCs/>
          <w:sz w:val="22"/>
          <w:szCs w:val="22"/>
          <w:u w:val="single"/>
          <w:lang w:val="sr-Latn-ME"/>
        </w:rPr>
        <w:t>SAŽETAK KARAKTERISTIKA LIJEKA</w:t>
      </w:r>
    </w:p>
    <w:p w14:paraId="7AB37FB7" w14:textId="77777777" w:rsidR="00C37FD7" w:rsidRPr="00980785" w:rsidRDefault="00C37FD7" w:rsidP="00F5167F">
      <w:pPr>
        <w:tabs>
          <w:tab w:val="left" w:pos="540"/>
          <w:tab w:val="left" w:pos="569"/>
        </w:tabs>
        <w:rPr>
          <w:i/>
          <w:iCs/>
          <w:color w:val="808080"/>
          <w:sz w:val="22"/>
          <w:szCs w:val="22"/>
          <w:lang w:val="sr-Latn-ME"/>
        </w:rPr>
      </w:pPr>
    </w:p>
    <w:p w14:paraId="5337845E" w14:textId="77777777" w:rsidR="0065622A" w:rsidRPr="00980785" w:rsidRDefault="0065622A" w:rsidP="00F5167F">
      <w:pPr>
        <w:tabs>
          <w:tab w:val="left" w:pos="540"/>
          <w:tab w:val="left" w:pos="569"/>
        </w:tabs>
        <w:rPr>
          <w:bCs/>
          <w:sz w:val="22"/>
          <w:szCs w:val="22"/>
          <w:lang w:val="sr-Latn-ME"/>
        </w:rPr>
      </w:pPr>
    </w:p>
    <w:p w14:paraId="13DDF1C7" w14:textId="77777777" w:rsidR="00411B4B" w:rsidRPr="00980785" w:rsidRDefault="00411B4B" w:rsidP="00F5167F">
      <w:pPr>
        <w:tabs>
          <w:tab w:val="left" w:pos="540"/>
          <w:tab w:val="left" w:pos="569"/>
        </w:tabs>
        <w:rPr>
          <w:b/>
          <w:bCs/>
          <w:sz w:val="22"/>
          <w:szCs w:val="22"/>
          <w:lang w:val="sr-Latn-ME"/>
        </w:rPr>
      </w:pPr>
      <w:r w:rsidRPr="00980785">
        <w:rPr>
          <w:b/>
          <w:bCs/>
          <w:sz w:val="22"/>
          <w:szCs w:val="22"/>
          <w:lang w:val="sr-Latn-ME"/>
        </w:rPr>
        <w:t>1.</w:t>
      </w:r>
      <w:r w:rsidR="00F5167F" w:rsidRPr="00980785">
        <w:rPr>
          <w:b/>
          <w:bCs/>
          <w:sz w:val="22"/>
          <w:szCs w:val="22"/>
          <w:lang w:val="sr-Latn-ME"/>
        </w:rPr>
        <w:tab/>
      </w:r>
      <w:r w:rsidR="002846DB" w:rsidRPr="00980785">
        <w:rPr>
          <w:b/>
          <w:bCs/>
          <w:sz w:val="22"/>
          <w:szCs w:val="22"/>
          <w:lang w:val="sr-Latn-ME"/>
        </w:rPr>
        <w:t xml:space="preserve">NAZIV </w:t>
      </w:r>
      <w:r w:rsidRPr="00980785">
        <w:rPr>
          <w:b/>
          <w:bCs/>
          <w:sz w:val="22"/>
          <w:szCs w:val="22"/>
          <w:lang w:val="sr-Latn-ME"/>
        </w:rPr>
        <w:t>LIJEKA</w:t>
      </w:r>
    </w:p>
    <w:p w14:paraId="44911AC9" w14:textId="77777777" w:rsidR="00015883" w:rsidRPr="00980785" w:rsidRDefault="00015883" w:rsidP="0065622A">
      <w:pPr>
        <w:autoSpaceDE w:val="0"/>
        <w:autoSpaceDN w:val="0"/>
        <w:adjustRightInd w:val="0"/>
        <w:rPr>
          <w:sz w:val="22"/>
          <w:szCs w:val="22"/>
          <w:lang w:val="sr-Latn-ME"/>
        </w:rPr>
      </w:pPr>
    </w:p>
    <w:p w14:paraId="0DBD7367" w14:textId="2BEB4342" w:rsidR="0065622A" w:rsidRPr="00980785" w:rsidRDefault="00D20D63" w:rsidP="0065622A">
      <w:pPr>
        <w:autoSpaceDE w:val="0"/>
        <w:autoSpaceDN w:val="0"/>
        <w:adjustRightInd w:val="0"/>
        <w:rPr>
          <w:bCs/>
          <w:sz w:val="22"/>
          <w:szCs w:val="22"/>
          <w:lang w:val="sr-Latn-ME"/>
        </w:rPr>
      </w:pPr>
      <w:r w:rsidRPr="00980785">
        <w:rPr>
          <w:sz w:val="22"/>
          <w:szCs w:val="22"/>
          <w:lang w:val="sr-Latn-ME"/>
        </w:rPr>
        <w:t>Synflorix,</w:t>
      </w:r>
      <w:r w:rsidR="0065622A" w:rsidRPr="00980785">
        <w:rPr>
          <w:sz w:val="22"/>
          <w:szCs w:val="22"/>
          <w:lang w:val="sr-Latn-ME"/>
        </w:rPr>
        <w:t xml:space="preserve"> suspenzija za injekciju u </w:t>
      </w:r>
      <w:r w:rsidR="0065622A" w:rsidRPr="00980785">
        <w:rPr>
          <w:bCs/>
          <w:sz w:val="22"/>
          <w:szCs w:val="22"/>
          <w:lang w:val="sr-Latn-ME"/>
        </w:rPr>
        <w:t>napunjenom injekcionom špricu</w:t>
      </w:r>
    </w:p>
    <w:p w14:paraId="3800FCDA" w14:textId="77777777" w:rsidR="0065622A" w:rsidRPr="00980785" w:rsidRDefault="0065622A" w:rsidP="0065622A">
      <w:pPr>
        <w:autoSpaceDE w:val="0"/>
        <w:autoSpaceDN w:val="0"/>
        <w:adjustRightInd w:val="0"/>
        <w:rPr>
          <w:sz w:val="22"/>
          <w:szCs w:val="22"/>
          <w:lang w:val="sr-Latn-ME"/>
        </w:rPr>
      </w:pPr>
    </w:p>
    <w:p w14:paraId="18F10726" w14:textId="77777777" w:rsidR="0065622A" w:rsidRPr="00980785" w:rsidRDefault="0065622A" w:rsidP="0065622A">
      <w:pPr>
        <w:widowControl w:val="0"/>
        <w:autoSpaceDE w:val="0"/>
        <w:autoSpaceDN w:val="0"/>
        <w:jc w:val="both"/>
        <w:rPr>
          <w:bCs/>
          <w:iCs/>
          <w:sz w:val="22"/>
          <w:szCs w:val="22"/>
          <w:lang w:val="sr-Latn-ME"/>
        </w:rPr>
      </w:pPr>
      <w:r w:rsidRPr="00980785">
        <w:rPr>
          <w:bCs/>
          <w:iCs/>
          <w:sz w:val="22"/>
          <w:szCs w:val="22"/>
          <w:lang w:val="sr-Latn-ME"/>
        </w:rPr>
        <w:t>INN:</w:t>
      </w:r>
      <w:r w:rsidRPr="00980785">
        <w:rPr>
          <w:b/>
          <w:bCs/>
          <w:iCs/>
          <w:sz w:val="22"/>
          <w:szCs w:val="22"/>
          <w:lang w:val="sr-Latn-ME"/>
        </w:rPr>
        <w:t xml:space="preserve"> </w:t>
      </w:r>
      <w:r w:rsidRPr="00980785">
        <w:rPr>
          <w:bCs/>
          <w:iCs/>
          <w:sz w:val="22"/>
          <w:szCs w:val="22"/>
          <w:lang w:val="sr-Latn-ME"/>
        </w:rPr>
        <w:t>pneumokokna polisaharidna konjugovana vakcina, adsorbovana</w:t>
      </w:r>
    </w:p>
    <w:p w14:paraId="71ABE902" w14:textId="30EDE143" w:rsidR="00530BD7" w:rsidRPr="00980785" w:rsidRDefault="00530BD7">
      <w:pPr>
        <w:rPr>
          <w:bCs/>
          <w:sz w:val="22"/>
          <w:szCs w:val="22"/>
          <w:lang w:val="sr-Latn-ME"/>
        </w:rPr>
      </w:pPr>
    </w:p>
    <w:p w14:paraId="30E7908C" w14:textId="77777777" w:rsidR="00083E27" w:rsidRPr="00980785" w:rsidRDefault="00083E27">
      <w:pPr>
        <w:rPr>
          <w:bCs/>
          <w:sz w:val="22"/>
          <w:szCs w:val="22"/>
          <w:lang w:val="sr-Latn-ME"/>
        </w:rPr>
      </w:pPr>
    </w:p>
    <w:p w14:paraId="6B16F85F" w14:textId="77777777" w:rsidR="00411B4B" w:rsidRPr="00980785" w:rsidRDefault="00411B4B" w:rsidP="00F5167F">
      <w:pPr>
        <w:tabs>
          <w:tab w:val="left" w:pos="540"/>
          <w:tab w:val="left" w:pos="569"/>
        </w:tabs>
        <w:rPr>
          <w:b/>
          <w:bCs/>
          <w:sz w:val="22"/>
          <w:szCs w:val="22"/>
          <w:lang w:val="sr-Latn-ME"/>
        </w:rPr>
      </w:pPr>
      <w:r w:rsidRPr="00980785">
        <w:rPr>
          <w:b/>
          <w:bCs/>
          <w:sz w:val="22"/>
          <w:szCs w:val="22"/>
          <w:lang w:val="sr-Latn-ME"/>
        </w:rPr>
        <w:t xml:space="preserve">2. </w:t>
      </w:r>
      <w:r w:rsidR="00F5167F" w:rsidRPr="00980785">
        <w:rPr>
          <w:b/>
          <w:bCs/>
          <w:sz w:val="22"/>
          <w:szCs w:val="22"/>
          <w:lang w:val="sr-Latn-ME"/>
        </w:rPr>
        <w:tab/>
      </w:r>
      <w:r w:rsidRPr="00980785">
        <w:rPr>
          <w:b/>
          <w:bCs/>
          <w:sz w:val="22"/>
          <w:szCs w:val="22"/>
          <w:lang w:val="sr-Latn-ME"/>
        </w:rPr>
        <w:t>KVALITATIVNI I KVANTITATIVNI SASTAV</w:t>
      </w:r>
    </w:p>
    <w:p w14:paraId="6B433E15" w14:textId="77777777" w:rsidR="000B6EAF" w:rsidRPr="00980785" w:rsidRDefault="000B6EAF" w:rsidP="000B6EAF">
      <w:pPr>
        <w:jc w:val="both"/>
        <w:rPr>
          <w:sz w:val="22"/>
          <w:szCs w:val="22"/>
          <w:lang w:val="sr-Latn-ME"/>
        </w:rPr>
      </w:pPr>
    </w:p>
    <w:p w14:paraId="0DB1A949" w14:textId="2D78436C" w:rsidR="000B6EAF" w:rsidRPr="00980785" w:rsidRDefault="000B6EAF" w:rsidP="000B6EAF">
      <w:pPr>
        <w:jc w:val="both"/>
        <w:rPr>
          <w:sz w:val="22"/>
          <w:szCs w:val="22"/>
          <w:lang w:val="sr-Latn-ME"/>
        </w:rPr>
      </w:pPr>
      <w:r w:rsidRPr="00980785">
        <w:rPr>
          <w:sz w:val="22"/>
          <w:szCs w:val="22"/>
          <w:lang w:val="sr-Latn-ME"/>
        </w:rPr>
        <w:t>Jedna doza vakcine (0,5</w:t>
      </w:r>
      <w:r w:rsidR="00D20D63" w:rsidRPr="00980785">
        <w:rPr>
          <w:sz w:val="22"/>
          <w:szCs w:val="22"/>
          <w:lang w:val="sr-Latn-ME"/>
        </w:rPr>
        <w:t xml:space="preserve"> </w:t>
      </w:r>
      <w:r w:rsidRPr="00980785">
        <w:rPr>
          <w:sz w:val="22"/>
          <w:szCs w:val="22"/>
          <w:lang w:val="sr-Latn-ME"/>
        </w:rPr>
        <w:t>ml) sadrži:</w:t>
      </w:r>
    </w:p>
    <w:p w14:paraId="73B82085" w14:textId="77777777" w:rsidR="000B6EAF" w:rsidRPr="00980785" w:rsidRDefault="000B6EAF" w:rsidP="000B6EAF">
      <w:pPr>
        <w:jc w:val="both"/>
        <w:rPr>
          <w:sz w:val="22"/>
          <w:szCs w:val="22"/>
          <w:lang w:val="sr-Latn-ME"/>
        </w:rPr>
      </w:pPr>
    </w:p>
    <w:p w14:paraId="79C487B2" w14:textId="6E98B69B" w:rsidR="000B6EAF" w:rsidRPr="00980785" w:rsidRDefault="00D20D63" w:rsidP="000B6EAF">
      <w:pPr>
        <w:jc w:val="both"/>
        <w:rPr>
          <w:sz w:val="22"/>
          <w:szCs w:val="22"/>
          <w:lang w:val="sr-Latn-ME"/>
        </w:rPr>
      </w:pPr>
      <w:r w:rsidRPr="00980785">
        <w:rPr>
          <w:sz w:val="22"/>
          <w:szCs w:val="22"/>
          <w:lang w:val="sr-Latn-ME"/>
        </w:rPr>
        <w:t>Pneumokokni</w:t>
      </w:r>
      <w:r w:rsidR="000B6EAF" w:rsidRPr="00980785">
        <w:rPr>
          <w:sz w:val="22"/>
          <w:szCs w:val="22"/>
          <w:lang w:val="sr-Latn-ME"/>
        </w:rPr>
        <w:t xml:space="preserve"> polisaharid serotip 1</w:t>
      </w:r>
      <w:r w:rsidR="000B6EAF" w:rsidRPr="00980785">
        <w:rPr>
          <w:sz w:val="22"/>
          <w:szCs w:val="22"/>
          <w:vertAlign w:val="superscript"/>
          <w:lang w:val="sr-Latn-ME"/>
        </w:rPr>
        <w:t xml:space="preserve">1, 2 </w:t>
      </w:r>
      <w:r w:rsidR="000B6EAF" w:rsidRPr="00980785">
        <w:rPr>
          <w:sz w:val="22"/>
          <w:szCs w:val="22"/>
          <w:lang w:val="sr-Latn-ME"/>
        </w:rPr>
        <w:t xml:space="preserve">                                                             1 mikrogram</w:t>
      </w:r>
    </w:p>
    <w:p w14:paraId="0396C1C3" w14:textId="05BE6A93" w:rsidR="000B6EAF" w:rsidRPr="00980785" w:rsidRDefault="00D20D63" w:rsidP="000B6EAF">
      <w:pPr>
        <w:jc w:val="both"/>
        <w:rPr>
          <w:sz w:val="22"/>
          <w:szCs w:val="22"/>
          <w:lang w:val="sr-Latn-ME"/>
        </w:rPr>
      </w:pPr>
      <w:r w:rsidRPr="00980785">
        <w:rPr>
          <w:sz w:val="22"/>
          <w:szCs w:val="22"/>
          <w:lang w:val="sr-Latn-ME"/>
        </w:rPr>
        <w:t>Pneumokokni</w:t>
      </w:r>
      <w:r w:rsidR="000B6EAF" w:rsidRPr="00980785">
        <w:rPr>
          <w:sz w:val="22"/>
          <w:szCs w:val="22"/>
          <w:lang w:val="sr-Latn-ME"/>
        </w:rPr>
        <w:t xml:space="preserve"> polisaharid serotip 4</w:t>
      </w:r>
      <w:r w:rsidR="000B6EAF" w:rsidRPr="00980785">
        <w:rPr>
          <w:sz w:val="22"/>
          <w:szCs w:val="22"/>
          <w:vertAlign w:val="superscript"/>
          <w:lang w:val="sr-Latn-ME"/>
        </w:rPr>
        <w:t xml:space="preserve">1, 2 </w:t>
      </w:r>
      <w:r w:rsidR="000B6EAF" w:rsidRPr="00980785">
        <w:rPr>
          <w:sz w:val="22"/>
          <w:szCs w:val="22"/>
          <w:lang w:val="sr-Latn-ME"/>
        </w:rPr>
        <w:t xml:space="preserve">                                                             3 mikrograma</w:t>
      </w:r>
    </w:p>
    <w:p w14:paraId="49940053" w14:textId="1742AE43" w:rsidR="000B6EAF" w:rsidRPr="00980785" w:rsidRDefault="00D20D63" w:rsidP="000B6EAF">
      <w:pPr>
        <w:jc w:val="both"/>
        <w:rPr>
          <w:sz w:val="22"/>
          <w:szCs w:val="22"/>
          <w:lang w:val="sr-Latn-ME"/>
        </w:rPr>
      </w:pPr>
      <w:r w:rsidRPr="00980785">
        <w:rPr>
          <w:sz w:val="22"/>
          <w:szCs w:val="22"/>
          <w:lang w:val="sr-Latn-ME"/>
        </w:rPr>
        <w:t xml:space="preserve">Pneumokokni </w:t>
      </w:r>
      <w:r w:rsidR="000B6EAF" w:rsidRPr="00980785">
        <w:rPr>
          <w:sz w:val="22"/>
          <w:szCs w:val="22"/>
          <w:lang w:val="sr-Latn-ME"/>
        </w:rPr>
        <w:t>polisaharid serotip 5</w:t>
      </w:r>
      <w:r w:rsidR="000B6EAF" w:rsidRPr="00980785">
        <w:rPr>
          <w:sz w:val="22"/>
          <w:szCs w:val="22"/>
          <w:vertAlign w:val="superscript"/>
          <w:lang w:val="sr-Latn-ME"/>
        </w:rPr>
        <w:t xml:space="preserve">1, 2 </w:t>
      </w:r>
      <w:r w:rsidR="000B6EAF" w:rsidRPr="00980785">
        <w:rPr>
          <w:sz w:val="22"/>
          <w:szCs w:val="22"/>
          <w:lang w:val="sr-Latn-ME"/>
        </w:rPr>
        <w:t xml:space="preserve">                                                             1 mikrogram</w:t>
      </w:r>
    </w:p>
    <w:p w14:paraId="4DDD499E" w14:textId="440E197C" w:rsidR="000B6EAF" w:rsidRPr="00980785" w:rsidRDefault="000B142E" w:rsidP="000B6EAF">
      <w:pPr>
        <w:jc w:val="both"/>
        <w:rPr>
          <w:sz w:val="22"/>
          <w:szCs w:val="22"/>
          <w:lang w:val="sr-Latn-ME"/>
        </w:rPr>
      </w:pPr>
      <w:r w:rsidRPr="00980785">
        <w:rPr>
          <w:sz w:val="22"/>
          <w:szCs w:val="22"/>
          <w:lang w:val="sr-Latn-ME"/>
        </w:rPr>
        <w:t xml:space="preserve">Pneumokokni </w:t>
      </w:r>
      <w:r w:rsidR="000B6EAF" w:rsidRPr="00980785">
        <w:rPr>
          <w:sz w:val="22"/>
          <w:szCs w:val="22"/>
          <w:lang w:val="sr-Latn-ME"/>
        </w:rPr>
        <w:t>polisaharid serotip 6B</w:t>
      </w:r>
      <w:r w:rsidR="000B6EAF" w:rsidRPr="00980785">
        <w:rPr>
          <w:sz w:val="22"/>
          <w:szCs w:val="22"/>
          <w:vertAlign w:val="superscript"/>
          <w:lang w:val="sr-Latn-ME"/>
        </w:rPr>
        <w:t xml:space="preserve">1, 2 </w:t>
      </w:r>
      <w:r w:rsidR="000B6EAF" w:rsidRPr="00980785">
        <w:rPr>
          <w:sz w:val="22"/>
          <w:szCs w:val="22"/>
          <w:lang w:val="sr-Latn-ME"/>
        </w:rPr>
        <w:t xml:space="preserve">                                                           1 mikrogram</w:t>
      </w:r>
    </w:p>
    <w:p w14:paraId="3D5E0798" w14:textId="4200B69B" w:rsidR="000B6EAF" w:rsidRPr="00980785" w:rsidRDefault="000B142E" w:rsidP="000B6EAF">
      <w:pPr>
        <w:jc w:val="both"/>
        <w:rPr>
          <w:sz w:val="22"/>
          <w:szCs w:val="22"/>
          <w:lang w:val="sr-Latn-ME"/>
        </w:rPr>
      </w:pPr>
      <w:r w:rsidRPr="00980785">
        <w:rPr>
          <w:sz w:val="22"/>
          <w:szCs w:val="22"/>
          <w:lang w:val="sr-Latn-ME"/>
        </w:rPr>
        <w:t xml:space="preserve">Pneumokokni </w:t>
      </w:r>
      <w:r w:rsidR="000B6EAF" w:rsidRPr="00980785">
        <w:rPr>
          <w:sz w:val="22"/>
          <w:szCs w:val="22"/>
          <w:lang w:val="sr-Latn-ME"/>
        </w:rPr>
        <w:t>polisaharid serotip 7F</w:t>
      </w:r>
      <w:r w:rsidR="000B6EAF" w:rsidRPr="00980785">
        <w:rPr>
          <w:sz w:val="22"/>
          <w:szCs w:val="22"/>
          <w:vertAlign w:val="superscript"/>
          <w:lang w:val="sr-Latn-ME"/>
        </w:rPr>
        <w:t xml:space="preserve">1, 2 </w:t>
      </w:r>
      <w:r w:rsidR="000B6EAF" w:rsidRPr="00980785">
        <w:rPr>
          <w:sz w:val="22"/>
          <w:szCs w:val="22"/>
          <w:lang w:val="sr-Latn-ME"/>
        </w:rPr>
        <w:t xml:space="preserve">                                                           1 mikrogram</w:t>
      </w:r>
    </w:p>
    <w:p w14:paraId="5B5619D9" w14:textId="7D77E12F" w:rsidR="000B6EAF" w:rsidRPr="00980785" w:rsidRDefault="000B142E" w:rsidP="000B6EAF">
      <w:pPr>
        <w:jc w:val="both"/>
        <w:rPr>
          <w:sz w:val="22"/>
          <w:szCs w:val="22"/>
          <w:lang w:val="sr-Latn-ME"/>
        </w:rPr>
      </w:pPr>
      <w:r w:rsidRPr="00980785">
        <w:rPr>
          <w:sz w:val="22"/>
          <w:szCs w:val="22"/>
          <w:lang w:val="sr-Latn-ME"/>
        </w:rPr>
        <w:t xml:space="preserve">Pneumokokni </w:t>
      </w:r>
      <w:r w:rsidR="000B6EAF" w:rsidRPr="00980785">
        <w:rPr>
          <w:sz w:val="22"/>
          <w:szCs w:val="22"/>
          <w:lang w:val="sr-Latn-ME"/>
        </w:rPr>
        <w:t>polisaharid serotip 9V</w:t>
      </w:r>
      <w:r w:rsidR="000B6EAF" w:rsidRPr="00980785">
        <w:rPr>
          <w:sz w:val="22"/>
          <w:szCs w:val="22"/>
          <w:vertAlign w:val="superscript"/>
          <w:lang w:val="sr-Latn-ME"/>
        </w:rPr>
        <w:t xml:space="preserve">1, 2 </w:t>
      </w:r>
      <w:r w:rsidR="000B6EAF" w:rsidRPr="00980785">
        <w:rPr>
          <w:sz w:val="22"/>
          <w:szCs w:val="22"/>
          <w:lang w:val="sr-Latn-ME"/>
        </w:rPr>
        <w:t xml:space="preserve">                                                          1 mikrogram</w:t>
      </w:r>
    </w:p>
    <w:p w14:paraId="112A8C8D" w14:textId="6299DE3B" w:rsidR="000B6EAF" w:rsidRPr="00980785" w:rsidRDefault="000B142E" w:rsidP="000B6EAF">
      <w:pPr>
        <w:jc w:val="both"/>
        <w:rPr>
          <w:sz w:val="22"/>
          <w:szCs w:val="22"/>
          <w:lang w:val="sr-Latn-ME"/>
        </w:rPr>
      </w:pPr>
      <w:r w:rsidRPr="00980785">
        <w:rPr>
          <w:sz w:val="22"/>
          <w:szCs w:val="22"/>
          <w:lang w:val="sr-Latn-ME"/>
        </w:rPr>
        <w:t xml:space="preserve">Pneumokokni </w:t>
      </w:r>
      <w:r w:rsidR="000B6EAF" w:rsidRPr="00980785">
        <w:rPr>
          <w:sz w:val="22"/>
          <w:szCs w:val="22"/>
          <w:lang w:val="sr-Latn-ME"/>
        </w:rPr>
        <w:t>polisaharid serotip 14</w:t>
      </w:r>
      <w:r w:rsidR="000B6EAF" w:rsidRPr="00980785">
        <w:rPr>
          <w:sz w:val="22"/>
          <w:szCs w:val="22"/>
          <w:vertAlign w:val="superscript"/>
          <w:lang w:val="sr-Latn-ME"/>
        </w:rPr>
        <w:t xml:space="preserve">1, 2 </w:t>
      </w:r>
      <w:r w:rsidR="000B6EAF" w:rsidRPr="00980785">
        <w:rPr>
          <w:sz w:val="22"/>
          <w:szCs w:val="22"/>
          <w:lang w:val="sr-Latn-ME"/>
        </w:rPr>
        <w:t xml:space="preserve">                                                           1 mikrogram</w:t>
      </w:r>
    </w:p>
    <w:p w14:paraId="285EB439" w14:textId="59CB045A" w:rsidR="000B6EAF" w:rsidRPr="00980785" w:rsidRDefault="000B142E" w:rsidP="000B6EAF">
      <w:pPr>
        <w:jc w:val="both"/>
        <w:rPr>
          <w:sz w:val="22"/>
          <w:szCs w:val="22"/>
          <w:lang w:val="sr-Latn-ME"/>
        </w:rPr>
      </w:pPr>
      <w:r w:rsidRPr="00980785">
        <w:rPr>
          <w:sz w:val="22"/>
          <w:szCs w:val="22"/>
          <w:lang w:val="sr-Latn-ME"/>
        </w:rPr>
        <w:t xml:space="preserve">Pneumokokni </w:t>
      </w:r>
      <w:r w:rsidR="000B6EAF" w:rsidRPr="00980785">
        <w:rPr>
          <w:sz w:val="22"/>
          <w:szCs w:val="22"/>
          <w:lang w:val="sr-Latn-ME"/>
        </w:rPr>
        <w:t>polisaharid serotip 18C</w:t>
      </w:r>
      <w:r w:rsidR="000B6EAF" w:rsidRPr="00980785">
        <w:rPr>
          <w:sz w:val="22"/>
          <w:szCs w:val="22"/>
          <w:vertAlign w:val="superscript"/>
          <w:lang w:val="sr-Latn-ME"/>
        </w:rPr>
        <w:t xml:space="preserve">1, 3 </w:t>
      </w:r>
      <w:r w:rsidR="000B6EAF" w:rsidRPr="00980785">
        <w:rPr>
          <w:sz w:val="22"/>
          <w:szCs w:val="22"/>
          <w:lang w:val="sr-Latn-ME"/>
        </w:rPr>
        <w:t xml:space="preserve">                                                        3 mikrograma</w:t>
      </w:r>
    </w:p>
    <w:p w14:paraId="5434AE9F" w14:textId="08A6ED79" w:rsidR="000B6EAF" w:rsidRPr="00980785" w:rsidRDefault="000B142E" w:rsidP="000B6EAF">
      <w:pPr>
        <w:jc w:val="both"/>
        <w:rPr>
          <w:sz w:val="22"/>
          <w:szCs w:val="22"/>
          <w:lang w:val="sr-Latn-ME"/>
        </w:rPr>
      </w:pPr>
      <w:r w:rsidRPr="00980785">
        <w:rPr>
          <w:sz w:val="22"/>
          <w:szCs w:val="22"/>
          <w:lang w:val="sr-Latn-ME"/>
        </w:rPr>
        <w:t xml:space="preserve">Pneumokokni </w:t>
      </w:r>
      <w:r w:rsidR="000B6EAF" w:rsidRPr="00980785">
        <w:rPr>
          <w:sz w:val="22"/>
          <w:szCs w:val="22"/>
          <w:lang w:val="sr-Latn-ME"/>
        </w:rPr>
        <w:t>polisaharid serotip 19F</w:t>
      </w:r>
      <w:r w:rsidR="000B6EAF" w:rsidRPr="00980785">
        <w:rPr>
          <w:sz w:val="22"/>
          <w:szCs w:val="22"/>
          <w:vertAlign w:val="superscript"/>
          <w:lang w:val="sr-Latn-ME"/>
        </w:rPr>
        <w:t xml:space="preserve">1, 4 </w:t>
      </w:r>
      <w:r w:rsidR="000B6EAF" w:rsidRPr="00980785">
        <w:rPr>
          <w:sz w:val="22"/>
          <w:szCs w:val="22"/>
          <w:lang w:val="sr-Latn-ME"/>
        </w:rPr>
        <w:t xml:space="preserve">                                                        3 mikrograma</w:t>
      </w:r>
    </w:p>
    <w:p w14:paraId="041BE148" w14:textId="5471250B" w:rsidR="000B6EAF" w:rsidRPr="00980785" w:rsidRDefault="000B142E" w:rsidP="000B6EAF">
      <w:pPr>
        <w:tabs>
          <w:tab w:val="left" w:pos="8460"/>
        </w:tabs>
        <w:jc w:val="both"/>
        <w:rPr>
          <w:sz w:val="22"/>
          <w:szCs w:val="22"/>
          <w:lang w:val="sr-Latn-ME"/>
        </w:rPr>
      </w:pPr>
      <w:r w:rsidRPr="00980785">
        <w:rPr>
          <w:sz w:val="22"/>
          <w:szCs w:val="22"/>
          <w:lang w:val="sr-Latn-ME"/>
        </w:rPr>
        <w:t xml:space="preserve">Pneumokokni </w:t>
      </w:r>
      <w:r w:rsidR="000B6EAF" w:rsidRPr="00980785">
        <w:rPr>
          <w:sz w:val="22"/>
          <w:szCs w:val="22"/>
          <w:lang w:val="sr-Latn-ME"/>
        </w:rPr>
        <w:t>polisaharid serotip 23F</w:t>
      </w:r>
      <w:r w:rsidR="000B6EAF" w:rsidRPr="00980785">
        <w:rPr>
          <w:sz w:val="22"/>
          <w:szCs w:val="22"/>
          <w:vertAlign w:val="superscript"/>
          <w:lang w:val="sr-Latn-ME"/>
        </w:rPr>
        <w:t xml:space="preserve">1, 2 </w:t>
      </w:r>
      <w:r w:rsidR="000B6EAF" w:rsidRPr="00980785">
        <w:rPr>
          <w:sz w:val="22"/>
          <w:szCs w:val="22"/>
          <w:lang w:val="sr-Latn-ME"/>
        </w:rPr>
        <w:t xml:space="preserve">                                                        1 mikrogram</w:t>
      </w:r>
    </w:p>
    <w:p w14:paraId="3C9E40A0" w14:textId="77777777" w:rsidR="000B6EAF" w:rsidRPr="00980785" w:rsidRDefault="000B6EAF" w:rsidP="000B6EAF">
      <w:pPr>
        <w:jc w:val="both"/>
        <w:rPr>
          <w:sz w:val="22"/>
          <w:szCs w:val="22"/>
          <w:lang w:val="sr-Latn-ME"/>
        </w:rPr>
      </w:pPr>
    </w:p>
    <w:p w14:paraId="1E22202E" w14:textId="5126B598" w:rsidR="000B6EAF" w:rsidRPr="00980785" w:rsidRDefault="000B6EAF" w:rsidP="000B6EAF">
      <w:pPr>
        <w:tabs>
          <w:tab w:val="left" w:pos="7485"/>
        </w:tabs>
        <w:jc w:val="both"/>
        <w:rPr>
          <w:sz w:val="22"/>
          <w:szCs w:val="22"/>
          <w:lang w:val="sr-Latn-ME"/>
        </w:rPr>
      </w:pPr>
      <w:r w:rsidRPr="00980785">
        <w:rPr>
          <w:sz w:val="22"/>
          <w:szCs w:val="22"/>
          <w:vertAlign w:val="superscript"/>
          <w:lang w:val="sr-Latn-ME"/>
        </w:rPr>
        <w:t>1</w:t>
      </w:r>
      <w:r w:rsidRPr="00980785">
        <w:rPr>
          <w:sz w:val="22"/>
          <w:szCs w:val="22"/>
          <w:lang w:val="sr-Latn-ME"/>
        </w:rPr>
        <w:t>adsorbovan na aluminijum fosfat</w:t>
      </w:r>
      <w:r w:rsidR="00083E27" w:rsidRPr="00980785">
        <w:rPr>
          <w:sz w:val="22"/>
          <w:szCs w:val="22"/>
          <w:lang w:val="sr-Latn-ME"/>
        </w:rPr>
        <w:t>u</w:t>
      </w:r>
      <w:r w:rsidRPr="00980785">
        <w:rPr>
          <w:sz w:val="22"/>
          <w:szCs w:val="22"/>
          <w:lang w:val="sr-Latn-ME"/>
        </w:rPr>
        <w:t xml:space="preserve">                                                                 </w:t>
      </w:r>
      <w:r w:rsidR="00083E27" w:rsidRPr="00980785">
        <w:rPr>
          <w:sz w:val="22"/>
          <w:szCs w:val="22"/>
          <w:lang w:val="sr-Latn-ME"/>
        </w:rPr>
        <w:t xml:space="preserve">       ukupno </w:t>
      </w:r>
      <w:r w:rsidRPr="00980785">
        <w:rPr>
          <w:sz w:val="22"/>
          <w:szCs w:val="22"/>
          <w:lang w:val="sr-Latn-ME"/>
        </w:rPr>
        <w:t>0,5</w:t>
      </w:r>
      <w:r w:rsidR="00083E27" w:rsidRPr="00980785">
        <w:rPr>
          <w:sz w:val="22"/>
          <w:szCs w:val="22"/>
          <w:lang w:val="sr-Latn-ME"/>
        </w:rPr>
        <w:t xml:space="preserve"> </w:t>
      </w:r>
      <w:r w:rsidRPr="00980785">
        <w:rPr>
          <w:sz w:val="22"/>
          <w:szCs w:val="22"/>
          <w:lang w:val="sr-Latn-ME"/>
        </w:rPr>
        <w:t>mg Al</w:t>
      </w:r>
      <w:r w:rsidRPr="00980785">
        <w:rPr>
          <w:sz w:val="22"/>
          <w:szCs w:val="22"/>
          <w:vertAlign w:val="superscript"/>
          <w:lang w:val="sr-Latn-ME"/>
        </w:rPr>
        <w:t>3+</w:t>
      </w:r>
      <w:r w:rsidR="003D5840" w:rsidRPr="00980785">
        <w:rPr>
          <w:sz w:val="22"/>
          <w:szCs w:val="22"/>
          <w:lang w:val="sr-Latn-ME"/>
        </w:rPr>
        <w:t xml:space="preserve"> </w:t>
      </w:r>
    </w:p>
    <w:p w14:paraId="1E394753" w14:textId="182B05F2" w:rsidR="000B6EAF" w:rsidRPr="00980785" w:rsidRDefault="000B6EAF" w:rsidP="000B6EAF">
      <w:pPr>
        <w:jc w:val="both"/>
        <w:rPr>
          <w:sz w:val="22"/>
          <w:szCs w:val="22"/>
          <w:lang w:val="sr-Latn-ME"/>
        </w:rPr>
      </w:pPr>
      <w:r w:rsidRPr="00980785">
        <w:rPr>
          <w:sz w:val="22"/>
          <w:szCs w:val="22"/>
          <w:vertAlign w:val="superscript"/>
          <w:lang w:val="sr-Latn-ME"/>
        </w:rPr>
        <w:t xml:space="preserve"> 2</w:t>
      </w:r>
      <w:r w:rsidRPr="00980785">
        <w:rPr>
          <w:sz w:val="22"/>
          <w:szCs w:val="22"/>
          <w:lang w:val="sr-Latn-ME"/>
        </w:rPr>
        <w:t xml:space="preserve">konjugovan na protein D (dobijen iz netipiziranog </w:t>
      </w:r>
      <w:r w:rsidRPr="00980785">
        <w:rPr>
          <w:i/>
          <w:sz w:val="22"/>
          <w:szCs w:val="22"/>
          <w:lang w:val="sr-Latn-ME"/>
        </w:rPr>
        <w:t>Haemophilus influenzae</w:t>
      </w:r>
      <w:r w:rsidRPr="00980785">
        <w:rPr>
          <w:sz w:val="22"/>
          <w:szCs w:val="22"/>
          <w:lang w:val="sr-Latn-ME"/>
        </w:rPr>
        <w:t>)</w:t>
      </w:r>
    </w:p>
    <w:p w14:paraId="167200FD" w14:textId="3CE83760" w:rsidR="000B6EAF" w:rsidRPr="00980785" w:rsidRDefault="000B6EAF" w:rsidP="000B6EAF">
      <w:pPr>
        <w:jc w:val="both"/>
        <w:rPr>
          <w:sz w:val="22"/>
          <w:szCs w:val="22"/>
          <w:lang w:val="sr-Latn-ME"/>
        </w:rPr>
      </w:pPr>
      <w:r w:rsidRPr="00980785">
        <w:rPr>
          <w:sz w:val="22"/>
          <w:szCs w:val="22"/>
          <w:lang w:val="sr-Latn-ME"/>
        </w:rPr>
        <w:t xml:space="preserve"> kao proteinski nosač                                                                                     </w:t>
      </w:r>
      <w:r w:rsidR="00083E27" w:rsidRPr="00980785">
        <w:rPr>
          <w:sz w:val="22"/>
          <w:szCs w:val="22"/>
          <w:lang w:val="sr-Latn-ME"/>
        </w:rPr>
        <w:t xml:space="preserve">         </w:t>
      </w:r>
      <w:r w:rsidRPr="00980785">
        <w:rPr>
          <w:sz w:val="22"/>
          <w:szCs w:val="22"/>
          <w:lang w:val="sr-Latn-ME"/>
        </w:rPr>
        <w:t>9-16 mikrograma</w:t>
      </w:r>
    </w:p>
    <w:p w14:paraId="2E9CA87A" w14:textId="71377B43" w:rsidR="000B6EAF" w:rsidRPr="00980785" w:rsidRDefault="000B6EAF" w:rsidP="000B6EAF">
      <w:pPr>
        <w:jc w:val="both"/>
        <w:rPr>
          <w:sz w:val="22"/>
          <w:szCs w:val="22"/>
          <w:lang w:val="sr-Latn-ME"/>
        </w:rPr>
      </w:pPr>
      <w:r w:rsidRPr="00980785">
        <w:rPr>
          <w:sz w:val="22"/>
          <w:szCs w:val="22"/>
          <w:vertAlign w:val="superscript"/>
          <w:lang w:val="sr-Latn-ME"/>
        </w:rPr>
        <w:t xml:space="preserve"> 3</w:t>
      </w:r>
      <w:r w:rsidRPr="00980785">
        <w:rPr>
          <w:sz w:val="22"/>
          <w:szCs w:val="22"/>
          <w:lang w:val="sr-Latn-ME"/>
        </w:rPr>
        <w:t xml:space="preserve">konjugovan na toksoid tetanusa kao proteinski nosač                                 </w:t>
      </w:r>
      <w:r w:rsidR="00083E27" w:rsidRPr="00980785">
        <w:rPr>
          <w:sz w:val="22"/>
          <w:szCs w:val="22"/>
          <w:lang w:val="sr-Latn-ME"/>
        </w:rPr>
        <w:t xml:space="preserve">        </w:t>
      </w:r>
      <w:r w:rsidRPr="00980785">
        <w:rPr>
          <w:sz w:val="22"/>
          <w:szCs w:val="22"/>
          <w:lang w:val="sr-Latn-ME"/>
        </w:rPr>
        <w:t xml:space="preserve">5-10 mikrograma </w:t>
      </w:r>
      <w:r w:rsidRPr="00980785">
        <w:rPr>
          <w:sz w:val="22"/>
          <w:szCs w:val="22"/>
          <w:lang w:val="sr-Latn-ME"/>
        </w:rPr>
        <w:tab/>
      </w:r>
    </w:p>
    <w:p w14:paraId="4AF81D7F" w14:textId="58707719" w:rsidR="005A0B2E" w:rsidRPr="00980785" w:rsidRDefault="000B6EAF" w:rsidP="000B6EAF">
      <w:pPr>
        <w:rPr>
          <w:sz w:val="22"/>
          <w:szCs w:val="22"/>
          <w:lang w:val="sr-Latn-ME"/>
        </w:rPr>
      </w:pPr>
      <w:r w:rsidRPr="00980785">
        <w:rPr>
          <w:sz w:val="22"/>
          <w:szCs w:val="22"/>
          <w:vertAlign w:val="superscript"/>
          <w:lang w:val="sr-Latn-ME"/>
        </w:rPr>
        <w:t xml:space="preserve">  4</w:t>
      </w:r>
      <w:r w:rsidRPr="00980785">
        <w:rPr>
          <w:sz w:val="22"/>
          <w:szCs w:val="22"/>
          <w:lang w:val="sr-Latn-ME"/>
        </w:rPr>
        <w:t xml:space="preserve">konjugovan na toksoid difterije kao proteinski nosač                                   </w:t>
      </w:r>
      <w:r w:rsidR="00083E27" w:rsidRPr="00980785">
        <w:rPr>
          <w:sz w:val="22"/>
          <w:szCs w:val="22"/>
          <w:lang w:val="sr-Latn-ME"/>
        </w:rPr>
        <w:t xml:space="preserve">      </w:t>
      </w:r>
      <w:r w:rsidRPr="00980785">
        <w:rPr>
          <w:sz w:val="22"/>
          <w:szCs w:val="22"/>
          <w:lang w:val="sr-Latn-ME"/>
        </w:rPr>
        <w:t>3-6 mikrograma</w:t>
      </w:r>
    </w:p>
    <w:p w14:paraId="2B906E6D" w14:textId="77777777" w:rsidR="000B6EAF" w:rsidRPr="00980785" w:rsidRDefault="000B6EAF">
      <w:pPr>
        <w:rPr>
          <w:sz w:val="22"/>
          <w:szCs w:val="22"/>
          <w:lang w:val="sr-Latn-ME"/>
        </w:rPr>
      </w:pPr>
    </w:p>
    <w:p w14:paraId="5EE9048B" w14:textId="77777777" w:rsidR="0003793F" w:rsidRPr="00980785" w:rsidRDefault="0003793F">
      <w:pPr>
        <w:rPr>
          <w:sz w:val="22"/>
          <w:szCs w:val="22"/>
          <w:lang w:val="sr-Latn-ME"/>
        </w:rPr>
      </w:pPr>
      <w:r w:rsidRPr="00980785">
        <w:rPr>
          <w:sz w:val="22"/>
          <w:szCs w:val="22"/>
          <w:lang w:val="sr-Latn-ME"/>
        </w:rPr>
        <w:t>Za spisak svih ekscipijenasa, pogledati dio 6.1.</w:t>
      </w:r>
    </w:p>
    <w:p w14:paraId="2C602423" w14:textId="4F71C0E4" w:rsidR="00C37FD7" w:rsidRPr="00980785" w:rsidRDefault="00C37FD7">
      <w:pPr>
        <w:rPr>
          <w:sz w:val="22"/>
          <w:szCs w:val="22"/>
          <w:lang w:val="sr-Latn-ME"/>
        </w:rPr>
      </w:pPr>
    </w:p>
    <w:p w14:paraId="5A01C544" w14:textId="77777777" w:rsidR="00083E27" w:rsidRPr="00980785" w:rsidRDefault="00083E27">
      <w:pPr>
        <w:rPr>
          <w:sz w:val="22"/>
          <w:szCs w:val="22"/>
          <w:lang w:val="sr-Latn-ME"/>
        </w:rPr>
      </w:pPr>
    </w:p>
    <w:p w14:paraId="7F570BCF" w14:textId="77777777" w:rsidR="00411B4B" w:rsidRPr="00980785" w:rsidRDefault="00411B4B" w:rsidP="00F5167F">
      <w:pPr>
        <w:tabs>
          <w:tab w:val="left" w:pos="540"/>
          <w:tab w:val="left" w:pos="569"/>
        </w:tabs>
        <w:rPr>
          <w:b/>
          <w:bCs/>
          <w:sz w:val="22"/>
          <w:szCs w:val="22"/>
          <w:lang w:val="sr-Latn-ME"/>
        </w:rPr>
      </w:pPr>
      <w:r w:rsidRPr="00980785">
        <w:rPr>
          <w:b/>
          <w:bCs/>
          <w:sz w:val="22"/>
          <w:szCs w:val="22"/>
          <w:lang w:val="sr-Latn-ME"/>
        </w:rPr>
        <w:t xml:space="preserve">3. </w:t>
      </w:r>
      <w:r w:rsidR="00F5167F" w:rsidRPr="00980785">
        <w:rPr>
          <w:b/>
          <w:bCs/>
          <w:sz w:val="22"/>
          <w:szCs w:val="22"/>
          <w:lang w:val="sr-Latn-ME"/>
        </w:rPr>
        <w:tab/>
      </w:r>
      <w:r w:rsidRPr="00980785">
        <w:rPr>
          <w:b/>
          <w:bCs/>
          <w:sz w:val="22"/>
          <w:szCs w:val="22"/>
          <w:lang w:val="sr-Latn-ME"/>
        </w:rPr>
        <w:t>FARMACEUTSKI OBLIK</w:t>
      </w:r>
      <w:r w:rsidR="009F2D23" w:rsidRPr="00980785">
        <w:rPr>
          <w:b/>
          <w:bCs/>
          <w:sz w:val="22"/>
          <w:szCs w:val="22"/>
          <w:lang w:val="sr-Latn-ME"/>
        </w:rPr>
        <w:t xml:space="preserve"> </w:t>
      </w:r>
    </w:p>
    <w:p w14:paraId="78E90663" w14:textId="77777777" w:rsidR="00083E27" w:rsidRPr="00980785" w:rsidRDefault="00083E27" w:rsidP="00FB78B0">
      <w:pPr>
        <w:pStyle w:val="Header"/>
        <w:tabs>
          <w:tab w:val="left" w:pos="284"/>
        </w:tabs>
        <w:jc w:val="both"/>
        <w:rPr>
          <w:bCs/>
          <w:sz w:val="22"/>
          <w:szCs w:val="22"/>
          <w:lang w:val="sr-Latn-ME"/>
        </w:rPr>
      </w:pPr>
    </w:p>
    <w:p w14:paraId="496CEDC6" w14:textId="2206C610" w:rsidR="00FB78B0" w:rsidRPr="00980785" w:rsidRDefault="00FB78B0" w:rsidP="00FB78B0">
      <w:pPr>
        <w:pStyle w:val="Header"/>
        <w:tabs>
          <w:tab w:val="left" w:pos="284"/>
        </w:tabs>
        <w:jc w:val="both"/>
        <w:rPr>
          <w:color w:val="FF0000"/>
          <w:sz w:val="22"/>
          <w:szCs w:val="22"/>
          <w:lang w:val="sr-Latn-ME" w:eastAsia="x-none"/>
        </w:rPr>
      </w:pPr>
      <w:r w:rsidRPr="00980785">
        <w:rPr>
          <w:bCs/>
          <w:sz w:val="22"/>
          <w:szCs w:val="22"/>
          <w:lang w:val="sr-Latn-ME"/>
        </w:rPr>
        <w:t>Suspenzija za injekciju u napunjenom injekcionom špricu</w:t>
      </w:r>
      <w:r w:rsidRPr="00980785">
        <w:rPr>
          <w:sz w:val="22"/>
          <w:szCs w:val="22"/>
          <w:lang w:val="sr-Latn-ME"/>
        </w:rPr>
        <w:t>.</w:t>
      </w:r>
    </w:p>
    <w:p w14:paraId="72EA9C38" w14:textId="5A221CEE" w:rsidR="00411B4B" w:rsidRPr="00980785" w:rsidRDefault="00FB78B0" w:rsidP="00FB78B0">
      <w:pPr>
        <w:jc w:val="both"/>
        <w:rPr>
          <w:sz w:val="22"/>
          <w:szCs w:val="22"/>
          <w:lang w:val="sr-Latn-ME"/>
        </w:rPr>
      </w:pPr>
      <w:r w:rsidRPr="00980785">
        <w:rPr>
          <w:sz w:val="22"/>
          <w:szCs w:val="22"/>
          <w:lang w:val="sr-Latn-ME"/>
        </w:rPr>
        <w:t xml:space="preserve">Vakcina je </w:t>
      </w:r>
      <w:r w:rsidR="00083E27" w:rsidRPr="00980785">
        <w:rPr>
          <w:sz w:val="22"/>
          <w:szCs w:val="22"/>
          <w:lang w:val="sr-Latn-ME"/>
        </w:rPr>
        <w:t>zamućena</w:t>
      </w:r>
      <w:r w:rsidR="00667129" w:rsidRPr="00980785">
        <w:rPr>
          <w:sz w:val="22"/>
          <w:szCs w:val="22"/>
          <w:lang w:val="sr-Latn-ME"/>
        </w:rPr>
        <w:t>,</w:t>
      </w:r>
      <w:r w:rsidRPr="00980785">
        <w:rPr>
          <w:sz w:val="22"/>
          <w:szCs w:val="22"/>
          <w:lang w:val="sr-Latn-ME"/>
        </w:rPr>
        <w:t xml:space="preserve"> bijela suspenzija.</w:t>
      </w:r>
    </w:p>
    <w:p w14:paraId="2D7801A3" w14:textId="3925457B" w:rsidR="00EC2532" w:rsidRPr="00980785" w:rsidRDefault="00EC2532">
      <w:pPr>
        <w:rPr>
          <w:bCs/>
          <w:sz w:val="22"/>
          <w:szCs w:val="22"/>
          <w:lang w:val="sr-Latn-ME"/>
        </w:rPr>
      </w:pPr>
    </w:p>
    <w:p w14:paraId="65E7644F" w14:textId="77777777" w:rsidR="00083E27" w:rsidRPr="00980785" w:rsidRDefault="00083E27">
      <w:pPr>
        <w:rPr>
          <w:bCs/>
          <w:sz w:val="22"/>
          <w:szCs w:val="22"/>
          <w:lang w:val="sr-Latn-ME"/>
        </w:rPr>
      </w:pPr>
    </w:p>
    <w:p w14:paraId="6FE39644" w14:textId="77777777" w:rsidR="00411B4B" w:rsidRPr="00980785" w:rsidRDefault="00411B4B" w:rsidP="00290631">
      <w:pPr>
        <w:tabs>
          <w:tab w:val="left" w:pos="540"/>
          <w:tab w:val="left" w:pos="569"/>
        </w:tabs>
        <w:jc w:val="both"/>
        <w:rPr>
          <w:b/>
          <w:bCs/>
          <w:sz w:val="22"/>
          <w:szCs w:val="22"/>
          <w:lang w:val="sr-Latn-ME"/>
        </w:rPr>
      </w:pPr>
      <w:r w:rsidRPr="00980785">
        <w:rPr>
          <w:b/>
          <w:bCs/>
          <w:sz w:val="22"/>
          <w:szCs w:val="22"/>
          <w:lang w:val="sr-Latn-ME"/>
        </w:rPr>
        <w:t xml:space="preserve">4. </w:t>
      </w:r>
      <w:r w:rsidR="00480FB1" w:rsidRPr="00980785">
        <w:rPr>
          <w:b/>
          <w:bCs/>
          <w:sz w:val="22"/>
          <w:szCs w:val="22"/>
          <w:lang w:val="sr-Latn-ME"/>
        </w:rPr>
        <w:tab/>
      </w:r>
      <w:r w:rsidRPr="00980785">
        <w:rPr>
          <w:b/>
          <w:bCs/>
          <w:sz w:val="22"/>
          <w:szCs w:val="22"/>
          <w:lang w:val="sr-Latn-ME"/>
        </w:rPr>
        <w:t>KLINIČKI PODACI</w:t>
      </w:r>
    </w:p>
    <w:p w14:paraId="0908968F" w14:textId="77777777" w:rsidR="00CD6F02" w:rsidRPr="00980785" w:rsidRDefault="00CD6F02" w:rsidP="00290631">
      <w:pPr>
        <w:tabs>
          <w:tab w:val="left" w:pos="540"/>
          <w:tab w:val="left" w:pos="569"/>
        </w:tabs>
        <w:jc w:val="both"/>
        <w:rPr>
          <w:bCs/>
          <w:sz w:val="22"/>
          <w:szCs w:val="22"/>
          <w:lang w:val="sr-Latn-ME"/>
        </w:rPr>
      </w:pPr>
    </w:p>
    <w:p w14:paraId="29849623" w14:textId="46EBFE81" w:rsidR="00411B4B" w:rsidRPr="00980785" w:rsidRDefault="00411B4B" w:rsidP="00290631">
      <w:pPr>
        <w:tabs>
          <w:tab w:val="left" w:pos="540"/>
          <w:tab w:val="left" w:pos="569"/>
        </w:tabs>
        <w:jc w:val="both"/>
        <w:rPr>
          <w:b/>
          <w:bCs/>
          <w:sz w:val="22"/>
          <w:szCs w:val="22"/>
          <w:lang w:val="sr-Latn-ME"/>
        </w:rPr>
      </w:pPr>
      <w:r w:rsidRPr="00980785">
        <w:rPr>
          <w:b/>
          <w:bCs/>
          <w:sz w:val="22"/>
          <w:szCs w:val="22"/>
          <w:lang w:val="sr-Latn-ME"/>
        </w:rPr>
        <w:t xml:space="preserve">4.1. </w:t>
      </w:r>
      <w:r w:rsidR="00480FB1" w:rsidRPr="00980785">
        <w:rPr>
          <w:b/>
          <w:bCs/>
          <w:sz w:val="22"/>
          <w:szCs w:val="22"/>
          <w:lang w:val="sr-Latn-ME"/>
        </w:rPr>
        <w:tab/>
      </w:r>
      <w:r w:rsidRPr="00980785">
        <w:rPr>
          <w:b/>
          <w:bCs/>
          <w:sz w:val="22"/>
          <w:szCs w:val="22"/>
          <w:lang w:val="sr-Latn-ME"/>
        </w:rPr>
        <w:t>Terapijske indikacije</w:t>
      </w:r>
    </w:p>
    <w:p w14:paraId="668F6A23" w14:textId="77777777" w:rsidR="00F16EB9" w:rsidRPr="00980785" w:rsidRDefault="00F16EB9" w:rsidP="00290631">
      <w:pPr>
        <w:tabs>
          <w:tab w:val="left" w:pos="540"/>
          <w:tab w:val="left" w:pos="569"/>
        </w:tabs>
        <w:jc w:val="both"/>
        <w:rPr>
          <w:b/>
          <w:bCs/>
          <w:sz w:val="22"/>
          <w:szCs w:val="22"/>
          <w:lang w:val="sr-Latn-ME"/>
        </w:rPr>
      </w:pPr>
    </w:p>
    <w:p w14:paraId="5E807A4E" w14:textId="0B2D37B2" w:rsidR="00B16E5E" w:rsidRPr="00980785" w:rsidRDefault="00B16E5E">
      <w:pPr>
        <w:jc w:val="both"/>
        <w:rPr>
          <w:sz w:val="22"/>
          <w:szCs w:val="22"/>
          <w:lang w:val="sr-Latn-ME"/>
        </w:rPr>
      </w:pPr>
      <w:r w:rsidRPr="00980785">
        <w:rPr>
          <w:sz w:val="22"/>
          <w:szCs w:val="22"/>
          <w:lang w:val="sr-Latn-ME"/>
        </w:rPr>
        <w:t xml:space="preserve">Vakcina </w:t>
      </w:r>
      <w:r w:rsidR="00677FAC" w:rsidRPr="00980785">
        <w:rPr>
          <w:sz w:val="22"/>
          <w:szCs w:val="22"/>
          <w:lang w:val="sr-Latn-ME"/>
        </w:rPr>
        <w:t>SYNFLORIX</w:t>
      </w:r>
      <w:r w:rsidRPr="00980785">
        <w:rPr>
          <w:sz w:val="22"/>
          <w:szCs w:val="22"/>
          <w:lang w:val="sr-Latn-ME"/>
        </w:rPr>
        <w:t xml:space="preserve"> namijenjena je za aktivnu imunizaciju protiv invazivnih oboljenja, pneumonije i akutnog </w:t>
      </w:r>
      <w:r w:rsidRPr="00980785">
        <w:rPr>
          <w:i/>
          <w:sz w:val="22"/>
          <w:szCs w:val="22"/>
          <w:lang w:val="sr-Latn-ME"/>
        </w:rPr>
        <w:t>otitis media</w:t>
      </w:r>
      <w:r w:rsidRPr="00980785">
        <w:rPr>
          <w:sz w:val="22"/>
          <w:szCs w:val="22"/>
          <w:lang w:val="sr-Latn-ME"/>
        </w:rPr>
        <w:t xml:space="preserve">, izazvanih bakterijom </w:t>
      </w:r>
      <w:r w:rsidRPr="00980785">
        <w:rPr>
          <w:i/>
          <w:sz w:val="22"/>
          <w:szCs w:val="22"/>
          <w:lang w:val="sr-Latn-ME"/>
        </w:rPr>
        <w:t xml:space="preserve">Streptococcus pneumoniae, </w:t>
      </w:r>
      <w:r w:rsidRPr="00980785">
        <w:rPr>
          <w:sz w:val="22"/>
          <w:szCs w:val="22"/>
          <w:lang w:val="sr-Latn-ME"/>
        </w:rPr>
        <w:t xml:space="preserve">kod odojčadi i djece </w:t>
      </w:r>
      <w:r w:rsidR="00F16EB9" w:rsidRPr="00980785">
        <w:rPr>
          <w:sz w:val="22"/>
          <w:szCs w:val="22"/>
          <w:lang w:val="sr-Latn-ME"/>
        </w:rPr>
        <w:t xml:space="preserve">uzrasta </w:t>
      </w:r>
      <w:r w:rsidRPr="00980785">
        <w:rPr>
          <w:sz w:val="22"/>
          <w:szCs w:val="22"/>
          <w:lang w:val="sr-Latn-ME"/>
        </w:rPr>
        <w:t>od 6  nedjelja do navršenih 5</w:t>
      </w:r>
      <w:r w:rsidR="00F16EB9" w:rsidRPr="00980785">
        <w:rPr>
          <w:sz w:val="22"/>
          <w:szCs w:val="22"/>
          <w:lang w:val="sr-Latn-ME"/>
        </w:rPr>
        <w:t xml:space="preserve"> </w:t>
      </w:r>
      <w:r w:rsidRPr="00980785">
        <w:rPr>
          <w:sz w:val="22"/>
          <w:szCs w:val="22"/>
          <w:lang w:val="sr-Latn-ME"/>
        </w:rPr>
        <w:t xml:space="preserve">godina života. Vidjeti </w:t>
      </w:r>
      <w:r w:rsidR="00F87210" w:rsidRPr="00980785">
        <w:rPr>
          <w:sz w:val="22"/>
          <w:szCs w:val="22"/>
          <w:lang w:val="sr-Latn-ME"/>
        </w:rPr>
        <w:t>djelove</w:t>
      </w:r>
      <w:r w:rsidRPr="00980785">
        <w:rPr>
          <w:sz w:val="22"/>
          <w:szCs w:val="22"/>
          <w:lang w:val="sr-Latn-ME"/>
        </w:rPr>
        <w:t xml:space="preserve"> 4.4. i 5.1 za podatke o zaštiti protiv specifičnih pneumokoknih serotipova.</w:t>
      </w:r>
    </w:p>
    <w:p w14:paraId="2C31A796" w14:textId="77777777" w:rsidR="00B16E5E" w:rsidRPr="00980785" w:rsidRDefault="00B16E5E">
      <w:pPr>
        <w:jc w:val="both"/>
        <w:rPr>
          <w:sz w:val="22"/>
          <w:szCs w:val="22"/>
          <w:lang w:val="sr-Latn-ME"/>
        </w:rPr>
      </w:pPr>
    </w:p>
    <w:p w14:paraId="07F6FFF0" w14:textId="77777777" w:rsidR="00B16E5E" w:rsidRPr="00980785" w:rsidRDefault="00B16E5E">
      <w:pPr>
        <w:jc w:val="both"/>
        <w:rPr>
          <w:sz w:val="22"/>
          <w:szCs w:val="22"/>
          <w:lang w:val="sr-Latn-ME"/>
        </w:rPr>
      </w:pPr>
      <w:r w:rsidRPr="00980785">
        <w:rPr>
          <w:sz w:val="22"/>
          <w:szCs w:val="22"/>
          <w:lang w:val="sr-Latn-ME"/>
        </w:rPr>
        <w:t xml:space="preserve">Upotreba vakcine </w:t>
      </w:r>
      <w:r w:rsidR="00677FAC" w:rsidRPr="00980785">
        <w:rPr>
          <w:sz w:val="22"/>
          <w:szCs w:val="22"/>
          <w:lang w:val="sr-Latn-ME"/>
        </w:rPr>
        <w:t>SYNFLORIX</w:t>
      </w:r>
      <w:r w:rsidRPr="00980785">
        <w:rPr>
          <w:sz w:val="22"/>
          <w:szCs w:val="22"/>
          <w:lang w:val="sr-Latn-ME"/>
        </w:rPr>
        <w:t xml:space="preserve"> treba da se zasniva na zvaničnim preporukama, uzimajući u obzir uticaj pneumokoknih oboljenja na različite starosne grupe kao i epidemiološku varijabilnost u različitim geografskim područjima.</w:t>
      </w:r>
    </w:p>
    <w:p w14:paraId="2D3D04A8" w14:textId="3C169E2F" w:rsidR="007F441E" w:rsidRPr="00980785" w:rsidRDefault="007F441E" w:rsidP="00290631">
      <w:pPr>
        <w:tabs>
          <w:tab w:val="left" w:pos="540"/>
          <w:tab w:val="left" w:pos="569"/>
        </w:tabs>
        <w:jc w:val="both"/>
        <w:rPr>
          <w:bCs/>
          <w:sz w:val="22"/>
          <w:szCs w:val="22"/>
          <w:lang w:val="sr-Latn-ME"/>
        </w:rPr>
      </w:pPr>
    </w:p>
    <w:p w14:paraId="10558F0A" w14:textId="77777777" w:rsidR="00411B4B" w:rsidRPr="00980785" w:rsidRDefault="00411B4B" w:rsidP="00290631">
      <w:pPr>
        <w:tabs>
          <w:tab w:val="left" w:pos="540"/>
          <w:tab w:val="left" w:pos="569"/>
        </w:tabs>
        <w:jc w:val="both"/>
        <w:rPr>
          <w:b/>
          <w:bCs/>
          <w:sz w:val="22"/>
          <w:szCs w:val="22"/>
          <w:lang w:val="sr-Latn-ME"/>
        </w:rPr>
      </w:pPr>
      <w:r w:rsidRPr="00980785">
        <w:rPr>
          <w:b/>
          <w:bCs/>
          <w:sz w:val="22"/>
          <w:szCs w:val="22"/>
          <w:lang w:val="sr-Latn-ME"/>
        </w:rPr>
        <w:t xml:space="preserve">4.2. </w:t>
      </w:r>
      <w:r w:rsidR="00480FB1" w:rsidRPr="00980785">
        <w:rPr>
          <w:b/>
          <w:bCs/>
          <w:sz w:val="22"/>
          <w:szCs w:val="22"/>
          <w:lang w:val="sr-Latn-ME"/>
        </w:rPr>
        <w:tab/>
      </w:r>
      <w:r w:rsidRPr="00980785">
        <w:rPr>
          <w:b/>
          <w:bCs/>
          <w:sz w:val="22"/>
          <w:szCs w:val="22"/>
          <w:lang w:val="sr-Latn-ME"/>
        </w:rPr>
        <w:t>Doziranje i način primjene</w:t>
      </w:r>
    </w:p>
    <w:p w14:paraId="3D5D1E51" w14:textId="77777777" w:rsidR="0072020E" w:rsidRPr="00980785" w:rsidRDefault="0072020E" w:rsidP="00290631">
      <w:pPr>
        <w:tabs>
          <w:tab w:val="left" w:pos="540"/>
          <w:tab w:val="left" w:pos="569"/>
        </w:tabs>
        <w:jc w:val="both"/>
        <w:rPr>
          <w:bCs/>
          <w:sz w:val="22"/>
          <w:szCs w:val="22"/>
          <w:lang w:val="sr-Latn-ME"/>
        </w:rPr>
      </w:pPr>
    </w:p>
    <w:p w14:paraId="3860DF4B" w14:textId="77777777" w:rsidR="00452E9D" w:rsidRPr="00980785" w:rsidRDefault="00452E9D" w:rsidP="00290631">
      <w:pPr>
        <w:tabs>
          <w:tab w:val="left" w:pos="540"/>
          <w:tab w:val="left" w:pos="569"/>
        </w:tabs>
        <w:jc w:val="both"/>
        <w:rPr>
          <w:bCs/>
          <w:sz w:val="22"/>
          <w:szCs w:val="22"/>
          <w:u w:val="single"/>
          <w:lang w:val="sr-Latn-ME"/>
        </w:rPr>
      </w:pPr>
      <w:r w:rsidRPr="00980785">
        <w:rPr>
          <w:bCs/>
          <w:sz w:val="22"/>
          <w:szCs w:val="22"/>
          <w:u w:val="single"/>
          <w:lang w:val="sr-Latn-ME"/>
        </w:rPr>
        <w:t>Doziranje</w:t>
      </w:r>
    </w:p>
    <w:p w14:paraId="7763203A" w14:textId="77777777" w:rsidR="00D24B43" w:rsidRPr="00980785" w:rsidRDefault="00D24B43" w:rsidP="00290631">
      <w:pPr>
        <w:tabs>
          <w:tab w:val="left" w:pos="540"/>
          <w:tab w:val="left" w:pos="569"/>
        </w:tabs>
        <w:jc w:val="both"/>
        <w:rPr>
          <w:bCs/>
          <w:sz w:val="22"/>
          <w:szCs w:val="22"/>
          <w:u w:val="single"/>
          <w:lang w:val="sr-Latn-ME"/>
        </w:rPr>
      </w:pPr>
    </w:p>
    <w:p w14:paraId="30D84510" w14:textId="77777777" w:rsidR="00D24B43" w:rsidRPr="00980785" w:rsidRDefault="00D24B43">
      <w:pPr>
        <w:tabs>
          <w:tab w:val="left" w:pos="0"/>
        </w:tabs>
        <w:jc w:val="both"/>
        <w:rPr>
          <w:sz w:val="22"/>
          <w:szCs w:val="22"/>
          <w:lang w:val="sr-Latn-ME"/>
        </w:rPr>
      </w:pPr>
      <w:r w:rsidRPr="00980785">
        <w:rPr>
          <w:sz w:val="22"/>
          <w:szCs w:val="22"/>
          <w:lang w:val="sr-Latn-ME"/>
        </w:rPr>
        <w:t xml:space="preserve">Imunizacija vakcinom </w:t>
      </w:r>
      <w:r w:rsidR="00677FAC" w:rsidRPr="00980785">
        <w:rPr>
          <w:sz w:val="22"/>
          <w:szCs w:val="22"/>
          <w:lang w:val="sr-Latn-ME"/>
        </w:rPr>
        <w:t>SYNFLORIX</w:t>
      </w:r>
      <w:r w:rsidRPr="00980785">
        <w:rPr>
          <w:sz w:val="22"/>
          <w:szCs w:val="22"/>
          <w:lang w:val="sr-Latn-ME"/>
        </w:rPr>
        <w:t xml:space="preserve"> treba da bude zasnovana na zvaničnim preporukama.</w:t>
      </w:r>
    </w:p>
    <w:p w14:paraId="2E119EA8" w14:textId="632F4323" w:rsidR="00D24B43" w:rsidRPr="00980785" w:rsidRDefault="00D24B43">
      <w:pPr>
        <w:tabs>
          <w:tab w:val="left" w:pos="0"/>
        </w:tabs>
        <w:jc w:val="both"/>
        <w:rPr>
          <w:b/>
          <w:sz w:val="22"/>
          <w:szCs w:val="22"/>
          <w:lang w:val="sr-Latn-ME"/>
        </w:rPr>
      </w:pPr>
      <w:r w:rsidRPr="00980785">
        <w:rPr>
          <w:b/>
          <w:sz w:val="22"/>
          <w:szCs w:val="22"/>
          <w:lang w:val="sr-Latn-ME"/>
        </w:rPr>
        <w:lastRenderedPageBreak/>
        <w:t xml:space="preserve">Odojčad </w:t>
      </w:r>
      <w:r w:rsidR="00F16EB9" w:rsidRPr="00980785">
        <w:rPr>
          <w:b/>
          <w:sz w:val="22"/>
          <w:szCs w:val="22"/>
          <w:lang w:val="sr-Latn-ME"/>
        </w:rPr>
        <w:t xml:space="preserve">uzrasta </w:t>
      </w:r>
      <w:r w:rsidRPr="00980785">
        <w:rPr>
          <w:b/>
          <w:sz w:val="22"/>
          <w:szCs w:val="22"/>
          <w:lang w:val="sr-Latn-ME"/>
        </w:rPr>
        <w:t>od 6 nedjelja do 6 mjeseci života</w:t>
      </w:r>
    </w:p>
    <w:p w14:paraId="75007110" w14:textId="77777777" w:rsidR="00D24B43" w:rsidRPr="00980785" w:rsidRDefault="00D24B43">
      <w:pPr>
        <w:tabs>
          <w:tab w:val="left" w:pos="0"/>
        </w:tabs>
        <w:jc w:val="both"/>
        <w:rPr>
          <w:i/>
          <w:sz w:val="22"/>
          <w:szCs w:val="22"/>
          <w:u w:val="single"/>
          <w:lang w:val="sr-Latn-ME"/>
        </w:rPr>
      </w:pPr>
    </w:p>
    <w:p w14:paraId="2CFE7171" w14:textId="77777777" w:rsidR="00D24B43" w:rsidRPr="00980785" w:rsidRDefault="00D24B43">
      <w:pPr>
        <w:tabs>
          <w:tab w:val="left" w:pos="0"/>
        </w:tabs>
        <w:jc w:val="both"/>
        <w:rPr>
          <w:sz w:val="22"/>
          <w:szCs w:val="22"/>
          <w:u w:val="single"/>
          <w:lang w:val="sr-Latn-ME"/>
        </w:rPr>
      </w:pPr>
      <w:r w:rsidRPr="00980785">
        <w:rPr>
          <w:sz w:val="22"/>
          <w:szCs w:val="22"/>
          <w:u w:val="single"/>
          <w:lang w:val="sr-Latn-ME"/>
        </w:rPr>
        <w:t>Primarna imunizacija po šemi od tri doze</w:t>
      </w:r>
    </w:p>
    <w:p w14:paraId="3852D4FE" w14:textId="77D2C074" w:rsidR="00D24B43" w:rsidRPr="00980785" w:rsidRDefault="00D24B43">
      <w:pPr>
        <w:tabs>
          <w:tab w:val="left" w:pos="0"/>
        </w:tabs>
        <w:jc w:val="both"/>
        <w:rPr>
          <w:sz w:val="22"/>
          <w:szCs w:val="22"/>
          <w:lang w:val="sr-Latn-ME"/>
        </w:rPr>
      </w:pPr>
      <w:r w:rsidRPr="00980785">
        <w:rPr>
          <w:sz w:val="22"/>
          <w:szCs w:val="22"/>
          <w:lang w:val="sr-Latn-ME"/>
        </w:rPr>
        <w:t xml:space="preserve">Sa ciljem obezbjeđenja optimalne zaštite, preporučuje se imunizacija po šemi od četiri doze vakcine </w:t>
      </w:r>
      <w:r w:rsidR="00677FAC" w:rsidRPr="00980785">
        <w:rPr>
          <w:sz w:val="22"/>
          <w:szCs w:val="22"/>
          <w:lang w:val="sr-Latn-ME"/>
        </w:rPr>
        <w:t>SYNFLORIX</w:t>
      </w:r>
      <w:r w:rsidRPr="00980785">
        <w:rPr>
          <w:sz w:val="22"/>
          <w:szCs w:val="22"/>
          <w:lang w:val="sr-Latn-ME"/>
        </w:rPr>
        <w:t xml:space="preserve"> od 0,5</w:t>
      </w:r>
      <w:r w:rsidR="000B142E" w:rsidRPr="00980785">
        <w:rPr>
          <w:sz w:val="22"/>
          <w:szCs w:val="22"/>
          <w:lang w:val="sr-Latn-ME"/>
        </w:rPr>
        <w:t xml:space="preserve"> </w:t>
      </w:r>
      <w:r w:rsidRPr="00980785">
        <w:rPr>
          <w:sz w:val="22"/>
          <w:szCs w:val="22"/>
          <w:lang w:val="sr-Latn-ME"/>
        </w:rPr>
        <w:t xml:space="preserve">ml. Primarna imunizacija se sastoji od tri doze, sa primjenom prve doze obično sa 2 mjeseca života i sa intervalom između pojedinačnih doza vakcine od najmanje mjesec dana. Prva doza se može dati najranije nakon navršenih 6 nedjelja života. Preporučuje se primjena buster (četvrte)  doze najmanje 6 mjeseci po kompletiranju primarne imunizacije, a može se primijeniti od 9. mjeseca života pa nadalje (poželjno je da bude između 12 i 15 mjeseci života) (vidjeti </w:t>
      </w:r>
      <w:r w:rsidR="00F87210" w:rsidRPr="00980785">
        <w:rPr>
          <w:sz w:val="22"/>
          <w:szCs w:val="22"/>
          <w:lang w:val="sr-Latn-ME"/>
        </w:rPr>
        <w:t>djelove</w:t>
      </w:r>
      <w:r w:rsidRPr="00980785">
        <w:rPr>
          <w:sz w:val="22"/>
          <w:szCs w:val="22"/>
          <w:lang w:val="sr-Latn-ME"/>
        </w:rPr>
        <w:t xml:space="preserve"> 4.4 i 5.1).</w:t>
      </w:r>
    </w:p>
    <w:p w14:paraId="5CC1DF0D" w14:textId="77777777" w:rsidR="00D24B43" w:rsidRPr="00980785" w:rsidRDefault="00D24B43">
      <w:pPr>
        <w:tabs>
          <w:tab w:val="left" w:pos="0"/>
        </w:tabs>
        <w:jc w:val="both"/>
        <w:rPr>
          <w:color w:val="FF0000"/>
          <w:sz w:val="22"/>
          <w:szCs w:val="22"/>
          <w:lang w:val="sr-Latn-ME"/>
        </w:rPr>
      </w:pPr>
    </w:p>
    <w:p w14:paraId="1496DA34" w14:textId="77777777" w:rsidR="00D24B43" w:rsidRPr="00980785" w:rsidRDefault="00D24B43">
      <w:pPr>
        <w:tabs>
          <w:tab w:val="left" w:pos="0"/>
        </w:tabs>
        <w:jc w:val="both"/>
        <w:rPr>
          <w:sz w:val="22"/>
          <w:szCs w:val="22"/>
          <w:u w:val="single"/>
          <w:lang w:val="sr-Latn-ME"/>
        </w:rPr>
      </w:pPr>
      <w:r w:rsidRPr="00980785">
        <w:rPr>
          <w:sz w:val="22"/>
          <w:szCs w:val="22"/>
          <w:u w:val="single"/>
          <w:lang w:val="sr-Latn-ME"/>
        </w:rPr>
        <w:t>Primarna imunizacija po šemi od dvije doze</w:t>
      </w:r>
    </w:p>
    <w:p w14:paraId="7A3DC69E" w14:textId="34F526C4" w:rsidR="00D24B43" w:rsidRPr="00980785" w:rsidRDefault="00D24B43">
      <w:pPr>
        <w:tabs>
          <w:tab w:val="left" w:pos="0"/>
        </w:tabs>
        <w:jc w:val="both"/>
        <w:rPr>
          <w:sz w:val="22"/>
          <w:szCs w:val="22"/>
          <w:lang w:val="sr-Latn-ME"/>
        </w:rPr>
      </w:pPr>
      <w:r w:rsidRPr="00980785">
        <w:rPr>
          <w:sz w:val="22"/>
          <w:szCs w:val="22"/>
          <w:lang w:val="sr-Latn-ME"/>
        </w:rPr>
        <w:t xml:space="preserve">Alternativno, kada se vakcina </w:t>
      </w:r>
      <w:r w:rsidR="00677FAC" w:rsidRPr="00980785">
        <w:rPr>
          <w:sz w:val="22"/>
          <w:szCs w:val="22"/>
          <w:lang w:val="sr-Latn-ME"/>
        </w:rPr>
        <w:t>SYNFLORIX</w:t>
      </w:r>
      <w:r w:rsidRPr="00980785">
        <w:rPr>
          <w:sz w:val="22"/>
          <w:szCs w:val="22"/>
          <w:lang w:val="sr-Latn-ME"/>
        </w:rPr>
        <w:t xml:space="preserve"> primjenjuje kao dio rutinskog programa imunizacije djece, može se primijeniti po šemi imunizacije od 3 doze vakcine </w:t>
      </w:r>
      <w:r w:rsidR="00677FAC" w:rsidRPr="00980785">
        <w:rPr>
          <w:sz w:val="22"/>
          <w:szCs w:val="22"/>
          <w:lang w:val="sr-Latn-ME"/>
        </w:rPr>
        <w:t>SYNFLORIX</w:t>
      </w:r>
      <w:r w:rsidRPr="00980785">
        <w:rPr>
          <w:sz w:val="22"/>
          <w:szCs w:val="22"/>
          <w:lang w:val="sr-Latn-ME"/>
        </w:rPr>
        <w:t xml:space="preserve"> od 0,5</w:t>
      </w:r>
      <w:r w:rsidR="000B142E" w:rsidRPr="00980785">
        <w:rPr>
          <w:sz w:val="22"/>
          <w:szCs w:val="22"/>
          <w:lang w:val="sr-Latn-ME"/>
        </w:rPr>
        <w:t xml:space="preserve"> </w:t>
      </w:r>
      <w:r w:rsidRPr="00980785">
        <w:rPr>
          <w:sz w:val="22"/>
          <w:szCs w:val="22"/>
          <w:lang w:val="sr-Latn-ME"/>
        </w:rPr>
        <w:t xml:space="preserve">ml. Prva doza vakcine se može primijeniti najranije nakon navršenih 6 nedjelja života, dok se druga doza vakcine primjenjuje 2 mjeseca nakon primjene prve doze. Preporučuje se primjena buster (treće) doze najmanje 6 mjeseci po kompletiranju primarne imunizacije i može se primijeniti od 9. mjeseca života pa nadalje (poželjno je da bude između 12. i 15. mjeseca života) (vidjeti </w:t>
      </w:r>
      <w:r w:rsidR="00F87210" w:rsidRPr="00980785">
        <w:rPr>
          <w:sz w:val="22"/>
          <w:szCs w:val="22"/>
          <w:lang w:val="sr-Latn-ME"/>
        </w:rPr>
        <w:t>dio</w:t>
      </w:r>
      <w:r w:rsidRPr="00980785">
        <w:rPr>
          <w:sz w:val="22"/>
          <w:szCs w:val="22"/>
          <w:lang w:val="sr-Latn-ME"/>
        </w:rPr>
        <w:t xml:space="preserve"> 5.1).</w:t>
      </w:r>
    </w:p>
    <w:p w14:paraId="2EF99169" w14:textId="77777777" w:rsidR="00D24B43" w:rsidRPr="00980785" w:rsidRDefault="00D24B43">
      <w:pPr>
        <w:tabs>
          <w:tab w:val="left" w:pos="0"/>
        </w:tabs>
        <w:jc w:val="both"/>
        <w:rPr>
          <w:sz w:val="22"/>
          <w:szCs w:val="22"/>
          <w:lang w:val="sr-Latn-ME"/>
        </w:rPr>
      </w:pPr>
    </w:p>
    <w:p w14:paraId="374C4648" w14:textId="7702DAF1" w:rsidR="00D24B43" w:rsidRPr="00980785" w:rsidRDefault="00D24B43">
      <w:pPr>
        <w:tabs>
          <w:tab w:val="left" w:pos="0"/>
        </w:tabs>
        <w:jc w:val="both"/>
        <w:rPr>
          <w:b/>
          <w:sz w:val="22"/>
          <w:szCs w:val="22"/>
          <w:lang w:val="sr-Latn-ME"/>
        </w:rPr>
      </w:pPr>
      <w:r w:rsidRPr="00980785">
        <w:rPr>
          <w:b/>
          <w:sz w:val="22"/>
          <w:szCs w:val="22"/>
          <w:lang w:val="sr-Latn-ME"/>
        </w:rPr>
        <w:t>Prijevremeno rođena odojčad (rođena između 27</w:t>
      </w:r>
      <w:r w:rsidR="00F16EB9" w:rsidRPr="00980785">
        <w:rPr>
          <w:b/>
          <w:sz w:val="22"/>
          <w:szCs w:val="22"/>
          <w:lang w:val="sr-Latn-ME"/>
        </w:rPr>
        <w:t>.</w:t>
      </w:r>
      <w:r w:rsidRPr="00980785">
        <w:rPr>
          <w:b/>
          <w:sz w:val="22"/>
          <w:szCs w:val="22"/>
          <w:lang w:val="sr-Latn-ME"/>
        </w:rPr>
        <w:t xml:space="preserve"> </w:t>
      </w:r>
      <w:r w:rsidR="00F16EB9" w:rsidRPr="00980785">
        <w:rPr>
          <w:b/>
          <w:sz w:val="22"/>
          <w:szCs w:val="22"/>
          <w:lang w:val="sr-Latn-ME"/>
        </w:rPr>
        <w:t>i</w:t>
      </w:r>
      <w:r w:rsidRPr="00980785">
        <w:rPr>
          <w:b/>
          <w:sz w:val="22"/>
          <w:szCs w:val="22"/>
          <w:lang w:val="sr-Latn-ME"/>
        </w:rPr>
        <w:t xml:space="preserve"> 36</w:t>
      </w:r>
      <w:r w:rsidR="00F16EB9" w:rsidRPr="00980785">
        <w:rPr>
          <w:b/>
          <w:sz w:val="22"/>
          <w:szCs w:val="22"/>
          <w:lang w:val="sr-Latn-ME"/>
        </w:rPr>
        <w:t>.</w:t>
      </w:r>
      <w:r w:rsidRPr="00980785">
        <w:rPr>
          <w:b/>
          <w:sz w:val="22"/>
          <w:szCs w:val="22"/>
          <w:lang w:val="sr-Latn-ME"/>
        </w:rPr>
        <w:t xml:space="preserve"> gestacion</w:t>
      </w:r>
      <w:r w:rsidR="00F16EB9" w:rsidRPr="00980785">
        <w:rPr>
          <w:b/>
          <w:sz w:val="22"/>
          <w:szCs w:val="22"/>
          <w:lang w:val="sr-Latn-ME"/>
        </w:rPr>
        <w:t>e</w:t>
      </w:r>
      <w:r w:rsidRPr="00980785">
        <w:rPr>
          <w:b/>
          <w:sz w:val="22"/>
          <w:szCs w:val="22"/>
          <w:lang w:val="sr-Latn-ME"/>
        </w:rPr>
        <w:t xml:space="preserve"> nedjelj</w:t>
      </w:r>
      <w:r w:rsidR="00F16EB9" w:rsidRPr="00980785">
        <w:rPr>
          <w:b/>
          <w:sz w:val="22"/>
          <w:szCs w:val="22"/>
          <w:lang w:val="sr-Latn-ME"/>
        </w:rPr>
        <w:t>e</w:t>
      </w:r>
      <w:r w:rsidRPr="00980785">
        <w:rPr>
          <w:b/>
          <w:sz w:val="22"/>
          <w:szCs w:val="22"/>
          <w:lang w:val="sr-Latn-ME"/>
        </w:rPr>
        <w:t>)</w:t>
      </w:r>
    </w:p>
    <w:p w14:paraId="04310988" w14:textId="77777777" w:rsidR="00D24B43" w:rsidRPr="00980785" w:rsidRDefault="00D24B43">
      <w:pPr>
        <w:tabs>
          <w:tab w:val="left" w:pos="0"/>
        </w:tabs>
        <w:jc w:val="both"/>
        <w:rPr>
          <w:sz w:val="22"/>
          <w:szCs w:val="22"/>
          <w:lang w:val="sr-Latn-ME"/>
        </w:rPr>
      </w:pPr>
    </w:p>
    <w:p w14:paraId="684763EC" w14:textId="7C21C127" w:rsidR="00D24B43" w:rsidRPr="00980785" w:rsidRDefault="00D24B43">
      <w:pPr>
        <w:tabs>
          <w:tab w:val="left" w:pos="0"/>
        </w:tabs>
        <w:jc w:val="both"/>
        <w:rPr>
          <w:sz w:val="22"/>
          <w:szCs w:val="22"/>
          <w:lang w:val="sr-Latn-ME"/>
        </w:rPr>
      </w:pPr>
      <w:r w:rsidRPr="00980785">
        <w:rPr>
          <w:sz w:val="22"/>
          <w:szCs w:val="22"/>
          <w:lang w:val="sr-Latn-ME"/>
        </w:rPr>
        <w:t>Kod prijevremeno rođen</w:t>
      </w:r>
      <w:r w:rsidR="00F16EB9" w:rsidRPr="00980785">
        <w:rPr>
          <w:sz w:val="22"/>
          <w:szCs w:val="22"/>
          <w:lang w:val="sr-Latn-ME"/>
        </w:rPr>
        <w:t>e odojčadi</w:t>
      </w:r>
      <w:r w:rsidRPr="00980785">
        <w:rPr>
          <w:sz w:val="22"/>
          <w:szCs w:val="22"/>
          <w:lang w:val="sr-Latn-ME"/>
        </w:rPr>
        <w:t>, rođen</w:t>
      </w:r>
      <w:r w:rsidR="00F16EB9" w:rsidRPr="00980785">
        <w:rPr>
          <w:sz w:val="22"/>
          <w:szCs w:val="22"/>
          <w:lang w:val="sr-Latn-ME"/>
        </w:rPr>
        <w:t xml:space="preserve">e  </w:t>
      </w:r>
      <w:r w:rsidRPr="00980785">
        <w:rPr>
          <w:sz w:val="22"/>
          <w:szCs w:val="22"/>
          <w:lang w:val="sr-Latn-ME"/>
        </w:rPr>
        <w:t xml:space="preserve">nakon 27. gestacione nedjelje, preporučena šema imunizacije se sastoji od četiri doze vakcine </w:t>
      </w:r>
      <w:r w:rsidR="00677FAC" w:rsidRPr="00980785">
        <w:rPr>
          <w:sz w:val="22"/>
          <w:szCs w:val="22"/>
          <w:lang w:val="sr-Latn-ME"/>
        </w:rPr>
        <w:t>SYNFLORIX</w:t>
      </w:r>
      <w:r w:rsidRPr="00980785">
        <w:rPr>
          <w:sz w:val="22"/>
          <w:szCs w:val="22"/>
          <w:lang w:val="sr-Latn-ME"/>
        </w:rPr>
        <w:t xml:space="preserve"> od 0,5ml. Primarna imunizacija se sastoji od tri doze, sa primjenom prve doze sa 2 mjeseca života i sa intervalom između pojedinačnih doza vakcine od najmanje mjesec dana. Preporučuje se primjena buster doze najmanje 6 mjeseci po kompletiranju primarne imunizacije (vidjeti </w:t>
      </w:r>
      <w:r w:rsidR="00F87210" w:rsidRPr="00980785">
        <w:rPr>
          <w:sz w:val="22"/>
          <w:szCs w:val="22"/>
          <w:lang w:val="sr-Latn-ME"/>
        </w:rPr>
        <w:t>djelove</w:t>
      </w:r>
      <w:r w:rsidRPr="00980785">
        <w:rPr>
          <w:sz w:val="22"/>
          <w:szCs w:val="22"/>
          <w:lang w:val="sr-Latn-ME"/>
        </w:rPr>
        <w:t xml:space="preserve"> 4.4 i 5.1).</w:t>
      </w:r>
    </w:p>
    <w:p w14:paraId="15D13372" w14:textId="77777777" w:rsidR="00D24B43" w:rsidRPr="00980785" w:rsidRDefault="00D24B43">
      <w:pPr>
        <w:tabs>
          <w:tab w:val="left" w:pos="0"/>
        </w:tabs>
        <w:jc w:val="both"/>
        <w:rPr>
          <w:sz w:val="22"/>
          <w:szCs w:val="22"/>
          <w:lang w:val="sr-Latn-ME"/>
        </w:rPr>
      </w:pPr>
    </w:p>
    <w:p w14:paraId="15AF66AC" w14:textId="33B48657" w:rsidR="00D24B43" w:rsidRPr="00980785" w:rsidRDefault="00D24B43">
      <w:pPr>
        <w:tabs>
          <w:tab w:val="left" w:pos="0"/>
        </w:tabs>
        <w:jc w:val="both"/>
        <w:rPr>
          <w:b/>
          <w:sz w:val="22"/>
          <w:szCs w:val="22"/>
          <w:lang w:val="sr-Latn-ME"/>
        </w:rPr>
      </w:pPr>
      <w:r w:rsidRPr="00980785">
        <w:rPr>
          <w:b/>
          <w:sz w:val="22"/>
          <w:szCs w:val="22"/>
          <w:lang w:val="sr-Latn-ME"/>
        </w:rPr>
        <w:t xml:space="preserve">Odojčad koja prethodno nijesu vakcinisana i djeca  ≥ 7 mjeseci   </w:t>
      </w:r>
    </w:p>
    <w:p w14:paraId="05028830" w14:textId="77777777" w:rsidR="00D24B43" w:rsidRPr="00980785" w:rsidRDefault="00D24B43">
      <w:pPr>
        <w:tabs>
          <w:tab w:val="left" w:pos="0"/>
        </w:tabs>
        <w:jc w:val="both"/>
        <w:rPr>
          <w:i/>
          <w:sz w:val="22"/>
          <w:szCs w:val="22"/>
          <w:u w:val="single"/>
          <w:lang w:val="sr-Latn-ME"/>
        </w:rPr>
      </w:pPr>
    </w:p>
    <w:p w14:paraId="59BBCEA4" w14:textId="6466028F" w:rsidR="00D24B43" w:rsidRPr="00980785" w:rsidRDefault="00D24B43" w:rsidP="00290631">
      <w:pPr>
        <w:tabs>
          <w:tab w:val="left" w:pos="0"/>
        </w:tabs>
        <w:jc w:val="both"/>
        <w:rPr>
          <w:sz w:val="22"/>
          <w:szCs w:val="22"/>
          <w:lang w:val="sr-Latn-ME"/>
        </w:rPr>
      </w:pPr>
      <w:r w:rsidRPr="00980785">
        <w:rPr>
          <w:sz w:val="22"/>
          <w:szCs w:val="22"/>
          <w:lang w:val="sr-Latn-ME"/>
        </w:rPr>
        <w:t xml:space="preserve">- odojčad </w:t>
      </w:r>
      <w:r w:rsidR="00EB2E42" w:rsidRPr="00980785">
        <w:rPr>
          <w:sz w:val="22"/>
          <w:szCs w:val="22"/>
          <w:lang w:val="sr-Latn-ME"/>
        </w:rPr>
        <w:t>uzrasta</w:t>
      </w:r>
      <w:r w:rsidRPr="00980785">
        <w:rPr>
          <w:sz w:val="22"/>
          <w:szCs w:val="22"/>
          <w:lang w:val="sr-Latn-ME"/>
        </w:rPr>
        <w:t xml:space="preserve"> od 7 </w:t>
      </w:r>
      <w:r w:rsidR="00EB2E42" w:rsidRPr="00980785">
        <w:rPr>
          <w:sz w:val="22"/>
          <w:szCs w:val="22"/>
          <w:lang w:val="sr-Latn-ME"/>
        </w:rPr>
        <w:t>do</w:t>
      </w:r>
      <w:r w:rsidR="005C3EE3" w:rsidRPr="00980785">
        <w:rPr>
          <w:sz w:val="22"/>
          <w:szCs w:val="22"/>
          <w:lang w:val="sr-Latn-ME"/>
        </w:rPr>
        <w:t xml:space="preserve"> </w:t>
      </w:r>
      <w:r w:rsidRPr="00980785">
        <w:rPr>
          <w:sz w:val="22"/>
          <w:szCs w:val="22"/>
          <w:lang w:val="sr-Latn-ME"/>
        </w:rPr>
        <w:t>11 mjeseci života: vakcinacija se sprovodi po šemi od dvije primarne doze</w:t>
      </w:r>
      <w:r w:rsidR="00EB2E42" w:rsidRPr="00980785">
        <w:rPr>
          <w:sz w:val="22"/>
          <w:szCs w:val="22"/>
          <w:lang w:val="sr-Latn-ME"/>
        </w:rPr>
        <w:t xml:space="preserve"> </w:t>
      </w:r>
      <w:r w:rsidRPr="00980785">
        <w:rPr>
          <w:sz w:val="22"/>
          <w:szCs w:val="22"/>
          <w:lang w:val="sr-Latn-ME"/>
        </w:rPr>
        <w:t xml:space="preserve">   vakcine </w:t>
      </w:r>
      <w:r w:rsidR="00677FAC" w:rsidRPr="00980785">
        <w:rPr>
          <w:sz w:val="22"/>
          <w:szCs w:val="22"/>
          <w:lang w:val="sr-Latn-ME"/>
        </w:rPr>
        <w:t>SYNFLORIX</w:t>
      </w:r>
      <w:r w:rsidRPr="00980785">
        <w:rPr>
          <w:sz w:val="22"/>
          <w:szCs w:val="22"/>
          <w:lang w:val="sr-Latn-ME"/>
        </w:rPr>
        <w:t xml:space="preserve"> od 0,5 ml, sa razmakom od najmanje mjesec dana između pojedinačnih doza vakcine. Preporučuje se primjena buster (treće) doze u drugoj godini života, sa razmakom od najmanje dva mjeseca nakon zadnje primarne doze.</w:t>
      </w:r>
    </w:p>
    <w:p w14:paraId="14F34478" w14:textId="77777777" w:rsidR="00D24B43" w:rsidRPr="00980785" w:rsidRDefault="00D24B43">
      <w:pPr>
        <w:tabs>
          <w:tab w:val="left" w:pos="360"/>
        </w:tabs>
        <w:ind w:left="360" w:hanging="360"/>
        <w:jc w:val="both"/>
        <w:rPr>
          <w:sz w:val="22"/>
          <w:szCs w:val="22"/>
          <w:lang w:val="sr-Latn-ME"/>
        </w:rPr>
      </w:pPr>
    </w:p>
    <w:p w14:paraId="53966FBB" w14:textId="676345B4" w:rsidR="00D24B43" w:rsidRPr="00980785" w:rsidRDefault="00D24B43">
      <w:pPr>
        <w:tabs>
          <w:tab w:val="left" w:pos="360"/>
        </w:tabs>
        <w:ind w:left="360" w:hanging="360"/>
        <w:jc w:val="both"/>
        <w:rPr>
          <w:sz w:val="22"/>
          <w:szCs w:val="22"/>
          <w:lang w:val="sr-Latn-ME"/>
        </w:rPr>
      </w:pPr>
      <w:r w:rsidRPr="00980785">
        <w:rPr>
          <w:sz w:val="22"/>
          <w:szCs w:val="22"/>
          <w:lang w:val="sr-Latn-ME"/>
        </w:rPr>
        <w:t xml:space="preserve">- djeca </w:t>
      </w:r>
      <w:r w:rsidR="00EB2E42" w:rsidRPr="00980785">
        <w:rPr>
          <w:sz w:val="22"/>
          <w:szCs w:val="22"/>
          <w:lang w:val="sr-Latn-ME"/>
        </w:rPr>
        <w:t>uzrasta</w:t>
      </w:r>
      <w:r w:rsidRPr="00980785">
        <w:rPr>
          <w:sz w:val="22"/>
          <w:szCs w:val="22"/>
          <w:lang w:val="sr-Latn-ME"/>
        </w:rPr>
        <w:t xml:space="preserve"> od 12</w:t>
      </w:r>
      <w:r w:rsidR="00A53CC7" w:rsidRPr="00980785">
        <w:rPr>
          <w:sz w:val="22"/>
          <w:szCs w:val="22"/>
          <w:lang w:val="sr-Latn-ME"/>
        </w:rPr>
        <w:t xml:space="preserve"> mjeseci</w:t>
      </w:r>
      <w:r w:rsidRPr="00980785">
        <w:rPr>
          <w:sz w:val="22"/>
          <w:szCs w:val="22"/>
          <w:lang w:val="sr-Latn-ME"/>
        </w:rPr>
        <w:t xml:space="preserve"> </w:t>
      </w:r>
      <w:r w:rsidR="00EB2E42" w:rsidRPr="00980785">
        <w:rPr>
          <w:sz w:val="22"/>
          <w:szCs w:val="22"/>
          <w:lang w:val="sr-Latn-ME"/>
        </w:rPr>
        <w:t xml:space="preserve">do </w:t>
      </w:r>
      <w:r w:rsidRPr="00980785">
        <w:rPr>
          <w:sz w:val="22"/>
          <w:szCs w:val="22"/>
          <w:lang w:val="sr-Latn-ME"/>
        </w:rPr>
        <w:t xml:space="preserve">5 godina života: vakcinacija se sprovodi po šemi od dvije doze vakcine </w:t>
      </w:r>
    </w:p>
    <w:p w14:paraId="4D49455B" w14:textId="77777777" w:rsidR="00D24B43" w:rsidRPr="00980785" w:rsidRDefault="00D24B43" w:rsidP="00290631">
      <w:pPr>
        <w:tabs>
          <w:tab w:val="left" w:pos="0"/>
        </w:tabs>
        <w:jc w:val="both"/>
        <w:rPr>
          <w:sz w:val="22"/>
          <w:szCs w:val="22"/>
          <w:lang w:val="sr-Latn-ME"/>
        </w:rPr>
      </w:pPr>
      <w:r w:rsidRPr="00980785">
        <w:rPr>
          <w:sz w:val="22"/>
          <w:szCs w:val="22"/>
          <w:lang w:val="sr-Latn-ME"/>
        </w:rPr>
        <w:t xml:space="preserve">   </w:t>
      </w:r>
      <w:r w:rsidR="00677FAC" w:rsidRPr="00980785">
        <w:rPr>
          <w:sz w:val="22"/>
          <w:szCs w:val="22"/>
          <w:lang w:val="sr-Latn-ME"/>
        </w:rPr>
        <w:t>SYNFLORIX</w:t>
      </w:r>
      <w:r w:rsidRPr="00980785">
        <w:rPr>
          <w:sz w:val="22"/>
          <w:szCs w:val="22"/>
          <w:lang w:val="sr-Latn-ME"/>
        </w:rPr>
        <w:t xml:space="preserve"> od 0,5 ml, sa razmakom od najmanje dva mjeseca između pojedinačnih doza vakcine. </w:t>
      </w:r>
    </w:p>
    <w:p w14:paraId="0EF68788" w14:textId="77777777" w:rsidR="00D24B43" w:rsidRPr="00980785" w:rsidRDefault="00D24B43">
      <w:pPr>
        <w:tabs>
          <w:tab w:val="left" w:pos="0"/>
        </w:tabs>
        <w:ind w:left="720"/>
        <w:jc w:val="both"/>
        <w:rPr>
          <w:sz w:val="22"/>
          <w:szCs w:val="22"/>
          <w:lang w:val="sr-Latn-ME"/>
        </w:rPr>
      </w:pPr>
    </w:p>
    <w:p w14:paraId="22BA2D39" w14:textId="77777777" w:rsidR="00D24B43" w:rsidRPr="00980785" w:rsidRDefault="00D24B43">
      <w:pPr>
        <w:tabs>
          <w:tab w:val="left" w:pos="0"/>
        </w:tabs>
        <w:jc w:val="both"/>
        <w:rPr>
          <w:sz w:val="22"/>
          <w:szCs w:val="22"/>
          <w:lang w:val="sr-Latn-ME"/>
        </w:rPr>
      </w:pPr>
      <w:r w:rsidRPr="00980785">
        <w:rPr>
          <w:sz w:val="22"/>
          <w:szCs w:val="22"/>
          <w:lang w:val="sr-Latn-ME"/>
        </w:rPr>
        <w:t xml:space="preserve">Preporučuje se da osobe koje su kao prvu dozu primile vakcinu </w:t>
      </w:r>
      <w:r w:rsidR="00677FAC" w:rsidRPr="00980785">
        <w:rPr>
          <w:sz w:val="22"/>
          <w:szCs w:val="22"/>
          <w:lang w:val="sr-Latn-ME"/>
        </w:rPr>
        <w:t>SYNFLORIX</w:t>
      </w:r>
      <w:r w:rsidRPr="00980785">
        <w:rPr>
          <w:sz w:val="22"/>
          <w:szCs w:val="22"/>
          <w:vertAlign w:val="superscript"/>
          <w:lang w:val="sr-Latn-ME"/>
        </w:rPr>
        <w:t xml:space="preserve"> </w:t>
      </w:r>
      <w:r w:rsidRPr="00980785">
        <w:rPr>
          <w:sz w:val="22"/>
          <w:szCs w:val="22"/>
          <w:lang w:val="sr-Latn-ME"/>
        </w:rPr>
        <w:t>i kompletiraju vakcinaciju navedenom vakcinom.</w:t>
      </w:r>
    </w:p>
    <w:p w14:paraId="5B659BC1" w14:textId="77777777" w:rsidR="00D24B43" w:rsidRPr="00980785" w:rsidRDefault="00D24B43" w:rsidP="00290631">
      <w:pPr>
        <w:tabs>
          <w:tab w:val="left" w:pos="360"/>
        </w:tabs>
        <w:jc w:val="both"/>
        <w:rPr>
          <w:b/>
          <w:sz w:val="22"/>
          <w:szCs w:val="22"/>
          <w:lang w:val="sr-Latn-ME"/>
        </w:rPr>
      </w:pPr>
    </w:p>
    <w:p w14:paraId="64150FDB" w14:textId="77777777" w:rsidR="00D24B43" w:rsidRPr="00980785" w:rsidRDefault="00D24B43" w:rsidP="00290631">
      <w:pPr>
        <w:tabs>
          <w:tab w:val="left" w:pos="360"/>
        </w:tabs>
        <w:jc w:val="both"/>
        <w:rPr>
          <w:b/>
          <w:sz w:val="22"/>
          <w:szCs w:val="22"/>
          <w:lang w:val="sr-Latn-ME"/>
        </w:rPr>
      </w:pPr>
      <w:r w:rsidRPr="00980785">
        <w:rPr>
          <w:b/>
          <w:sz w:val="22"/>
          <w:szCs w:val="22"/>
          <w:lang w:val="sr-Latn-ME"/>
        </w:rPr>
        <w:t>Posebne populacije</w:t>
      </w:r>
    </w:p>
    <w:p w14:paraId="170E2F1C" w14:textId="77777777" w:rsidR="00D24B43" w:rsidRPr="00980785" w:rsidRDefault="00D24B43" w:rsidP="00290631">
      <w:pPr>
        <w:tabs>
          <w:tab w:val="left" w:pos="360"/>
        </w:tabs>
        <w:jc w:val="both"/>
        <w:rPr>
          <w:b/>
          <w:sz w:val="22"/>
          <w:szCs w:val="22"/>
          <w:lang w:val="sr-Latn-ME"/>
        </w:rPr>
      </w:pPr>
    </w:p>
    <w:p w14:paraId="163203E4" w14:textId="4B2DAFA4" w:rsidR="00D24B43" w:rsidRPr="00980785" w:rsidRDefault="00D24B43" w:rsidP="00290631">
      <w:pPr>
        <w:tabs>
          <w:tab w:val="left" w:pos="360"/>
        </w:tabs>
        <w:jc w:val="both"/>
        <w:rPr>
          <w:sz w:val="22"/>
          <w:szCs w:val="22"/>
          <w:lang w:val="sr-Latn-ME"/>
        </w:rPr>
      </w:pPr>
      <w:r w:rsidRPr="00980785">
        <w:rPr>
          <w:sz w:val="22"/>
          <w:szCs w:val="22"/>
          <w:lang w:val="sr-Latn-ME"/>
        </w:rPr>
        <w:t xml:space="preserve">Vakcina </w:t>
      </w:r>
      <w:r w:rsidR="00677FAC" w:rsidRPr="00980785">
        <w:rPr>
          <w:sz w:val="22"/>
          <w:szCs w:val="22"/>
          <w:lang w:val="sr-Latn-ME"/>
        </w:rPr>
        <w:t>SYNFLORIX</w:t>
      </w:r>
      <w:r w:rsidRPr="00980785">
        <w:rPr>
          <w:sz w:val="22"/>
          <w:szCs w:val="22"/>
          <w:lang w:val="sr-Latn-ME"/>
        </w:rPr>
        <w:t xml:space="preserve"> može biti primijenjena kod pojedinaca sa predisponirajućim stanjima za invazivnu pneumokoknu bolest (kao što su </w:t>
      </w:r>
      <w:r w:rsidR="00A5567E" w:rsidRPr="00980785">
        <w:rPr>
          <w:sz w:val="22"/>
          <w:szCs w:val="22"/>
          <w:lang w:val="sr-Latn-ME"/>
        </w:rPr>
        <w:t xml:space="preserve">infekcija virusom humane imunodeficijencije (HIV), </w:t>
      </w:r>
      <w:r w:rsidRPr="00980785">
        <w:rPr>
          <w:sz w:val="22"/>
          <w:szCs w:val="22"/>
          <w:lang w:val="sr-Latn-ME"/>
        </w:rPr>
        <w:t>anemija srpastih ćelija (</w:t>
      </w:r>
      <w:r w:rsidR="00EB2E42" w:rsidRPr="00980785">
        <w:rPr>
          <w:sz w:val="22"/>
          <w:szCs w:val="22"/>
          <w:lang w:val="sr-Latn-ME"/>
        </w:rPr>
        <w:t xml:space="preserve">engl. </w:t>
      </w:r>
      <w:r w:rsidR="00EB2E42" w:rsidRPr="00980785">
        <w:rPr>
          <w:i/>
          <w:sz w:val="22"/>
          <w:szCs w:val="22"/>
          <w:lang w:val="sr-Latn-ME"/>
        </w:rPr>
        <w:t>sickle cell disease</w:t>
      </w:r>
      <w:r w:rsidR="00EB2E42" w:rsidRPr="00980785">
        <w:rPr>
          <w:sz w:val="22"/>
          <w:szCs w:val="22"/>
          <w:lang w:val="sr-Latn-ME"/>
        </w:rPr>
        <w:t xml:space="preserve">, </w:t>
      </w:r>
      <w:r w:rsidRPr="00980785">
        <w:rPr>
          <w:sz w:val="22"/>
          <w:szCs w:val="22"/>
          <w:lang w:val="sr-Latn-ME"/>
        </w:rPr>
        <w:t xml:space="preserve">SCD) ili </w:t>
      </w:r>
      <w:r w:rsidR="00196E6B" w:rsidRPr="00980785">
        <w:rPr>
          <w:sz w:val="22"/>
          <w:szCs w:val="22"/>
          <w:lang w:val="sr-Latn-ME"/>
        </w:rPr>
        <w:t>disfunkcija</w:t>
      </w:r>
      <w:r w:rsidR="00466967" w:rsidRPr="00980785">
        <w:rPr>
          <w:sz w:val="22"/>
          <w:szCs w:val="22"/>
          <w:lang w:val="sr-Latn-ME"/>
        </w:rPr>
        <w:t xml:space="preserve"> slezene)</w:t>
      </w:r>
      <w:r w:rsidR="00B217BE" w:rsidRPr="00980785">
        <w:rPr>
          <w:sz w:val="22"/>
          <w:szCs w:val="22"/>
          <w:lang w:val="sr-Latn-ME"/>
        </w:rPr>
        <w:t xml:space="preserve">, </w:t>
      </w:r>
      <w:r w:rsidR="00E62C71" w:rsidRPr="00980785">
        <w:rPr>
          <w:sz w:val="22"/>
          <w:szCs w:val="22"/>
          <w:lang w:val="sr-Latn-ME"/>
        </w:rPr>
        <w:t>u skladu sa gore navedenim rasporedom</w:t>
      </w:r>
      <w:r w:rsidR="00B217BE" w:rsidRPr="00980785">
        <w:rPr>
          <w:sz w:val="22"/>
          <w:szCs w:val="22"/>
          <w:lang w:val="sr-Latn-ME"/>
        </w:rPr>
        <w:t>,</w:t>
      </w:r>
      <w:r w:rsidR="00E62C71" w:rsidRPr="00980785">
        <w:rPr>
          <w:sz w:val="22"/>
          <w:szCs w:val="22"/>
          <w:lang w:val="sr-Latn-ME"/>
        </w:rPr>
        <w:t xml:space="preserve"> osim što se kalendar vakcinacije sa 3 doze mora primijeniti kao primarna imunizacija kod odojčad kod koje se započinje vakcinacija </w:t>
      </w:r>
      <w:r w:rsidR="00EB2E42" w:rsidRPr="00980785">
        <w:rPr>
          <w:sz w:val="22"/>
          <w:szCs w:val="22"/>
          <w:lang w:val="sr-Latn-ME"/>
        </w:rPr>
        <w:t xml:space="preserve">u uzrastu </w:t>
      </w:r>
      <w:r w:rsidR="005C3EE3" w:rsidRPr="00980785">
        <w:rPr>
          <w:sz w:val="22"/>
          <w:szCs w:val="22"/>
          <w:lang w:val="sr-Latn-ME"/>
        </w:rPr>
        <w:t xml:space="preserve">od 6 nedjelja do </w:t>
      </w:r>
      <w:r w:rsidR="00E62C71" w:rsidRPr="00980785">
        <w:rPr>
          <w:sz w:val="22"/>
          <w:szCs w:val="22"/>
          <w:lang w:val="sr-Latn-ME"/>
        </w:rPr>
        <w:t xml:space="preserve">6 mjeseci </w:t>
      </w:r>
      <w:r w:rsidRPr="00980785">
        <w:rPr>
          <w:sz w:val="22"/>
          <w:szCs w:val="22"/>
          <w:lang w:val="sr-Latn-ME"/>
        </w:rPr>
        <w:t xml:space="preserve">(vidjeti </w:t>
      </w:r>
      <w:r w:rsidR="00D61BC3" w:rsidRPr="00980785">
        <w:rPr>
          <w:sz w:val="22"/>
          <w:szCs w:val="22"/>
          <w:lang w:val="sr-Latn-ME"/>
        </w:rPr>
        <w:t>djelove</w:t>
      </w:r>
      <w:r w:rsidRPr="00980785">
        <w:rPr>
          <w:sz w:val="22"/>
          <w:szCs w:val="22"/>
          <w:lang w:val="sr-Latn-ME"/>
        </w:rPr>
        <w:t xml:space="preserve"> 4.4 i 5.1):</w:t>
      </w:r>
    </w:p>
    <w:p w14:paraId="17CBF695" w14:textId="77777777" w:rsidR="00D24B43" w:rsidRPr="00980785" w:rsidRDefault="00D24B43" w:rsidP="00290631">
      <w:pPr>
        <w:tabs>
          <w:tab w:val="left" w:pos="360"/>
        </w:tabs>
        <w:ind w:left="360" w:hanging="360"/>
        <w:jc w:val="both"/>
        <w:rPr>
          <w:sz w:val="22"/>
          <w:szCs w:val="22"/>
          <w:lang w:val="sr-Latn-ME"/>
        </w:rPr>
      </w:pPr>
    </w:p>
    <w:p w14:paraId="06BF60D0" w14:textId="77777777" w:rsidR="00D24B43" w:rsidRPr="00980785" w:rsidRDefault="00D24B43">
      <w:pPr>
        <w:tabs>
          <w:tab w:val="left" w:pos="360"/>
        </w:tabs>
        <w:ind w:left="360" w:hanging="360"/>
        <w:jc w:val="both"/>
        <w:rPr>
          <w:b/>
          <w:sz w:val="22"/>
          <w:szCs w:val="22"/>
          <w:lang w:val="sr-Latn-ME"/>
        </w:rPr>
      </w:pPr>
      <w:r w:rsidRPr="00980785">
        <w:rPr>
          <w:b/>
          <w:sz w:val="22"/>
          <w:szCs w:val="22"/>
          <w:lang w:val="sr-Latn-ME"/>
        </w:rPr>
        <w:t>Pedijatrijska populacija</w:t>
      </w:r>
    </w:p>
    <w:p w14:paraId="76F1C541" w14:textId="77777777" w:rsidR="00D24B43" w:rsidRPr="00980785" w:rsidRDefault="00D24B43">
      <w:pPr>
        <w:tabs>
          <w:tab w:val="left" w:pos="360"/>
        </w:tabs>
        <w:ind w:left="360" w:hanging="360"/>
        <w:jc w:val="both"/>
        <w:rPr>
          <w:sz w:val="22"/>
          <w:szCs w:val="22"/>
          <w:lang w:val="sr-Latn-ME"/>
        </w:rPr>
      </w:pPr>
    </w:p>
    <w:p w14:paraId="34294992" w14:textId="77777777" w:rsidR="00D24B43" w:rsidRPr="00980785" w:rsidRDefault="00D24B43">
      <w:pPr>
        <w:tabs>
          <w:tab w:val="left" w:pos="0"/>
        </w:tabs>
        <w:ind w:hanging="360"/>
        <w:jc w:val="both"/>
        <w:rPr>
          <w:sz w:val="22"/>
          <w:szCs w:val="22"/>
          <w:lang w:val="sr-Latn-ME"/>
        </w:rPr>
      </w:pPr>
      <w:r w:rsidRPr="00980785">
        <w:rPr>
          <w:sz w:val="22"/>
          <w:szCs w:val="22"/>
          <w:lang w:val="sr-Latn-ME"/>
        </w:rPr>
        <w:t xml:space="preserve">      Nije utvrđena bezbjednost i efikasnost primjene vakcine </w:t>
      </w:r>
      <w:r w:rsidR="00677FAC" w:rsidRPr="00980785">
        <w:rPr>
          <w:sz w:val="22"/>
          <w:szCs w:val="22"/>
          <w:lang w:val="sr-Latn-ME"/>
        </w:rPr>
        <w:t>SYNFLORIX</w:t>
      </w:r>
      <w:r w:rsidRPr="00980785">
        <w:rPr>
          <w:sz w:val="22"/>
          <w:szCs w:val="22"/>
          <w:lang w:val="sr-Latn-ME"/>
        </w:rPr>
        <w:t xml:space="preserve"> kod djece starije od 5 godina života.</w:t>
      </w:r>
    </w:p>
    <w:p w14:paraId="1730B6F9" w14:textId="77777777" w:rsidR="00046B01" w:rsidRDefault="00046B01" w:rsidP="00290631">
      <w:pPr>
        <w:tabs>
          <w:tab w:val="left" w:pos="540"/>
          <w:tab w:val="left" w:pos="569"/>
        </w:tabs>
        <w:jc w:val="both"/>
        <w:rPr>
          <w:bCs/>
          <w:sz w:val="22"/>
          <w:szCs w:val="22"/>
          <w:u w:val="single"/>
          <w:lang w:val="sr-Latn-ME"/>
        </w:rPr>
      </w:pPr>
    </w:p>
    <w:p w14:paraId="0524A780" w14:textId="6BE3A4A8" w:rsidR="00452E9D" w:rsidRPr="00980785" w:rsidRDefault="00452E9D" w:rsidP="00290631">
      <w:pPr>
        <w:tabs>
          <w:tab w:val="left" w:pos="540"/>
          <w:tab w:val="left" w:pos="569"/>
        </w:tabs>
        <w:jc w:val="both"/>
        <w:rPr>
          <w:bCs/>
          <w:sz w:val="22"/>
          <w:szCs w:val="22"/>
          <w:u w:val="single"/>
          <w:lang w:val="sr-Latn-ME"/>
        </w:rPr>
      </w:pPr>
      <w:r w:rsidRPr="00980785">
        <w:rPr>
          <w:bCs/>
          <w:sz w:val="22"/>
          <w:szCs w:val="22"/>
          <w:u w:val="single"/>
          <w:lang w:val="sr-Latn-ME"/>
        </w:rPr>
        <w:t>Način primjene</w:t>
      </w:r>
    </w:p>
    <w:p w14:paraId="6A3A8960" w14:textId="77777777" w:rsidR="00D24B43" w:rsidRPr="00980785" w:rsidRDefault="00D24B43" w:rsidP="00290631">
      <w:pPr>
        <w:tabs>
          <w:tab w:val="left" w:pos="540"/>
          <w:tab w:val="left" w:pos="569"/>
        </w:tabs>
        <w:jc w:val="both"/>
        <w:rPr>
          <w:bCs/>
          <w:sz w:val="22"/>
          <w:szCs w:val="22"/>
          <w:u w:val="single"/>
          <w:lang w:val="sr-Latn-ME"/>
        </w:rPr>
      </w:pPr>
    </w:p>
    <w:p w14:paraId="62B52AB3" w14:textId="77777777" w:rsidR="00D24B43" w:rsidRPr="00980785" w:rsidRDefault="00D24B43">
      <w:pPr>
        <w:tabs>
          <w:tab w:val="left" w:pos="0"/>
        </w:tabs>
        <w:jc w:val="both"/>
        <w:rPr>
          <w:sz w:val="22"/>
          <w:szCs w:val="22"/>
          <w:lang w:val="sr-Latn-ME"/>
        </w:rPr>
      </w:pPr>
      <w:r w:rsidRPr="00980785">
        <w:rPr>
          <w:sz w:val="22"/>
          <w:szCs w:val="22"/>
          <w:lang w:val="sr-Latn-ME"/>
        </w:rPr>
        <w:t xml:space="preserve">Vakcinu </w:t>
      </w:r>
      <w:r w:rsidR="00677FAC" w:rsidRPr="00980785">
        <w:rPr>
          <w:sz w:val="22"/>
          <w:szCs w:val="22"/>
          <w:lang w:val="sr-Latn-ME"/>
        </w:rPr>
        <w:t>SYNFLORIX</w:t>
      </w:r>
      <w:r w:rsidRPr="00980785">
        <w:rPr>
          <w:sz w:val="22"/>
          <w:szCs w:val="22"/>
          <w:lang w:val="sr-Latn-ME"/>
        </w:rPr>
        <w:t xml:space="preserve"> treba primijeniti putem intramuskularne injekcije. Preporučuje se primjena vakcine u anterolateralni predio butine kod odojčadi ili deltoidni mišić nadlaktice kod djece.</w:t>
      </w:r>
    </w:p>
    <w:p w14:paraId="5B33F469" w14:textId="77777777" w:rsidR="00452E9D" w:rsidRPr="00980785" w:rsidRDefault="00452E9D" w:rsidP="00290631">
      <w:pPr>
        <w:tabs>
          <w:tab w:val="left" w:pos="540"/>
          <w:tab w:val="left" w:pos="569"/>
        </w:tabs>
        <w:jc w:val="both"/>
        <w:rPr>
          <w:bCs/>
          <w:sz w:val="22"/>
          <w:szCs w:val="22"/>
          <w:lang w:val="sr-Latn-ME"/>
        </w:rPr>
      </w:pPr>
    </w:p>
    <w:p w14:paraId="7B7FF221" w14:textId="77777777" w:rsidR="00046B01" w:rsidRDefault="00046B01" w:rsidP="00290631">
      <w:pPr>
        <w:tabs>
          <w:tab w:val="left" w:pos="540"/>
          <w:tab w:val="left" w:pos="569"/>
        </w:tabs>
        <w:jc w:val="both"/>
        <w:rPr>
          <w:b/>
          <w:bCs/>
          <w:sz w:val="22"/>
          <w:szCs w:val="22"/>
          <w:lang w:val="sr-Latn-ME"/>
        </w:rPr>
      </w:pPr>
    </w:p>
    <w:p w14:paraId="733442BF" w14:textId="1E714C11" w:rsidR="00411B4B" w:rsidRPr="00980785" w:rsidRDefault="00411B4B" w:rsidP="00290631">
      <w:pPr>
        <w:tabs>
          <w:tab w:val="left" w:pos="540"/>
          <w:tab w:val="left" w:pos="569"/>
        </w:tabs>
        <w:jc w:val="both"/>
        <w:rPr>
          <w:b/>
          <w:bCs/>
          <w:sz w:val="22"/>
          <w:szCs w:val="22"/>
          <w:lang w:val="sr-Latn-ME"/>
        </w:rPr>
      </w:pPr>
      <w:r w:rsidRPr="00980785">
        <w:rPr>
          <w:b/>
          <w:bCs/>
          <w:sz w:val="22"/>
          <w:szCs w:val="22"/>
          <w:lang w:val="sr-Latn-ME"/>
        </w:rPr>
        <w:lastRenderedPageBreak/>
        <w:t xml:space="preserve">4.3. </w:t>
      </w:r>
      <w:r w:rsidR="00480FB1" w:rsidRPr="00980785">
        <w:rPr>
          <w:b/>
          <w:bCs/>
          <w:sz w:val="22"/>
          <w:szCs w:val="22"/>
          <w:lang w:val="sr-Latn-ME"/>
        </w:rPr>
        <w:tab/>
      </w:r>
      <w:r w:rsidRPr="00980785">
        <w:rPr>
          <w:b/>
          <w:bCs/>
          <w:sz w:val="22"/>
          <w:szCs w:val="22"/>
          <w:lang w:val="sr-Latn-ME"/>
        </w:rPr>
        <w:t>Kontraindikacije</w:t>
      </w:r>
    </w:p>
    <w:p w14:paraId="595D9C99" w14:textId="77777777" w:rsidR="00EB2E42" w:rsidRPr="00980785" w:rsidRDefault="00EB2E42" w:rsidP="00290631">
      <w:pPr>
        <w:tabs>
          <w:tab w:val="left" w:pos="540"/>
          <w:tab w:val="left" w:pos="569"/>
        </w:tabs>
        <w:jc w:val="both"/>
        <w:rPr>
          <w:b/>
          <w:bCs/>
          <w:sz w:val="22"/>
          <w:szCs w:val="22"/>
          <w:lang w:val="sr-Latn-ME"/>
        </w:rPr>
      </w:pPr>
    </w:p>
    <w:p w14:paraId="36F19B17" w14:textId="79A03946" w:rsidR="00EF1413" w:rsidRPr="00980785" w:rsidRDefault="00EF1413">
      <w:pPr>
        <w:pStyle w:val="Header"/>
        <w:tabs>
          <w:tab w:val="left" w:pos="284"/>
        </w:tabs>
        <w:jc w:val="both"/>
        <w:rPr>
          <w:noProof/>
          <w:sz w:val="22"/>
          <w:szCs w:val="22"/>
          <w:lang w:val="sr-Latn-ME" w:eastAsia="x-none"/>
        </w:rPr>
      </w:pPr>
      <w:r w:rsidRPr="00980785">
        <w:rPr>
          <w:noProof/>
          <w:sz w:val="22"/>
          <w:szCs w:val="22"/>
          <w:lang w:val="sr-Latn-ME"/>
        </w:rPr>
        <w:t>Preosjetjivost na aktivnu supstancu ili</w:t>
      </w:r>
      <w:r w:rsidR="00EB2E42" w:rsidRPr="00980785">
        <w:rPr>
          <w:noProof/>
          <w:sz w:val="22"/>
          <w:szCs w:val="22"/>
          <w:lang w:val="sr-Latn-ME"/>
        </w:rPr>
        <w:t xml:space="preserve"> na</w:t>
      </w:r>
      <w:r w:rsidRPr="00980785">
        <w:rPr>
          <w:noProof/>
          <w:sz w:val="22"/>
          <w:szCs w:val="22"/>
          <w:lang w:val="sr-Latn-ME"/>
        </w:rPr>
        <w:t xml:space="preserve"> bilo koj</w:t>
      </w:r>
      <w:r w:rsidR="00EB2E42" w:rsidRPr="00980785">
        <w:rPr>
          <w:noProof/>
          <w:sz w:val="22"/>
          <w:szCs w:val="22"/>
          <w:lang w:val="sr-Latn-ME"/>
        </w:rPr>
        <w:t>u</w:t>
      </w:r>
      <w:r w:rsidRPr="00980785">
        <w:rPr>
          <w:noProof/>
          <w:sz w:val="22"/>
          <w:szCs w:val="22"/>
          <w:lang w:val="sr-Latn-ME"/>
        </w:rPr>
        <w:t xml:space="preserve"> pomoćn</w:t>
      </w:r>
      <w:r w:rsidR="00EB2E42" w:rsidRPr="00980785">
        <w:rPr>
          <w:noProof/>
          <w:sz w:val="22"/>
          <w:szCs w:val="22"/>
          <w:lang w:val="sr-Latn-ME"/>
        </w:rPr>
        <w:t>u sustancu</w:t>
      </w:r>
      <w:r w:rsidRPr="00980785">
        <w:rPr>
          <w:noProof/>
          <w:sz w:val="22"/>
          <w:szCs w:val="22"/>
          <w:lang w:val="sr-Latn-ME"/>
        </w:rPr>
        <w:t xml:space="preserve"> naveden</w:t>
      </w:r>
      <w:r w:rsidR="00EB2E42" w:rsidRPr="00980785">
        <w:rPr>
          <w:noProof/>
          <w:sz w:val="22"/>
          <w:szCs w:val="22"/>
          <w:lang w:val="sr-Latn-ME"/>
        </w:rPr>
        <w:t>u</w:t>
      </w:r>
      <w:r w:rsidRPr="00980785">
        <w:rPr>
          <w:noProof/>
          <w:sz w:val="22"/>
          <w:szCs w:val="22"/>
          <w:lang w:val="sr-Latn-ME"/>
        </w:rPr>
        <w:t xml:space="preserve"> u </w:t>
      </w:r>
      <w:r w:rsidR="00264EB0" w:rsidRPr="00980785">
        <w:rPr>
          <w:noProof/>
          <w:sz w:val="22"/>
          <w:szCs w:val="22"/>
          <w:lang w:val="sr-Latn-ME"/>
        </w:rPr>
        <w:t>dijelu</w:t>
      </w:r>
      <w:r w:rsidRPr="00980785">
        <w:rPr>
          <w:noProof/>
          <w:sz w:val="22"/>
          <w:szCs w:val="22"/>
          <w:lang w:val="sr-Latn-ME"/>
        </w:rPr>
        <w:t xml:space="preserve"> 6.1 ili na bilo koji od proteinskih nosača.</w:t>
      </w:r>
    </w:p>
    <w:p w14:paraId="6DD78503" w14:textId="77777777" w:rsidR="00EF1413" w:rsidRPr="00980785" w:rsidRDefault="00EF1413">
      <w:pPr>
        <w:pStyle w:val="Header"/>
        <w:tabs>
          <w:tab w:val="left" w:pos="284"/>
        </w:tabs>
        <w:jc w:val="both"/>
        <w:rPr>
          <w:noProof/>
          <w:sz w:val="22"/>
          <w:szCs w:val="22"/>
          <w:lang w:val="sr-Latn-ME"/>
        </w:rPr>
      </w:pPr>
    </w:p>
    <w:p w14:paraId="0016C51F" w14:textId="77777777" w:rsidR="00EF1413" w:rsidRPr="00980785" w:rsidRDefault="00EF1413">
      <w:pPr>
        <w:pStyle w:val="Header"/>
        <w:tabs>
          <w:tab w:val="left" w:pos="284"/>
        </w:tabs>
        <w:jc w:val="both"/>
        <w:rPr>
          <w:noProof/>
          <w:sz w:val="22"/>
          <w:szCs w:val="22"/>
          <w:lang w:val="sr-Latn-ME"/>
        </w:rPr>
      </w:pPr>
      <w:r w:rsidRPr="00980785">
        <w:rPr>
          <w:noProof/>
          <w:sz w:val="22"/>
          <w:szCs w:val="22"/>
          <w:lang w:val="sr-Latn-ME"/>
        </w:rPr>
        <w:t xml:space="preserve">Kao i kod drugih vakcina, primjenu vakcine </w:t>
      </w:r>
      <w:r w:rsidR="00677FAC" w:rsidRPr="00980785">
        <w:rPr>
          <w:noProof/>
          <w:sz w:val="22"/>
          <w:szCs w:val="22"/>
          <w:lang w:val="sr-Latn-ME"/>
        </w:rPr>
        <w:t>SYNFLORIX</w:t>
      </w:r>
      <w:r w:rsidRPr="00980785">
        <w:rPr>
          <w:noProof/>
          <w:sz w:val="22"/>
          <w:szCs w:val="22"/>
          <w:lang w:val="sr-Latn-ME"/>
        </w:rPr>
        <w:t xml:space="preserve"> treba odložiti kod osoba koje pate od teških akutnih febrilnih oboljenja. Međutim, prisustvo manje infekcije, kao što je nazeb, ne treba da bude razlog odlaganja primjene vakcine.</w:t>
      </w:r>
    </w:p>
    <w:p w14:paraId="0494E1A6" w14:textId="77777777" w:rsidR="0072020E" w:rsidRPr="00980785" w:rsidRDefault="0072020E" w:rsidP="00290631">
      <w:pPr>
        <w:tabs>
          <w:tab w:val="left" w:pos="540"/>
          <w:tab w:val="left" w:pos="569"/>
        </w:tabs>
        <w:jc w:val="both"/>
        <w:rPr>
          <w:bCs/>
          <w:sz w:val="22"/>
          <w:szCs w:val="22"/>
          <w:lang w:val="sr-Latn-ME"/>
        </w:rPr>
      </w:pPr>
    </w:p>
    <w:p w14:paraId="5EA1574D" w14:textId="719D9F6E" w:rsidR="00411B4B" w:rsidRPr="00980785" w:rsidRDefault="00411B4B" w:rsidP="00290631">
      <w:pPr>
        <w:tabs>
          <w:tab w:val="left" w:pos="540"/>
          <w:tab w:val="left" w:pos="569"/>
        </w:tabs>
        <w:jc w:val="both"/>
        <w:rPr>
          <w:b/>
          <w:bCs/>
          <w:sz w:val="22"/>
          <w:szCs w:val="22"/>
          <w:lang w:val="sr-Latn-ME"/>
        </w:rPr>
      </w:pPr>
      <w:r w:rsidRPr="00980785">
        <w:rPr>
          <w:b/>
          <w:bCs/>
          <w:sz w:val="22"/>
          <w:szCs w:val="22"/>
          <w:lang w:val="sr-Latn-ME"/>
        </w:rPr>
        <w:t xml:space="preserve">4.4. </w:t>
      </w:r>
      <w:r w:rsidR="00480FB1" w:rsidRPr="00980785">
        <w:rPr>
          <w:b/>
          <w:bCs/>
          <w:sz w:val="22"/>
          <w:szCs w:val="22"/>
          <w:lang w:val="sr-Latn-ME"/>
        </w:rPr>
        <w:tab/>
      </w:r>
      <w:r w:rsidRPr="00980785">
        <w:rPr>
          <w:b/>
          <w:bCs/>
          <w:sz w:val="22"/>
          <w:szCs w:val="22"/>
          <w:lang w:val="sr-Latn-ME"/>
        </w:rPr>
        <w:t>Posebna upozorenja i mjere opreza pri upotrebi lijeka</w:t>
      </w:r>
    </w:p>
    <w:p w14:paraId="46FA3D5D" w14:textId="77777777" w:rsidR="00EB2E42" w:rsidRPr="00980785" w:rsidRDefault="00EB2E42" w:rsidP="00290631">
      <w:pPr>
        <w:tabs>
          <w:tab w:val="left" w:pos="540"/>
          <w:tab w:val="left" w:pos="569"/>
        </w:tabs>
        <w:jc w:val="both"/>
        <w:rPr>
          <w:b/>
          <w:bCs/>
          <w:sz w:val="22"/>
          <w:szCs w:val="22"/>
          <w:lang w:val="sr-Latn-ME"/>
        </w:rPr>
      </w:pPr>
    </w:p>
    <w:p w14:paraId="59AEBC77" w14:textId="0520F47B" w:rsidR="005C3EE3" w:rsidRPr="00980785" w:rsidRDefault="005C3EE3" w:rsidP="00290631">
      <w:pPr>
        <w:jc w:val="both"/>
        <w:rPr>
          <w:sz w:val="22"/>
          <w:szCs w:val="22"/>
          <w:u w:val="single"/>
          <w:lang w:val="sr-Latn-ME"/>
        </w:rPr>
      </w:pPr>
      <w:r w:rsidRPr="00980785">
        <w:rPr>
          <w:sz w:val="22"/>
          <w:szCs w:val="22"/>
          <w:u w:val="single"/>
          <w:lang w:val="sr-Latn-ME"/>
        </w:rPr>
        <w:t>Sl</w:t>
      </w:r>
      <w:r w:rsidR="003D7733" w:rsidRPr="00980785">
        <w:rPr>
          <w:sz w:val="22"/>
          <w:szCs w:val="22"/>
          <w:u w:val="single"/>
          <w:lang w:val="sr-Latn-ME"/>
        </w:rPr>
        <w:t>j</w:t>
      </w:r>
      <w:r w:rsidRPr="00980785">
        <w:rPr>
          <w:sz w:val="22"/>
          <w:szCs w:val="22"/>
          <w:u w:val="single"/>
          <w:lang w:val="sr-Latn-ME"/>
        </w:rPr>
        <w:t>edivost</w:t>
      </w:r>
    </w:p>
    <w:p w14:paraId="1F81105A" w14:textId="77777777" w:rsidR="005C3EE3" w:rsidRPr="00980785" w:rsidRDefault="005C3EE3" w:rsidP="00290631">
      <w:pPr>
        <w:jc w:val="both"/>
        <w:rPr>
          <w:sz w:val="22"/>
          <w:szCs w:val="22"/>
          <w:lang w:val="sr-Latn-ME"/>
        </w:rPr>
      </w:pPr>
    </w:p>
    <w:p w14:paraId="355D0E7C" w14:textId="35DD4C49" w:rsidR="005C3EE3" w:rsidRPr="00980785" w:rsidRDefault="005C3EE3" w:rsidP="00290631">
      <w:pPr>
        <w:jc w:val="both"/>
        <w:rPr>
          <w:sz w:val="22"/>
          <w:szCs w:val="22"/>
          <w:lang w:val="sr-Latn-ME"/>
        </w:rPr>
      </w:pPr>
      <w:r w:rsidRPr="00980785">
        <w:rPr>
          <w:sz w:val="22"/>
          <w:szCs w:val="22"/>
          <w:lang w:val="sr-Latn-ME"/>
        </w:rPr>
        <w:t>U cilju poboljšanja sl</w:t>
      </w:r>
      <w:r w:rsidR="003D7733" w:rsidRPr="00980785">
        <w:rPr>
          <w:sz w:val="22"/>
          <w:szCs w:val="22"/>
          <w:lang w:val="sr-Latn-ME"/>
        </w:rPr>
        <w:t>j</w:t>
      </w:r>
      <w:r w:rsidRPr="00980785">
        <w:rPr>
          <w:sz w:val="22"/>
          <w:szCs w:val="22"/>
          <w:lang w:val="sr-Latn-ME"/>
        </w:rPr>
        <w:t>edivosti bioloških ljekova, potrebno je jasno zab</w:t>
      </w:r>
      <w:r w:rsidR="003D7733" w:rsidRPr="00980785">
        <w:rPr>
          <w:sz w:val="22"/>
          <w:szCs w:val="22"/>
          <w:lang w:val="sr-Latn-ME"/>
        </w:rPr>
        <w:t>ilj</w:t>
      </w:r>
      <w:r w:rsidRPr="00980785">
        <w:rPr>
          <w:sz w:val="22"/>
          <w:szCs w:val="22"/>
          <w:lang w:val="sr-Latn-ME"/>
        </w:rPr>
        <w:t>ežiti broj serije i naziv prim</w:t>
      </w:r>
      <w:r w:rsidR="003D7733" w:rsidRPr="00980785">
        <w:rPr>
          <w:sz w:val="22"/>
          <w:szCs w:val="22"/>
          <w:lang w:val="sr-Latn-ME"/>
        </w:rPr>
        <w:t>ij</w:t>
      </w:r>
      <w:r w:rsidRPr="00980785">
        <w:rPr>
          <w:sz w:val="22"/>
          <w:szCs w:val="22"/>
          <w:lang w:val="sr-Latn-ME"/>
        </w:rPr>
        <w:t>enjenog l</w:t>
      </w:r>
      <w:r w:rsidR="003D7733" w:rsidRPr="00980785">
        <w:rPr>
          <w:sz w:val="22"/>
          <w:szCs w:val="22"/>
          <w:lang w:val="sr-Latn-ME"/>
        </w:rPr>
        <w:t>ij</w:t>
      </w:r>
      <w:r w:rsidRPr="00980785">
        <w:rPr>
          <w:sz w:val="22"/>
          <w:szCs w:val="22"/>
          <w:lang w:val="sr-Latn-ME"/>
        </w:rPr>
        <w:t>eka.</w:t>
      </w:r>
    </w:p>
    <w:p w14:paraId="4E0170F4" w14:textId="77777777" w:rsidR="005C3EE3" w:rsidRPr="00980785" w:rsidRDefault="005C3EE3" w:rsidP="00290631">
      <w:pPr>
        <w:jc w:val="both"/>
        <w:rPr>
          <w:sz w:val="22"/>
          <w:szCs w:val="22"/>
          <w:lang w:val="sr-Latn-ME"/>
        </w:rPr>
      </w:pPr>
    </w:p>
    <w:p w14:paraId="28572C8A" w14:textId="5FB4759B" w:rsidR="005C3EE3" w:rsidRPr="00980785" w:rsidRDefault="005C3EE3" w:rsidP="00290631">
      <w:pPr>
        <w:jc w:val="both"/>
        <w:rPr>
          <w:sz w:val="22"/>
          <w:szCs w:val="22"/>
          <w:u w:val="single"/>
          <w:lang w:val="sr-Latn-ME"/>
        </w:rPr>
      </w:pPr>
      <w:r w:rsidRPr="00980785">
        <w:rPr>
          <w:sz w:val="22"/>
          <w:szCs w:val="22"/>
          <w:u w:val="single"/>
          <w:lang w:val="sr-Latn-ME"/>
        </w:rPr>
        <w:t>Pr</w:t>
      </w:r>
      <w:r w:rsidR="003D7733" w:rsidRPr="00980785">
        <w:rPr>
          <w:sz w:val="22"/>
          <w:szCs w:val="22"/>
          <w:u w:val="single"/>
          <w:lang w:val="sr-Latn-ME"/>
        </w:rPr>
        <w:t>ij</w:t>
      </w:r>
      <w:r w:rsidRPr="00980785">
        <w:rPr>
          <w:sz w:val="22"/>
          <w:szCs w:val="22"/>
          <w:u w:val="single"/>
          <w:lang w:val="sr-Latn-ME"/>
        </w:rPr>
        <w:t>e imunizacije</w:t>
      </w:r>
    </w:p>
    <w:p w14:paraId="2910B72B" w14:textId="77777777" w:rsidR="003D7733" w:rsidRPr="00980785" w:rsidRDefault="003D7733" w:rsidP="00290631">
      <w:pPr>
        <w:jc w:val="both"/>
        <w:rPr>
          <w:sz w:val="22"/>
          <w:szCs w:val="22"/>
          <w:u w:val="single"/>
          <w:lang w:val="sr-Latn-ME"/>
        </w:rPr>
      </w:pPr>
    </w:p>
    <w:p w14:paraId="6E9EFCBB" w14:textId="014FA9C4" w:rsidR="006C5DDB" w:rsidRPr="00980785" w:rsidRDefault="006C5DDB">
      <w:pPr>
        <w:jc w:val="both"/>
        <w:rPr>
          <w:sz w:val="22"/>
          <w:szCs w:val="22"/>
          <w:lang w:val="sr-Latn-ME"/>
        </w:rPr>
      </w:pPr>
      <w:r w:rsidRPr="00980785">
        <w:rPr>
          <w:sz w:val="22"/>
          <w:szCs w:val="22"/>
          <w:lang w:val="sr-Latn-ME"/>
        </w:rPr>
        <w:t>Kao i kod ostalih vakcina koje se primjenjuju injekcionim putem, neophodno je da adekvatan medicinski tretman bude na raspolaganju za slučaj pojave anafilaktičke reakcije, koja se rijetko javlja nakon primjene vakcine.</w:t>
      </w:r>
    </w:p>
    <w:p w14:paraId="64527ECD" w14:textId="77777777" w:rsidR="006C5DDB" w:rsidRPr="00980785" w:rsidRDefault="006C5DDB">
      <w:pPr>
        <w:ind w:right="-58"/>
        <w:jc w:val="both"/>
        <w:rPr>
          <w:sz w:val="22"/>
          <w:szCs w:val="22"/>
          <w:lang w:val="sr-Latn-ME"/>
        </w:rPr>
      </w:pPr>
    </w:p>
    <w:p w14:paraId="4BD77BD4" w14:textId="6EF2A7FF" w:rsidR="006C5DDB" w:rsidRPr="00980785" w:rsidRDefault="006C5DDB">
      <w:pPr>
        <w:jc w:val="both"/>
        <w:rPr>
          <w:sz w:val="22"/>
          <w:szCs w:val="22"/>
          <w:lang w:val="sr-Latn-ME"/>
        </w:rPr>
      </w:pPr>
      <w:r w:rsidRPr="00980785">
        <w:rPr>
          <w:sz w:val="22"/>
          <w:szCs w:val="22"/>
          <w:lang w:val="sr-Latn-ME"/>
        </w:rPr>
        <w:t>Tokom primarne imunizacije prijevremeno rođen</w:t>
      </w:r>
      <w:r w:rsidR="00EB2E42" w:rsidRPr="00980785">
        <w:rPr>
          <w:sz w:val="22"/>
          <w:szCs w:val="22"/>
          <w:lang w:val="sr-Latn-ME"/>
        </w:rPr>
        <w:t>e</w:t>
      </w:r>
      <w:r w:rsidRPr="00980785">
        <w:rPr>
          <w:sz w:val="22"/>
          <w:szCs w:val="22"/>
          <w:lang w:val="sr-Latn-ME"/>
        </w:rPr>
        <w:t xml:space="preserve"> </w:t>
      </w:r>
      <w:r w:rsidR="00EB2E42" w:rsidRPr="00980785">
        <w:rPr>
          <w:sz w:val="22"/>
          <w:szCs w:val="22"/>
          <w:lang w:val="sr-Latn-ME"/>
        </w:rPr>
        <w:t>odojčadi</w:t>
      </w:r>
      <w:r w:rsidRPr="00980785">
        <w:rPr>
          <w:sz w:val="22"/>
          <w:szCs w:val="22"/>
          <w:lang w:val="sr-Latn-ME"/>
        </w:rPr>
        <w:t xml:space="preserve"> (rođen</w:t>
      </w:r>
      <w:r w:rsidR="00EB2E42" w:rsidRPr="00980785">
        <w:rPr>
          <w:sz w:val="22"/>
          <w:szCs w:val="22"/>
          <w:lang w:val="sr-Latn-ME"/>
        </w:rPr>
        <w:t>e</w:t>
      </w:r>
      <w:r w:rsidRPr="00980785">
        <w:rPr>
          <w:sz w:val="22"/>
          <w:szCs w:val="22"/>
          <w:lang w:val="sr-Latn-ME"/>
        </w:rPr>
        <w:t xml:space="preserve"> prije ili sa 28 gestacionih nedjelja) </w:t>
      </w:r>
      <w:r w:rsidR="00EB2E42" w:rsidRPr="00980785">
        <w:rPr>
          <w:sz w:val="22"/>
          <w:szCs w:val="22"/>
          <w:lang w:val="sr-Latn-ME"/>
        </w:rPr>
        <w:t>a naročito</w:t>
      </w:r>
      <w:r w:rsidRPr="00980785">
        <w:rPr>
          <w:sz w:val="22"/>
          <w:szCs w:val="22"/>
          <w:lang w:val="sr-Latn-ME"/>
        </w:rPr>
        <w:t xml:space="preserve"> on</w:t>
      </w:r>
      <w:r w:rsidR="00EB2E42" w:rsidRPr="00980785">
        <w:rPr>
          <w:sz w:val="22"/>
          <w:szCs w:val="22"/>
          <w:lang w:val="sr-Latn-ME"/>
        </w:rPr>
        <w:t>e</w:t>
      </w:r>
      <w:r w:rsidRPr="00980785">
        <w:rPr>
          <w:sz w:val="22"/>
          <w:szCs w:val="22"/>
          <w:lang w:val="sr-Latn-ME"/>
        </w:rPr>
        <w:t xml:space="preserve"> sa anamnezom </w:t>
      </w:r>
      <w:r w:rsidR="004A3E50" w:rsidRPr="00980785">
        <w:rPr>
          <w:sz w:val="22"/>
          <w:szCs w:val="22"/>
          <w:lang w:val="sr-Latn-ME"/>
        </w:rPr>
        <w:t xml:space="preserve">nezrelosti </w:t>
      </w:r>
      <w:r w:rsidRPr="00980785">
        <w:rPr>
          <w:sz w:val="22"/>
          <w:szCs w:val="22"/>
          <w:lang w:val="sr-Latn-ME"/>
        </w:rPr>
        <w:t xml:space="preserve">respiratornog </w:t>
      </w:r>
      <w:r w:rsidR="004A3E50" w:rsidRPr="00980785">
        <w:rPr>
          <w:sz w:val="22"/>
          <w:szCs w:val="22"/>
          <w:lang w:val="sr-Latn-ME"/>
        </w:rPr>
        <w:t>sistema</w:t>
      </w:r>
      <w:r w:rsidRPr="00980785">
        <w:rPr>
          <w:sz w:val="22"/>
          <w:szCs w:val="22"/>
          <w:lang w:val="sr-Latn-ME"/>
        </w:rPr>
        <w:t>, treba razmotriti potencijalni rizik od apneje i potrebu za respiratotnim monitoringom u toku 48-72 sata nakon vakcinacije. S obzirom na visok stepen koristi od primjene vakcine u ovoj grupi odojčadi, vakcinacija ne smije biti uskraćena ili odložena.</w:t>
      </w:r>
    </w:p>
    <w:p w14:paraId="24B64970" w14:textId="77777777" w:rsidR="006C5DDB" w:rsidRPr="00980785" w:rsidRDefault="006C5DDB">
      <w:pPr>
        <w:ind w:right="-58"/>
        <w:jc w:val="both"/>
        <w:rPr>
          <w:sz w:val="22"/>
          <w:szCs w:val="22"/>
          <w:lang w:val="sr-Latn-ME"/>
        </w:rPr>
      </w:pPr>
    </w:p>
    <w:p w14:paraId="002C03DD" w14:textId="77777777" w:rsidR="006C5DDB" w:rsidRPr="00980785" w:rsidRDefault="006C5DDB">
      <w:pPr>
        <w:ind w:right="-58"/>
        <w:jc w:val="both"/>
        <w:rPr>
          <w:sz w:val="22"/>
          <w:szCs w:val="22"/>
          <w:lang w:val="sr-Latn-ME"/>
        </w:rPr>
      </w:pPr>
      <w:r w:rsidRPr="00980785">
        <w:rPr>
          <w:sz w:val="22"/>
          <w:szCs w:val="22"/>
          <w:lang w:val="sr-Latn-ME"/>
        </w:rPr>
        <w:t xml:space="preserve">Vakcina </w:t>
      </w:r>
      <w:r w:rsidR="00677FAC" w:rsidRPr="00980785">
        <w:rPr>
          <w:sz w:val="22"/>
          <w:szCs w:val="22"/>
          <w:lang w:val="sr-Latn-ME"/>
        </w:rPr>
        <w:t>SYNFLORIX</w:t>
      </w:r>
      <w:r w:rsidRPr="00980785">
        <w:rPr>
          <w:sz w:val="22"/>
          <w:szCs w:val="22"/>
          <w:lang w:val="sr-Latn-ME"/>
        </w:rPr>
        <w:t xml:space="preserve"> se ni pod kojim uslovima ne smije primijeniti intravaskularno ili intradermalno. Nijesu dostupni podaci o subkutanoj primjeni vakcine </w:t>
      </w:r>
      <w:r w:rsidR="00677FAC" w:rsidRPr="00980785">
        <w:rPr>
          <w:sz w:val="22"/>
          <w:szCs w:val="22"/>
          <w:lang w:val="sr-Latn-ME"/>
        </w:rPr>
        <w:t>SYNFLORIX</w:t>
      </w:r>
      <w:r w:rsidRPr="00980785">
        <w:rPr>
          <w:sz w:val="22"/>
          <w:szCs w:val="22"/>
          <w:lang w:val="sr-Latn-ME"/>
        </w:rPr>
        <w:t>.</w:t>
      </w:r>
    </w:p>
    <w:p w14:paraId="339CF546" w14:textId="77777777" w:rsidR="006C5DDB" w:rsidRPr="00980785" w:rsidRDefault="006C5DDB">
      <w:pPr>
        <w:ind w:right="-58"/>
        <w:jc w:val="both"/>
        <w:rPr>
          <w:sz w:val="22"/>
          <w:szCs w:val="22"/>
          <w:lang w:val="sr-Latn-ME"/>
        </w:rPr>
      </w:pPr>
    </w:p>
    <w:p w14:paraId="277A5CEB" w14:textId="77777777" w:rsidR="006C5DDB" w:rsidRPr="00980785" w:rsidRDefault="006C5DDB">
      <w:pPr>
        <w:ind w:right="-58"/>
        <w:jc w:val="both"/>
        <w:rPr>
          <w:sz w:val="22"/>
          <w:szCs w:val="22"/>
          <w:lang w:val="sr-Latn-ME"/>
        </w:rPr>
      </w:pPr>
      <w:r w:rsidRPr="00980785">
        <w:rPr>
          <w:sz w:val="22"/>
          <w:szCs w:val="22"/>
          <w:lang w:val="sr-Latn-ME"/>
        </w:rPr>
        <w:t>Kod djece od 2 godine života može se pojaviti sinkopa (nesvjestica) nakon, ili čak i prije vakcinacije, kao psihogena reakcija na ubod injekcionom iglom. Zato je važno da postoje utvrđene procedure kako bi se izbjegle povrede prilikom nesvjestice.</w:t>
      </w:r>
    </w:p>
    <w:p w14:paraId="1C4B671C" w14:textId="77777777" w:rsidR="006C5DDB" w:rsidRPr="00980785" w:rsidRDefault="006C5DDB">
      <w:pPr>
        <w:ind w:right="-58"/>
        <w:jc w:val="both"/>
        <w:rPr>
          <w:sz w:val="22"/>
          <w:szCs w:val="22"/>
          <w:lang w:val="sr-Latn-ME"/>
        </w:rPr>
      </w:pPr>
    </w:p>
    <w:p w14:paraId="13BF5871" w14:textId="5EECF075" w:rsidR="006C5DDB" w:rsidRPr="00980785" w:rsidRDefault="006C5DDB">
      <w:pPr>
        <w:ind w:right="-58"/>
        <w:jc w:val="both"/>
        <w:rPr>
          <w:sz w:val="22"/>
          <w:szCs w:val="22"/>
          <w:lang w:val="sr-Latn-ME"/>
        </w:rPr>
      </w:pPr>
      <w:r w:rsidRPr="00980785">
        <w:rPr>
          <w:sz w:val="22"/>
          <w:szCs w:val="22"/>
          <w:lang w:val="sr-Latn-ME"/>
        </w:rPr>
        <w:t xml:space="preserve">Kao i kod primjene drugih vakcina, </w:t>
      </w:r>
      <w:r w:rsidR="004A3E50" w:rsidRPr="00980785">
        <w:rPr>
          <w:sz w:val="22"/>
          <w:szCs w:val="22"/>
          <w:lang w:val="sr-Latn-ME"/>
        </w:rPr>
        <w:t xml:space="preserve">vakcinu </w:t>
      </w:r>
      <w:r w:rsidR="00677FAC" w:rsidRPr="00980785">
        <w:rPr>
          <w:sz w:val="22"/>
          <w:szCs w:val="22"/>
          <w:lang w:val="sr-Latn-ME"/>
        </w:rPr>
        <w:t>SYNFLORIX</w:t>
      </w:r>
      <w:r w:rsidRPr="00980785">
        <w:rPr>
          <w:sz w:val="22"/>
          <w:szCs w:val="22"/>
          <w:lang w:val="sr-Latn-ME"/>
        </w:rPr>
        <w:t xml:space="preserve"> treba uz oprez primjenjivati kod osoba sa trombocitopenijom ili poremećajima koagulacije, budući da kod ovih osoba nakon intramuskularne primjene vakcine može doći do pojave krvarenja. </w:t>
      </w:r>
    </w:p>
    <w:p w14:paraId="2EB0B487" w14:textId="77777777" w:rsidR="006C5DDB" w:rsidRPr="00980785" w:rsidRDefault="006C5DDB">
      <w:pPr>
        <w:ind w:right="-58"/>
        <w:jc w:val="both"/>
        <w:rPr>
          <w:sz w:val="22"/>
          <w:szCs w:val="22"/>
          <w:lang w:val="sr-Latn-ME"/>
        </w:rPr>
      </w:pPr>
    </w:p>
    <w:p w14:paraId="6068548D" w14:textId="77777777" w:rsidR="003D7733" w:rsidRPr="00980785" w:rsidRDefault="003D7733" w:rsidP="00290631">
      <w:pPr>
        <w:ind w:right="-58"/>
        <w:jc w:val="both"/>
        <w:rPr>
          <w:sz w:val="22"/>
          <w:szCs w:val="22"/>
          <w:u w:val="single"/>
          <w:lang w:val="sr-Latn-ME"/>
        </w:rPr>
      </w:pPr>
      <w:r w:rsidRPr="00980785">
        <w:rPr>
          <w:sz w:val="22"/>
          <w:szCs w:val="22"/>
          <w:u w:val="single"/>
          <w:lang w:val="sr-Latn-ME"/>
        </w:rPr>
        <w:t>Informacije o zaštiti koju pruža vakcina</w:t>
      </w:r>
    </w:p>
    <w:p w14:paraId="7E23EB63" w14:textId="77777777" w:rsidR="003D7733" w:rsidRPr="00980785" w:rsidRDefault="003D7733">
      <w:pPr>
        <w:ind w:right="-58"/>
        <w:jc w:val="both"/>
        <w:rPr>
          <w:sz w:val="22"/>
          <w:szCs w:val="22"/>
          <w:lang w:val="sr-Latn-ME"/>
        </w:rPr>
      </w:pPr>
    </w:p>
    <w:p w14:paraId="4C0A71D7" w14:textId="5D5E1A4D" w:rsidR="006C5DDB" w:rsidRPr="00980785" w:rsidRDefault="006C5DDB">
      <w:pPr>
        <w:ind w:right="-58"/>
        <w:jc w:val="both"/>
        <w:rPr>
          <w:sz w:val="22"/>
          <w:szCs w:val="22"/>
          <w:lang w:val="sr-Latn-ME"/>
        </w:rPr>
      </w:pPr>
      <w:r w:rsidRPr="00980785">
        <w:rPr>
          <w:sz w:val="22"/>
          <w:szCs w:val="22"/>
          <w:lang w:val="sr-Latn-ME"/>
        </w:rPr>
        <w:t xml:space="preserve">Treba ispoštovati zvanične preporuke za vakcinaciju protiv difterije, tetanusa i </w:t>
      </w:r>
      <w:r w:rsidRPr="00980785">
        <w:rPr>
          <w:i/>
          <w:sz w:val="22"/>
          <w:szCs w:val="22"/>
          <w:lang w:val="sr-Latn-ME"/>
        </w:rPr>
        <w:t>Hemophilus influenzae</w:t>
      </w:r>
      <w:r w:rsidRPr="00980785">
        <w:rPr>
          <w:sz w:val="22"/>
          <w:szCs w:val="22"/>
          <w:lang w:val="sr-Latn-ME"/>
        </w:rPr>
        <w:t xml:space="preserve"> tip b. </w:t>
      </w:r>
    </w:p>
    <w:p w14:paraId="47BE13EE" w14:textId="77777777" w:rsidR="006C5DDB" w:rsidRPr="00980785" w:rsidRDefault="006C5DDB">
      <w:pPr>
        <w:ind w:right="-58"/>
        <w:jc w:val="both"/>
        <w:rPr>
          <w:sz w:val="22"/>
          <w:szCs w:val="22"/>
          <w:lang w:val="sr-Latn-ME"/>
        </w:rPr>
      </w:pPr>
    </w:p>
    <w:p w14:paraId="620F6E98" w14:textId="7ADA09F9" w:rsidR="006C5DDB" w:rsidRPr="00980785" w:rsidRDefault="006C5DDB">
      <w:pPr>
        <w:ind w:right="-58"/>
        <w:jc w:val="both"/>
        <w:rPr>
          <w:sz w:val="22"/>
          <w:szCs w:val="22"/>
          <w:lang w:val="sr-Latn-ME"/>
        </w:rPr>
      </w:pPr>
      <w:r w:rsidRPr="00980785">
        <w:rPr>
          <w:sz w:val="22"/>
          <w:szCs w:val="22"/>
          <w:lang w:val="sr-Latn-ME"/>
        </w:rPr>
        <w:t xml:space="preserve">Ne postoji dovoljno dokaza da vakcina </w:t>
      </w:r>
      <w:r w:rsidR="00677FAC" w:rsidRPr="00980785">
        <w:rPr>
          <w:sz w:val="22"/>
          <w:szCs w:val="22"/>
          <w:lang w:val="sr-Latn-ME"/>
        </w:rPr>
        <w:t>SYNFLORIX</w:t>
      </w:r>
      <w:r w:rsidRPr="00980785">
        <w:rPr>
          <w:sz w:val="22"/>
          <w:szCs w:val="22"/>
          <w:lang w:val="sr-Latn-ME"/>
        </w:rPr>
        <w:t xml:space="preserve"> obezbjeđuje zaštitu protiv serotipova pneumokoka koji nijesu sadržani u vakcini, osim unakrsno reaktivnog serotipa 19A (vidjeti </w:t>
      </w:r>
      <w:r w:rsidR="00F87210" w:rsidRPr="00980785">
        <w:rPr>
          <w:sz w:val="22"/>
          <w:szCs w:val="22"/>
          <w:lang w:val="sr-Latn-ME"/>
        </w:rPr>
        <w:t>dio</w:t>
      </w:r>
      <w:r w:rsidRPr="00980785">
        <w:rPr>
          <w:sz w:val="22"/>
          <w:szCs w:val="22"/>
          <w:lang w:val="sr-Latn-ME"/>
        </w:rPr>
        <w:t xml:space="preserve"> 5.1),  ili netipiziranog soja </w:t>
      </w:r>
      <w:r w:rsidRPr="00980785">
        <w:rPr>
          <w:i/>
          <w:sz w:val="22"/>
          <w:szCs w:val="22"/>
          <w:lang w:val="sr-Latn-ME"/>
        </w:rPr>
        <w:t>Haemophilus influenzae</w:t>
      </w:r>
      <w:r w:rsidRPr="00980785">
        <w:rPr>
          <w:sz w:val="22"/>
          <w:szCs w:val="22"/>
          <w:lang w:val="sr-Latn-ME"/>
        </w:rPr>
        <w:t xml:space="preserve">. Vakcina </w:t>
      </w:r>
      <w:r w:rsidR="00677FAC" w:rsidRPr="00980785">
        <w:rPr>
          <w:sz w:val="22"/>
          <w:szCs w:val="22"/>
          <w:lang w:val="sr-Latn-ME"/>
        </w:rPr>
        <w:t>SYNFLORIX</w:t>
      </w:r>
      <w:r w:rsidRPr="00980785">
        <w:rPr>
          <w:sz w:val="22"/>
          <w:szCs w:val="22"/>
          <w:lang w:val="sr-Latn-ME"/>
        </w:rPr>
        <w:t xml:space="preserve"> ne obezbjeđuje zaštitu protiv drugih mikrorganizama.    </w:t>
      </w:r>
    </w:p>
    <w:p w14:paraId="39B4D885" w14:textId="77777777" w:rsidR="006C5DDB" w:rsidRPr="00980785" w:rsidRDefault="006C5DDB">
      <w:pPr>
        <w:ind w:right="-58"/>
        <w:jc w:val="both"/>
        <w:rPr>
          <w:sz w:val="22"/>
          <w:szCs w:val="22"/>
          <w:lang w:val="sr-Latn-ME"/>
        </w:rPr>
      </w:pPr>
    </w:p>
    <w:p w14:paraId="69E34506" w14:textId="5BC0CCD9" w:rsidR="006C5DDB" w:rsidRPr="00980785" w:rsidRDefault="006C5DDB">
      <w:pPr>
        <w:ind w:right="-58"/>
        <w:jc w:val="both"/>
        <w:rPr>
          <w:sz w:val="22"/>
          <w:szCs w:val="22"/>
          <w:lang w:val="sr-Latn-ME"/>
        </w:rPr>
      </w:pPr>
      <w:r w:rsidRPr="00980785">
        <w:rPr>
          <w:sz w:val="22"/>
          <w:szCs w:val="22"/>
          <w:lang w:val="sr-Latn-ME"/>
        </w:rPr>
        <w:t xml:space="preserve">Kao i kod ostalih vakcina, može se desiti da vakcina </w:t>
      </w:r>
      <w:r w:rsidR="00677FAC" w:rsidRPr="00980785">
        <w:rPr>
          <w:sz w:val="22"/>
          <w:szCs w:val="22"/>
          <w:lang w:val="sr-Latn-ME"/>
        </w:rPr>
        <w:t>SYNFLORIX</w:t>
      </w:r>
      <w:r w:rsidRPr="00980785">
        <w:rPr>
          <w:sz w:val="22"/>
          <w:szCs w:val="22"/>
          <w:lang w:val="sr-Latn-ME"/>
        </w:rPr>
        <w:t xml:space="preserve"> neće pružiti zaštitu svim vakcinisanim protiv invazivne pneumokokne bolesti, pneumonije ili </w:t>
      </w:r>
      <w:r w:rsidRPr="00980785">
        <w:rPr>
          <w:i/>
          <w:sz w:val="22"/>
          <w:szCs w:val="22"/>
          <w:lang w:val="sr-Latn-ME"/>
        </w:rPr>
        <w:t>otitis media</w:t>
      </w:r>
      <w:r w:rsidRPr="00980785">
        <w:rPr>
          <w:sz w:val="22"/>
          <w:szCs w:val="22"/>
          <w:lang w:val="sr-Latn-ME"/>
        </w:rPr>
        <w:t xml:space="preserve"> izazvanih serotipovima koji se nalaze u vakcini i unakrsno reaktivnim serotipom 19A.  Kako otitis media i pneumonija mogu biti prouzrokovane velikim brojem mikroorganizama, a koji nijesu serotipovi </w:t>
      </w:r>
      <w:r w:rsidRPr="00980785">
        <w:rPr>
          <w:i/>
          <w:sz w:val="22"/>
          <w:szCs w:val="22"/>
          <w:lang w:val="sr-Latn-ME"/>
        </w:rPr>
        <w:t>Streptococcus pneumoniae</w:t>
      </w:r>
      <w:r w:rsidRPr="00980785">
        <w:rPr>
          <w:sz w:val="22"/>
          <w:szCs w:val="22"/>
          <w:lang w:val="sr-Latn-ME"/>
        </w:rPr>
        <w:t xml:space="preserve"> koji se nalaze u vakcini, očekuje se da </w:t>
      </w:r>
      <w:r w:rsidR="004A3E50" w:rsidRPr="00980785">
        <w:rPr>
          <w:sz w:val="22"/>
          <w:szCs w:val="22"/>
          <w:lang w:val="sr-Latn-ME"/>
        </w:rPr>
        <w:t xml:space="preserve">ukupna </w:t>
      </w:r>
      <w:r w:rsidRPr="00980785">
        <w:rPr>
          <w:sz w:val="22"/>
          <w:szCs w:val="22"/>
          <w:lang w:val="sr-Latn-ME"/>
        </w:rPr>
        <w:t xml:space="preserve">zaštita </w:t>
      </w:r>
      <w:r w:rsidR="004A3E50" w:rsidRPr="00980785">
        <w:rPr>
          <w:sz w:val="22"/>
          <w:szCs w:val="22"/>
          <w:lang w:val="sr-Latn-ME"/>
        </w:rPr>
        <w:t>od</w:t>
      </w:r>
      <w:r w:rsidRPr="00980785">
        <w:rPr>
          <w:sz w:val="22"/>
          <w:szCs w:val="22"/>
          <w:lang w:val="sr-Latn-ME"/>
        </w:rPr>
        <w:t xml:space="preserve"> navedenih oboljenja bude ograničena i  </w:t>
      </w:r>
      <w:r w:rsidRPr="00980785">
        <w:rPr>
          <w:bCs/>
          <w:iCs/>
          <w:sz w:val="22"/>
          <w:szCs w:val="22"/>
          <w:lang w:val="sr-Latn-ME"/>
        </w:rPr>
        <w:t>znatno niža od zaštite protiv invazivne bolesti koju uzrokuju serotipovi sadržani u vakcini</w:t>
      </w:r>
      <w:r w:rsidRPr="00980785">
        <w:rPr>
          <w:sz w:val="22"/>
          <w:szCs w:val="22"/>
          <w:lang w:val="sr-Latn-ME"/>
        </w:rPr>
        <w:t xml:space="preserve"> i serotipom 19A (vidjeti </w:t>
      </w:r>
      <w:r w:rsidR="00F87210" w:rsidRPr="00980785">
        <w:rPr>
          <w:sz w:val="22"/>
          <w:szCs w:val="22"/>
          <w:lang w:val="sr-Latn-ME"/>
        </w:rPr>
        <w:t>dio</w:t>
      </w:r>
      <w:r w:rsidRPr="00980785">
        <w:rPr>
          <w:sz w:val="22"/>
          <w:szCs w:val="22"/>
          <w:lang w:val="sr-Latn-ME"/>
        </w:rPr>
        <w:t xml:space="preserve"> 5.1.)</w:t>
      </w:r>
    </w:p>
    <w:p w14:paraId="4EDBE7CC" w14:textId="77777777" w:rsidR="006C5DDB" w:rsidRPr="00980785" w:rsidRDefault="006C5DDB">
      <w:pPr>
        <w:ind w:right="-58"/>
        <w:jc w:val="both"/>
        <w:rPr>
          <w:sz w:val="22"/>
          <w:szCs w:val="22"/>
          <w:lang w:val="sr-Latn-ME"/>
        </w:rPr>
      </w:pPr>
    </w:p>
    <w:p w14:paraId="6558572C" w14:textId="70DE1BEA" w:rsidR="006C5DDB" w:rsidRPr="00980785" w:rsidRDefault="006C5DDB">
      <w:pPr>
        <w:ind w:right="-58"/>
        <w:jc w:val="both"/>
        <w:rPr>
          <w:sz w:val="22"/>
          <w:szCs w:val="22"/>
          <w:lang w:val="sr-Latn-ME"/>
        </w:rPr>
      </w:pPr>
      <w:r w:rsidRPr="00980785">
        <w:rPr>
          <w:sz w:val="22"/>
          <w:szCs w:val="22"/>
          <w:lang w:val="sr-Latn-ME"/>
        </w:rPr>
        <w:lastRenderedPageBreak/>
        <w:t xml:space="preserve">U kliničkim studijama vakcina </w:t>
      </w:r>
      <w:r w:rsidR="00677FAC" w:rsidRPr="00980785">
        <w:rPr>
          <w:sz w:val="22"/>
          <w:szCs w:val="22"/>
          <w:lang w:val="sr-Latn-ME"/>
        </w:rPr>
        <w:t>SYNFLORIX</w:t>
      </w:r>
      <w:r w:rsidRPr="00980785">
        <w:rPr>
          <w:sz w:val="22"/>
          <w:szCs w:val="22"/>
          <w:lang w:val="sr-Latn-ME"/>
        </w:rPr>
        <w:t xml:space="preserve"> je </w:t>
      </w:r>
      <w:r w:rsidRPr="00980785">
        <w:rPr>
          <w:color w:val="000000"/>
          <w:sz w:val="22"/>
          <w:szCs w:val="22"/>
          <w:lang w:val="sr-Latn-ME"/>
        </w:rPr>
        <w:t>indukovala imuni odgovor na</w:t>
      </w:r>
      <w:r w:rsidRPr="00980785">
        <w:rPr>
          <w:sz w:val="22"/>
          <w:szCs w:val="22"/>
          <w:lang w:val="sr-Latn-ME"/>
        </w:rPr>
        <w:t xml:space="preserve"> svih deset serotipova koji ulaze u sastav vakcine, ali se intenzitet odgovora razlikovao između serotipova. </w:t>
      </w:r>
      <w:r w:rsidRPr="00980785">
        <w:rPr>
          <w:color w:val="000000"/>
          <w:sz w:val="22"/>
          <w:szCs w:val="22"/>
          <w:lang w:val="sr-Latn-ME"/>
        </w:rPr>
        <w:t>Funkcionalni</w:t>
      </w:r>
      <w:r w:rsidRPr="00980785">
        <w:rPr>
          <w:sz w:val="22"/>
          <w:szCs w:val="22"/>
          <w:lang w:val="sr-Latn-ME"/>
        </w:rPr>
        <w:t xml:space="preserve"> imuni odgovor na serotipove 1 i 5 bio je niži po intenzitetu nego odgovor na druge serotipove. Nije poznato da li će niži funkcionalni imuni odgovor protiv serotipova 1 i 5 rezultirati sniženom protektivnom efikasnošću za invazivna oboljenja, pneumoniju ili </w:t>
      </w:r>
      <w:r w:rsidRPr="00980785">
        <w:rPr>
          <w:i/>
          <w:sz w:val="22"/>
          <w:szCs w:val="22"/>
          <w:lang w:val="sr-Latn-ME"/>
        </w:rPr>
        <w:t>otitis media</w:t>
      </w:r>
      <w:r w:rsidRPr="00980785">
        <w:rPr>
          <w:sz w:val="22"/>
          <w:szCs w:val="22"/>
          <w:lang w:val="sr-Latn-ME"/>
        </w:rPr>
        <w:t>, izazvan</w:t>
      </w:r>
      <w:r w:rsidR="004A3E50" w:rsidRPr="00980785">
        <w:rPr>
          <w:sz w:val="22"/>
          <w:szCs w:val="22"/>
          <w:lang w:val="sr-Latn-ME"/>
        </w:rPr>
        <w:t>e</w:t>
      </w:r>
      <w:r w:rsidRPr="00980785">
        <w:rPr>
          <w:sz w:val="22"/>
          <w:szCs w:val="22"/>
          <w:lang w:val="sr-Latn-ME"/>
        </w:rPr>
        <w:t xml:space="preserve"> ovim serotipovima (vidjeti </w:t>
      </w:r>
      <w:r w:rsidR="00F87210" w:rsidRPr="00980785">
        <w:rPr>
          <w:sz w:val="22"/>
          <w:szCs w:val="22"/>
          <w:lang w:val="sr-Latn-ME"/>
        </w:rPr>
        <w:t>dio</w:t>
      </w:r>
      <w:r w:rsidRPr="00980785">
        <w:rPr>
          <w:sz w:val="22"/>
          <w:szCs w:val="22"/>
          <w:lang w:val="sr-Latn-ME"/>
        </w:rPr>
        <w:t xml:space="preserve"> 5.1).</w:t>
      </w:r>
    </w:p>
    <w:p w14:paraId="09151991" w14:textId="77777777" w:rsidR="006C5DDB" w:rsidRPr="00980785" w:rsidRDefault="006C5DDB">
      <w:pPr>
        <w:ind w:right="-58"/>
        <w:jc w:val="both"/>
        <w:rPr>
          <w:sz w:val="22"/>
          <w:szCs w:val="22"/>
          <w:lang w:val="sr-Latn-ME"/>
        </w:rPr>
      </w:pPr>
    </w:p>
    <w:p w14:paraId="09827658" w14:textId="4C4939BB" w:rsidR="006C5DDB" w:rsidRPr="00980785" w:rsidRDefault="006C5DDB">
      <w:pPr>
        <w:ind w:right="-58"/>
        <w:jc w:val="both"/>
        <w:rPr>
          <w:sz w:val="22"/>
          <w:szCs w:val="22"/>
          <w:lang w:val="sr-Latn-ME"/>
        </w:rPr>
      </w:pPr>
      <w:r w:rsidRPr="00980785">
        <w:rPr>
          <w:sz w:val="22"/>
          <w:szCs w:val="22"/>
          <w:lang w:val="sr-Latn-ME"/>
        </w:rPr>
        <w:t xml:space="preserve">Vakcinu </w:t>
      </w:r>
      <w:r w:rsidR="00677FAC" w:rsidRPr="00980785">
        <w:rPr>
          <w:sz w:val="22"/>
          <w:szCs w:val="22"/>
          <w:lang w:val="sr-Latn-ME"/>
        </w:rPr>
        <w:t>SYNFLORIX</w:t>
      </w:r>
      <w:r w:rsidRPr="00980785">
        <w:rPr>
          <w:sz w:val="22"/>
          <w:szCs w:val="22"/>
          <w:lang w:val="sr-Latn-ME"/>
        </w:rPr>
        <w:t xml:space="preserve"> treba primijeniti po šemi imunizacije koja odgovara uzrastu djeteta u trenutku započinjanja vakcinacije (vidjeti </w:t>
      </w:r>
      <w:r w:rsidR="00F87210" w:rsidRPr="00980785">
        <w:rPr>
          <w:sz w:val="22"/>
          <w:szCs w:val="22"/>
          <w:lang w:val="sr-Latn-ME"/>
        </w:rPr>
        <w:t>dio</w:t>
      </w:r>
      <w:r w:rsidRPr="00980785">
        <w:rPr>
          <w:sz w:val="22"/>
          <w:szCs w:val="22"/>
          <w:lang w:val="sr-Latn-ME"/>
        </w:rPr>
        <w:t xml:space="preserve"> 4.2). </w:t>
      </w:r>
    </w:p>
    <w:p w14:paraId="6D02B6F4" w14:textId="77777777" w:rsidR="006C5DDB" w:rsidRPr="00980785" w:rsidRDefault="006C5DDB">
      <w:pPr>
        <w:ind w:right="-58"/>
        <w:jc w:val="both"/>
        <w:rPr>
          <w:sz w:val="22"/>
          <w:szCs w:val="22"/>
          <w:lang w:val="sr-Latn-ME"/>
        </w:rPr>
      </w:pPr>
    </w:p>
    <w:p w14:paraId="39E96418" w14:textId="77777777" w:rsidR="00CC7495" w:rsidRPr="00980785" w:rsidRDefault="00CC7495" w:rsidP="00290631">
      <w:pPr>
        <w:ind w:right="-58"/>
        <w:jc w:val="both"/>
        <w:rPr>
          <w:sz w:val="22"/>
          <w:szCs w:val="22"/>
          <w:u w:val="single"/>
          <w:lang w:val="sr-Latn-ME"/>
        </w:rPr>
      </w:pPr>
      <w:r w:rsidRPr="00980785">
        <w:rPr>
          <w:sz w:val="22"/>
          <w:szCs w:val="22"/>
          <w:u w:val="single"/>
          <w:lang w:val="sr-Latn-ME"/>
        </w:rPr>
        <w:t>Imunosupresivna terapija i imunodeficijencija</w:t>
      </w:r>
    </w:p>
    <w:p w14:paraId="2FBF797F" w14:textId="77777777" w:rsidR="00CC7495" w:rsidRPr="00980785" w:rsidRDefault="00CC7495">
      <w:pPr>
        <w:ind w:right="-58"/>
        <w:jc w:val="both"/>
        <w:rPr>
          <w:sz w:val="22"/>
          <w:szCs w:val="22"/>
          <w:lang w:val="sr-Latn-ME"/>
        </w:rPr>
      </w:pPr>
    </w:p>
    <w:p w14:paraId="1C319632" w14:textId="5BA9134C" w:rsidR="006C5DDB" w:rsidRPr="00980785" w:rsidRDefault="006C5DDB">
      <w:pPr>
        <w:ind w:right="-58"/>
        <w:jc w:val="both"/>
        <w:rPr>
          <w:sz w:val="22"/>
          <w:szCs w:val="22"/>
          <w:lang w:val="sr-Latn-ME"/>
        </w:rPr>
      </w:pPr>
      <w:r w:rsidRPr="00980785">
        <w:rPr>
          <w:sz w:val="22"/>
          <w:szCs w:val="22"/>
          <w:lang w:val="sr-Latn-ME"/>
        </w:rPr>
        <w:t xml:space="preserve">Djeca sa narušenim imunim odgovorom, bilo zbog imunosupresivne terapije, genetskog defekta, HIV infekcije, prenatalne ekspozicije antiretrovirusnoj terapiji i/ili virusu HIV-a, ili </w:t>
      </w:r>
      <w:r w:rsidR="004A3E50" w:rsidRPr="00980785">
        <w:rPr>
          <w:sz w:val="22"/>
          <w:szCs w:val="22"/>
          <w:lang w:val="sr-Latn-ME"/>
        </w:rPr>
        <w:t xml:space="preserve">zbog </w:t>
      </w:r>
      <w:r w:rsidRPr="00980785">
        <w:rPr>
          <w:sz w:val="22"/>
          <w:szCs w:val="22"/>
          <w:lang w:val="sr-Latn-ME"/>
        </w:rPr>
        <w:t>drugih razloga mogu imati smanjeni odgovor antitijela na vakcinaciju.</w:t>
      </w:r>
    </w:p>
    <w:p w14:paraId="355BB0D7" w14:textId="77777777" w:rsidR="006C5DDB" w:rsidRPr="00980785" w:rsidRDefault="006C5DDB">
      <w:pPr>
        <w:ind w:right="-58"/>
        <w:jc w:val="both"/>
        <w:rPr>
          <w:sz w:val="22"/>
          <w:szCs w:val="22"/>
          <w:lang w:val="sr-Latn-ME"/>
        </w:rPr>
      </w:pPr>
    </w:p>
    <w:p w14:paraId="199BF62F" w14:textId="7D4F661C" w:rsidR="006C5DDB" w:rsidRPr="00980785" w:rsidRDefault="006C5DDB">
      <w:pPr>
        <w:ind w:right="-58"/>
        <w:jc w:val="both"/>
        <w:rPr>
          <w:sz w:val="22"/>
          <w:szCs w:val="22"/>
          <w:lang w:val="sr-Latn-ME"/>
        </w:rPr>
      </w:pPr>
      <w:r w:rsidRPr="00980785">
        <w:rPr>
          <w:sz w:val="22"/>
          <w:szCs w:val="22"/>
          <w:lang w:val="sr-Latn-ME"/>
        </w:rPr>
        <w:t>Podaci o bezbjednosti i imunogenosti su dostupni za bebe inficirane HIV virusom (asimptomatski ili sa blagim simptomima prema klasifikaciji SZO), HIV negativne bebe koje su rodile HIV pozitivne majke</w:t>
      </w:r>
      <w:r w:rsidR="00B862D9" w:rsidRPr="00980785">
        <w:rPr>
          <w:sz w:val="22"/>
          <w:szCs w:val="22"/>
          <w:lang w:val="sr-Latn-ME"/>
        </w:rPr>
        <w:t>,</w:t>
      </w:r>
      <w:r w:rsidRPr="00980785">
        <w:rPr>
          <w:sz w:val="22"/>
          <w:szCs w:val="22"/>
          <w:lang w:val="sr-Latn-ME"/>
        </w:rPr>
        <w:t xml:space="preserve"> d</w:t>
      </w:r>
      <w:r w:rsidR="00B862D9" w:rsidRPr="00980785">
        <w:rPr>
          <w:sz w:val="22"/>
          <w:szCs w:val="22"/>
          <w:lang w:val="sr-Latn-ME"/>
        </w:rPr>
        <w:t>j</w:t>
      </w:r>
      <w:r w:rsidRPr="00980785">
        <w:rPr>
          <w:sz w:val="22"/>
          <w:szCs w:val="22"/>
          <w:lang w:val="sr-Latn-ME"/>
        </w:rPr>
        <w:t>ecu koja boluju od anemije srpastih ćelija</w:t>
      </w:r>
      <w:r w:rsidR="00375F5D" w:rsidRPr="00980785">
        <w:rPr>
          <w:snapToGrid w:val="0"/>
          <w:sz w:val="22"/>
          <w:szCs w:val="22"/>
          <w:lang w:val="sr-Latn-ME"/>
        </w:rPr>
        <w:t xml:space="preserve"> i djecu s</w:t>
      </w:r>
      <w:r w:rsidR="000A162F" w:rsidRPr="00980785">
        <w:rPr>
          <w:snapToGrid w:val="0"/>
          <w:sz w:val="22"/>
          <w:szCs w:val="22"/>
          <w:lang w:val="sr-Latn-ME"/>
        </w:rPr>
        <w:t xml:space="preserve">a disfunkcijom </w:t>
      </w:r>
      <w:r w:rsidR="00375F5D" w:rsidRPr="00980785">
        <w:rPr>
          <w:snapToGrid w:val="0"/>
          <w:sz w:val="22"/>
          <w:szCs w:val="22"/>
          <w:lang w:val="sr-Latn-ME"/>
        </w:rPr>
        <w:t>slez</w:t>
      </w:r>
      <w:r w:rsidR="004A3E50" w:rsidRPr="00980785">
        <w:rPr>
          <w:snapToGrid w:val="0"/>
          <w:sz w:val="22"/>
          <w:szCs w:val="22"/>
          <w:lang w:val="sr-Latn-ME"/>
        </w:rPr>
        <w:t>i</w:t>
      </w:r>
      <w:r w:rsidR="00375F5D" w:rsidRPr="00980785">
        <w:rPr>
          <w:snapToGrid w:val="0"/>
          <w:sz w:val="22"/>
          <w:szCs w:val="22"/>
          <w:lang w:val="sr-Latn-ME"/>
        </w:rPr>
        <w:t>ne</w:t>
      </w:r>
      <w:r w:rsidRPr="00980785">
        <w:rPr>
          <w:sz w:val="22"/>
          <w:szCs w:val="22"/>
          <w:lang w:val="sr-Latn-ME"/>
        </w:rPr>
        <w:t xml:space="preserve"> (vidjeti </w:t>
      </w:r>
      <w:r w:rsidR="00F87210" w:rsidRPr="00980785">
        <w:rPr>
          <w:sz w:val="22"/>
          <w:szCs w:val="22"/>
          <w:lang w:val="sr-Latn-ME"/>
        </w:rPr>
        <w:t>djelove</w:t>
      </w:r>
      <w:r w:rsidRPr="00980785">
        <w:rPr>
          <w:sz w:val="22"/>
          <w:szCs w:val="22"/>
          <w:lang w:val="sr-Latn-ME"/>
        </w:rPr>
        <w:t xml:space="preserve"> 4.8. i 5.1). Podaci o bezbjednosti i imunogenosti za vakcinu </w:t>
      </w:r>
      <w:r w:rsidR="00677FAC" w:rsidRPr="00980785">
        <w:rPr>
          <w:sz w:val="22"/>
          <w:szCs w:val="22"/>
          <w:lang w:val="sr-Latn-ME"/>
        </w:rPr>
        <w:t>SYNFLORIX</w:t>
      </w:r>
      <w:r w:rsidRPr="00980785">
        <w:rPr>
          <w:sz w:val="22"/>
          <w:szCs w:val="22"/>
          <w:lang w:val="sr-Latn-ME"/>
        </w:rPr>
        <w:t xml:space="preserve"> nijesu dostupni za pojedince u ostalim specifičnim imunokompromitovanim grupama i vakcinaciju treba razmotriti na individualnoj osnovi ( vidjeti </w:t>
      </w:r>
      <w:r w:rsidR="00F87210" w:rsidRPr="00980785">
        <w:rPr>
          <w:sz w:val="22"/>
          <w:szCs w:val="22"/>
          <w:lang w:val="sr-Latn-ME"/>
        </w:rPr>
        <w:t>dio</w:t>
      </w:r>
      <w:r w:rsidRPr="00980785">
        <w:rPr>
          <w:sz w:val="22"/>
          <w:szCs w:val="22"/>
          <w:lang w:val="sr-Latn-ME"/>
        </w:rPr>
        <w:t xml:space="preserve"> 4.2).</w:t>
      </w:r>
    </w:p>
    <w:p w14:paraId="0F4026E5" w14:textId="77777777" w:rsidR="006C5DDB" w:rsidRPr="00980785" w:rsidRDefault="006C5DDB">
      <w:pPr>
        <w:ind w:right="-58"/>
        <w:jc w:val="both"/>
        <w:rPr>
          <w:sz w:val="22"/>
          <w:szCs w:val="22"/>
          <w:lang w:val="sr-Latn-ME"/>
        </w:rPr>
      </w:pPr>
    </w:p>
    <w:p w14:paraId="2B20CD0D" w14:textId="73E5850C" w:rsidR="006C5DDB" w:rsidRPr="00980785" w:rsidRDefault="006C5DDB">
      <w:pPr>
        <w:widowControl w:val="0"/>
        <w:adjustRightInd w:val="0"/>
        <w:jc w:val="both"/>
        <w:textAlignment w:val="baseline"/>
        <w:rPr>
          <w:snapToGrid w:val="0"/>
          <w:sz w:val="22"/>
          <w:szCs w:val="22"/>
          <w:lang w:val="sr-Latn-ME"/>
        </w:rPr>
      </w:pPr>
      <w:r w:rsidRPr="00980785">
        <w:rPr>
          <w:snapToGrid w:val="0"/>
          <w:sz w:val="22"/>
          <w:szCs w:val="22"/>
          <w:lang w:val="sr-Latn-ME"/>
        </w:rPr>
        <w:t>Primjena pneumokokne konjugovane vakcine nije zamjena za primjenu 23</w:t>
      </w:r>
      <w:r w:rsidRPr="00980785">
        <w:rPr>
          <w:snapToGrid w:val="0"/>
          <w:sz w:val="22"/>
          <w:szCs w:val="22"/>
          <w:lang w:val="sr-Latn-ME"/>
        </w:rPr>
        <w:noBreakHyphen/>
        <w:t xml:space="preserve">valentnih pneumokoknih polisaharidnih vakcina kod djece uzrasta od ≥ 2 godine sa stanjima (poput anemije srpastih ćelija, asplenije, HIV infekcije, hronične bolesti ili koja imaju druga imunokompromitovana stanja) koja ih čine podložnijima invazivnim bolestima pruzrokovanima bakterijom </w:t>
      </w:r>
      <w:r w:rsidRPr="00980785">
        <w:rPr>
          <w:i/>
          <w:snapToGrid w:val="0"/>
          <w:sz w:val="22"/>
          <w:szCs w:val="22"/>
          <w:lang w:val="sr-Latn-ME"/>
        </w:rPr>
        <w:t>Streptococcus pneumoniae</w:t>
      </w:r>
      <w:r w:rsidRPr="00980785">
        <w:rPr>
          <w:snapToGrid w:val="0"/>
          <w:sz w:val="22"/>
          <w:szCs w:val="22"/>
          <w:lang w:val="sr-Latn-ME"/>
        </w:rPr>
        <w:t>. Kad god se to preporučuje, djeca</w:t>
      </w:r>
      <w:r w:rsidR="004A3E50" w:rsidRPr="00980785">
        <w:rPr>
          <w:snapToGrid w:val="0"/>
          <w:sz w:val="22"/>
          <w:szCs w:val="22"/>
          <w:lang w:val="sr-Latn-ME"/>
        </w:rPr>
        <w:t xml:space="preserve"> pod rizikom,</w:t>
      </w:r>
      <w:r w:rsidRPr="00980785">
        <w:rPr>
          <w:snapToGrid w:val="0"/>
          <w:sz w:val="22"/>
          <w:szCs w:val="22"/>
          <w:lang w:val="sr-Latn-ME"/>
        </w:rPr>
        <w:t xml:space="preserve"> uzrasta od ≥ 24 mjeseca koja su već primila primarni ciklus vakcine </w:t>
      </w:r>
      <w:r w:rsidR="00677FAC" w:rsidRPr="00980785">
        <w:rPr>
          <w:snapToGrid w:val="0"/>
          <w:sz w:val="22"/>
          <w:szCs w:val="22"/>
          <w:lang w:val="sr-Latn-ME"/>
        </w:rPr>
        <w:t>SYNFLORIX</w:t>
      </w:r>
      <w:r w:rsidRPr="00980785">
        <w:rPr>
          <w:snapToGrid w:val="0"/>
          <w:sz w:val="22"/>
          <w:szCs w:val="22"/>
          <w:lang w:val="sr-Latn-ME"/>
        </w:rPr>
        <w:t xml:space="preserve"> moraju primiti 23</w:t>
      </w:r>
      <w:r w:rsidRPr="00980785">
        <w:rPr>
          <w:snapToGrid w:val="0"/>
          <w:sz w:val="22"/>
          <w:szCs w:val="22"/>
          <w:lang w:val="sr-Latn-ME"/>
        </w:rPr>
        <w:noBreakHyphen/>
        <w:t xml:space="preserve">valentnu pneumokoknu polisaharidnu vakcinu. </w:t>
      </w:r>
      <w:r w:rsidRPr="00980785">
        <w:rPr>
          <w:sz w:val="22"/>
          <w:szCs w:val="22"/>
          <w:lang w:val="sr-Latn-ME"/>
        </w:rPr>
        <w:t>Vremenski razmak između primjene pneumokokne konjugovane vakcine (</w:t>
      </w:r>
      <w:r w:rsidR="00677FAC" w:rsidRPr="00980785">
        <w:rPr>
          <w:sz w:val="22"/>
          <w:szCs w:val="22"/>
          <w:lang w:val="sr-Latn-ME"/>
        </w:rPr>
        <w:t>SYNFLORIX</w:t>
      </w:r>
      <w:r w:rsidRPr="00980785">
        <w:rPr>
          <w:sz w:val="22"/>
          <w:szCs w:val="22"/>
          <w:lang w:val="sr-Latn-ME"/>
        </w:rPr>
        <w:t xml:space="preserve">) i 23-valentne pneumokokne polisaharidne vakcine ne treba da bude kraći od 8 nedjelja. Nema dostupnih podataka koji bi ukazivali da li primjena pneumokokne polisaharidne vakcine kod djece koja su prethodno primila vakcinu </w:t>
      </w:r>
      <w:r w:rsidR="00677FAC" w:rsidRPr="00980785">
        <w:rPr>
          <w:sz w:val="22"/>
          <w:szCs w:val="22"/>
          <w:lang w:val="sr-Latn-ME"/>
        </w:rPr>
        <w:t>SYNFLORIX</w:t>
      </w:r>
      <w:r w:rsidRPr="00980785">
        <w:rPr>
          <w:sz w:val="22"/>
          <w:szCs w:val="22"/>
          <w:lang w:val="sr-Latn-ME"/>
        </w:rPr>
        <w:t xml:space="preserve"> može imati za posljedicu smanjeni odgovor na dalje doze pneumokokne polisaharidne ili pneumokokne konjugovane vakcine.</w:t>
      </w:r>
    </w:p>
    <w:p w14:paraId="2467257F" w14:textId="77777777" w:rsidR="006C5DDB" w:rsidRPr="00980785" w:rsidRDefault="006C5DDB">
      <w:pPr>
        <w:ind w:right="-58"/>
        <w:jc w:val="both"/>
        <w:rPr>
          <w:sz w:val="22"/>
          <w:szCs w:val="22"/>
          <w:lang w:val="sr-Latn-ME"/>
        </w:rPr>
      </w:pPr>
    </w:p>
    <w:p w14:paraId="71C21393" w14:textId="77777777" w:rsidR="001C47CB" w:rsidRPr="00980785" w:rsidRDefault="001C47CB">
      <w:pPr>
        <w:ind w:right="-58"/>
        <w:jc w:val="both"/>
        <w:rPr>
          <w:sz w:val="22"/>
          <w:szCs w:val="22"/>
          <w:lang w:val="sr-Latn-ME"/>
        </w:rPr>
      </w:pPr>
      <w:r w:rsidRPr="00980785">
        <w:rPr>
          <w:sz w:val="22"/>
          <w:szCs w:val="22"/>
          <w:u w:val="single"/>
          <w:lang w:val="sr-Latn-ME"/>
        </w:rPr>
        <w:t>Profilaktička primena antipiretika</w:t>
      </w:r>
      <w:r w:rsidRPr="00980785">
        <w:rPr>
          <w:sz w:val="22"/>
          <w:szCs w:val="22"/>
          <w:lang w:val="sr-Latn-ME"/>
        </w:rPr>
        <w:t xml:space="preserve"> </w:t>
      </w:r>
    </w:p>
    <w:p w14:paraId="6C22322A" w14:textId="77777777" w:rsidR="001C47CB" w:rsidRPr="00980785" w:rsidRDefault="001C47CB">
      <w:pPr>
        <w:ind w:right="-58"/>
        <w:jc w:val="both"/>
        <w:rPr>
          <w:sz w:val="22"/>
          <w:szCs w:val="22"/>
          <w:lang w:val="sr-Latn-ME"/>
        </w:rPr>
      </w:pPr>
    </w:p>
    <w:p w14:paraId="24162E56" w14:textId="26CAA841" w:rsidR="006C5DDB" w:rsidRPr="00980785" w:rsidRDefault="006C5DDB">
      <w:pPr>
        <w:ind w:right="-58"/>
        <w:jc w:val="both"/>
        <w:rPr>
          <w:sz w:val="22"/>
          <w:szCs w:val="22"/>
          <w:lang w:val="sr-Latn-ME"/>
        </w:rPr>
      </w:pPr>
      <w:r w:rsidRPr="00980785">
        <w:rPr>
          <w:sz w:val="22"/>
          <w:szCs w:val="22"/>
          <w:lang w:val="sr-Latn-ME"/>
        </w:rPr>
        <w:t xml:space="preserve">Profilaktička primjena antipiretika prije ili neposredno nakon vakcinacije može smanjiti incidencu i intenzitet postvakcinalnih febrilnih reakcija. Klinički podaci dobijeni za paracetamol i ibuprofen ukazuju da profilaktička upotreba paracetamola može smanjiti povišenu tjelesnu temperaturu, dok je profilaktička primjena ibuprofena imala ograničeni efekat u sniženju povišene tjelesne temperature. Klinički podaci ukazuju da paracetamol može smanjiti imunološki odgovor na vakcinu </w:t>
      </w:r>
      <w:r w:rsidR="00677FAC" w:rsidRPr="00980785">
        <w:rPr>
          <w:sz w:val="22"/>
          <w:szCs w:val="22"/>
          <w:lang w:val="sr-Latn-ME"/>
        </w:rPr>
        <w:t>SYNFLORIX</w:t>
      </w:r>
      <w:r w:rsidRPr="00980785">
        <w:rPr>
          <w:sz w:val="22"/>
          <w:szCs w:val="22"/>
          <w:lang w:val="sr-Latn-ME"/>
        </w:rPr>
        <w:t>. Međutim, klinički značaj ovog opažanja ostaje nepoznat.</w:t>
      </w:r>
    </w:p>
    <w:p w14:paraId="01FC71BD" w14:textId="77777777" w:rsidR="006C5DDB" w:rsidRPr="00980785" w:rsidRDefault="006C5DDB">
      <w:pPr>
        <w:ind w:right="-58"/>
        <w:jc w:val="both"/>
        <w:rPr>
          <w:sz w:val="22"/>
          <w:szCs w:val="22"/>
          <w:lang w:val="sr-Latn-ME"/>
        </w:rPr>
      </w:pPr>
    </w:p>
    <w:p w14:paraId="4CA400A1" w14:textId="45D2F0A9" w:rsidR="006C5DDB" w:rsidRPr="00980785" w:rsidRDefault="006C5DDB">
      <w:pPr>
        <w:ind w:right="-58"/>
        <w:jc w:val="both"/>
        <w:rPr>
          <w:sz w:val="22"/>
          <w:szCs w:val="22"/>
          <w:lang w:val="sr-Latn-ME"/>
        </w:rPr>
      </w:pPr>
      <w:r w:rsidRPr="00980785">
        <w:rPr>
          <w:sz w:val="22"/>
          <w:szCs w:val="22"/>
          <w:lang w:val="sr-Latn-ME"/>
        </w:rPr>
        <w:t xml:space="preserve">Profilaktička primjena antipiretičkih </w:t>
      </w:r>
      <w:r w:rsidR="00EE24F3" w:rsidRPr="00980785">
        <w:rPr>
          <w:sz w:val="22"/>
          <w:szCs w:val="22"/>
          <w:lang w:val="sr-Latn-ME"/>
        </w:rPr>
        <w:t>ljekova</w:t>
      </w:r>
      <w:r w:rsidRPr="00980785">
        <w:rPr>
          <w:sz w:val="22"/>
          <w:szCs w:val="22"/>
          <w:lang w:val="sr-Latn-ME"/>
        </w:rPr>
        <w:t xml:space="preserve"> se preporučuje:</w:t>
      </w:r>
    </w:p>
    <w:p w14:paraId="34F5565D" w14:textId="5F849541" w:rsidR="006C5DDB" w:rsidRPr="00980785" w:rsidRDefault="006C5DDB" w:rsidP="00290631">
      <w:pPr>
        <w:pStyle w:val="ListParagraph"/>
        <w:numPr>
          <w:ilvl w:val="0"/>
          <w:numId w:val="18"/>
        </w:numPr>
        <w:ind w:right="-58"/>
        <w:jc w:val="both"/>
        <w:rPr>
          <w:sz w:val="22"/>
          <w:szCs w:val="22"/>
          <w:lang w:val="sr-Latn-ME"/>
        </w:rPr>
      </w:pPr>
      <w:r w:rsidRPr="00980785">
        <w:rPr>
          <w:sz w:val="22"/>
          <w:szCs w:val="22"/>
          <w:lang w:val="sr-Latn-ME"/>
        </w:rPr>
        <w:t xml:space="preserve">kod djece kod koje se vakcina </w:t>
      </w:r>
      <w:r w:rsidR="00677FAC" w:rsidRPr="00980785">
        <w:rPr>
          <w:sz w:val="22"/>
          <w:szCs w:val="22"/>
          <w:lang w:val="sr-Latn-ME"/>
        </w:rPr>
        <w:t>SYNFLORIX</w:t>
      </w:r>
      <w:r w:rsidRPr="00980785">
        <w:rPr>
          <w:sz w:val="22"/>
          <w:szCs w:val="22"/>
          <w:vertAlign w:val="superscript"/>
          <w:lang w:val="sr-Latn-ME"/>
        </w:rPr>
        <w:t xml:space="preserve"> </w:t>
      </w:r>
      <w:r w:rsidRPr="00980785">
        <w:rPr>
          <w:sz w:val="22"/>
          <w:szCs w:val="22"/>
          <w:lang w:val="sr-Latn-ME"/>
        </w:rPr>
        <w:t xml:space="preserve">primjenjuje istovremeno sa vakcinom koja sadrži   </w:t>
      </w:r>
    </w:p>
    <w:p w14:paraId="4D1C3390" w14:textId="1FDB6FFD" w:rsidR="006C5DDB" w:rsidRPr="00980785" w:rsidRDefault="006C5DDB" w:rsidP="00290631">
      <w:pPr>
        <w:ind w:left="360" w:right="-58"/>
        <w:jc w:val="both"/>
        <w:rPr>
          <w:sz w:val="22"/>
          <w:szCs w:val="22"/>
          <w:lang w:val="sr-Latn-ME"/>
        </w:rPr>
      </w:pPr>
      <w:r w:rsidRPr="00980785">
        <w:rPr>
          <w:sz w:val="22"/>
          <w:szCs w:val="22"/>
          <w:lang w:val="sr-Latn-ME"/>
        </w:rPr>
        <w:t xml:space="preserve">cjeloćelijsku  pertusis komponentu, zbog većeg procenta pojave febrilnih reakcija (vidjeti </w:t>
      </w:r>
      <w:r w:rsidR="00F87210" w:rsidRPr="00980785">
        <w:rPr>
          <w:sz w:val="22"/>
          <w:szCs w:val="22"/>
          <w:lang w:val="sr-Latn-ME"/>
        </w:rPr>
        <w:t>dio</w:t>
      </w:r>
      <w:r w:rsidRPr="00980785">
        <w:rPr>
          <w:sz w:val="22"/>
          <w:szCs w:val="22"/>
          <w:lang w:val="sr-Latn-ME"/>
        </w:rPr>
        <w:t xml:space="preserve"> 4. 8).</w:t>
      </w:r>
    </w:p>
    <w:p w14:paraId="4DF300C4" w14:textId="16717EE6" w:rsidR="006C5DDB" w:rsidRPr="00980785" w:rsidRDefault="006C5DDB" w:rsidP="00290631">
      <w:pPr>
        <w:pStyle w:val="ListParagraph"/>
        <w:numPr>
          <w:ilvl w:val="0"/>
          <w:numId w:val="18"/>
        </w:numPr>
        <w:ind w:right="-58"/>
        <w:jc w:val="both"/>
        <w:rPr>
          <w:sz w:val="22"/>
          <w:szCs w:val="22"/>
          <w:lang w:val="sr-Latn-ME"/>
        </w:rPr>
      </w:pPr>
      <w:r w:rsidRPr="00980785">
        <w:rPr>
          <w:sz w:val="22"/>
          <w:szCs w:val="22"/>
          <w:lang w:val="sr-Latn-ME"/>
        </w:rPr>
        <w:t>kod djece koja boluju od epilepsije ili sa febrilnim konvulzijama u anamnezi.</w:t>
      </w:r>
    </w:p>
    <w:p w14:paraId="7E7136CA" w14:textId="77777777" w:rsidR="006C5DDB" w:rsidRPr="00980785" w:rsidRDefault="006C5DDB">
      <w:pPr>
        <w:ind w:left="360" w:right="-58" w:hanging="360"/>
        <w:jc w:val="both"/>
        <w:rPr>
          <w:sz w:val="22"/>
          <w:szCs w:val="22"/>
          <w:lang w:val="sr-Latn-ME"/>
        </w:rPr>
      </w:pPr>
    </w:p>
    <w:p w14:paraId="584FF08C" w14:textId="03006EE8" w:rsidR="006C5DDB" w:rsidRPr="00980785" w:rsidRDefault="006C5DDB">
      <w:pPr>
        <w:jc w:val="both"/>
        <w:rPr>
          <w:sz w:val="22"/>
          <w:szCs w:val="22"/>
          <w:lang w:val="sr-Latn-ME"/>
        </w:rPr>
      </w:pPr>
      <w:r w:rsidRPr="00980785">
        <w:rPr>
          <w:sz w:val="22"/>
          <w:szCs w:val="22"/>
          <w:lang w:val="sr-Latn-ME"/>
        </w:rPr>
        <w:t>Terapiju antipireticima treba započeti u skladu sa zvaničnim preporukama</w:t>
      </w:r>
    </w:p>
    <w:p w14:paraId="42AB7A32" w14:textId="5AEE646F" w:rsidR="00170EC5" w:rsidRPr="00980785" w:rsidRDefault="00170EC5">
      <w:pPr>
        <w:jc w:val="both"/>
        <w:rPr>
          <w:sz w:val="22"/>
          <w:szCs w:val="22"/>
          <w:lang w:val="sr-Latn-ME"/>
        </w:rPr>
      </w:pPr>
    </w:p>
    <w:p w14:paraId="3CD210FB" w14:textId="77777777" w:rsidR="00170EC5" w:rsidRPr="00980785" w:rsidRDefault="00170EC5" w:rsidP="00170EC5">
      <w:pPr>
        <w:jc w:val="both"/>
        <w:rPr>
          <w:sz w:val="22"/>
          <w:szCs w:val="22"/>
          <w:lang w:val="sr-Latn-ME"/>
        </w:rPr>
      </w:pPr>
      <w:r w:rsidRPr="00980785">
        <w:rPr>
          <w:sz w:val="22"/>
          <w:szCs w:val="22"/>
          <w:lang w:val="sr-Latn-ME"/>
        </w:rPr>
        <w:t>Vakcina SYNFLORIX sadrži natrijum</w:t>
      </w:r>
    </w:p>
    <w:p w14:paraId="068FDFAD" w14:textId="33732701" w:rsidR="00170EC5" w:rsidRPr="00980785" w:rsidRDefault="00170EC5" w:rsidP="00170EC5">
      <w:pPr>
        <w:jc w:val="both"/>
        <w:rPr>
          <w:sz w:val="22"/>
          <w:szCs w:val="22"/>
          <w:lang w:val="sr-Latn-ME"/>
        </w:rPr>
      </w:pPr>
      <w:r w:rsidRPr="00980785">
        <w:rPr>
          <w:sz w:val="22"/>
          <w:szCs w:val="22"/>
          <w:lang w:val="sr-Latn-ME"/>
        </w:rPr>
        <w:t>Ovaj lijek sadrži manje od 1mmol natrijuma (23 mg) po dozi, što je takoreći suštinski “bez natrijuma“.</w:t>
      </w:r>
    </w:p>
    <w:p w14:paraId="0DCC0CCB" w14:textId="77777777" w:rsidR="00057E35" w:rsidRPr="00980785" w:rsidRDefault="00057E35" w:rsidP="00290631">
      <w:pPr>
        <w:tabs>
          <w:tab w:val="left" w:pos="540"/>
          <w:tab w:val="left" w:pos="569"/>
        </w:tabs>
        <w:jc w:val="both"/>
        <w:rPr>
          <w:bCs/>
          <w:sz w:val="22"/>
          <w:szCs w:val="22"/>
          <w:lang w:val="sr-Latn-ME"/>
        </w:rPr>
      </w:pPr>
    </w:p>
    <w:p w14:paraId="68138ABB" w14:textId="73E5148C" w:rsidR="00411B4B" w:rsidRPr="00980785" w:rsidRDefault="00411B4B" w:rsidP="00290631">
      <w:pPr>
        <w:tabs>
          <w:tab w:val="left" w:pos="540"/>
          <w:tab w:val="left" w:pos="569"/>
        </w:tabs>
        <w:jc w:val="both"/>
        <w:rPr>
          <w:b/>
          <w:bCs/>
          <w:sz w:val="22"/>
          <w:szCs w:val="22"/>
          <w:lang w:val="sr-Latn-ME"/>
        </w:rPr>
      </w:pPr>
      <w:r w:rsidRPr="00980785">
        <w:rPr>
          <w:b/>
          <w:bCs/>
          <w:sz w:val="22"/>
          <w:szCs w:val="22"/>
          <w:lang w:val="sr-Latn-ME"/>
        </w:rPr>
        <w:t>4.5.</w:t>
      </w:r>
      <w:r w:rsidR="000D60CC" w:rsidRPr="00980785">
        <w:rPr>
          <w:b/>
          <w:bCs/>
          <w:sz w:val="22"/>
          <w:szCs w:val="22"/>
          <w:lang w:val="sr-Latn-ME"/>
        </w:rPr>
        <w:tab/>
      </w:r>
      <w:r w:rsidRPr="00980785">
        <w:rPr>
          <w:b/>
          <w:bCs/>
          <w:sz w:val="22"/>
          <w:szCs w:val="22"/>
          <w:lang w:val="sr-Latn-ME"/>
        </w:rPr>
        <w:t>Interakcije sa drugim ljekovima i druge vrste interakcija</w:t>
      </w:r>
    </w:p>
    <w:p w14:paraId="365240DC" w14:textId="77777777" w:rsidR="004A3E50" w:rsidRPr="00980785" w:rsidRDefault="004A3E50" w:rsidP="00290631">
      <w:pPr>
        <w:tabs>
          <w:tab w:val="left" w:pos="540"/>
          <w:tab w:val="left" w:pos="569"/>
        </w:tabs>
        <w:jc w:val="both"/>
        <w:rPr>
          <w:b/>
          <w:bCs/>
          <w:sz w:val="22"/>
          <w:szCs w:val="22"/>
          <w:lang w:val="sr-Latn-ME"/>
        </w:rPr>
      </w:pPr>
    </w:p>
    <w:p w14:paraId="396978C0" w14:textId="77777777" w:rsidR="00046B01" w:rsidRDefault="00046B01">
      <w:pPr>
        <w:ind w:left="720" w:right="-55" w:hanging="720"/>
        <w:jc w:val="both"/>
        <w:rPr>
          <w:sz w:val="22"/>
          <w:szCs w:val="22"/>
          <w:u w:val="single"/>
          <w:lang w:val="sr-Latn-ME"/>
        </w:rPr>
      </w:pPr>
    </w:p>
    <w:p w14:paraId="11729EC7" w14:textId="77777777" w:rsidR="00046B01" w:rsidRDefault="00046B01">
      <w:pPr>
        <w:ind w:left="720" w:right="-55" w:hanging="720"/>
        <w:jc w:val="both"/>
        <w:rPr>
          <w:sz w:val="22"/>
          <w:szCs w:val="22"/>
          <w:u w:val="single"/>
          <w:lang w:val="sr-Latn-ME"/>
        </w:rPr>
      </w:pPr>
    </w:p>
    <w:p w14:paraId="50BE109C" w14:textId="5C3251A2" w:rsidR="006C5DDB" w:rsidRPr="00980785" w:rsidRDefault="006C5DDB">
      <w:pPr>
        <w:ind w:left="720" w:right="-55" w:hanging="720"/>
        <w:jc w:val="both"/>
        <w:rPr>
          <w:sz w:val="22"/>
          <w:szCs w:val="22"/>
          <w:u w:val="single"/>
          <w:lang w:val="sr-Latn-ME"/>
        </w:rPr>
      </w:pPr>
      <w:r w:rsidRPr="00980785">
        <w:rPr>
          <w:sz w:val="22"/>
          <w:szCs w:val="22"/>
          <w:u w:val="single"/>
          <w:lang w:val="sr-Latn-ME"/>
        </w:rPr>
        <w:lastRenderedPageBreak/>
        <w:t>Primjena sa drugim vakcinama</w:t>
      </w:r>
    </w:p>
    <w:p w14:paraId="269000FF" w14:textId="77777777" w:rsidR="006C5DDB" w:rsidRPr="00980785" w:rsidRDefault="006C5DDB">
      <w:pPr>
        <w:ind w:left="720" w:right="-55" w:hanging="720"/>
        <w:jc w:val="both"/>
        <w:rPr>
          <w:sz w:val="22"/>
          <w:szCs w:val="22"/>
          <w:lang w:val="sr-Latn-ME"/>
        </w:rPr>
      </w:pPr>
    </w:p>
    <w:p w14:paraId="7D8305AF" w14:textId="20FBEE76" w:rsidR="006C5DDB" w:rsidRPr="00980785" w:rsidRDefault="006C5DDB">
      <w:pPr>
        <w:ind w:right="-55"/>
        <w:jc w:val="both"/>
        <w:rPr>
          <w:sz w:val="22"/>
          <w:szCs w:val="22"/>
          <w:lang w:val="sr-Latn-ME"/>
        </w:rPr>
      </w:pPr>
      <w:r w:rsidRPr="00980785">
        <w:rPr>
          <w:sz w:val="22"/>
          <w:szCs w:val="22"/>
          <w:lang w:val="sr-Latn-ME"/>
        </w:rPr>
        <w:t xml:space="preserve">Vakcina </w:t>
      </w:r>
      <w:r w:rsidR="00677FAC" w:rsidRPr="00980785">
        <w:rPr>
          <w:sz w:val="22"/>
          <w:szCs w:val="22"/>
          <w:lang w:val="sr-Latn-ME"/>
        </w:rPr>
        <w:t>SYNFLORIX</w:t>
      </w:r>
      <w:r w:rsidRPr="00980785">
        <w:rPr>
          <w:sz w:val="22"/>
          <w:szCs w:val="22"/>
          <w:lang w:val="sr-Latn-ME"/>
        </w:rPr>
        <w:t xml:space="preserve"> se može primijeniti istovremeno sa bilo kojom od sljedećih monovalentnih ili kombinovanih vakcina [uključujući DTPa-HBV-IPV/Hib i DTPw-HBV/Hib]: difterija-tetanus-acelularna pertusis vakcina (DTPa), vakcina protiv hepatitisa B (HBV), inaktivisana polio vakcina (IPV), vakcina protiv</w:t>
      </w:r>
      <w:r w:rsidRPr="00980785">
        <w:rPr>
          <w:i/>
          <w:sz w:val="22"/>
          <w:szCs w:val="22"/>
          <w:lang w:val="sr-Latn-ME"/>
        </w:rPr>
        <w:t xml:space="preserve"> Haemophilus influenzae</w:t>
      </w:r>
      <w:r w:rsidRPr="00980785">
        <w:rPr>
          <w:sz w:val="22"/>
          <w:szCs w:val="22"/>
          <w:lang w:val="sr-Latn-ME"/>
        </w:rPr>
        <w:t xml:space="preserve"> tip b (Hib), difterija-tetanus-celularna pertusis vakcina (DTPw), vakcina protiv morbila, rubeole i parotitisa (MMR), vakcina protiv varičele (V), meningokokne konjugovane vakcine serogrupe C (CRM</w:t>
      </w:r>
      <w:r w:rsidRPr="00980785">
        <w:rPr>
          <w:sz w:val="22"/>
          <w:szCs w:val="22"/>
          <w:vertAlign w:val="subscript"/>
          <w:lang w:val="sr-Latn-ME"/>
        </w:rPr>
        <w:t xml:space="preserve">197 </w:t>
      </w:r>
      <w:r w:rsidRPr="00980785">
        <w:rPr>
          <w:sz w:val="22"/>
          <w:szCs w:val="22"/>
          <w:lang w:val="sr-Latn-ME"/>
        </w:rPr>
        <w:t>i TT konjugati), meningokokne konjugovane vakcine serogrupa A, C, W-135 i Y (TT konjugati) oralna polio vakcina (OPV) i oralna vakcina protiv rotavirus</w:t>
      </w:r>
      <w:r w:rsidR="00EE24F3" w:rsidRPr="00980785">
        <w:rPr>
          <w:sz w:val="22"/>
          <w:szCs w:val="22"/>
          <w:lang w:val="sr-Latn-ME"/>
        </w:rPr>
        <w:t>a</w:t>
      </w:r>
      <w:r w:rsidRPr="00980785">
        <w:rPr>
          <w:sz w:val="22"/>
          <w:szCs w:val="22"/>
          <w:lang w:val="sr-Latn-ME"/>
        </w:rPr>
        <w:t>. Različite vakcine koje se primjenjuju putem injekcija treba uvijek davati na različitim injekcionim  mjestima.</w:t>
      </w:r>
    </w:p>
    <w:p w14:paraId="267DFC9E" w14:textId="77777777" w:rsidR="006C5DDB" w:rsidRPr="00980785" w:rsidRDefault="006C5DDB">
      <w:pPr>
        <w:ind w:right="-55"/>
        <w:jc w:val="both"/>
        <w:rPr>
          <w:sz w:val="22"/>
          <w:szCs w:val="22"/>
          <w:lang w:val="sr-Latn-ME"/>
        </w:rPr>
      </w:pPr>
    </w:p>
    <w:p w14:paraId="4A50FE8F" w14:textId="0F488AAE" w:rsidR="006C5DDB" w:rsidRPr="00980785" w:rsidRDefault="006C5DDB" w:rsidP="00EE24F3">
      <w:pPr>
        <w:ind w:right="-55"/>
        <w:jc w:val="both"/>
        <w:rPr>
          <w:sz w:val="22"/>
          <w:szCs w:val="22"/>
          <w:lang w:val="sr-Latn-ME"/>
        </w:rPr>
      </w:pPr>
      <w:r w:rsidRPr="00980785">
        <w:rPr>
          <w:sz w:val="22"/>
          <w:szCs w:val="22"/>
          <w:lang w:val="sr-Latn-ME"/>
        </w:rPr>
        <w:t>Kliničke studije su pokazale da imuni odgovori i bezbjednosni profili vakcina koje se primjenjuju istovremeno nijesu kompromitovani, sa izuzetkom odgovora na vakcinu protiv poliovirusa tip 2, za koju su dobijeni neujednačeni rezultati u različitim studijama (seroprotekcija je varirala od 78% do 100%). Osim toga, kada se menigokokne konjugovane vakcine serogrupa A,</w:t>
      </w:r>
      <w:r w:rsidR="00EE24F3" w:rsidRPr="00980785">
        <w:rPr>
          <w:sz w:val="22"/>
          <w:szCs w:val="22"/>
          <w:lang w:val="sr-Latn-ME"/>
        </w:rPr>
        <w:t xml:space="preserve"> </w:t>
      </w:r>
      <w:r w:rsidRPr="00980785">
        <w:rPr>
          <w:sz w:val="22"/>
          <w:szCs w:val="22"/>
          <w:lang w:val="sr-Latn-ME"/>
        </w:rPr>
        <w:t xml:space="preserve">C, W-135 i Y (TT konjugati) primijene istovremeno sa buster dozom vakcine </w:t>
      </w:r>
      <w:r w:rsidR="00677FAC" w:rsidRPr="00980785">
        <w:rPr>
          <w:sz w:val="22"/>
          <w:szCs w:val="22"/>
          <w:lang w:val="sr-Latn-ME"/>
        </w:rPr>
        <w:t>SYNFLORIX</w:t>
      </w:r>
      <w:r w:rsidRPr="00980785">
        <w:rPr>
          <w:sz w:val="22"/>
          <w:szCs w:val="22"/>
          <w:lang w:val="sr-Latn-ME"/>
        </w:rPr>
        <w:t xml:space="preserve"> tokom druge godine života kod djece koja su primarno vakcinisana vakcinom </w:t>
      </w:r>
      <w:r w:rsidR="00677FAC" w:rsidRPr="00980785">
        <w:rPr>
          <w:sz w:val="22"/>
          <w:szCs w:val="22"/>
          <w:lang w:val="sr-Latn-ME"/>
        </w:rPr>
        <w:t>SYNFLORIX</w:t>
      </w:r>
      <w:r w:rsidRPr="00980785">
        <w:rPr>
          <w:sz w:val="22"/>
          <w:szCs w:val="22"/>
          <w:lang w:val="sr-Latn-ME"/>
        </w:rPr>
        <w:t xml:space="preserve"> u šemi od 3 doze, za jedan pneumokokni serotip (18 C) primijećena je niža geometrijska srednja koncentracija (</w:t>
      </w:r>
      <w:r w:rsidR="00EE24F3" w:rsidRPr="00980785">
        <w:rPr>
          <w:sz w:val="22"/>
          <w:szCs w:val="22"/>
          <w:lang w:val="sr-Latn-ME"/>
        </w:rPr>
        <w:t xml:space="preserve">engl. </w:t>
      </w:r>
      <w:r w:rsidR="00EE24F3" w:rsidRPr="00980785">
        <w:rPr>
          <w:i/>
          <w:sz w:val="22"/>
          <w:szCs w:val="22"/>
          <w:lang w:val="sr-Latn-ME"/>
        </w:rPr>
        <w:t>geometric mean concentration</w:t>
      </w:r>
      <w:r w:rsidR="00EE24F3" w:rsidRPr="00980785">
        <w:rPr>
          <w:sz w:val="22"/>
          <w:szCs w:val="22"/>
          <w:lang w:val="sr-Latn-ME"/>
        </w:rPr>
        <w:t xml:space="preserve">, </w:t>
      </w:r>
      <w:r w:rsidRPr="00980785">
        <w:rPr>
          <w:sz w:val="22"/>
          <w:szCs w:val="22"/>
          <w:lang w:val="sr-Latn-ME"/>
        </w:rPr>
        <w:t>GMC) antitijela i niži geometrijski srednji titar u opsonofagocitnom testu (</w:t>
      </w:r>
      <w:r w:rsidR="00EE24F3" w:rsidRPr="00980785">
        <w:rPr>
          <w:sz w:val="22"/>
          <w:szCs w:val="22"/>
          <w:lang w:val="sr-Latn-ME"/>
        </w:rPr>
        <w:t xml:space="preserve">engl. </w:t>
      </w:r>
      <w:r w:rsidR="00EE24F3" w:rsidRPr="00980785">
        <w:rPr>
          <w:i/>
          <w:sz w:val="22"/>
          <w:szCs w:val="22"/>
          <w:lang w:val="sr-Latn-ME"/>
        </w:rPr>
        <w:t>opsonophagocytic assay geometric mean titre</w:t>
      </w:r>
      <w:r w:rsidR="00EE24F3" w:rsidRPr="00980785">
        <w:rPr>
          <w:sz w:val="22"/>
          <w:szCs w:val="22"/>
          <w:lang w:val="sr-Latn-ME"/>
        </w:rPr>
        <w:t xml:space="preserve">, </w:t>
      </w:r>
      <w:r w:rsidRPr="00980785">
        <w:rPr>
          <w:sz w:val="22"/>
          <w:szCs w:val="22"/>
          <w:lang w:val="sr-Latn-ME"/>
        </w:rPr>
        <w:t>OPA GMT). Istovremena primjena nije uticala na preostalih devet pneumokoknih serotipova.</w:t>
      </w:r>
      <w:r w:rsidR="00EE24F3" w:rsidRPr="00980785">
        <w:rPr>
          <w:sz w:val="22"/>
          <w:szCs w:val="22"/>
          <w:lang w:val="sr-Latn-ME"/>
        </w:rPr>
        <w:t xml:space="preserve"> </w:t>
      </w:r>
      <w:r w:rsidRPr="00980785">
        <w:rPr>
          <w:sz w:val="22"/>
          <w:szCs w:val="22"/>
          <w:lang w:val="sr-Latn-ME"/>
        </w:rPr>
        <w:t>Uočeno je pojačanje odgovora antitijela na Hib-TT konjugat, difterija i tetanus antigene. Klinički značaj gore</w:t>
      </w:r>
      <w:r w:rsidR="00EE24F3" w:rsidRPr="00980785">
        <w:rPr>
          <w:sz w:val="22"/>
          <w:szCs w:val="22"/>
          <w:lang w:val="sr-Latn-ME"/>
        </w:rPr>
        <w:t xml:space="preserve"> </w:t>
      </w:r>
      <w:r w:rsidRPr="00980785">
        <w:rPr>
          <w:sz w:val="22"/>
          <w:szCs w:val="22"/>
          <w:lang w:val="sr-Latn-ME"/>
        </w:rPr>
        <w:t>navedenih zapažanja nije poznat.</w:t>
      </w:r>
    </w:p>
    <w:p w14:paraId="20428087" w14:textId="77777777" w:rsidR="006C5DDB" w:rsidRPr="00980785" w:rsidRDefault="006C5DDB">
      <w:pPr>
        <w:ind w:right="-55"/>
        <w:jc w:val="both"/>
        <w:rPr>
          <w:sz w:val="22"/>
          <w:szCs w:val="22"/>
          <w:lang w:val="sr-Latn-ME"/>
        </w:rPr>
      </w:pPr>
    </w:p>
    <w:p w14:paraId="324986F2" w14:textId="7AC62FA8" w:rsidR="006C5DDB" w:rsidRPr="00980785" w:rsidRDefault="006C5DDB">
      <w:pPr>
        <w:ind w:right="-55"/>
        <w:jc w:val="both"/>
        <w:rPr>
          <w:sz w:val="22"/>
          <w:szCs w:val="22"/>
          <w:u w:val="single"/>
          <w:lang w:val="sr-Latn-ME"/>
        </w:rPr>
      </w:pPr>
      <w:r w:rsidRPr="00980785">
        <w:rPr>
          <w:sz w:val="22"/>
          <w:szCs w:val="22"/>
          <w:u w:val="single"/>
          <w:lang w:val="sr-Latn-ME"/>
        </w:rPr>
        <w:t xml:space="preserve">Primjena sa sistemskim imunosupresivnim </w:t>
      </w:r>
      <w:r w:rsidR="00EE24F3" w:rsidRPr="00980785">
        <w:rPr>
          <w:sz w:val="22"/>
          <w:szCs w:val="22"/>
          <w:u w:val="single"/>
          <w:lang w:val="sr-Latn-ME"/>
        </w:rPr>
        <w:t>ljekovima</w:t>
      </w:r>
    </w:p>
    <w:p w14:paraId="49CACBD4" w14:textId="77777777" w:rsidR="006C5DDB" w:rsidRPr="00980785" w:rsidRDefault="006C5DDB">
      <w:pPr>
        <w:ind w:right="-55"/>
        <w:jc w:val="both"/>
        <w:rPr>
          <w:i/>
          <w:sz w:val="22"/>
          <w:szCs w:val="22"/>
          <w:u w:val="single"/>
          <w:lang w:val="sr-Latn-ME"/>
        </w:rPr>
      </w:pPr>
    </w:p>
    <w:p w14:paraId="03FA5CA9" w14:textId="77777777" w:rsidR="006C5DDB" w:rsidRPr="00980785" w:rsidRDefault="006C5DDB">
      <w:pPr>
        <w:ind w:right="-55"/>
        <w:jc w:val="both"/>
        <w:rPr>
          <w:sz w:val="22"/>
          <w:szCs w:val="22"/>
          <w:lang w:val="sr-Latn-ME"/>
        </w:rPr>
      </w:pPr>
      <w:r w:rsidRPr="00980785">
        <w:rPr>
          <w:sz w:val="22"/>
          <w:szCs w:val="22"/>
          <w:lang w:val="sr-Latn-ME"/>
        </w:rPr>
        <w:t>Kao i kod ostalih vakcina, može se očekivati da se kod pacijenata na imunosupresivnoj terapiji neće razviti adekvatan imuni odgovor.</w:t>
      </w:r>
    </w:p>
    <w:p w14:paraId="36C16E4D" w14:textId="77777777" w:rsidR="006C5DDB" w:rsidRPr="00980785" w:rsidRDefault="006C5DDB">
      <w:pPr>
        <w:ind w:right="-55"/>
        <w:jc w:val="both"/>
        <w:rPr>
          <w:sz w:val="22"/>
          <w:szCs w:val="22"/>
          <w:lang w:val="sr-Latn-ME"/>
        </w:rPr>
      </w:pPr>
    </w:p>
    <w:p w14:paraId="35B14E93" w14:textId="77777777" w:rsidR="006C5DDB" w:rsidRPr="00980785" w:rsidRDefault="006C5DDB">
      <w:pPr>
        <w:ind w:right="-55"/>
        <w:jc w:val="both"/>
        <w:rPr>
          <w:sz w:val="22"/>
          <w:szCs w:val="22"/>
          <w:u w:val="single"/>
          <w:lang w:val="sr-Latn-ME"/>
        </w:rPr>
      </w:pPr>
      <w:r w:rsidRPr="00980785">
        <w:rPr>
          <w:sz w:val="22"/>
          <w:szCs w:val="22"/>
          <w:u w:val="single"/>
          <w:lang w:val="sr-Latn-ME"/>
        </w:rPr>
        <w:t xml:space="preserve">Primjena uz profilaktičko davanje antipiretika  </w:t>
      </w:r>
    </w:p>
    <w:p w14:paraId="6E2025A1" w14:textId="77777777" w:rsidR="006C5DDB" w:rsidRPr="00980785" w:rsidRDefault="006C5DDB">
      <w:pPr>
        <w:ind w:left="720" w:right="-55" w:hanging="720"/>
        <w:jc w:val="both"/>
        <w:rPr>
          <w:sz w:val="22"/>
          <w:szCs w:val="22"/>
          <w:lang w:val="sr-Latn-ME"/>
        </w:rPr>
      </w:pPr>
    </w:p>
    <w:p w14:paraId="62509596" w14:textId="33D42620" w:rsidR="006C5DDB" w:rsidRPr="00980785" w:rsidRDefault="001C47CB">
      <w:pPr>
        <w:ind w:right="-55"/>
        <w:jc w:val="both"/>
        <w:rPr>
          <w:sz w:val="22"/>
          <w:szCs w:val="22"/>
          <w:lang w:val="sr-Latn-ME"/>
        </w:rPr>
      </w:pPr>
      <w:r w:rsidRPr="00980785">
        <w:rPr>
          <w:sz w:val="22"/>
          <w:szCs w:val="22"/>
          <w:lang w:val="sr-Latn-ME"/>
        </w:rPr>
        <w:t>Klinički podaci ukazuju da profilaktička prim</w:t>
      </w:r>
      <w:r w:rsidR="00452009" w:rsidRPr="00980785">
        <w:rPr>
          <w:sz w:val="22"/>
          <w:szCs w:val="22"/>
          <w:lang w:val="sr-Latn-ME"/>
        </w:rPr>
        <w:t>j</w:t>
      </w:r>
      <w:r w:rsidRPr="00980785">
        <w:rPr>
          <w:sz w:val="22"/>
          <w:szCs w:val="22"/>
          <w:lang w:val="sr-Latn-ME"/>
        </w:rPr>
        <w:t>ena paracetamola, koji se koristi da smanji učestalost mogućih febrilnih reakcija nakon prim</w:t>
      </w:r>
      <w:r w:rsidR="00452009" w:rsidRPr="00980785">
        <w:rPr>
          <w:sz w:val="22"/>
          <w:szCs w:val="22"/>
          <w:lang w:val="sr-Latn-ME"/>
        </w:rPr>
        <w:t>j</w:t>
      </w:r>
      <w:r w:rsidRPr="00980785">
        <w:rPr>
          <w:sz w:val="22"/>
          <w:szCs w:val="22"/>
          <w:lang w:val="sr-Latn-ME"/>
        </w:rPr>
        <w:t>ene vakcine, može smanjiti imuni odgovor na vakcinu S</w:t>
      </w:r>
      <w:r w:rsidR="00452009" w:rsidRPr="00980785">
        <w:rPr>
          <w:sz w:val="22"/>
          <w:szCs w:val="22"/>
          <w:lang w:val="sr-Latn-ME"/>
        </w:rPr>
        <w:t>YNFLORIX</w:t>
      </w:r>
      <w:r w:rsidRPr="00980785">
        <w:rPr>
          <w:sz w:val="22"/>
          <w:szCs w:val="22"/>
          <w:lang w:val="sr-Latn-ME"/>
        </w:rPr>
        <w:t xml:space="preserve">. Međutim, klinički značaj pomenutih zapažanja nije poznat. </w:t>
      </w:r>
      <w:r w:rsidR="006C5DDB" w:rsidRPr="00980785">
        <w:rPr>
          <w:sz w:val="22"/>
          <w:szCs w:val="22"/>
          <w:lang w:val="sr-Latn-ME"/>
        </w:rPr>
        <w:t xml:space="preserve">Vidjeti </w:t>
      </w:r>
      <w:r w:rsidR="00F87210" w:rsidRPr="00980785">
        <w:rPr>
          <w:sz w:val="22"/>
          <w:szCs w:val="22"/>
          <w:lang w:val="sr-Latn-ME"/>
        </w:rPr>
        <w:t>dio</w:t>
      </w:r>
      <w:r w:rsidR="006C5DDB" w:rsidRPr="00980785">
        <w:rPr>
          <w:sz w:val="22"/>
          <w:szCs w:val="22"/>
          <w:lang w:val="sr-Latn-ME"/>
        </w:rPr>
        <w:t xml:space="preserve"> 4. 4.</w:t>
      </w:r>
    </w:p>
    <w:p w14:paraId="48877E53" w14:textId="77777777" w:rsidR="0072020E" w:rsidRPr="00980785" w:rsidRDefault="0072020E" w:rsidP="00290631">
      <w:pPr>
        <w:tabs>
          <w:tab w:val="left" w:pos="540"/>
          <w:tab w:val="left" w:pos="569"/>
        </w:tabs>
        <w:jc w:val="both"/>
        <w:rPr>
          <w:bCs/>
          <w:sz w:val="22"/>
          <w:szCs w:val="22"/>
          <w:lang w:val="sr-Latn-ME"/>
        </w:rPr>
      </w:pPr>
    </w:p>
    <w:p w14:paraId="11060009" w14:textId="77777777" w:rsidR="0072020E" w:rsidRPr="00980785" w:rsidRDefault="0072020E" w:rsidP="00290631">
      <w:pPr>
        <w:tabs>
          <w:tab w:val="left" w:pos="540"/>
          <w:tab w:val="left" w:pos="569"/>
        </w:tabs>
        <w:jc w:val="both"/>
        <w:rPr>
          <w:b/>
          <w:sz w:val="22"/>
          <w:szCs w:val="22"/>
          <w:lang w:val="sr-Latn-ME"/>
        </w:rPr>
      </w:pPr>
      <w:r w:rsidRPr="00980785">
        <w:rPr>
          <w:b/>
          <w:bCs/>
          <w:sz w:val="22"/>
          <w:szCs w:val="22"/>
          <w:lang w:val="sr-Latn-ME"/>
        </w:rPr>
        <w:t xml:space="preserve">4.6. </w:t>
      </w:r>
      <w:r w:rsidR="00480FB1" w:rsidRPr="00980785">
        <w:rPr>
          <w:b/>
          <w:bCs/>
          <w:sz w:val="22"/>
          <w:szCs w:val="22"/>
          <w:lang w:val="sr-Latn-ME"/>
        </w:rPr>
        <w:tab/>
      </w:r>
      <w:r w:rsidR="006D20A5" w:rsidRPr="00980785">
        <w:rPr>
          <w:b/>
          <w:sz w:val="22"/>
          <w:szCs w:val="22"/>
          <w:lang w:val="sr-Latn-ME"/>
        </w:rPr>
        <w:t>Plodnost, trudnoća i dojenje</w:t>
      </w:r>
    </w:p>
    <w:p w14:paraId="2E3C107E" w14:textId="77777777" w:rsidR="002031B3" w:rsidRPr="00980785" w:rsidRDefault="002031B3" w:rsidP="00290631">
      <w:pPr>
        <w:tabs>
          <w:tab w:val="left" w:pos="540"/>
          <w:tab w:val="left" w:pos="569"/>
        </w:tabs>
        <w:jc w:val="both"/>
        <w:rPr>
          <w:sz w:val="22"/>
          <w:szCs w:val="22"/>
          <w:u w:val="single"/>
          <w:lang w:val="sr-Latn-ME"/>
        </w:rPr>
      </w:pPr>
    </w:p>
    <w:p w14:paraId="51518697" w14:textId="087758C9" w:rsidR="008C6985" w:rsidRPr="00980785" w:rsidRDefault="008C6985">
      <w:pPr>
        <w:jc w:val="both"/>
        <w:rPr>
          <w:bCs/>
          <w:sz w:val="22"/>
          <w:szCs w:val="22"/>
          <w:highlight w:val="yellow"/>
          <w:lang w:val="sr-Latn-ME"/>
        </w:rPr>
      </w:pPr>
      <w:r w:rsidRPr="00980785">
        <w:rPr>
          <w:sz w:val="22"/>
          <w:szCs w:val="22"/>
          <w:lang w:val="sr-Latn-ME"/>
        </w:rPr>
        <w:t xml:space="preserve">Vakcina </w:t>
      </w:r>
      <w:r w:rsidR="00677FAC" w:rsidRPr="00980785">
        <w:rPr>
          <w:sz w:val="22"/>
          <w:szCs w:val="22"/>
          <w:lang w:val="sr-Latn-ME"/>
        </w:rPr>
        <w:t>SYNFLORIX</w:t>
      </w:r>
      <w:r w:rsidRPr="00980785">
        <w:rPr>
          <w:sz w:val="22"/>
          <w:szCs w:val="22"/>
          <w:lang w:val="sr-Latn-ME"/>
        </w:rPr>
        <w:t xml:space="preserve"> nije namijenjena za primjenu kod odraslih osoba. Podaci o upotrebi vakcine tokom perioda trudnoće i</w:t>
      </w:r>
      <w:r w:rsidR="00B35486" w:rsidRPr="00980785">
        <w:rPr>
          <w:sz w:val="22"/>
          <w:szCs w:val="22"/>
          <w:lang w:val="sr-Latn-ME"/>
        </w:rPr>
        <w:t>li</w:t>
      </w:r>
      <w:r w:rsidRPr="00980785">
        <w:rPr>
          <w:sz w:val="22"/>
          <w:szCs w:val="22"/>
          <w:lang w:val="sr-Latn-ME"/>
        </w:rPr>
        <w:t xml:space="preserve"> dojenja</w:t>
      </w:r>
      <w:r w:rsidR="00EE24F3" w:rsidRPr="00980785">
        <w:rPr>
          <w:sz w:val="22"/>
          <w:szCs w:val="22"/>
          <w:lang w:val="sr-Latn-ME"/>
        </w:rPr>
        <w:t xml:space="preserve"> kod ljudi</w:t>
      </w:r>
      <w:r w:rsidRPr="00980785">
        <w:rPr>
          <w:sz w:val="22"/>
          <w:szCs w:val="22"/>
          <w:lang w:val="sr-Latn-ME"/>
        </w:rPr>
        <w:t>, kao i iz reproduktivnih studija na životinjama nijesu dostupni.</w:t>
      </w:r>
    </w:p>
    <w:p w14:paraId="3FA5405F" w14:textId="77777777" w:rsidR="00227BDB" w:rsidRPr="00980785" w:rsidRDefault="00227BDB" w:rsidP="00290631">
      <w:pPr>
        <w:tabs>
          <w:tab w:val="left" w:pos="540"/>
          <w:tab w:val="left" w:pos="569"/>
        </w:tabs>
        <w:ind w:left="540" w:hanging="540"/>
        <w:jc w:val="both"/>
        <w:rPr>
          <w:b/>
          <w:bCs/>
          <w:sz w:val="22"/>
          <w:szCs w:val="22"/>
          <w:lang w:val="sr-Latn-ME"/>
        </w:rPr>
      </w:pPr>
    </w:p>
    <w:p w14:paraId="41A35D78" w14:textId="471B92E7" w:rsidR="0072020E" w:rsidRPr="00980785" w:rsidRDefault="0072020E" w:rsidP="00290631">
      <w:pPr>
        <w:tabs>
          <w:tab w:val="left" w:pos="540"/>
          <w:tab w:val="left" w:pos="569"/>
        </w:tabs>
        <w:ind w:left="540" w:hanging="540"/>
        <w:jc w:val="both"/>
        <w:rPr>
          <w:b/>
          <w:bCs/>
          <w:sz w:val="22"/>
          <w:szCs w:val="22"/>
          <w:lang w:val="sr-Latn-ME"/>
        </w:rPr>
      </w:pPr>
      <w:r w:rsidRPr="00980785">
        <w:rPr>
          <w:b/>
          <w:bCs/>
          <w:sz w:val="22"/>
          <w:szCs w:val="22"/>
          <w:lang w:val="sr-Latn-ME"/>
        </w:rPr>
        <w:t xml:space="preserve">4.7. </w:t>
      </w:r>
      <w:r w:rsidR="00480FB1" w:rsidRPr="00980785">
        <w:rPr>
          <w:b/>
          <w:bCs/>
          <w:sz w:val="22"/>
          <w:szCs w:val="22"/>
          <w:lang w:val="sr-Latn-ME"/>
        </w:rPr>
        <w:tab/>
      </w:r>
      <w:r w:rsidRPr="00980785">
        <w:rPr>
          <w:b/>
          <w:bCs/>
          <w:sz w:val="22"/>
          <w:szCs w:val="22"/>
          <w:lang w:val="sr-Latn-ME"/>
        </w:rPr>
        <w:t xml:space="preserve">Uticaj na </w:t>
      </w:r>
      <w:r w:rsidR="002031B3" w:rsidRPr="00980785">
        <w:rPr>
          <w:b/>
          <w:bCs/>
          <w:sz w:val="22"/>
          <w:szCs w:val="22"/>
          <w:lang w:val="sr-Latn-ME"/>
        </w:rPr>
        <w:t xml:space="preserve">sposobnost </w:t>
      </w:r>
      <w:r w:rsidR="00F34554" w:rsidRPr="00980785">
        <w:rPr>
          <w:b/>
          <w:bCs/>
          <w:sz w:val="22"/>
          <w:szCs w:val="22"/>
          <w:lang w:val="sr-Latn-ME"/>
        </w:rPr>
        <w:t>upravljanja vozili</w:t>
      </w:r>
      <w:r w:rsidRPr="00980785">
        <w:rPr>
          <w:b/>
          <w:bCs/>
          <w:sz w:val="22"/>
          <w:szCs w:val="22"/>
          <w:lang w:val="sr-Latn-ME"/>
        </w:rPr>
        <w:t>m</w:t>
      </w:r>
      <w:r w:rsidR="00F34554" w:rsidRPr="00980785">
        <w:rPr>
          <w:b/>
          <w:bCs/>
          <w:sz w:val="22"/>
          <w:szCs w:val="22"/>
          <w:lang w:val="sr-Latn-ME"/>
        </w:rPr>
        <w:t>a</w:t>
      </w:r>
      <w:r w:rsidRPr="00980785">
        <w:rPr>
          <w:b/>
          <w:bCs/>
          <w:sz w:val="22"/>
          <w:szCs w:val="22"/>
          <w:lang w:val="sr-Latn-ME"/>
        </w:rPr>
        <w:t xml:space="preserve"> i </w:t>
      </w:r>
      <w:r w:rsidR="000D3449" w:rsidRPr="00980785">
        <w:rPr>
          <w:b/>
          <w:bCs/>
          <w:sz w:val="22"/>
          <w:szCs w:val="22"/>
          <w:lang w:val="sr-Latn-ME"/>
        </w:rPr>
        <w:t xml:space="preserve">rukovanje </w:t>
      </w:r>
      <w:r w:rsidRPr="00980785">
        <w:rPr>
          <w:b/>
          <w:bCs/>
          <w:sz w:val="22"/>
          <w:szCs w:val="22"/>
          <w:lang w:val="sr-Latn-ME"/>
        </w:rPr>
        <w:t>mašinama</w:t>
      </w:r>
    </w:p>
    <w:p w14:paraId="07DF9159" w14:textId="77777777" w:rsidR="00EE24F3" w:rsidRPr="00980785" w:rsidRDefault="00EE24F3" w:rsidP="00290631">
      <w:pPr>
        <w:tabs>
          <w:tab w:val="left" w:pos="540"/>
          <w:tab w:val="left" w:pos="569"/>
        </w:tabs>
        <w:ind w:left="540" w:hanging="540"/>
        <w:jc w:val="both"/>
        <w:rPr>
          <w:b/>
          <w:bCs/>
          <w:sz w:val="22"/>
          <w:szCs w:val="22"/>
          <w:lang w:val="sr-Latn-ME"/>
        </w:rPr>
      </w:pPr>
    </w:p>
    <w:p w14:paraId="3345A015" w14:textId="77777777" w:rsidR="00BB264D" w:rsidRPr="00980785" w:rsidRDefault="00BB264D">
      <w:pPr>
        <w:pStyle w:val="Header"/>
        <w:jc w:val="both"/>
        <w:rPr>
          <w:sz w:val="22"/>
          <w:szCs w:val="22"/>
          <w:highlight w:val="yellow"/>
          <w:lang w:val="sr-Latn-ME" w:eastAsia="x-none"/>
        </w:rPr>
      </w:pPr>
      <w:r w:rsidRPr="00980785">
        <w:rPr>
          <w:sz w:val="22"/>
          <w:szCs w:val="22"/>
          <w:lang w:val="sr-Latn-ME"/>
        </w:rPr>
        <w:t>Nije relevantno.</w:t>
      </w:r>
    </w:p>
    <w:p w14:paraId="111B1727" w14:textId="77777777" w:rsidR="0072020E" w:rsidRPr="00980785" w:rsidRDefault="0072020E" w:rsidP="00290631">
      <w:pPr>
        <w:tabs>
          <w:tab w:val="left" w:pos="540"/>
          <w:tab w:val="left" w:pos="569"/>
        </w:tabs>
        <w:jc w:val="both"/>
        <w:rPr>
          <w:b/>
          <w:bCs/>
          <w:sz w:val="22"/>
          <w:szCs w:val="22"/>
          <w:lang w:val="sr-Latn-ME"/>
        </w:rPr>
      </w:pPr>
    </w:p>
    <w:p w14:paraId="5753FE9F" w14:textId="77777777" w:rsidR="0072020E" w:rsidRPr="00980785" w:rsidRDefault="0072020E" w:rsidP="00290631">
      <w:pPr>
        <w:tabs>
          <w:tab w:val="left" w:pos="540"/>
          <w:tab w:val="left" w:pos="569"/>
        </w:tabs>
        <w:jc w:val="both"/>
        <w:rPr>
          <w:b/>
          <w:bCs/>
          <w:sz w:val="22"/>
          <w:szCs w:val="22"/>
          <w:lang w:val="sr-Latn-ME"/>
        </w:rPr>
      </w:pPr>
      <w:r w:rsidRPr="00980785">
        <w:rPr>
          <w:b/>
          <w:bCs/>
          <w:sz w:val="22"/>
          <w:szCs w:val="22"/>
          <w:lang w:val="sr-Latn-ME"/>
        </w:rPr>
        <w:t xml:space="preserve">4.8. </w:t>
      </w:r>
      <w:r w:rsidR="00480FB1" w:rsidRPr="00980785">
        <w:rPr>
          <w:b/>
          <w:bCs/>
          <w:sz w:val="22"/>
          <w:szCs w:val="22"/>
          <w:lang w:val="sr-Latn-ME"/>
        </w:rPr>
        <w:tab/>
      </w:r>
      <w:r w:rsidRPr="00980785">
        <w:rPr>
          <w:b/>
          <w:bCs/>
          <w:sz w:val="22"/>
          <w:szCs w:val="22"/>
          <w:lang w:val="sr-Latn-ME"/>
        </w:rPr>
        <w:t>Neželjena dejstva</w:t>
      </w:r>
    </w:p>
    <w:p w14:paraId="4C5BF03B" w14:textId="77777777" w:rsidR="00646436" w:rsidRPr="00980785" w:rsidRDefault="00BB264D">
      <w:pPr>
        <w:pStyle w:val="BodyTextIndent3"/>
        <w:tabs>
          <w:tab w:val="left" w:pos="0"/>
        </w:tabs>
        <w:ind w:left="0"/>
        <w:jc w:val="both"/>
        <w:rPr>
          <w:rFonts w:ascii="Times New Roman" w:hAnsi="Times New Roman"/>
          <w:b/>
          <w:i/>
          <w:sz w:val="22"/>
          <w:szCs w:val="22"/>
          <w:lang w:val="sr-Latn-ME"/>
        </w:rPr>
      </w:pPr>
      <w:r w:rsidRPr="00980785">
        <w:rPr>
          <w:rFonts w:ascii="Times New Roman" w:hAnsi="Times New Roman"/>
          <w:b/>
          <w:i/>
          <w:sz w:val="22"/>
          <w:szCs w:val="22"/>
          <w:lang w:val="sr-Latn-ME"/>
        </w:rPr>
        <w:t xml:space="preserve">         </w:t>
      </w:r>
    </w:p>
    <w:p w14:paraId="7E1BD26F" w14:textId="77777777" w:rsidR="00BB264D" w:rsidRPr="00980785" w:rsidRDefault="00646436" w:rsidP="00290631">
      <w:pPr>
        <w:pStyle w:val="BodyTextIndent3"/>
        <w:tabs>
          <w:tab w:val="left" w:pos="0"/>
        </w:tabs>
        <w:ind w:left="0"/>
        <w:jc w:val="both"/>
        <w:rPr>
          <w:rFonts w:ascii="Times New Roman" w:hAnsi="Times New Roman"/>
          <w:b/>
          <w:i/>
          <w:sz w:val="22"/>
          <w:szCs w:val="22"/>
          <w:lang w:val="sr-Latn-ME"/>
        </w:rPr>
      </w:pPr>
      <w:r w:rsidRPr="00980785">
        <w:rPr>
          <w:rFonts w:ascii="Times New Roman" w:hAnsi="Times New Roman"/>
          <w:b/>
          <w:i/>
          <w:sz w:val="22"/>
          <w:szCs w:val="22"/>
          <w:lang w:val="sr-Latn-ME"/>
        </w:rPr>
        <w:t xml:space="preserve">         </w:t>
      </w:r>
      <w:r w:rsidR="00BB264D" w:rsidRPr="00980785">
        <w:rPr>
          <w:rFonts w:ascii="Times New Roman" w:hAnsi="Times New Roman"/>
          <w:b/>
          <w:i/>
          <w:sz w:val="22"/>
          <w:szCs w:val="22"/>
          <w:lang w:val="sr-Latn-ME"/>
        </w:rPr>
        <w:t xml:space="preserve"> Sažetak bezbjednosnog profila</w:t>
      </w:r>
    </w:p>
    <w:p w14:paraId="0C64E5B6" w14:textId="77777777" w:rsidR="00BB264D" w:rsidRPr="00980785" w:rsidRDefault="00BB264D">
      <w:pPr>
        <w:pStyle w:val="BodyTextIndent3"/>
        <w:tabs>
          <w:tab w:val="left" w:pos="0"/>
        </w:tabs>
        <w:ind w:left="0"/>
        <w:jc w:val="both"/>
        <w:rPr>
          <w:rFonts w:ascii="Times New Roman" w:hAnsi="Times New Roman"/>
          <w:sz w:val="22"/>
          <w:szCs w:val="22"/>
          <w:lang w:val="sr-Latn-ME"/>
        </w:rPr>
      </w:pPr>
    </w:p>
    <w:p w14:paraId="15CD347D" w14:textId="14567FE4" w:rsidR="00BB264D" w:rsidRPr="00980785" w:rsidRDefault="00BB264D">
      <w:pPr>
        <w:pStyle w:val="BodyTextIndent3"/>
        <w:tabs>
          <w:tab w:val="left" w:pos="0"/>
        </w:tabs>
        <w:ind w:left="0"/>
        <w:jc w:val="both"/>
        <w:rPr>
          <w:rFonts w:ascii="Times New Roman" w:hAnsi="Times New Roman"/>
          <w:sz w:val="22"/>
          <w:szCs w:val="22"/>
          <w:lang w:val="sr-Latn-ME"/>
        </w:rPr>
      </w:pPr>
      <w:r w:rsidRPr="00980785">
        <w:rPr>
          <w:rFonts w:ascii="Times New Roman" w:hAnsi="Times New Roman"/>
          <w:sz w:val="22"/>
          <w:szCs w:val="22"/>
          <w:lang w:val="sr-Latn-ME"/>
        </w:rPr>
        <w:tab/>
        <w:t xml:space="preserve">Bezbjednosna procjena vakcine </w:t>
      </w:r>
      <w:r w:rsidR="00677FAC" w:rsidRPr="00980785">
        <w:rPr>
          <w:rFonts w:ascii="Times New Roman" w:hAnsi="Times New Roman"/>
          <w:sz w:val="22"/>
          <w:szCs w:val="22"/>
          <w:lang w:val="sr-Latn-ME"/>
        </w:rPr>
        <w:t>SYNFLORIX</w:t>
      </w:r>
      <w:r w:rsidRPr="00980785">
        <w:rPr>
          <w:rFonts w:ascii="Times New Roman" w:hAnsi="Times New Roman"/>
          <w:sz w:val="22"/>
          <w:szCs w:val="22"/>
          <w:lang w:val="sr-Latn-ME"/>
        </w:rPr>
        <w:t xml:space="preserve"> </w:t>
      </w:r>
      <w:r w:rsidR="00EE24F3" w:rsidRPr="00980785">
        <w:rPr>
          <w:rFonts w:ascii="Times New Roman" w:hAnsi="Times New Roman"/>
          <w:sz w:val="22"/>
          <w:szCs w:val="22"/>
          <w:lang w:val="sr-Latn-ME"/>
        </w:rPr>
        <w:t>izvršena</w:t>
      </w:r>
      <w:r w:rsidRPr="00980785">
        <w:rPr>
          <w:rFonts w:ascii="Times New Roman" w:hAnsi="Times New Roman"/>
          <w:sz w:val="22"/>
          <w:szCs w:val="22"/>
          <w:lang w:val="sr-Latn-ME"/>
        </w:rPr>
        <w:t xml:space="preserve"> je na osnovu kliničkih studija koje su uključivale primjenu 63 905 doza vakcine </w:t>
      </w:r>
      <w:r w:rsidR="00677FAC" w:rsidRPr="00980785">
        <w:rPr>
          <w:rFonts w:ascii="Times New Roman" w:hAnsi="Times New Roman"/>
          <w:sz w:val="22"/>
          <w:szCs w:val="22"/>
          <w:lang w:val="sr-Latn-ME"/>
        </w:rPr>
        <w:t>SYNFLORIX</w:t>
      </w:r>
      <w:r w:rsidRPr="00980785">
        <w:rPr>
          <w:rFonts w:ascii="Times New Roman" w:hAnsi="Times New Roman"/>
          <w:sz w:val="22"/>
          <w:szCs w:val="22"/>
          <w:lang w:val="sr-Latn-ME"/>
        </w:rPr>
        <w:t xml:space="preserve"> kod 22 429 zdrave djece i 137 prijevremeno rođene </w:t>
      </w:r>
      <w:r w:rsidR="00EE24F3" w:rsidRPr="00980785">
        <w:rPr>
          <w:rFonts w:ascii="Times New Roman" w:hAnsi="Times New Roman"/>
          <w:sz w:val="22"/>
          <w:szCs w:val="22"/>
          <w:lang w:val="sr-Latn-ME"/>
        </w:rPr>
        <w:t>odojčadi</w:t>
      </w:r>
      <w:r w:rsidRPr="00980785">
        <w:rPr>
          <w:rFonts w:ascii="Times New Roman" w:hAnsi="Times New Roman"/>
          <w:sz w:val="22"/>
          <w:szCs w:val="22"/>
          <w:lang w:val="sr-Latn-ME"/>
        </w:rPr>
        <w:t xml:space="preserve">, kao primarna imunizacija. Dalje, 19 466 djece i 116 prijevremeno rođene </w:t>
      </w:r>
      <w:r w:rsidR="00EE24F3" w:rsidRPr="00980785">
        <w:rPr>
          <w:rFonts w:ascii="Times New Roman" w:hAnsi="Times New Roman"/>
          <w:sz w:val="22"/>
          <w:szCs w:val="22"/>
          <w:lang w:val="sr-Latn-ME"/>
        </w:rPr>
        <w:t>odojčadi</w:t>
      </w:r>
      <w:r w:rsidRPr="00980785">
        <w:rPr>
          <w:rFonts w:ascii="Times New Roman" w:hAnsi="Times New Roman"/>
          <w:sz w:val="22"/>
          <w:szCs w:val="22"/>
          <w:lang w:val="sr-Latn-ME"/>
        </w:rPr>
        <w:t xml:space="preserve"> primilo je buster dozu vakcine </w:t>
      </w:r>
      <w:r w:rsidR="00677FAC" w:rsidRPr="00980785">
        <w:rPr>
          <w:rFonts w:ascii="Times New Roman" w:hAnsi="Times New Roman"/>
          <w:sz w:val="22"/>
          <w:szCs w:val="22"/>
          <w:lang w:val="sr-Latn-ME"/>
        </w:rPr>
        <w:t>SYNFLORIX</w:t>
      </w:r>
      <w:r w:rsidRPr="00980785">
        <w:rPr>
          <w:rFonts w:ascii="Times New Roman" w:hAnsi="Times New Roman"/>
          <w:sz w:val="22"/>
          <w:szCs w:val="22"/>
          <w:lang w:val="sr-Latn-ME"/>
        </w:rPr>
        <w:t xml:space="preserve"> u drugoj godini života.</w:t>
      </w:r>
    </w:p>
    <w:p w14:paraId="7C6349D1" w14:textId="5C8E1466" w:rsidR="00BB264D" w:rsidRPr="00980785" w:rsidRDefault="00BB264D">
      <w:pPr>
        <w:pStyle w:val="BodyTextIndent3"/>
        <w:tabs>
          <w:tab w:val="left" w:pos="0"/>
        </w:tabs>
        <w:ind w:left="0"/>
        <w:jc w:val="both"/>
        <w:rPr>
          <w:rFonts w:ascii="Times New Roman" w:hAnsi="Times New Roman"/>
          <w:sz w:val="22"/>
          <w:szCs w:val="22"/>
          <w:lang w:val="sr-Latn-ME"/>
        </w:rPr>
      </w:pPr>
      <w:r w:rsidRPr="00980785">
        <w:rPr>
          <w:rFonts w:ascii="Times New Roman" w:hAnsi="Times New Roman"/>
          <w:sz w:val="22"/>
          <w:szCs w:val="22"/>
          <w:lang w:val="sr-Latn-ME"/>
        </w:rPr>
        <w:tab/>
        <w:t xml:space="preserve">Bezbjednost primjene vakcine </w:t>
      </w:r>
      <w:r w:rsidR="00677FAC" w:rsidRPr="00980785">
        <w:rPr>
          <w:rFonts w:ascii="Times New Roman" w:hAnsi="Times New Roman"/>
          <w:sz w:val="22"/>
          <w:szCs w:val="22"/>
          <w:lang w:val="sr-Latn-ME"/>
        </w:rPr>
        <w:t>SYNFLORIX</w:t>
      </w:r>
      <w:r w:rsidRPr="00980785">
        <w:rPr>
          <w:rFonts w:ascii="Times New Roman" w:hAnsi="Times New Roman"/>
          <w:sz w:val="22"/>
          <w:szCs w:val="22"/>
          <w:lang w:val="sr-Latn-ME"/>
        </w:rPr>
        <w:t xml:space="preserve"> je takođe procjenjivana kod 435 djece, </w:t>
      </w:r>
      <w:r w:rsidR="00EE24F3" w:rsidRPr="00980785">
        <w:rPr>
          <w:rFonts w:ascii="Times New Roman" w:hAnsi="Times New Roman"/>
          <w:sz w:val="22"/>
          <w:szCs w:val="22"/>
          <w:lang w:val="sr-Latn-ME"/>
        </w:rPr>
        <w:t>uzrasta</w:t>
      </w:r>
      <w:r w:rsidRPr="00980785">
        <w:rPr>
          <w:rFonts w:ascii="Times New Roman" w:hAnsi="Times New Roman"/>
          <w:sz w:val="22"/>
          <w:szCs w:val="22"/>
          <w:lang w:val="sr-Latn-ME"/>
        </w:rPr>
        <w:t xml:space="preserve"> od 2 do 5 godina života, koja prethodno nijesu vakcinisana, od kojih je 285 primilo 2 doze vakcine </w:t>
      </w:r>
      <w:r w:rsidR="00677FAC" w:rsidRPr="00980785">
        <w:rPr>
          <w:rFonts w:ascii="Times New Roman" w:hAnsi="Times New Roman"/>
          <w:sz w:val="22"/>
          <w:szCs w:val="22"/>
          <w:lang w:val="sr-Latn-ME"/>
        </w:rPr>
        <w:t>SYNFLORIX</w:t>
      </w:r>
      <w:r w:rsidRPr="00980785">
        <w:rPr>
          <w:rFonts w:ascii="Times New Roman" w:hAnsi="Times New Roman"/>
          <w:sz w:val="22"/>
          <w:szCs w:val="22"/>
          <w:lang w:val="sr-Latn-ME"/>
        </w:rPr>
        <w:t>.</w:t>
      </w:r>
    </w:p>
    <w:p w14:paraId="0813CFCA" w14:textId="77777777" w:rsidR="00BB264D" w:rsidRPr="00980785" w:rsidRDefault="00BB264D">
      <w:pPr>
        <w:pStyle w:val="BodyTextIndent3"/>
        <w:tabs>
          <w:tab w:val="left" w:pos="0"/>
        </w:tabs>
        <w:ind w:left="0"/>
        <w:jc w:val="both"/>
        <w:rPr>
          <w:rFonts w:ascii="Times New Roman" w:hAnsi="Times New Roman"/>
          <w:sz w:val="22"/>
          <w:szCs w:val="22"/>
          <w:lang w:val="sr-Latn-ME"/>
        </w:rPr>
      </w:pPr>
      <w:r w:rsidRPr="00980785">
        <w:rPr>
          <w:rFonts w:ascii="Times New Roman" w:hAnsi="Times New Roman"/>
          <w:sz w:val="22"/>
          <w:szCs w:val="22"/>
          <w:lang w:val="sr-Latn-ME"/>
        </w:rPr>
        <w:tab/>
        <w:t xml:space="preserve">U svim kliničkim studijama, vakcina </w:t>
      </w:r>
      <w:r w:rsidR="00677FAC" w:rsidRPr="00980785">
        <w:rPr>
          <w:rFonts w:ascii="Times New Roman" w:hAnsi="Times New Roman"/>
          <w:sz w:val="22"/>
          <w:szCs w:val="22"/>
          <w:lang w:val="sr-Latn-ME"/>
        </w:rPr>
        <w:t>SYNFLORIX</w:t>
      </w:r>
      <w:r w:rsidR="00F54011" w:rsidRPr="00980785">
        <w:rPr>
          <w:rFonts w:ascii="Times New Roman" w:hAnsi="Times New Roman"/>
          <w:sz w:val="22"/>
          <w:szCs w:val="22"/>
          <w:lang w:val="sr-Latn-ME"/>
        </w:rPr>
        <w:t xml:space="preserve"> </w:t>
      </w:r>
      <w:r w:rsidRPr="00980785">
        <w:rPr>
          <w:rFonts w:ascii="Times New Roman" w:hAnsi="Times New Roman"/>
          <w:sz w:val="22"/>
          <w:szCs w:val="22"/>
          <w:lang w:val="sr-Latn-ME"/>
        </w:rPr>
        <w:t>primijenjena je istovremeno sa preporučenim dječijim vakcinama.</w:t>
      </w:r>
    </w:p>
    <w:p w14:paraId="7B172B68" w14:textId="77777777" w:rsidR="00BB264D" w:rsidRPr="00980785" w:rsidRDefault="00BB264D">
      <w:pPr>
        <w:pStyle w:val="BodyTextIndent3"/>
        <w:tabs>
          <w:tab w:val="left" w:pos="0"/>
        </w:tabs>
        <w:ind w:left="0"/>
        <w:jc w:val="both"/>
        <w:rPr>
          <w:rFonts w:ascii="Times New Roman" w:hAnsi="Times New Roman"/>
          <w:sz w:val="22"/>
          <w:szCs w:val="22"/>
          <w:lang w:val="sr-Latn-ME"/>
        </w:rPr>
      </w:pPr>
    </w:p>
    <w:p w14:paraId="42E9295F" w14:textId="77777777" w:rsidR="00BB264D" w:rsidRPr="00980785" w:rsidRDefault="00BB264D">
      <w:pPr>
        <w:pStyle w:val="BodyTextIndent3"/>
        <w:tabs>
          <w:tab w:val="left" w:pos="0"/>
        </w:tabs>
        <w:ind w:left="0"/>
        <w:jc w:val="both"/>
        <w:rPr>
          <w:rFonts w:ascii="Times New Roman" w:hAnsi="Times New Roman"/>
          <w:sz w:val="22"/>
          <w:szCs w:val="22"/>
          <w:lang w:val="sr-Latn-ME"/>
        </w:rPr>
      </w:pPr>
      <w:r w:rsidRPr="00980785">
        <w:rPr>
          <w:rFonts w:ascii="Times New Roman" w:hAnsi="Times New Roman"/>
          <w:sz w:val="22"/>
          <w:szCs w:val="22"/>
          <w:lang w:val="sr-Latn-ME"/>
        </w:rPr>
        <w:lastRenderedPageBreak/>
        <w:tab/>
        <w:t xml:space="preserve">Kod odojčadi, najčešća neželjena dejstva uočena nakon primarne imunizacije bila su crvenilo na mjestu primjene i iritacija, koja su se pojavila nakon približno 41% i 55% primijenjenih doza respektivno. Nakon buster vakcinacije, najčešća neželjena dejstva su bila bol na mjestu primjene i iritacija, koja su se javila kod približno 51% i 53% primijenjenih doza respektivno. Većina ovih reakcija bile su blage do umjerene po intenzitetu i nijesu dugo trajale.   </w:t>
      </w:r>
    </w:p>
    <w:p w14:paraId="05E4ED45" w14:textId="77777777" w:rsidR="00BB264D" w:rsidRPr="00980785" w:rsidRDefault="00BB264D">
      <w:pPr>
        <w:pStyle w:val="BodyTextIndent3"/>
        <w:tabs>
          <w:tab w:val="left" w:pos="0"/>
        </w:tabs>
        <w:ind w:left="0"/>
        <w:jc w:val="both"/>
        <w:rPr>
          <w:rFonts w:ascii="Times New Roman" w:hAnsi="Times New Roman"/>
          <w:sz w:val="22"/>
          <w:szCs w:val="22"/>
          <w:lang w:val="sr-Latn-ME"/>
        </w:rPr>
      </w:pPr>
    </w:p>
    <w:p w14:paraId="3A6F15AE" w14:textId="77777777" w:rsidR="00BB264D" w:rsidRPr="00980785" w:rsidRDefault="00BB264D">
      <w:pPr>
        <w:pStyle w:val="BodyTextIndent3"/>
        <w:tabs>
          <w:tab w:val="left" w:pos="0"/>
        </w:tabs>
        <w:ind w:left="0"/>
        <w:jc w:val="both"/>
        <w:rPr>
          <w:rFonts w:ascii="Times New Roman" w:hAnsi="Times New Roman"/>
          <w:sz w:val="22"/>
          <w:szCs w:val="22"/>
          <w:lang w:val="sr-Latn-ME"/>
        </w:rPr>
      </w:pPr>
      <w:r w:rsidRPr="00980785">
        <w:rPr>
          <w:rFonts w:ascii="Times New Roman" w:hAnsi="Times New Roman"/>
          <w:sz w:val="22"/>
          <w:szCs w:val="22"/>
          <w:lang w:val="sr-Latn-ME"/>
        </w:rPr>
        <w:tab/>
        <w:t>Nije uočeno povećanje incidence niti težine neželjenih dejstava nakon davanja narednih doza vakcine tokom primarne imunizacije.</w:t>
      </w:r>
    </w:p>
    <w:p w14:paraId="529F9518" w14:textId="77777777" w:rsidR="00BB264D" w:rsidRPr="00980785" w:rsidRDefault="00BB264D">
      <w:pPr>
        <w:pStyle w:val="BodyTextIndent3"/>
        <w:tabs>
          <w:tab w:val="left" w:pos="0"/>
        </w:tabs>
        <w:ind w:left="0"/>
        <w:jc w:val="both"/>
        <w:rPr>
          <w:rFonts w:ascii="Times New Roman" w:hAnsi="Times New Roman"/>
          <w:sz w:val="22"/>
          <w:szCs w:val="22"/>
          <w:lang w:val="sr-Latn-ME"/>
        </w:rPr>
      </w:pPr>
    </w:p>
    <w:p w14:paraId="4F278E3D" w14:textId="7E269EB6" w:rsidR="00BB264D" w:rsidRPr="00980785" w:rsidRDefault="00BB264D">
      <w:pPr>
        <w:pStyle w:val="BodyTextIndent3"/>
        <w:tabs>
          <w:tab w:val="left" w:pos="0"/>
        </w:tabs>
        <w:ind w:left="0"/>
        <w:jc w:val="both"/>
        <w:rPr>
          <w:rFonts w:ascii="Times New Roman" w:hAnsi="Times New Roman"/>
          <w:sz w:val="22"/>
          <w:szCs w:val="22"/>
          <w:lang w:val="sr-Latn-ME"/>
        </w:rPr>
      </w:pPr>
      <w:r w:rsidRPr="00980785">
        <w:rPr>
          <w:rFonts w:ascii="Times New Roman" w:hAnsi="Times New Roman"/>
          <w:sz w:val="22"/>
          <w:szCs w:val="22"/>
          <w:lang w:val="sr-Latn-ME"/>
        </w:rPr>
        <w:tab/>
        <w:t>Lokalna reaktogenost nakon primarne vakcinacije je bila slična kod odojčadi &lt; 12 mjeseci života i djece &gt; 12 mjeseci života, osim bola na mjestu primjene, čija incidenca se povećavala sa povećanjem</w:t>
      </w:r>
      <w:r w:rsidR="00EE24F3" w:rsidRPr="00980785">
        <w:rPr>
          <w:rFonts w:ascii="Times New Roman" w:hAnsi="Times New Roman"/>
          <w:sz w:val="22"/>
          <w:szCs w:val="22"/>
          <w:lang w:val="sr-Latn-ME"/>
        </w:rPr>
        <w:t xml:space="preserve"> uzrasta</w:t>
      </w:r>
      <w:r w:rsidRPr="00980785">
        <w:rPr>
          <w:rFonts w:ascii="Times New Roman" w:hAnsi="Times New Roman"/>
          <w:sz w:val="22"/>
          <w:szCs w:val="22"/>
          <w:lang w:val="sr-Latn-ME"/>
        </w:rPr>
        <w:t xml:space="preserve"> djeteta: osjećaj bola je zabilježen kod više od 39% odojčadi </w:t>
      </w:r>
      <w:r w:rsidR="00EE24F3" w:rsidRPr="00980785">
        <w:rPr>
          <w:rFonts w:ascii="Times New Roman" w:hAnsi="Times New Roman"/>
          <w:sz w:val="22"/>
          <w:szCs w:val="22"/>
          <w:lang w:val="sr-Latn-ME"/>
        </w:rPr>
        <w:t xml:space="preserve">uzrasata </w:t>
      </w:r>
      <w:r w:rsidRPr="00980785">
        <w:rPr>
          <w:rFonts w:ascii="Times New Roman" w:hAnsi="Times New Roman"/>
          <w:sz w:val="22"/>
          <w:szCs w:val="22"/>
          <w:lang w:val="sr-Latn-ME"/>
        </w:rPr>
        <w:t xml:space="preserve">&lt; 12 mjeseci života i više od 58% kod djece </w:t>
      </w:r>
      <w:r w:rsidR="00EE24F3" w:rsidRPr="00980785">
        <w:rPr>
          <w:rFonts w:ascii="Times New Roman" w:hAnsi="Times New Roman"/>
          <w:sz w:val="22"/>
          <w:szCs w:val="22"/>
          <w:lang w:val="sr-Latn-ME"/>
        </w:rPr>
        <w:t xml:space="preserve">uzrasta </w:t>
      </w:r>
      <w:r w:rsidRPr="00980785">
        <w:rPr>
          <w:rFonts w:ascii="Times New Roman" w:hAnsi="Times New Roman"/>
          <w:sz w:val="22"/>
          <w:szCs w:val="22"/>
          <w:lang w:val="sr-Latn-ME"/>
        </w:rPr>
        <w:t>&gt; 12 mjeseci života.</w:t>
      </w:r>
    </w:p>
    <w:p w14:paraId="3B888FCE" w14:textId="77777777" w:rsidR="00BB264D" w:rsidRPr="00980785" w:rsidRDefault="00BB264D">
      <w:pPr>
        <w:pStyle w:val="BodyTextIndent3"/>
        <w:tabs>
          <w:tab w:val="left" w:pos="0"/>
        </w:tabs>
        <w:ind w:left="0"/>
        <w:jc w:val="both"/>
        <w:rPr>
          <w:rFonts w:ascii="Times New Roman" w:hAnsi="Times New Roman"/>
          <w:sz w:val="22"/>
          <w:szCs w:val="22"/>
          <w:lang w:val="sr-Latn-ME"/>
        </w:rPr>
      </w:pPr>
    </w:p>
    <w:p w14:paraId="01019CEB" w14:textId="77777777" w:rsidR="00BB264D" w:rsidRPr="00980785" w:rsidRDefault="00BB264D">
      <w:pPr>
        <w:pStyle w:val="BodyTextIndent3"/>
        <w:tabs>
          <w:tab w:val="left" w:pos="0"/>
        </w:tabs>
        <w:ind w:left="0"/>
        <w:jc w:val="both"/>
        <w:rPr>
          <w:rFonts w:ascii="Times New Roman" w:hAnsi="Times New Roman"/>
          <w:sz w:val="22"/>
          <w:szCs w:val="22"/>
          <w:lang w:val="sr-Latn-ME"/>
        </w:rPr>
      </w:pPr>
      <w:r w:rsidRPr="00980785">
        <w:rPr>
          <w:rFonts w:ascii="Times New Roman" w:hAnsi="Times New Roman"/>
          <w:sz w:val="22"/>
          <w:szCs w:val="22"/>
          <w:lang w:val="sr-Latn-ME"/>
        </w:rPr>
        <w:tab/>
        <w:t xml:space="preserve">Nakon buster vakcinacije veća je vjerovatnoća da će djeca uzrasta &gt;12 mjeseci imati reakcije na mjestu ubrizgavanja u poređenju sa reakcijama primijećenim kod odojčadi tokom šeme  primarne vakcinacije vakcinom </w:t>
      </w:r>
      <w:r w:rsidR="00677FAC" w:rsidRPr="00980785">
        <w:rPr>
          <w:rFonts w:ascii="Times New Roman" w:hAnsi="Times New Roman"/>
          <w:sz w:val="22"/>
          <w:szCs w:val="22"/>
          <w:lang w:val="sr-Latn-ME"/>
        </w:rPr>
        <w:t>SYNFLORIX</w:t>
      </w:r>
      <w:r w:rsidRPr="00980785">
        <w:rPr>
          <w:rFonts w:ascii="Times New Roman" w:hAnsi="Times New Roman"/>
          <w:sz w:val="22"/>
          <w:szCs w:val="22"/>
          <w:lang w:val="sr-Latn-ME"/>
        </w:rPr>
        <w:t>.</w:t>
      </w:r>
    </w:p>
    <w:p w14:paraId="35ED96FF" w14:textId="77777777" w:rsidR="00BB264D" w:rsidRPr="00980785" w:rsidRDefault="00BB264D">
      <w:pPr>
        <w:pStyle w:val="BodyTextIndent3"/>
        <w:tabs>
          <w:tab w:val="left" w:pos="0"/>
        </w:tabs>
        <w:ind w:left="0"/>
        <w:jc w:val="both"/>
        <w:rPr>
          <w:rFonts w:ascii="Times New Roman" w:hAnsi="Times New Roman"/>
          <w:sz w:val="22"/>
          <w:szCs w:val="22"/>
          <w:lang w:val="sr-Latn-ME"/>
        </w:rPr>
      </w:pPr>
    </w:p>
    <w:p w14:paraId="76C6943E" w14:textId="77777777" w:rsidR="00BB264D" w:rsidRPr="00980785" w:rsidRDefault="00BB264D">
      <w:pPr>
        <w:pStyle w:val="BodyTextIndent3"/>
        <w:tabs>
          <w:tab w:val="left" w:pos="0"/>
        </w:tabs>
        <w:ind w:left="0"/>
        <w:jc w:val="both"/>
        <w:rPr>
          <w:rFonts w:ascii="Times New Roman" w:hAnsi="Times New Roman"/>
          <w:sz w:val="22"/>
          <w:szCs w:val="22"/>
          <w:lang w:val="sr-Latn-ME"/>
        </w:rPr>
      </w:pPr>
      <w:r w:rsidRPr="00980785">
        <w:rPr>
          <w:rFonts w:ascii="Times New Roman" w:hAnsi="Times New Roman"/>
          <w:sz w:val="22"/>
          <w:szCs w:val="22"/>
          <w:lang w:val="sr-Latn-ME"/>
        </w:rPr>
        <w:tab/>
        <w:t xml:space="preserve">Nakon naknadno sprovedene vakcinacije zbog propuštene ili odgođene uobičajene vakcinacije kod djece uzrasta od 12 do 23 mjeseca, češće je prijavljena urtikarija (povremeno) u poređenju sa neželjenim dejstvima kod odojčadi tokom primarne šeme vakcinacije vakcinom </w:t>
      </w:r>
      <w:r w:rsidR="00677FAC" w:rsidRPr="00980785">
        <w:rPr>
          <w:rFonts w:ascii="Times New Roman" w:hAnsi="Times New Roman"/>
          <w:sz w:val="22"/>
          <w:szCs w:val="22"/>
          <w:lang w:val="sr-Latn-ME"/>
        </w:rPr>
        <w:t>SYNFLORIX</w:t>
      </w:r>
      <w:r w:rsidRPr="00980785">
        <w:rPr>
          <w:rFonts w:ascii="Times New Roman" w:hAnsi="Times New Roman"/>
          <w:sz w:val="22"/>
          <w:szCs w:val="22"/>
          <w:lang w:val="sr-Latn-ME"/>
        </w:rPr>
        <w:t>.</w:t>
      </w:r>
    </w:p>
    <w:p w14:paraId="3B321180" w14:textId="77777777" w:rsidR="00BB264D" w:rsidRPr="00980785" w:rsidRDefault="00BB264D">
      <w:pPr>
        <w:pStyle w:val="BodyTextIndent3"/>
        <w:tabs>
          <w:tab w:val="left" w:pos="0"/>
        </w:tabs>
        <w:ind w:left="0"/>
        <w:jc w:val="both"/>
        <w:rPr>
          <w:rFonts w:ascii="Times New Roman" w:hAnsi="Times New Roman"/>
          <w:sz w:val="22"/>
          <w:szCs w:val="22"/>
          <w:lang w:val="sr-Latn-ME"/>
        </w:rPr>
      </w:pPr>
    </w:p>
    <w:p w14:paraId="0AD62276" w14:textId="77777777" w:rsidR="00BB264D" w:rsidRPr="00980785" w:rsidRDefault="00BB264D">
      <w:pPr>
        <w:pStyle w:val="BodyTextIndent3"/>
        <w:tabs>
          <w:tab w:val="left" w:pos="0"/>
        </w:tabs>
        <w:ind w:left="0"/>
        <w:jc w:val="both"/>
        <w:rPr>
          <w:rFonts w:ascii="Times New Roman" w:hAnsi="Times New Roman"/>
          <w:sz w:val="22"/>
          <w:szCs w:val="22"/>
          <w:lang w:val="sr-Latn-ME"/>
        </w:rPr>
      </w:pPr>
      <w:r w:rsidRPr="00980785">
        <w:rPr>
          <w:rFonts w:ascii="Times New Roman" w:hAnsi="Times New Roman"/>
          <w:sz w:val="22"/>
          <w:szCs w:val="22"/>
          <w:lang w:val="sr-Latn-ME"/>
        </w:rPr>
        <w:tab/>
        <w:t xml:space="preserve">Reaktogenost je bila veća kod djece kod koje je istovremeno primijenjena celularna pertusis vakcina. U kliničkoj studiji djeca su primila bilo vakcinu </w:t>
      </w:r>
      <w:r w:rsidR="00677FAC" w:rsidRPr="00980785">
        <w:rPr>
          <w:rFonts w:ascii="Times New Roman" w:hAnsi="Times New Roman"/>
          <w:sz w:val="22"/>
          <w:szCs w:val="22"/>
          <w:lang w:val="sr-Latn-ME"/>
        </w:rPr>
        <w:t>SYNFLORIX</w:t>
      </w:r>
      <w:r w:rsidRPr="00980785">
        <w:rPr>
          <w:rFonts w:ascii="Times New Roman" w:hAnsi="Times New Roman"/>
          <w:sz w:val="22"/>
          <w:szCs w:val="22"/>
          <w:lang w:val="sr-Latn-ME"/>
        </w:rPr>
        <w:t xml:space="preserve"> (N=603) ili 7-valentnu vakcinu Prevenar (N=203) istovremeno sa DTP celularnom vakcinom. Nakon primarne vakcinacije, povišena temperatura  ≥38°C i &gt;39°C bila je zabilježena kod 86,1% i 14,7% djece respektivno, koja su primila vakcinu </w:t>
      </w:r>
      <w:r w:rsidR="00677FAC" w:rsidRPr="00980785">
        <w:rPr>
          <w:rFonts w:ascii="Times New Roman" w:hAnsi="Times New Roman"/>
          <w:sz w:val="22"/>
          <w:szCs w:val="22"/>
          <w:lang w:val="sr-Latn-ME"/>
        </w:rPr>
        <w:t>SYNFLORIX</w:t>
      </w:r>
      <w:r w:rsidRPr="00980785">
        <w:rPr>
          <w:rFonts w:ascii="Times New Roman" w:hAnsi="Times New Roman"/>
          <w:sz w:val="22"/>
          <w:szCs w:val="22"/>
          <w:lang w:val="sr-Latn-ME"/>
        </w:rPr>
        <w:t xml:space="preserve"> i 82,9% i 11,6% djece respektivno koja su primila 7-valentnu vakcinu Prevenar. </w:t>
      </w:r>
    </w:p>
    <w:p w14:paraId="53F4BCDE" w14:textId="77777777" w:rsidR="00BB264D" w:rsidRPr="00980785" w:rsidRDefault="00BB264D">
      <w:pPr>
        <w:pStyle w:val="BodyTextIndent3"/>
        <w:tabs>
          <w:tab w:val="left" w:pos="0"/>
        </w:tabs>
        <w:ind w:left="0"/>
        <w:jc w:val="both"/>
        <w:rPr>
          <w:rFonts w:ascii="Times New Roman" w:hAnsi="Times New Roman"/>
          <w:sz w:val="22"/>
          <w:szCs w:val="22"/>
          <w:lang w:val="sr-Latn-ME"/>
        </w:rPr>
      </w:pPr>
    </w:p>
    <w:p w14:paraId="6EFE6CBC" w14:textId="77777777" w:rsidR="00BB264D" w:rsidRPr="00980785" w:rsidRDefault="00BB264D">
      <w:pPr>
        <w:pStyle w:val="BodyTextIndent3"/>
        <w:tabs>
          <w:tab w:val="left" w:pos="0"/>
        </w:tabs>
        <w:ind w:left="0"/>
        <w:jc w:val="both"/>
        <w:rPr>
          <w:rFonts w:ascii="Times New Roman" w:hAnsi="Times New Roman"/>
          <w:sz w:val="22"/>
          <w:szCs w:val="22"/>
          <w:lang w:val="sr-Latn-ME"/>
        </w:rPr>
      </w:pPr>
      <w:r w:rsidRPr="00980785">
        <w:rPr>
          <w:rFonts w:ascii="Times New Roman" w:hAnsi="Times New Roman"/>
          <w:sz w:val="22"/>
          <w:szCs w:val="22"/>
          <w:lang w:val="sr-Latn-ME"/>
        </w:rPr>
        <w:tab/>
        <w:t xml:space="preserve">U komparativnim kliničkim studijama, incidenca pojave lokalnih i opštih neželjenih dejstava zabilježenih tokom 4 dana od primjene pojedinačnih doza vakcine </w:t>
      </w:r>
      <w:r w:rsidR="00677FAC" w:rsidRPr="00980785">
        <w:rPr>
          <w:rFonts w:ascii="Times New Roman" w:hAnsi="Times New Roman"/>
          <w:sz w:val="22"/>
          <w:szCs w:val="22"/>
          <w:lang w:val="sr-Latn-ME"/>
        </w:rPr>
        <w:t>SYNFLORIX</w:t>
      </w:r>
      <w:r w:rsidRPr="00980785">
        <w:rPr>
          <w:rFonts w:ascii="Times New Roman" w:hAnsi="Times New Roman"/>
          <w:sz w:val="22"/>
          <w:szCs w:val="22"/>
          <w:lang w:val="sr-Latn-ME"/>
        </w:rPr>
        <w:t>, bila je u istom opsegu kao i nakon vakcinacije 7-valentnom vakcinom Prevenar.</w:t>
      </w:r>
    </w:p>
    <w:p w14:paraId="20B7DABE" w14:textId="55888F95" w:rsidR="00BB264D" w:rsidRPr="00980785" w:rsidRDefault="00BB264D" w:rsidP="00290631">
      <w:pPr>
        <w:pStyle w:val="BodyTextIndent3"/>
        <w:tabs>
          <w:tab w:val="left" w:pos="0"/>
        </w:tabs>
        <w:ind w:left="0"/>
        <w:jc w:val="both"/>
        <w:rPr>
          <w:rFonts w:ascii="Times New Roman" w:hAnsi="Times New Roman"/>
          <w:sz w:val="22"/>
          <w:szCs w:val="22"/>
          <w:lang w:val="sr-Latn-ME"/>
        </w:rPr>
      </w:pPr>
      <w:r w:rsidRPr="00980785">
        <w:rPr>
          <w:rFonts w:ascii="Times New Roman" w:hAnsi="Times New Roman"/>
          <w:sz w:val="22"/>
          <w:szCs w:val="22"/>
          <w:lang w:val="sr-Latn-ME"/>
        </w:rPr>
        <w:t xml:space="preserve">          </w:t>
      </w:r>
    </w:p>
    <w:p w14:paraId="484F5E20" w14:textId="77777777" w:rsidR="00BB264D" w:rsidRPr="00980785" w:rsidRDefault="00BB264D" w:rsidP="00290631">
      <w:pPr>
        <w:pStyle w:val="BodyTextIndent3"/>
        <w:tabs>
          <w:tab w:val="left" w:pos="0"/>
        </w:tabs>
        <w:ind w:left="0"/>
        <w:jc w:val="both"/>
        <w:rPr>
          <w:rFonts w:ascii="Times New Roman" w:hAnsi="Times New Roman"/>
          <w:sz w:val="22"/>
          <w:szCs w:val="22"/>
          <w:u w:val="single"/>
          <w:lang w:val="sr-Latn-ME"/>
        </w:rPr>
      </w:pPr>
      <w:r w:rsidRPr="00980785">
        <w:rPr>
          <w:rFonts w:ascii="Times New Roman" w:hAnsi="Times New Roman"/>
          <w:b/>
          <w:i/>
          <w:sz w:val="22"/>
          <w:szCs w:val="22"/>
          <w:lang w:val="sr-Latn-ME"/>
        </w:rPr>
        <w:tab/>
      </w:r>
      <w:r w:rsidRPr="00980785">
        <w:rPr>
          <w:rFonts w:ascii="Times New Roman" w:hAnsi="Times New Roman"/>
          <w:sz w:val="22"/>
          <w:szCs w:val="22"/>
          <w:u w:val="single"/>
          <w:lang w:val="sr-Latn-ME"/>
        </w:rPr>
        <w:t>Tabelarni prikaz neželjenih dejstava:</w:t>
      </w:r>
    </w:p>
    <w:p w14:paraId="27DAC6D2" w14:textId="77777777" w:rsidR="00BB264D" w:rsidRPr="00980785" w:rsidRDefault="00BB264D" w:rsidP="00290631">
      <w:pPr>
        <w:pStyle w:val="BodyTextIndent3"/>
        <w:tabs>
          <w:tab w:val="left" w:pos="0"/>
        </w:tabs>
        <w:ind w:left="0"/>
        <w:jc w:val="both"/>
        <w:rPr>
          <w:rFonts w:ascii="Times New Roman" w:hAnsi="Times New Roman"/>
          <w:sz w:val="22"/>
          <w:szCs w:val="22"/>
          <w:lang w:val="sr-Latn-ME"/>
        </w:rPr>
      </w:pPr>
    </w:p>
    <w:p w14:paraId="0F0A2DEC" w14:textId="5482F127" w:rsidR="00BB264D" w:rsidRPr="00980785" w:rsidRDefault="00BB264D">
      <w:pPr>
        <w:pStyle w:val="BodyTextIndent3"/>
        <w:tabs>
          <w:tab w:val="left" w:pos="0"/>
        </w:tabs>
        <w:ind w:left="0"/>
        <w:jc w:val="both"/>
        <w:rPr>
          <w:rFonts w:ascii="Times New Roman" w:hAnsi="Times New Roman"/>
          <w:sz w:val="22"/>
          <w:szCs w:val="22"/>
          <w:lang w:val="sr-Latn-ME"/>
        </w:rPr>
      </w:pPr>
      <w:r w:rsidRPr="00980785">
        <w:rPr>
          <w:rFonts w:ascii="Times New Roman" w:hAnsi="Times New Roman"/>
          <w:sz w:val="22"/>
          <w:szCs w:val="22"/>
          <w:lang w:val="sr-Latn-ME"/>
        </w:rPr>
        <w:tab/>
        <w:t xml:space="preserve">Neželjena dejstva (za sve starosne grupe) </w:t>
      </w:r>
      <w:r w:rsidR="00850AFA" w:rsidRPr="00980785">
        <w:rPr>
          <w:rFonts w:ascii="Times New Roman" w:hAnsi="Times New Roman"/>
          <w:sz w:val="22"/>
          <w:szCs w:val="22"/>
          <w:lang w:val="sr-Latn-ME"/>
        </w:rPr>
        <w:t>grupisana</w:t>
      </w:r>
      <w:r w:rsidRPr="00980785">
        <w:rPr>
          <w:rFonts w:ascii="Times New Roman" w:hAnsi="Times New Roman"/>
          <w:sz w:val="22"/>
          <w:szCs w:val="22"/>
          <w:lang w:val="sr-Latn-ME"/>
        </w:rPr>
        <w:t xml:space="preserve"> su po učestalosti javljanja. </w:t>
      </w:r>
    </w:p>
    <w:p w14:paraId="14908317" w14:textId="77777777" w:rsidR="00BB264D" w:rsidRPr="00980785" w:rsidRDefault="00BB264D">
      <w:pPr>
        <w:pStyle w:val="BodyTextIndent3"/>
        <w:tabs>
          <w:tab w:val="left" w:pos="0"/>
        </w:tabs>
        <w:ind w:left="0"/>
        <w:jc w:val="both"/>
        <w:rPr>
          <w:rFonts w:ascii="Times New Roman" w:hAnsi="Times New Roman"/>
          <w:sz w:val="22"/>
          <w:szCs w:val="22"/>
          <w:lang w:val="sr-Latn-ME"/>
        </w:rPr>
      </w:pPr>
    </w:p>
    <w:p w14:paraId="0701C05B" w14:textId="3461D76D" w:rsidR="00BB264D" w:rsidRPr="00980785" w:rsidRDefault="00BB264D">
      <w:pPr>
        <w:pStyle w:val="BodyTextIndent3"/>
        <w:tabs>
          <w:tab w:val="left" w:pos="0"/>
        </w:tabs>
        <w:ind w:left="0"/>
        <w:jc w:val="both"/>
        <w:rPr>
          <w:rFonts w:ascii="Times New Roman" w:hAnsi="Times New Roman"/>
          <w:sz w:val="22"/>
          <w:szCs w:val="22"/>
          <w:lang w:val="sr-Latn-ME"/>
        </w:rPr>
      </w:pPr>
      <w:r w:rsidRPr="00980785">
        <w:rPr>
          <w:rFonts w:ascii="Times New Roman" w:hAnsi="Times New Roman"/>
          <w:sz w:val="22"/>
          <w:szCs w:val="22"/>
          <w:lang w:val="sr-Latn-ME"/>
        </w:rPr>
        <w:tab/>
        <w:t>Prema učestalosti ispoljavanja, neželjena dejstva se klasifikuju na:</w:t>
      </w:r>
    </w:p>
    <w:p w14:paraId="2892365C" w14:textId="77777777" w:rsidR="00EE24F3" w:rsidRPr="00980785" w:rsidRDefault="00EE24F3">
      <w:pPr>
        <w:pStyle w:val="BodyTextIndent3"/>
        <w:tabs>
          <w:tab w:val="left" w:pos="0"/>
        </w:tabs>
        <w:ind w:left="0"/>
        <w:jc w:val="both"/>
        <w:rPr>
          <w:rFonts w:ascii="Times New Roman" w:hAnsi="Times New Roman"/>
          <w:sz w:val="22"/>
          <w:szCs w:val="22"/>
          <w:lang w:val="sr-Latn-ME"/>
        </w:rPr>
      </w:pPr>
    </w:p>
    <w:p w14:paraId="693D22F8" w14:textId="48B6F3A3" w:rsidR="00BB264D" w:rsidRPr="00980785" w:rsidRDefault="00BB264D">
      <w:pPr>
        <w:pStyle w:val="BodyTextIndent3"/>
        <w:tabs>
          <w:tab w:val="left" w:pos="0"/>
        </w:tabs>
        <w:ind w:left="0"/>
        <w:jc w:val="both"/>
        <w:rPr>
          <w:rFonts w:ascii="Times New Roman" w:hAnsi="Times New Roman"/>
          <w:sz w:val="22"/>
          <w:szCs w:val="22"/>
          <w:lang w:val="sr-Latn-ME"/>
        </w:rPr>
      </w:pPr>
      <w:r w:rsidRPr="00980785">
        <w:rPr>
          <w:rFonts w:ascii="Times New Roman" w:hAnsi="Times New Roman"/>
          <w:sz w:val="22"/>
          <w:szCs w:val="22"/>
          <w:lang w:val="sr-Latn-ME"/>
        </w:rPr>
        <w:tab/>
        <w:t>Veoma čest</w:t>
      </w:r>
      <w:r w:rsidR="00EE24F3" w:rsidRPr="00980785">
        <w:rPr>
          <w:rFonts w:ascii="Times New Roman" w:hAnsi="Times New Roman"/>
          <w:sz w:val="22"/>
          <w:szCs w:val="22"/>
          <w:lang w:val="sr-Latn-ME"/>
        </w:rPr>
        <w:t>o</w:t>
      </w:r>
      <w:r w:rsidRPr="00980785">
        <w:rPr>
          <w:rFonts w:ascii="Times New Roman" w:hAnsi="Times New Roman"/>
          <w:sz w:val="22"/>
          <w:szCs w:val="22"/>
          <w:lang w:val="sr-Latn-ME"/>
        </w:rPr>
        <w:t>:  (≥ 1/10)</w:t>
      </w:r>
    </w:p>
    <w:p w14:paraId="697381F9" w14:textId="2280CFA4" w:rsidR="00BB264D" w:rsidRPr="00980785" w:rsidRDefault="00BB264D">
      <w:pPr>
        <w:pStyle w:val="BodyTextIndent3"/>
        <w:tabs>
          <w:tab w:val="left" w:pos="0"/>
        </w:tabs>
        <w:ind w:left="0"/>
        <w:jc w:val="both"/>
        <w:rPr>
          <w:rFonts w:ascii="Times New Roman" w:hAnsi="Times New Roman"/>
          <w:sz w:val="22"/>
          <w:szCs w:val="22"/>
          <w:lang w:val="sr-Latn-ME"/>
        </w:rPr>
      </w:pPr>
      <w:r w:rsidRPr="00980785">
        <w:rPr>
          <w:rFonts w:ascii="Times New Roman" w:hAnsi="Times New Roman"/>
          <w:sz w:val="22"/>
          <w:szCs w:val="22"/>
          <w:lang w:val="sr-Latn-ME"/>
        </w:rPr>
        <w:tab/>
        <w:t>Čest</w:t>
      </w:r>
      <w:r w:rsidR="00EE24F3" w:rsidRPr="00980785">
        <w:rPr>
          <w:rFonts w:ascii="Times New Roman" w:hAnsi="Times New Roman"/>
          <w:sz w:val="22"/>
          <w:szCs w:val="22"/>
          <w:lang w:val="sr-Latn-ME"/>
        </w:rPr>
        <w:t>o</w:t>
      </w:r>
      <w:r w:rsidRPr="00980785">
        <w:rPr>
          <w:rFonts w:ascii="Times New Roman" w:hAnsi="Times New Roman"/>
          <w:sz w:val="22"/>
          <w:szCs w:val="22"/>
          <w:lang w:val="sr-Latn-ME"/>
        </w:rPr>
        <w:t>:             (≥ 1/100 do &lt;1/10)</w:t>
      </w:r>
    </w:p>
    <w:p w14:paraId="0F4E0D4B" w14:textId="5698F6C8" w:rsidR="00BB264D" w:rsidRPr="00980785" w:rsidRDefault="00BB264D">
      <w:pPr>
        <w:pStyle w:val="BodyTextIndent3"/>
        <w:tabs>
          <w:tab w:val="left" w:pos="0"/>
        </w:tabs>
        <w:ind w:left="0"/>
        <w:jc w:val="both"/>
        <w:rPr>
          <w:rFonts w:ascii="Times New Roman" w:hAnsi="Times New Roman"/>
          <w:sz w:val="22"/>
          <w:szCs w:val="22"/>
          <w:lang w:val="sr-Latn-ME"/>
        </w:rPr>
      </w:pPr>
      <w:r w:rsidRPr="00980785">
        <w:rPr>
          <w:rFonts w:ascii="Times New Roman" w:hAnsi="Times New Roman"/>
          <w:sz w:val="22"/>
          <w:szCs w:val="22"/>
          <w:lang w:val="sr-Latn-ME"/>
        </w:rPr>
        <w:tab/>
        <w:t>Povremen</w:t>
      </w:r>
      <w:r w:rsidR="00EE24F3" w:rsidRPr="00980785">
        <w:rPr>
          <w:rFonts w:ascii="Times New Roman" w:hAnsi="Times New Roman"/>
          <w:sz w:val="22"/>
          <w:szCs w:val="22"/>
          <w:lang w:val="sr-Latn-ME"/>
        </w:rPr>
        <w:t>o</w:t>
      </w:r>
      <w:r w:rsidRPr="00980785">
        <w:rPr>
          <w:rFonts w:ascii="Times New Roman" w:hAnsi="Times New Roman"/>
          <w:sz w:val="22"/>
          <w:szCs w:val="22"/>
          <w:lang w:val="sr-Latn-ME"/>
        </w:rPr>
        <w:t>:    (≥ 1/1000 do &lt; 1/100)</w:t>
      </w:r>
    </w:p>
    <w:p w14:paraId="4060B5EF" w14:textId="5DFC4F6D" w:rsidR="00BB264D" w:rsidRPr="00980785" w:rsidRDefault="00BB264D">
      <w:pPr>
        <w:pStyle w:val="BodyTextIndent3"/>
        <w:tabs>
          <w:tab w:val="left" w:pos="0"/>
        </w:tabs>
        <w:ind w:left="0"/>
        <w:jc w:val="both"/>
        <w:rPr>
          <w:rFonts w:ascii="Times New Roman" w:hAnsi="Times New Roman"/>
          <w:sz w:val="22"/>
          <w:szCs w:val="22"/>
          <w:lang w:val="sr-Latn-ME"/>
        </w:rPr>
      </w:pPr>
      <w:r w:rsidRPr="00980785">
        <w:rPr>
          <w:rFonts w:ascii="Times New Roman" w:hAnsi="Times New Roman"/>
          <w:sz w:val="22"/>
          <w:szCs w:val="22"/>
          <w:lang w:val="sr-Latn-ME"/>
        </w:rPr>
        <w:tab/>
        <w:t>Rijetk</w:t>
      </w:r>
      <w:r w:rsidR="00EE24F3" w:rsidRPr="00980785">
        <w:rPr>
          <w:rFonts w:ascii="Times New Roman" w:hAnsi="Times New Roman"/>
          <w:sz w:val="22"/>
          <w:szCs w:val="22"/>
          <w:lang w:val="sr-Latn-ME"/>
        </w:rPr>
        <w:t>o</w:t>
      </w:r>
      <w:r w:rsidRPr="00980785">
        <w:rPr>
          <w:rFonts w:ascii="Times New Roman" w:hAnsi="Times New Roman"/>
          <w:sz w:val="22"/>
          <w:szCs w:val="22"/>
          <w:lang w:val="sr-Latn-ME"/>
        </w:rPr>
        <w:t>:             (≥ 1/10000 do &lt;1/1000)</w:t>
      </w:r>
    </w:p>
    <w:p w14:paraId="07D4EB21" w14:textId="1F9CE404" w:rsidR="00661EF8" w:rsidRPr="00980785" w:rsidRDefault="00BB264D">
      <w:pPr>
        <w:pStyle w:val="BodyTextIndent3"/>
        <w:tabs>
          <w:tab w:val="left" w:pos="0"/>
        </w:tabs>
        <w:ind w:left="0"/>
        <w:jc w:val="both"/>
        <w:rPr>
          <w:rFonts w:ascii="Times New Roman" w:hAnsi="Times New Roman"/>
          <w:sz w:val="22"/>
          <w:szCs w:val="22"/>
          <w:lang w:val="sr-Latn-ME"/>
        </w:rPr>
      </w:pPr>
      <w:r w:rsidRPr="00980785">
        <w:rPr>
          <w:rFonts w:ascii="Times New Roman" w:hAnsi="Times New Roman"/>
          <w:sz w:val="22"/>
          <w:szCs w:val="22"/>
          <w:lang w:val="sr-Latn-ME"/>
        </w:rPr>
        <w:tab/>
        <w:t>Veoma rijetk</w:t>
      </w:r>
      <w:r w:rsidR="00EE24F3" w:rsidRPr="00980785">
        <w:rPr>
          <w:rFonts w:ascii="Times New Roman" w:hAnsi="Times New Roman"/>
          <w:sz w:val="22"/>
          <w:szCs w:val="22"/>
          <w:lang w:val="sr-Latn-ME"/>
        </w:rPr>
        <w:t>o:</w:t>
      </w:r>
      <w:r w:rsidRPr="00980785">
        <w:rPr>
          <w:rFonts w:ascii="Times New Roman" w:hAnsi="Times New Roman"/>
          <w:sz w:val="22"/>
          <w:szCs w:val="22"/>
          <w:lang w:val="sr-Latn-ME"/>
        </w:rPr>
        <w:t xml:space="preserve"> (&lt;1/10 000)</w:t>
      </w:r>
    </w:p>
    <w:p w14:paraId="2B223892" w14:textId="77777777" w:rsidR="00661EF8" w:rsidRPr="00980785" w:rsidRDefault="00661EF8">
      <w:pPr>
        <w:pStyle w:val="BodyTextIndent3"/>
        <w:tabs>
          <w:tab w:val="left" w:pos="0"/>
        </w:tabs>
        <w:ind w:left="0"/>
        <w:jc w:val="both"/>
        <w:rPr>
          <w:rFonts w:ascii="Times New Roman" w:hAnsi="Times New Roman"/>
          <w:sz w:val="22"/>
          <w:szCs w:val="22"/>
          <w:u w:val="single"/>
          <w:lang w:val="sr-Latn-ME"/>
        </w:rPr>
      </w:pPr>
      <w:r w:rsidRPr="00980785">
        <w:rPr>
          <w:rFonts w:ascii="Times New Roman" w:hAnsi="Times New Roman"/>
          <w:sz w:val="22"/>
          <w:szCs w:val="22"/>
          <w:u w:val="single"/>
          <w:lang w:val="sr-Latn-ME"/>
        </w:rPr>
        <w:t xml:space="preserve"> </w:t>
      </w:r>
    </w:p>
    <w:p w14:paraId="3EC1D799" w14:textId="354FAE97" w:rsidR="00661EF8" w:rsidRPr="00980785" w:rsidRDefault="00661EF8" w:rsidP="00290631">
      <w:pPr>
        <w:jc w:val="both"/>
        <w:rPr>
          <w:sz w:val="22"/>
          <w:szCs w:val="22"/>
          <w:lang w:val="sr-Latn-ME"/>
        </w:rPr>
      </w:pPr>
      <w:r w:rsidRPr="00980785">
        <w:rPr>
          <w:sz w:val="22"/>
          <w:szCs w:val="22"/>
          <w:lang w:val="sr-Latn-ME"/>
        </w:rPr>
        <w:t>Unutar svake učestalosti grup</w:t>
      </w:r>
      <w:r w:rsidR="00046D9A" w:rsidRPr="00980785">
        <w:rPr>
          <w:sz w:val="22"/>
          <w:szCs w:val="22"/>
          <w:lang w:val="sr-Latn-ME"/>
        </w:rPr>
        <w:t>e</w:t>
      </w:r>
      <w:r w:rsidRPr="00980785">
        <w:rPr>
          <w:sz w:val="22"/>
          <w:szCs w:val="22"/>
          <w:lang w:val="sr-Latn-ME"/>
        </w:rPr>
        <w:t xml:space="preserve"> neželjen</w:t>
      </w:r>
      <w:r w:rsidR="00EE24F3" w:rsidRPr="00980785">
        <w:rPr>
          <w:sz w:val="22"/>
          <w:szCs w:val="22"/>
          <w:lang w:val="sr-Latn-ME"/>
        </w:rPr>
        <w:t>a</w:t>
      </w:r>
      <w:r w:rsidRPr="00980785">
        <w:rPr>
          <w:sz w:val="22"/>
          <w:szCs w:val="22"/>
          <w:lang w:val="sr-Latn-ME"/>
        </w:rPr>
        <w:t xml:space="preserve"> </w:t>
      </w:r>
      <w:r w:rsidR="00046D9A" w:rsidRPr="00980785">
        <w:rPr>
          <w:sz w:val="22"/>
          <w:szCs w:val="22"/>
          <w:lang w:val="sr-Latn-ME"/>
        </w:rPr>
        <w:t>dejstava</w:t>
      </w:r>
      <w:r w:rsidRPr="00980785">
        <w:rPr>
          <w:sz w:val="22"/>
          <w:szCs w:val="22"/>
          <w:lang w:val="sr-Latn-ME"/>
        </w:rPr>
        <w:t xml:space="preserve"> su prikazan</w:t>
      </w:r>
      <w:r w:rsidR="00EE24F3" w:rsidRPr="00980785">
        <w:rPr>
          <w:sz w:val="22"/>
          <w:szCs w:val="22"/>
          <w:lang w:val="sr-Latn-ME"/>
        </w:rPr>
        <w:t xml:space="preserve">a </w:t>
      </w:r>
      <w:r w:rsidRPr="00980785">
        <w:rPr>
          <w:sz w:val="22"/>
          <w:szCs w:val="22"/>
          <w:lang w:val="sr-Latn-ME"/>
        </w:rPr>
        <w:t>opadajuć</w:t>
      </w:r>
      <w:r w:rsidR="00EE24F3" w:rsidRPr="00980785">
        <w:rPr>
          <w:sz w:val="22"/>
          <w:szCs w:val="22"/>
          <w:lang w:val="sr-Latn-ME"/>
        </w:rPr>
        <w:t>oj</w:t>
      </w:r>
      <w:r w:rsidRPr="00980785">
        <w:rPr>
          <w:sz w:val="22"/>
          <w:szCs w:val="22"/>
          <w:lang w:val="sr-Latn-ME"/>
        </w:rPr>
        <w:t xml:space="preserve"> ozbiljnosti</w:t>
      </w:r>
      <w:r w:rsidR="004B6182" w:rsidRPr="00980785">
        <w:rPr>
          <w:sz w:val="22"/>
          <w:szCs w:val="22"/>
          <w:lang w:val="sr-Latn-ME"/>
        </w:rPr>
        <w:t>.</w:t>
      </w:r>
    </w:p>
    <w:p w14:paraId="40CEE682" w14:textId="77777777" w:rsidR="0015026D" w:rsidRPr="00980785" w:rsidRDefault="0015026D" w:rsidP="00290631">
      <w:pPr>
        <w:jc w:val="both"/>
        <w:rPr>
          <w:sz w:val="22"/>
          <w:szCs w:val="22"/>
          <w:lang w:val="sr-Latn-ME"/>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691"/>
        <w:gridCol w:w="4500"/>
      </w:tblGrid>
      <w:tr w:rsidR="00BB264D" w:rsidRPr="00980785" w14:paraId="767D447C" w14:textId="77777777" w:rsidTr="00BB264D">
        <w:tc>
          <w:tcPr>
            <w:tcW w:w="3227" w:type="dxa"/>
            <w:tcBorders>
              <w:top w:val="single" w:sz="4" w:space="0" w:color="auto"/>
              <w:left w:val="single" w:sz="4" w:space="0" w:color="auto"/>
              <w:bottom w:val="single" w:sz="4" w:space="0" w:color="auto"/>
              <w:right w:val="single" w:sz="4" w:space="0" w:color="auto"/>
            </w:tcBorders>
            <w:hideMark/>
          </w:tcPr>
          <w:p w14:paraId="45BB2544" w14:textId="77777777" w:rsidR="00BB264D" w:rsidRPr="00980785" w:rsidRDefault="00BB264D" w:rsidP="00290631">
            <w:pPr>
              <w:jc w:val="both"/>
              <w:rPr>
                <w:b/>
                <w:sz w:val="22"/>
                <w:szCs w:val="22"/>
                <w:lang w:val="sr-Latn-ME"/>
              </w:rPr>
            </w:pPr>
            <w:r w:rsidRPr="00980785">
              <w:rPr>
                <w:b/>
                <w:sz w:val="22"/>
                <w:szCs w:val="22"/>
                <w:lang w:val="sr-Latn-ME"/>
              </w:rPr>
              <w:t>Klasa sistema organa</w:t>
            </w:r>
          </w:p>
        </w:tc>
        <w:tc>
          <w:tcPr>
            <w:tcW w:w="1691" w:type="dxa"/>
            <w:tcBorders>
              <w:top w:val="single" w:sz="4" w:space="0" w:color="auto"/>
              <w:left w:val="single" w:sz="4" w:space="0" w:color="auto"/>
              <w:bottom w:val="single" w:sz="4" w:space="0" w:color="auto"/>
              <w:right w:val="single" w:sz="4" w:space="0" w:color="auto"/>
            </w:tcBorders>
            <w:hideMark/>
          </w:tcPr>
          <w:p w14:paraId="37916EE1" w14:textId="77777777" w:rsidR="00BB264D" w:rsidRPr="00980785" w:rsidRDefault="00BB264D" w:rsidP="00290631">
            <w:pPr>
              <w:jc w:val="both"/>
              <w:rPr>
                <w:b/>
                <w:sz w:val="22"/>
                <w:szCs w:val="22"/>
                <w:lang w:val="sr-Latn-ME"/>
              </w:rPr>
            </w:pPr>
            <w:r w:rsidRPr="00980785">
              <w:rPr>
                <w:b/>
                <w:sz w:val="22"/>
                <w:szCs w:val="22"/>
                <w:lang w:val="sr-Latn-ME"/>
              </w:rPr>
              <w:t xml:space="preserve">Učestalost </w:t>
            </w:r>
          </w:p>
        </w:tc>
        <w:tc>
          <w:tcPr>
            <w:tcW w:w="4500" w:type="dxa"/>
            <w:tcBorders>
              <w:top w:val="single" w:sz="4" w:space="0" w:color="auto"/>
              <w:left w:val="single" w:sz="4" w:space="0" w:color="auto"/>
              <w:bottom w:val="single" w:sz="4" w:space="0" w:color="auto"/>
              <w:right w:val="single" w:sz="4" w:space="0" w:color="auto"/>
            </w:tcBorders>
            <w:hideMark/>
          </w:tcPr>
          <w:p w14:paraId="61578B06" w14:textId="77777777" w:rsidR="00BB264D" w:rsidRPr="00980785" w:rsidRDefault="00BB264D" w:rsidP="00290631">
            <w:pPr>
              <w:jc w:val="both"/>
              <w:rPr>
                <w:b/>
                <w:sz w:val="22"/>
                <w:szCs w:val="22"/>
                <w:lang w:val="sr-Latn-ME"/>
              </w:rPr>
            </w:pPr>
            <w:r w:rsidRPr="00980785">
              <w:rPr>
                <w:b/>
                <w:sz w:val="22"/>
                <w:szCs w:val="22"/>
                <w:lang w:val="sr-Latn-ME"/>
              </w:rPr>
              <w:t>Neželjena dejstva</w:t>
            </w:r>
          </w:p>
        </w:tc>
      </w:tr>
      <w:tr w:rsidR="00BB264D" w:rsidRPr="00980785" w14:paraId="6580EAE4" w14:textId="77777777" w:rsidTr="00BB264D">
        <w:tc>
          <w:tcPr>
            <w:tcW w:w="9418" w:type="dxa"/>
            <w:gridSpan w:val="3"/>
            <w:tcBorders>
              <w:top w:val="single" w:sz="4" w:space="0" w:color="auto"/>
              <w:left w:val="single" w:sz="4" w:space="0" w:color="auto"/>
              <w:bottom w:val="single" w:sz="4" w:space="0" w:color="auto"/>
              <w:right w:val="single" w:sz="4" w:space="0" w:color="auto"/>
            </w:tcBorders>
            <w:hideMark/>
          </w:tcPr>
          <w:p w14:paraId="3EB94B0C" w14:textId="77777777" w:rsidR="00BB264D" w:rsidRPr="00980785" w:rsidRDefault="00BB264D" w:rsidP="00290631">
            <w:pPr>
              <w:jc w:val="both"/>
              <w:rPr>
                <w:b/>
                <w:sz w:val="22"/>
                <w:szCs w:val="22"/>
                <w:lang w:val="sr-Latn-ME"/>
              </w:rPr>
            </w:pPr>
            <w:r w:rsidRPr="00980785">
              <w:rPr>
                <w:b/>
                <w:sz w:val="22"/>
                <w:szCs w:val="22"/>
                <w:lang w:val="sr-Latn-ME"/>
              </w:rPr>
              <w:t>Klinička ispitivanja</w:t>
            </w:r>
          </w:p>
        </w:tc>
      </w:tr>
      <w:tr w:rsidR="00BB264D" w:rsidRPr="00980785" w14:paraId="5A66E260" w14:textId="77777777" w:rsidTr="00BB264D">
        <w:tc>
          <w:tcPr>
            <w:tcW w:w="3227" w:type="dxa"/>
            <w:vMerge w:val="restart"/>
            <w:tcBorders>
              <w:top w:val="single" w:sz="4" w:space="0" w:color="auto"/>
              <w:left w:val="single" w:sz="4" w:space="0" w:color="auto"/>
              <w:bottom w:val="single" w:sz="4" w:space="0" w:color="auto"/>
              <w:right w:val="single" w:sz="4" w:space="0" w:color="auto"/>
            </w:tcBorders>
            <w:hideMark/>
          </w:tcPr>
          <w:p w14:paraId="1DC01D5F" w14:textId="77777777" w:rsidR="00BB264D" w:rsidRPr="00980785" w:rsidRDefault="00BB264D" w:rsidP="00290631">
            <w:pPr>
              <w:jc w:val="both"/>
              <w:rPr>
                <w:sz w:val="22"/>
                <w:szCs w:val="22"/>
                <w:lang w:val="sr-Latn-ME"/>
              </w:rPr>
            </w:pPr>
            <w:r w:rsidRPr="00980785">
              <w:rPr>
                <w:sz w:val="22"/>
                <w:szCs w:val="22"/>
                <w:lang w:val="sr-Latn-ME"/>
              </w:rPr>
              <w:t>Imunološki poremećaji</w:t>
            </w:r>
          </w:p>
        </w:tc>
        <w:tc>
          <w:tcPr>
            <w:tcW w:w="1691" w:type="dxa"/>
            <w:tcBorders>
              <w:top w:val="single" w:sz="4" w:space="0" w:color="auto"/>
              <w:left w:val="single" w:sz="4" w:space="0" w:color="auto"/>
              <w:bottom w:val="dashed" w:sz="4" w:space="0" w:color="auto"/>
              <w:right w:val="single" w:sz="4" w:space="0" w:color="auto"/>
            </w:tcBorders>
            <w:hideMark/>
          </w:tcPr>
          <w:p w14:paraId="6E33989B" w14:textId="5DB73D73" w:rsidR="00BB264D" w:rsidRPr="00980785" w:rsidRDefault="00BB264D" w:rsidP="00290631">
            <w:pPr>
              <w:jc w:val="both"/>
              <w:rPr>
                <w:sz w:val="22"/>
                <w:szCs w:val="22"/>
                <w:lang w:val="sr-Latn-ME"/>
              </w:rPr>
            </w:pPr>
            <w:r w:rsidRPr="00980785">
              <w:rPr>
                <w:sz w:val="22"/>
                <w:szCs w:val="22"/>
                <w:lang w:val="sr-Latn-ME"/>
              </w:rPr>
              <w:t>Rijetk</w:t>
            </w:r>
            <w:r w:rsidR="006224EE" w:rsidRPr="00980785">
              <w:rPr>
                <w:sz w:val="22"/>
                <w:szCs w:val="22"/>
                <w:lang w:val="sr-Latn-ME"/>
              </w:rPr>
              <w:t>o</w:t>
            </w:r>
          </w:p>
        </w:tc>
        <w:tc>
          <w:tcPr>
            <w:tcW w:w="4500" w:type="dxa"/>
            <w:tcBorders>
              <w:top w:val="single" w:sz="4" w:space="0" w:color="auto"/>
              <w:left w:val="single" w:sz="4" w:space="0" w:color="auto"/>
              <w:bottom w:val="dashed" w:sz="4" w:space="0" w:color="auto"/>
              <w:right w:val="single" w:sz="4" w:space="0" w:color="auto"/>
            </w:tcBorders>
            <w:hideMark/>
          </w:tcPr>
          <w:p w14:paraId="4C725D02" w14:textId="13D20A36" w:rsidR="00BB264D" w:rsidRPr="00980785" w:rsidRDefault="00BB264D" w:rsidP="00290631">
            <w:pPr>
              <w:jc w:val="both"/>
              <w:rPr>
                <w:sz w:val="22"/>
                <w:szCs w:val="22"/>
                <w:lang w:val="sr-Latn-ME"/>
              </w:rPr>
            </w:pPr>
            <w:r w:rsidRPr="00980785">
              <w:rPr>
                <w:sz w:val="22"/>
                <w:szCs w:val="22"/>
                <w:lang w:val="sr-Latn-ME"/>
              </w:rPr>
              <w:t xml:space="preserve">alergijske reakcije (kao </w:t>
            </w:r>
            <w:r w:rsidR="006224EE" w:rsidRPr="00980785">
              <w:rPr>
                <w:sz w:val="22"/>
                <w:szCs w:val="22"/>
                <w:lang w:val="sr-Latn-ME"/>
              </w:rPr>
              <w:t xml:space="preserve">što su </w:t>
            </w:r>
            <w:r w:rsidR="00046D9A" w:rsidRPr="00980785">
              <w:rPr>
                <w:sz w:val="22"/>
                <w:szCs w:val="22"/>
                <w:lang w:val="sr-Latn-ME"/>
              </w:rPr>
              <w:t xml:space="preserve">ekcem, </w:t>
            </w:r>
            <w:r w:rsidRPr="00980785">
              <w:rPr>
                <w:sz w:val="22"/>
                <w:szCs w:val="22"/>
                <w:lang w:val="sr-Latn-ME"/>
              </w:rPr>
              <w:t>alergijski dermatitis, atopijski dermatitis)</w:t>
            </w:r>
          </w:p>
        </w:tc>
      </w:tr>
      <w:tr w:rsidR="00BB264D" w:rsidRPr="00980785" w14:paraId="1CCD2A23" w14:textId="77777777" w:rsidTr="00BB264D">
        <w:tc>
          <w:tcPr>
            <w:tcW w:w="0" w:type="auto"/>
            <w:vMerge/>
            <w:tcBorders>
              <w:top w:val="single" w:sz="4" w:space="0" w:color="auto"/>
              <w:left w:val="single" w:sz="4" w:space="0" w:color="auto"/>
              <w:bottom w:val="single" w:sz="4" w:space="0" w:color="auto"/>
              <w:right w:val="single" w:sz="4" w:space="0" w:color="auto"/>
            </w:tcBorders>
            <w:vAlign w:val="center"/>
            <w:hideMark/>
          </w:tcPr>
          <w:p w14:paraId="3807761C" w14:textId="77777777" w:rsidR="00BB264D" w:rsidRPr="00980785" w:rsidRDefault="00BB264D" w:rsidP="00290631">
            <w:pPr>
              <w:jc w:val="both"/>
              <w:rPr>
                <w:noProof/>
                <w:sz w:val="22"/>
                <w:szCs w:val="22"/>
                <w:lang w:val="sr-Latn-ME"/>
              </w:rPr>
            </w:pPr>
          </w:p>
        </w:tc>
        <w:tc>
          <w:tcPr>
            <w:tcW w:w="1691" w:type="dxa"/>
            <w:tcBorders>
              <w:top w:val="dashed" w:sz="4" w:space="0" w:color="auto"/>
              <w:left w:val="single" w:sz="4" w:space="0" w:color="auto"/>
              <w:bottom w:val="single" w:sz="4" w:space="0" w:color="auto"/>
              <w:right w:val="single" w:sz="4" w:space="0" w:color="auto"/>
            </w:tcBorders>
            <w:hideMark/>
          </w:tcPr>
          <w:p w14:paraId="114AE5F8" w14:textId="72BB1F80" w:rsidR="00BB264D" w:rsidRPr="00980785" w:rsidRDefault="00BB264D" w:rsidP="00290631">
            <w:pPr>
              <w:jc w:val="both"/>
              <w:rPr>
                <w:sz w:val="22"/>
                <w:szCs w:val="22"/>
                <w:lang w:val="sr-Latn-ME"/>
              </w:rPr>
            </w:pPr>
            <w:r w:rsidRPr="00980785">
              <w:rPr>
                <w:sz w:val="22"/>
                <w:szCs w:val="22"/>
                <w:lang w:val="sr-Latn-ME"/>
              </w:rPr>
              <w:t>Veoma rijet</w:t>
            </w:r>
            <w:r w:rsidR="006224EE" w:rsidRPr="00980785">
              <w:rPr>
                <w:sz w:val="22"/>
                <w:szCs w:val="22"/>
                <w:lang w:val="sr-Latn-ME"/>
              </w:rPr>
              <w:t>ko</w:t>
            </w:r>
          </w:p>
        </w:tc>
        <w:tc>
          <w:tcPr>
            <w:tcW w:w="4500" w:type="dxa"/>
            <w:tcBorders>
              <w:top w:val="dashed" w:sz="4" w:space="0" w:color="auto"/>
              <w:left w:val="single" w:sz="4" w:space="0" w:color="auto"/>
              <w:bottom w:val="single" w:sz="4" w:space="0" w:color="auto"/>
              <w:right w:val="single" w:sz="4" w:space="0" w:color="auto"/>
            </w:tcBorders>
            <w:hideMark/>
          </w:tcPr>
          <w:p w14:paraId="01650DC0" w14:textId="4D40E0AA" w:rsidR="00BB264D" w:rsidRPr="00980785" w:rsidRDefault="00DE7FB7" w:rsidP="00290631">
            <w:pPr>
              <w:jc w:val="both"/>
              <w:rPr>
                <w:sz w:val="22"/>
                <w:szCs w:val="22"/>
                <w:lang w:val="sr-Latn-ME"/>
              </w:rPr>
            </w:pPr>
            <w:r w:rsidRPr="00980785">
              <w:rPr>
                <w:sz w:val="22"/>
                <w:szCs w:val="22"/>
                <w:lang w:val="sr-Latn-ME"/>
              </w:rPr>
              <w:t>angioedem</w:t>
            </w:r>
          </w:p>
        </w:tc>
      </w:tr>
      <w:tr w:rsidR="00BB264D" w:rsidRPr="00980785" w14:paraId="5AAD486A" w14:textId="77777777" w:rsidTr="00BB264D">
        <w:tc>
          <w:tcPr>
            <w:tcW w:w="3227" w:type="dxa"/>
            <w:tcBorders>
              <w:top w:val="single" w:sz="4" w:space="0" w:color="auto"/>
              <w:left w:val="single" w:sz="4" w:space="0" w:color="auto"/>
              <w:bottom w:val="single" w:sz="4" w:space="0" w:color="auto"/>
              <w:right w:val="single" w:sz="4" w:space="0" w:color="auto"/>
            </w:tcBorders>
            <w:hideMark/>
          </w:tcPr>
          <w:p w14:paraId="05D63AB7" w14:textId="77777777" w:rsidR="00BB264D" w:rsidRPr="00980785" w:rsidRDefault="00BB264D" w:rsidP="00290631">
            <w:pPr>
              <w:jc w:val="both"/>
              <w:rPr>
                <w:sz w:val="22"/>
                <w:szCs w:val="22"/>
                <w:lang w:val="sr-Latn-ME"/>
              </w:rPr>
            </w:pPr>
            <w:r w:rsidRPr="00980785">
              <w:rPr>
                <w:sz w:val="22"/>
                <w:szCs w:val="22"/>
                <w:lang w:val="sr-Latn-ME"/>
              </w:rPr>
              <w:t>Poremećaji metabolizma i ishrane</w:t>
            </w:r>
          </w:p>
        </w:tc>
        <w:tc>
          <w:tcPr>
            <w:tcW w:w="1691" w:type="dxa"/>
            <w:tcBorders>
              <w:top w:val="single" w:sz="4" w:space="0" w:color="auto"/>
              <w:left w:val="single" w:sz="4" w:space="0" w:color="auto"/>
              <w:bottom w:val="single" w:sz="4" w:space="0" w:color="auto"/>
              <w:right w:val="single" w:sz="4" w:space="0" w:color="auto"/>
            </w:tcBorders>
            <w:hideMark/>
          </w:tcPr>
          <w:p w14:paraId="06972DBA" w14:textId="1E2E8700" w:rsidR="00BB264D" w:rsidRPr="00980785" w:rsidRDefault="00BB264D" w:rsidP="00290631">
            <w:pPr>
              <w:jc w:val="both"/>
              <w:rPr>
                <w:sz w:val="22"/>
                <w:szCs w:val="22"/>
                <w:lang w:val="sr-Latn-ME"/>
              </w:rPr>
            </w:pPr>
            <w:r w:rsidRPr="00980785">
              <w:rPr>
                <w:sz w:val="22"/>
                <w:szCs w:val="22"/>
                <w:lang w:val="sr-Latn-ME"/>
              </w:rPr>
              <w:t>Veoma čest</w:t>
            </w:r>
            <w:r w:rsidR="006224EE" w:rsidRPr="00980785">
              <w:rPr>
                <w:sz w:val="22"/>
                <w:szCs w:val="22"/>
                <w:lang w:val="sr-Latn-ME"/>
              </w:rPr>
              <w:t>o</w:t>
            </w:r>
          </w:p>
        </w:tc>
        <w:tc>
          <w:tcPr>
            <w:tcW w:w="4500" w:type="dxa"/>
            <w:tcBorders>
              <w:top w:val="single" w:sz="4" w:space="0" w:color="auto"/>
              <w:left w:val="single" w:sz="4" w:space="0" w:color="auto"/>
              <w:bottom w:val="single" w:sz="4" w:space="0" w:color="auto"/>
              <w:right w:val="single" w:sz="4" w:space="0" w:color="auto"/>
            </w:tcBorders>
            <w:hideMark/>
          </w:tcPr>
          <w:p w14:paraId="70C1ECFB" w14:textId="77777777" w:rsidR="00BB264D" w:rsidRPr="00980785" w:rsidRDefault="00BB264D" w:rsidP="00290631">
            <w:pPr>
              <w:jc w:val="both"/>
              <w:rPr>
                <w:sz w:val="22"/>
                <w:szCs w:val="22"/>
                <w:lang w:val="sr-Latn-ME"/>
              </w:rPr>
            </w:pPr>
            <w:r w:rsidRPr="00980785">
              <w:rPr>
                <w:sz w:val="22"/>
                <w:szCs w:val="22"/>
                <w:lang w:val="sr-Latn-ME"/>
              </w:rPr>
              <w:t>gubitak apetita</w:t>
            </w:r>
          </w:p>
        </w:tc>
      </w:tr>
      <w:tr w:rsidR="00BB264D" w:rsidRPr="00980785" w14:paraId="7D3D7A66" w14:textId="77777777" w:rsidTr="00BB264D">
        <w:tc>
          <w:tcPr>
            <w:tcW w:w="3227" w:type="dxa"/>
            <w:vMerge w:val="restart"/>
            <w:tcBorders>
              <w:top w:val="single" w:sz="4" w:space="0" w:color="auto"/>
              <w:left w:val="single" w:sz="4" w:space="0" w:color="auto"/>
              <w:bottom w:val="single" w:sz="4" w:space="0" w:color="auto"/>
              <w:right w:val="single" w:sz="4" w:space="0" w:color="auto"/>
            </w:tcBorders>
          </w:tcPr>
          <w:p w14:paraId="44BFEA0B" w14:textId="77777777" w:rsidR="00BB264D" w:rsidRPr="00980785" w:rsidRDefault="00BB264D" w:rsidP="00290631">
            <w:pPr>
              <w:jc w:val="both"/>
              <w:rPr>
                <w:sz w:val="22"/>
                <w:szCs w:val="22"/>
                <w:lang w:val="sr-Latn-ME"/>
              </w:rPr>
            </w:pPr>
            <w:r w:rsidRPr="00980785">
              <w:rPr>
                <w:sz w:val="22"/>
                <w:szCs w:val="22"/>
                <w:lang w:val="sr-Latn-ME"/>
              </w:rPr>
              <w:t>Psihijatrijski poremećaji</w:t>
            </w:r>
          </w:p>
          <w:p w14:paraId="1182722E" w14:textId="77777777" w:rsidR="00BB264D" w:rsidRPr="00980785" w:rsidRDefault="00BB264D" w:rsidP="00290631">
            <w:pPr>
              <w:jc w:val="both"/>
              <w:rPr>
                <w:sz w:val="22"/>
                <w:szCs w:val="22"/>
                <w:lang w:val="sr-Latn-ME"/>
              </w:rPr>
            </w:pPr>
          </w:p>
        </w:tc>
        <w:tc>
          <w:tcPr>
            <w:tcW w:w="1691" w:type="dxa"/>
            <w:tcBorders>
              <w:top w:val="single" w:sz="4" w:space="0" w:color="auto"/>
              <w:left w:val="single" w:sz="4" w:space="0" w:color="auto"/>
              <w:bottom w:val="dashed" w:sz="4" w:space="0" w:color="auto"/>
              <w:right w:val="single" w:sz="4" w:space="0" w:color="auto"/>
            </w:tcBorders>
            <w:hideMark/>
          </w:tcPr>
          <w:p w14:paraId="5462FB71" w14:textId="43CA25E4" w:rsidR="00BB264D" w:rsidRPr="00980785" w:rsidRDefault="00BB264D" w:rsidP="00290631">
            <w:pPr>
              <w:jc w:val="both"/>
              <w:rPr>
                <w:sz w:val="22"/>
                <w:szCs w:val="22"/>
                <w:lang w:val="sr-Latn-ME"/>
              </w:rPr>
            </w:pPr>
            <w:r w:rsidRPr="00980785">
              <w:rPr>
                <w:sz w:val="22"/>
                <w:szCs w:val="22"/>
                <w:lang w:val="sr-Latn-ME"/>
              </w:rPr>
              <w:t>Veoma čest</w:t>
            </w:r>
            <w:r w:rsidR="006224EE" w:rsidRPr="00980785">
              <w:rPr>
                <w:sz w:val="22"/>
                <w:szCs w:val="22"/>
                <w:lang w:val="sr-Latn-ME"/>
              </w:rPr>
              <w:t>o</w:t>
            </w:r>
          </w:p>
        </w:tc>
        <w:tc>
          <w:tcPr>
            <w:tcW w:w="4500" w:type="dxa"/>
            <w:tcBorders>
              <w:top w:val="single" w:sz="4" w:space="0" w:color="auto"/>
              <w:left w:val="single" w:sz="4" w:space="0" w:color="auto"/>
              <w:bottom w:val="dashed" w:sz="4" w:space="0" w:color="auto"/>
              <w:right w:val="single" w:sz="4" w:space="0" w:color="auto"/>
            </w:tcBorders>
            <w:hideMark/>
          </w:tcPr>
          <w:p w14:paraId="745508BF" w14:textId="77777777" w:rsidR="00BB264D" w:rsidRPr="00980785" w:rsidRDefault="00BB264D" w:rsidP="00290631">
            <w:pPr>
              <w:jc w:val="both"/>
              <w:rPr>
                <w:sz w:val="22"/>
                <w:szCs w:val="22"/>
                <w:lang w:val="sr-Latn-ME"/>
              </w:rPr>
            </w:pPr>
            <w:r w:rsidRPr="00980785">
              <w:rPr>
                <w:sz w:val="22"/>
                <w:szCs w:val="22"/>
                <w:lang w:val="sr-Latn-ME"/>
              </w:rPr>
              <w:t>razdražljivost</w:t>
            </w:r>
          </w:p>
        </w:tc>
      </w:tr>
      <w:tr w:rsidR="00BB264D" w:rsidRPr="00980785" w14:paraId="6A7C6B20" w14:textId="77777777" w:rsidTr="00BB264D">
        <w:tc>
          <w:tcPr>
            <w:tcW w:w="0" w:type="auto"/>
            <w:vMerge/>
            <w:tcBorders>
              <w:top w:val="single" w:sz="4" w:space="0" w:color="auto"/>
              <w:left w:val="single" w:sz="4" w:space="0" w:color="auto"/>
              <w:bottom w:val="single" w:sz="4" w:space="0" w:color="auto"/>
              <w:right w:val="single" w:sz="4" w:space="0" w:color="auto"/>
            </w:tcBorders>
            <w:vAlign w:val="center"/>
            <w:hideMark/>
          </w:tcPr>
          <w:p w14:paraId="3A8D945D" w14:textId="77777777" w:rsidR="00BB264D" w:rsidRPr="00980785" w:rsidRDefault="00BB264D" w:rsidP="00290631">
            <w:pPr>
              <w:jc w:val="both"/>
              <w:rPr>
                <w:noProof/>
                <w:sz w:val="22"/>
                <w:szCs w:val="22"/>
                <w:lang w:val="sr-Latn-ME"/>
              </w:rPr>
            </w:pPr>
          </w:p>
        </w:tc>
        <w:tc>
          <w:tcPr>
            <w:tcW w:w="1691" w:type="dxa"/>
            <w:tcBorders>
              <w:top w:val="dashed" w:sz="4" w:space="0" w:color="auto"/>
              <w:left w:val="single" w:sz="4" w:space="0" w:color="auto"/>
              <w:bottom w:val="single" w:sz="4" w:space="0" w:color="auto"/>
              <w:right w:val="single" w:sz="4" w:space="0" w:color="auto"/>
            </w:tcBorders>
            <w:hideMark/>
          </w:tcPr>
          <w:p w14:paraId="6481909F" w14:textId="70913E49" w:rsidR="00BB264D" w:rsidRPr="00980785" w:rsidRDefault="00BB264D" w:rsidP="00290631">
            <w:pPr>
              <w:jc w:val="both"/>
              <w:rPr>
                <w:sz w:val="22"/>
                <w:szCs w:val="22"/>
                <w:lang w:val="sr-Latn-ME"/>
              </w:rPr>
            </w:pPr>
            <w:r w:rsidRPr="00980785">
              <w:rPr>
                <w:sz w:val="22"/>
                <w:szCs w:val="22"/>
                <w:lang w:val="sr-Latn-ME"/>
              </w:rPr>
              <w:t>Povremen</w:t>
            </w:r>
            <w:r w:rsidR="006224EE" w:rsidRPr="00980785">
              <w:rPr>
                <w:sz w:val="22"/>
                <w:szCs w:val="22"/>
                <w:lang w:val="sr-Latn-ME"/>
              </w:rPr>
              <w:t>o</w:t>
            </w:r>
          </w:p>
        </w:tc>
        <w:tc>
          <w:tcPr>
            <w:tcW w:w="4500" w:type="dxa"/>
            <w:tcBorders>
              <w:top w:val="dashed" w:sz="4" w:space="0" w:color="auto"/>
              <w:left w:val="single" w:sz="4" w:space="0" w:color="auto"/>
              <w:bottom w:val="single" w:sz="4" w:space="0" w:color="auto"/>
              <w:right w:val="single" w:sz="4" w:space="0" w:color="auto"/>
            </w:tcBorders>
            <w:hideMark/>
          </w:tcPr>
          <w:p w14:paraId="5995FF9F" w14:textId="77777777" w:rsidR="00BB264D" w:rsidRPr="00980785" w:rsidRDefault="00BB264D" w:rsidP="00290631">
            <w:pPr>
              <w:jc w:val="both"/>
              <w:rPr>
                <w:sz w:val="22"/>
                <w:szCs w:val="22"/>
                <w:lang w:val="sr-Latn-ME"/>
              </w:rPr>
            </w:pPr>
            <w:r w:rsidRPr="00980785">
              <w:rPr>
                <w:sz w:val="22"/>
                <w:szCs w:val="22"/>
                <w:lang w:val="sr-Latn-ME"/>
              </w:rPr>
              <w:t>neuobičajen plač</w:t>
            </w:r>
          </w:p>
        </w:tc>
      </w:tr>
      <w:tr w:rsidR="00BB264D" w:rsidRPr="00980785" w14:paraId="0EE9E30D" w14:textId="77777777" w:rsidTr="00BB264D">
        <w:tc>
          <w:tcPr>
            <w:tcW w:w="3227" w:type="dxa"/>
            <w:vMerge w:val="restart"/>
            <w:tcBorders>
              <w:top w:val="single" w:sz="4" w:space="0" w:color="auto"/>
              <w:left w:val="single" w:sz="4" w:space="0" w:color="auto"/>
              <w:bottom w:val="single" w:sz="4" w:space="0" w:color="auto"/>
              <w:right w:val="single" w:sz="4" w:space="0" w:color="auto"/>
            </w:tcBorders>
            <w:hideMark/>
          </w:tcPr>
          <w:p w14:paraId="422687D6" w14:textId="77777777" w:rsidR="00BB264D" w:rsidRPr="00980785" w:rsidRDefault="00BB264D" w:rsidP="00290631">
            <w:pPr>
              <w:jc w:val="both"/>
              <w:rPr>
                <w:sz w:val="22"/>
                <w:szCs w:val="22"/>
                <w:lang w:val="sr-Latn-ME"/>
              </w:rPr>
            </w:pPr>
            <w:r w:rsidRPr="00980785">
              <w:rPr>
                <w:sz w:val="22"/>
                <w:szCs w:val="22"/>
                <w:lang w:val="sr-Latn-ME"/>
              </w:rPr>
              <w:t>Poremećaji nervnog sistema</w:t>
            </w:r>
          </w:p>
        </w:tc>
        <w:tc>
          <w:tcPr>
            <w:tcW w:w="1691" w:type="dxa"/>
            <w:tcBorders>
              <w:top w:val="single" w:sz="4" w:space="0" w:color="auto"/>
              <w:left w:val="single" w:sz="4" w:space="0" w:color="auto"/>
              <w:bottom w:val="dashed" w:sz="4" w:space="0" w:color="auto"/>
              <w:right w:val="single" w:sz="4" w:space="0" w:color="auto"/>
            </w:tcBorders>
            <w:hideMark/>
          </w:tcPr>
          <w:p w14:paraId="5B35F515" w14:textId="31EB35BC" w:rsidR="00BB264D" w:rsidRPr="00980785" w:rsidRDefault="00BB264D" w:rsidP="00290631">
            <w:pPr>
              <w:jc w:val="both"/>
              <w:rPr>
                <w:sz w:val="22"/>
                <w:szCs w:val="22"/>
                <w:lang w:val="sr-Latn-ME"/>
              </w:rPr>
            </w:pPr>
            <w:r w:rsidRPr="00980785">
              <w:rPr>
                <w:sz w:val="22"/>
                <w:szCs w:val="22"/>
                <w:lang w:val="sr-Latn-ME"/>
              </w:rPr>
              <w:t>Veoma čest</w:t>
            </w:r>
            <w:r w:rsidR="006224EE" w:rsidRPr="00980785">
              <w:rPr>
                <w:sz w:val="22"/>
                <w:szCs w:val="22"/>
                <w:lang w:val="sr-Latn-ME"/>
              </w:rPr>
              <w:t>o</w:t>
            </w:r>
          </w:p>
        </w:tc>
        <w:tc>
          <w:tcPr>
            <w:tcW w:w="4500" w:type="dxa"/>
            <w:tcBorders>
              <w:top w:val="single" w:sz="4" w:space="0" w:color="auto"/>
              <w:left w:val="single" w:sz="4" w:space="0" w:color="auto"/>
              <w:bottom w:val="dashed" w:sz="4" w:space="0" w:color="auto"/>
              <w:right w:val="single" w:sz="4" w:space="0" w:color="auto"/>
            </w:tcBorders>
            <w:hideMark/>
          </w:tcPr>
          <w:p w14:paraId="40080663" w14:textId="77777777" w:rsidR="00BB264D" w:rsidRPr="00980785" w:rsidRDefault="00BB264D" w:rsidP="00290631">
            <w:pPr>
              <w:jc w:val="both"/>
              <w:rPr>
                <w:sz w:val="22"/>
                <w:szCs w:val="22"/>
                <w:lang w:val="sr-Latn-ME"/>
              </w:rPr>
            </w:pPr>
            <w:r w:rsidRPr="00980785">
              <w:rPr>
                <w:sz w:val="22"/>
                <w:szCs w:val="22"/>
                <w:lang w:val="sr-Latn-ME"/>
              </w:rPr>
              <w:t>pospanost</w:t>
            </w:r>
          </w:p>
        </w:tc>
      </w:tr>
      <w:tr w:rsidR="00BB264D" w:rsidRPr="00980785" w14:paraId="263B29B6" w14:textId="77777777" w:rsidTr="00BB264D">
        <w:tc>
          <w:tcPr>
            <w:tcW w:w="0" w:type="auto"/>
            <w:vMerge/>
            <w:tcBorders>
              <w:top w:val="single" w:sz="4" w:space="0" w:color="auto"/>
              <w:left w:val="single" w:sz="4" w:space="0" w:color="auto"/>
              <w:bottom w:val="single" w:sz="4" w:space="0" w:color="auto"/>
              <w:right w:val="single" w:sz="4" w:space="0" w:color="auto"/>
            </w:tcBorders>
            <w:vAlign w:val="center"/>
            <w:hideMark/>
          </w:tcPr>
          <w:p w14:paraId="3DB83075" w14:textId="77777777" w:rsidR="00BB264D" w:rsidRPr="00980785" w:rsidRDefault="00BB264D" w:rsidP="00290631">
            <w:pPr>
              <w:jc w:val="both"/>
              <w:rPr>
                <w:noProof/>
                <w:sz w:val="22"/>
                <w:szCs w:val="22"/>
                <w:lang w:val="sr-Latn-ME"/>
              </w:rPr>
            </w:pPr>
          </w:p>
        </w:tc>
        <w:tc>
          <w:tcPr>
            <w:tcW w:w="1691" w:type="dxa"/>
            <w:tcBorders>
              <w:top w:val="dashed" w:sz="4" w:space="0" w:color="auto"/>
              <w:left w:val="single" w:sz="4" w:space="0" w:color="auto"/>
              <w:bottom w:val="single" w:sz="4" w:space="0" w:color="auto"/>
              <w:right w:val="single" w:sz="4" w:space="0" w:color="auto"/>
            </w:tcBorders>
            <w:hideMark/>
          </w:tcPr>
          <w:p w14:paraId="5E27BDF6" w14:textId="251E559D" w:rsidR="00BB264D" w:rsidRPr="00980785" w:rsidRDefault="00BB264D" w:rsidP="00290631">
            <w:pPr>
              <w:jc w:val="both"/>
              <w:rPr>
                <w:sz w:val="22"/>
                <w:szCs w:val="22"/>
                <w:lang w:val="sr-Latn-ME"/>
              </w:rPr>
            </w:pPr>
            <w:r w:rsidRPr="00980785">
              <w:rPr>
                <w:sz w:val="22"/>
                <w:szCs w:val="22"/>
                <w:lang w:val="sr-Latn-ME"/>
              </w:rPr>
              <w:t>Rijetk</w:t>
            </w:r>
            <w:r w:rsidR="006224EE" w:rsidRPr="00980785">
              <w:rPr>
                <w:sz w:val="22"/>
                <w:szCs w:val="22"/>
                <w:lang w:val="sr-Latn-ME"/>
              </w:rPr>
              <w:t>o</w:t>
            </w:r>
          </w:p>
        </w:tc>
        <w:tc>
          <w:tcPr>
            <w:tcW w:w="4500" w:type="dxa"/>
            <w:tcBorders>
              <w:top w:val="dashed" w:sz="4" w:space="0" w:color="auto"/>
              <w:left w:val="single" w:sz="4" w:space="0" w:color="auto"/>
              <w:bottom w:val="single" w:sz="4" w:space="0" w:color="auto"/>
              <w:right w:val="single" w:sz="4" w:space="0" w:color="auto"/>
            </w:tcBorders>
            <w:hideMark/>
          </w:tcPr>
          <w:p w14:paraId="35AF6ED1" w14:textId="77777777" w:rsidR="00BB264D" w:rsidRPr="00980785" w:rsidRDefault="00BB264D" w:rsidP="00290631">
            <w:pPr>
              <w:jc w:val="both"/>
              <w:rPr>
                <w:sz w:val="22"/>
                <w:szCs w:val="22"/>
                <w:lang w:val="sr-Latn-ME"/>
              </w:rPr>
            </w:pPr>
            <w:r w:rsidRPr="00980785">
              <w:rPr>
                <w:sz w:val="22"/>
                <w:szCs w:val="22"/>
                <w:lang w:val="sr-Latn-ME"/>
              </w:rPr>
              <w:t>konvulzije (uključujući febrilne konvulzije)</w:t>
            </w:r>
          </w:p>
        </w:tc>
      </w:tr>
      <w:tr w:rsidR="00BB264D" w:rsidRPr="00980785" w14:paraId="5A49E8D3" w14:textId="77777777" w:rsidTr="00BB264D">
        <w:tc>
          <w:tcPr>
            <w:tcW w:w="3227" w:type="dxa"/>
            <w:tcBorders>
              <w:top w:val="single" w:sz="4" w:space="0" w:color="auto"/>
              <w:left w:val="single" w:sz="4" w:space="0" w:color="auto"/>
              <w:bottom w:val="single" w:sz="4" w:space="0" w:color="auto"/>
              <w:right w:val="single" w:sz="4" w:space="0" w:color="auto"/>
            </w:tcBorders>
            <w:hideMark/>
          </w:tcPr>
          <w:p w14:paraId="46BBE02B" w14:textId="77777777" w:rsidR="00BB264D" w:rsidRPr="00980785" w:rsidRDefault="00BB264D" w:rsidP="00290631">
            <w:pPr>
              <w:jc w:val="both"/>
              <w:rPr>
                <w:sz w:val="22"/>
                <w:szCs w:val="22"/>
                <w:lang w:val="sr-Latn-ME"/>
              </w:rPr>
            </w:pPr>
            <w:r w:rsidRPr="00980785">
              <w:rPr>
                <w:sz w:val="22"/>
                <w:szCs w:val="22"/>
                <w:lang w:val="sr-Latn-ME"/>
              </w:rPr>
              <w:t>Respiratorni, torakalni i medijastinalni poremećaji</w:t>
            </w:r>
          </w:p>
        </w:tc>
        <w:tc>
          <w:tcPr>
            <w:tcW w:w="1691" w:type="dxa"/>
            <w:tcBorders>
              <w:top w:val="dashed" w:sz="4" w:space="0" w:color="auto"/>
              <w:left w:val="single" w:sz="4" w:space="0" w:color="auto"/>
              <w:bottom w:val="single" w:sz="4" w:space="0" w:color="auto"/>
              <w:right w:val="single" w:sz="4" w:space="0" w:color="auto"/>
            </w:tcBorders>
            <w:hideMark/>
          </w:tcPr>
          <w:p w14:paraId="30939C2D" w14:textId="2F26B2DD" w:rsidR="00BB264D" w:rsidRPr="00980785" w:rsidRDefault="00BB264D" w:rsidP="00290631">
            <w:pPr>
              <w:jc w:val="both"/>
              <w:rPr>
                <w:sz w:val="22"/>
                <w:szCs w:val="22"/>
                <w:lang w:val="sr-Latn-ME"/>
              </w:rPr>
            </w:pPr>
            <w:r w:rsidRPr="00980785">
              <w:rPr>
                <w:sz w:val="22"/>
                <w:szCs w:val="22"/>
                <w:lang w:val="sr-Latn-ME"/>
              </w:rPr>
              <w:t>Povremen</w:t>
            </w:r>
            <w:r w:rsidR="006224EE" w:rsidRPr="00980785">
              <w:rPr>
                <w:sz w:val="22"/>
                <w:szCs w:val="22"/>
                <w:lang w:val="sr-Latn-ME"/>
              </w:rPr>
              <w:t>o</w:t>
            </w:r>
          </w:p>
        </w:tc>
        <w:tc>
          <w:tcPr>
            <w:tcW w:w="4500" w:type="dxa"/>
            <w:tcBorders>
              <w:top w:val="dashed" w:sz="4" w:space="0" w:color="auto"/>
              <w:left w:val="single" w:sz="4" w:space="0" w:color="auto"/>
              <w:bottom w:val="single" w:sz="4" w:space="0" w:color="auto"/>
              <w:right w:val="single" w:sz="4" w:space="0" w:color="auto"/>
            </w:tcBorders>
            <w:hideMark/>
          </w:tcPr>
          <w:p w14:paraId="29DB39EC" w14:textId="35282C85" w:rsidR="00BB264D" w:rsidRPr="00980785" w:rsidRDefault="00BB264D" w:rsidP="00290631">
            <w:pPr>
              <w:jc w:val="both"/>
              <w:rPr>
                <w:sz w:val="22"/>
                <w:szCs w:val="22"/>
                <w:lang w:val="sr-Latn-ME"/>
              </w:rPr>
            </w:pPr>
            <w:r w:rsidRPr="00980785">
              <w:rPr>
                <w:sz w:val="22"/>
                <w:szCs w:val="22"/>
                <w:lang w:val="sr-Latn-ME"/>
              </w:rPr>
              <w:t>apneja kod prijevremeno rođen</w:t>
            </w:r>
            <w:r w:rsidR="00EE24F3" w:rsidRPr="00980785">
              <w:rPr>
                <w:sz w:val="22"/>
                <w:szCs w:val="22"/>
                <w:lang w:val="sr-Latn-ME"/>
              </w:rPr>
              <w:t>e</w:t>
            </w:r>
            <w:r w:rsidRPr="00980785">
              <w:rPr>
                <w:sz w:val="22"/>
                <w:szCs w:val="22"/>
                <w:lang w:val="sr-Latn-ME"/>
              </w:rPr>
              <w:t xml:space="preserve"> </w:t>
            </w:r>
            <w:r w:rsidR="00EE24F3" w:rsidRPr="00980785">
              <w:rPr>
                <w:sz w:val="22"/>
                <w:szCs w:val="22"/>
                <w:lang w:val="sr-Latn-ME"/>
              </w:rPr>
              <w:t>odojčadi</w:t>
            </w:r>
            <w:r w:rsidRPr="00980785">
              <w:rPr>
                <w:sz w:val="22"/>
                <w:szCs w:val="22"/>
                <w:lang w:val="sr-Latn-ME"/>
              </w:rPr>
              <w:t xml:space="preserve"> (rođen</w:t>
            </w:r>
            <w:r w:rsidR="00EE24F3" w:rsidRPr="00980785">
              <w:rPr>
                <w:sz w:val="22"/>
                <w:szCs w:val="22"/>
                <w:lang w:val="sr-Latn-ME"/>
              </w:rPr>
              <w:t>e</w:t>
            </w:r>
            <w:r w:rsidRPr="00980785">
              <w:rPr>
                <w:sz w:val="22"/>
                <w:szCs w:val="22"/>
                <w:lang w:val="sr-Latn-ME"/>
              </w:rPr>
              <w:t xml:space="preserve"> prije 28. gestacione nedjelje) (vidjeti </w:t>
            </w:r>
            <w:r w:rsidR="00F87210" w:rsidRPr="00980785">
              <w:rPr>
                <w:sz w:val="22"/>
                <w:szCs w:val="22"/>
                <w:lang w:val="sr-Latn-ME"/>
              </w:rPr>
              <w:t>dio</w:t>
            </w:r>
            <w:r w:rsidRPr="00980785">
              <w:rPr>
                <w:sz w:val="22"/>
                <w:szCs w:val="22"/>
                <w:lang w:val="sr-Latn-ME"/>
              </w:rPr>
              <w:t xml:space="preserve"> 4.4)</w:t>
            </w:r>
          </w:p>
        </w:tc>
      </w:tr>
      <w:tr w:rsidR="00D3143C" w:rsidRPr="00980785" w14:paraId="7B1BE182" w14:textId="77777777" w:rsidTr="00290631">
        <w:tc>
          <w:tcPr>
            <w:tcW w:w="3227" w:type="dxa"/>
            <w:tcBorders>
              <w:top w:val="single" w:sz="4" w:space="0" w:color="auto"/>
              <w:left w:val="single" w:sz="4" w:space="0" w:color="auto"/>
              <w:bottom w:val="single" w:sz="4" w:space="0" w:color="auto"/>
              <w:right w:val="single" w:sz="4" w:space="0" w:color="auto"/>
            </w:tcBorders>
          </w:tcPr>
          <w:p w14:paraId="74A914DE" w14:textId="1096F355" w:rsidR="00D3143C" w:rsidRPr="00980785" w:rsidRDefault="00D3143C" w:rsidP="00D3143C">
            <w:pPr>
              <w:jc w:val="both"/>
              <w:rPr>
                <w:sz w:val="22"/>
                <w:szCs w:val="22"/>
                <w:lang w:val="sr-Latn-ME"/>
              </w:rPr>
            </w:pPr>
            <w:r w:rsidRPr="00980785">
              <w:rPr>
                <w:sz w:val="22"/>
                <w:szCs w:val="22"/>
                <w:lang w:val="sr-Latn-ME"/>
              </w:rPr>
              <w:lastRenderedPageBreak/>
              <w:t>Vaskularni poremećaji</w:t>
            </w:r>
          </w:p>
        </w:tc>
        <w:tc>
          <w:tcPr>
            <w:tcW w:w="1691" w:type="dxa"/>
            <w:tcBorders>
              <w:top w:val="single" w:sz="4" w:space="0" w:color="auto"/>
              <w:left w:val="single" w:sz="4" w:space="0" w:color="auto"/>
              <w:bottom w:val="single" w:sz="4" w:space="0" w:color="auto"/>
              <w:right w:val="single" w:sz="4" w:space="0" w:color="auto"/>
            </w:tcBorders>
          </w:tcPr>
          <w:p w14:paraId="1592822F" w14:textId="0A01B689" w:rsidR="00D3143C" w:rsidRPr="00980785" w:rsidRDefault="00D3143C" w:rsidP="00D3143C">
            <w:pPr>
              <w:jc w:val="both"/>
              <w:rPr>
                <w:sz w:val="22"/>
                <w:szCs w:val="22"/>
                <w:lang w:val="sr-Latn-ME"/>
              </w:rPr>
            </w:pPr>
            <w:r w:rsidRPr="00980785">
              <w:rPr>
                <w:sz w:val="22"/>
                <w:szCs w:val="22"/>
                <w:lang w:val="sr-Latn-ME"/>
              </w:rPr>
              <w:t>Veoma rijetko</w:t>
            </w:r>
          </w:p>
        </w:tc>
        <w:tc>
          <w:tcPr>
            <w:tcW w:w="4500" w:type="dxa"/>
            <w:tcBorders>
              <w:top w:val="single" w:sz="4" w:space="0" w:color="auto"/>
              <w:left w:val="single" w:sz="4" w:space="0" w:color="auto"/>
              <w:bottom w:val="single" w:sz="4" w:space="0" w:color="auto"/>
              <w:right w:val="single" w:sz="4" w:space="0" w:color="auto"/>
            </w:tcBorders>
          </w:tcPr>
          <w:p w14:paraId="30991087" w14:textId="7EC45126" w:rsidR="00D3143C" w:rsidRPr="00980785" w:rsidRDefault="00D3143C" w:rsidP="00D3143C">
            <w:pPr>
              <w:jc w:val="both"/>
              <w:rPr>
                <w:sz w:val="22"/>
                <w:szCs w:val="22"/>
                <w:lang w:val="sr-Latn-ME"/>
              </w:rPr>
            </w:pPr>
            <w:r w:rsidRPr="00980785">
              <w:rPr>
                <w:sz w:val="22"/>
                <w:szCs w:val="22"/>
                <w:lang w:val="sr-Latn-ME"/>
              </w:rPr>
              <w:t>Kawasakijeva bolest</w:t>
            </w:r>
          </w:p>
        </w:tc>
      </w:tr>
      <w:tr w:rsidR="00D3143C" w:rsidRPr="00980785" w14:paraId="6D538742" w14:textId="77777777" w:rsidTr="00BB264D">
        <w:tc>
          <w:tcPr>
            <w:tcW w:w="3227" w:type="dxa"/>
            <w:tcBorders>
              <w:top w:val="single" w:sz="4" w:space="0" w:color="auto"/>
              <w:left w:val="single" w:sz="4" w:space="0" w:color="auto"/>
              <w:bottom w:val="single" w:sz="4" w:space="0" w:color="auto"/>
              <w:right w:val="single" w:sz="4" w:space="0" w:color="auto"/>
            </w:tcBorders>
            <w:hideMark/>
          </w:tcPr>
          <w:p w14:paraId="6075DB8A" w14:textId="77777777" w:rsidR="00D3143C" w:rsidRPr="00980785" w:rsidRDefault="00D3143C" w:rsidP="00290631">
            <w:pPr>
              <w:jc w:val="both"/>
              <w:rPr>
                <w:sz w:val="22"/>
                <w:szCs w:val="22"/>
                <w:lang w:val="sr-Latn-ME"/>
              </w:rPr>
            </w:pPr>
            <w:r w:rsidRPr="00980785">
              <w:rPr>
                <w:sz w:val="22"/>
                <w:szCs w:val="22"/>
                <w:lang w:val="sr-Latn-ME"/>
              </w:rPr>
              <w:t>Gastrointestinalni poremećaji</w:t>
            </w:r>
          </w:p>
        </w:tc>
        <w:tc>
          <w:tcPr>
            <w:tcW w:w="1691" w:type="dxa"/>
            <w:tcBorders>
              <w:top w:val="single" w:sz="4" w:space="0" w:color="auto"/>
              <w:left w:val="single" w:sz="4" w:space="0" w:color="auto"/>
              <w:bottom w:val="single" w:sz="4" w:space="0" w:color="auto"/>
              <w:right w:val="single" w:sz="4" w:space="0" w:color="auto"/>
            </w:tcBorders>
            <w:hideMark/>
          </w:tcPr>
          <w:p w14:paraId="247424C3" w14:textId="153340D6" w:rsidR="00D3143C" w:rsidRPr="00980785" w:rsidRDefault="00D3143C" w:rsidP="00290631">
            <w:pPr>
              <w:jc w:val="both"/>
              <w:rPr>
                <w:sz w:val="22"/>
                <w:szCs w:val="22"/>
                <w:lang w:val="sr-Latn-ME"/>
              </w:rPr>
            </w:pPr>
            <w:r w:rsidRPr="00980785">
              <w:rPr>
                <w:sz w:val="22"/>
                <w:szCs w:val="22"/>
                <w:lang w:val="sr-Latn-ME"/>
              </w:rPr>
              <w:t>Povremeno</w:t>
            </w:r>
          </w:p>
        </w:tc>
        <w:tc>
          <w:tcPr>
            <w:tcW w:w="4500" w:type="dxa"/>
            <w:tcBorders>
              <w:top w:val="single" w:sz="4" w:space="0" w:color="auto"/>
              <w:left w:val="single" w:sz="4" w:space="0" w:color="auto"/>
              <w:bottom w:val="single" w:sz="4" w:space="0" w:color="auto"/>
              <w:right w:val="single" w:sz="4" w:space="0" w:color="auto"/>
            </w:tcBorders>
            <w:hideMark/>
          </w:tcPr>
          <w:p w14:paraId="16B30856" w14:textId="77777777" w:rsidR="00D3143C" w:rsidRPr="00980785" w:rsidRDefault="00D3143C" w:rsidP="00290631">
            <w:pPr>
              <w:tabs>
                <w:tab w:val="center" w:pos="4153"/>
              </w:tabs>
              <w:jc w:val="both"/>
              <w:rPr>
                <w:sz w:val="22"/>
                <w:szCs w:val="22"/>
                <w:lang w:val="sr-Latn-ME"/>
              </w:rPr>
            </w:pPr>
            <w:r w:rsidRPr="00980785">
              <w:rPr>
                <w:sz w:val="22"/>
                <w:szCs w:val="22"/>
                <w:lang w:val="sr-Latn-ME"/>
              </w:rPr>
              <w:t>dijareja, povraćanje</w:t>
            </w:r>
          </w:p>
        </w:tc>
      </w:tr>
      <w:tr w:rsidR="00D3143C" w:rsidRPr="00980785" w14:paraId="601AB2FB" w14:textId="77777777" w:rsidTr="00BB264D">
        <w:tc>
          <w:tcPr>
            <w:tcW w:w="3227" w:type="dxa"/>
            <w:vMerge w:val="restart"/>
            <w:tcBorders>
              <w:top w:val="single" w:sz="4" w:space="0" w:color="auto"/>
              <w:left w:val="single" w:sz="4" w:space="0" w:color="auto"/>
              <w:bottom w:val="single" w:sz="4" w:space="0" w:color="auto"/>
              <w:right w:val="single" w:sz="4" w:space="0" w:color="auto"/>
            </w:tcBorders>
            <w:hideMark/>
          </w:tcPr>
          <w:p w14:paraId="3878DBC6" w14:textId="77777777" w:rsidR="00D3143C" w:rsidRPr="00980785" w:rsidRDefault="00D3143C" w:rsidP="00290631">
            <w:pPr>
              <w:jc w:val="both"/>
              <w:rPr>
                <w:sz w:val="22"/>
                <w:szCs w:val="22"/>
                <w:lang w:val="sr-Latn-ME"/>
              </w:rPr>
            </w:pPr>
            <w:r w:rsidRPr="00980785">
              <w:rPr>
                <w:sz w:val="22"/>
                <w:szCs w:val="22"/>
                <w:lang w:val="sr-Latn-ME"/>
              </w:rPr>
              <w:t>Poremećaji kože i potkožnog tkiva</w:t>
            </w:r>
          </w:p>
        </w:tc>
        <w:tc>
          <w:tcPr>
            <w:tcW w:w="1691" w:type="dxa"/>
            <w:tcBorders>
              <w:top w:val="single" w:sz="4" w:space="0" w:color="auto"/>
              <w:left w:val="single" w:sz="4" w:space="0" w:color="auto"/>
              <w:bottom w:val="dashed" w:sz="4" w:space="0" w:color="auto"/>
              <w:right w:val="single" w:sz="4" w:space="0" w:color="auto"/>
            </w:tcBorders>
            <w:hideMark/>
          </w:tcPr>
          <w:p w14:paraId="0F940AE2" w14:textId="0DBD57FE" w:rsidR="00D3143C" w:rsidRPr="00980785" w:rsidRDefault="00D3143C" w:rsidP="00290631">
            <w:pPr>
              <w:jc w:val="both"/>
              <w:rPr>
                <w:sz w:val="22"/>
                <w:szCs w:val="22"/>
                <w:lang w:val="sr-Latn-ME"/>
              </w:rPr>
            </w:pPr>
            <w:r w:rsidRPr="00980785">
              <w:rPr>
                <w:sz w:val="22"/>
                <w:szCs w:val="22"/>
                <w:lang w:val="sr-Latn-ME"/>
              </w:rPr>
              <w:t>Povremeno</w:t>
            </w:r>
          </w:p>
        </w:tc>
        <w:tc>
          <w:tcPr>
            <w:tcW w:w="4500" w:type="dxa"/>
            <w:tcBorders>
              <w:top w:val="single" w:sz="4" w:space="0" w:color="auto"/>
              <w:left w:val="single" w:sz="4" w:space="0" w:color="auto"/>
              <w:bottom w:val="dashed" w:sz="4" w:space="0" w:color="auto"/>
              <w:right w:val="single" w:sz="4" w:space="0" w:color="auto"/>
            </w:tcBorders>
            <w:hideMark/>
          </w:tcPr>
          <w:p w14:paraId="3D722C4F" w14:textId="77777777" w:rsidR="00D3143C" w:rsidRPr="00980785" w:rsidRDefault="00D3143C" w:rsidP="00290631">
            <w:pPr>
              <w:jc w:val="both"/>
              <w:rPr>
                <w:sz w:val="22"/>
                <w:szCs w:val="22"/>
                <w:lang w:val="sr-Latn-ME"/>
              </w:rPr>
            </w:pPr>
            <w:r w:rsidRPr="00980785">
              <w:rPr>
                <w:sz w:val="22"/>
                <w:szCs w:val="22"/>
                <w:lang w:val="sr-Latn-ME"/>
              </w:rPr>
              <w:t>osip</w:t>
            </w:r>
          </w:p>
        </w:tc>
      </w:tr>
      <w:tr w:rsidR="00D3143C" w:rsidRPr="00980785" w14:paraId="51D1EB0A" w14:textId="77777777" w:rsidTr="00BB264D">
        <w:tc>
          <w:tcPr>
            <w:tcW w:w="0" w:type="auto"/>
            <w:vMerge/>
            <w:tcBorders>
              <w:top w:val="single" w:sz="4" w:space="0" w:color="auto"/>
              <w:left w:val="single" w:sz="4" w:space="0" w:color="auto"/>
              <w:bottom w:val="single" w:sz="4" w:space="0" w:color="auto"/>
              <w:right w:val="single" w:sz="4" w:space="0" w:color="auto"/>
            </w:tcBorders>
            <w:vAlign w:val="center"/>
            <w:hideMark/>
          </w:tcPr>
          <w:p w14:paraId="7B5130AE" w14:textId="77777777" w:rsidR="00D3143C" w:rsidRPr="00980785" w:rsidRDefault="00D3143C" w:rsidP="00290631">
            <w:pPr>
              <w:jc w:val="both"/>
              <w:rPr>
                <w:noProof/>
                <w:sz w:val="22"/>
                <w:szCs w:val="22"/>
                <w:lang w:val="sr-Latn-ME"/>
              </w:rPr>
            </w:pPr>
          </w:p>
        </w:tc>
        <w:tc>
          <w:tcPr>
            <w:tcW w:w="1691" w:type="dxa"/>
            <w:tcBorders>
              <w:top w:val="dashed" w:sz="4" w:space="0" w:color="auto"/>
              <w:left w:val="single" w:sz="4" w:space="0" w:color="auto"/>
              <w:bottom w:val="single" w:sz="4" w:space="0" w:color="auto"/>
              <w:right w:val="single" w:sz="4" w:space="0" w:color="auto"/>
            </w:tcBorders>
            <w:hideMark/>
          </w:tcPr>
          <w:p w14:paraId="74C579D2" w14:textId="0D623C3C" w:rsidR="00D3143C" w:rsidRPr="00980785" w:rsidRDefault="00D3143C" w:rsidP="00290631">
            <w:pPr>
              <w:jc w:val="both"/>
              <w:rPr>
                <w:sz w:val="22"/>
                <w:szCs w:val="22"/>
                <w:lang w:val="sr-Latn-ME"/>
              </w:rPr>
            </w:pPr>
            <w:r w:rsidRPr="00980785">
              <w:rPr>
                <w:sz w:val="22"/>
                <w:szCs w:val="22"/>
                <w:lang w:val="sr-Latn-ME"/>
              </w:rPr>
              <w:t>Rijetko</w:t>
            </w:r>
          </w:p>
        </w:tc>
        <w:tc>
          <w:tcPr>
            <w:tcW w:w="4500" w:type="dxa"/>
            <w:tcBorders>
              <w:top w:val="dashed" w:sz="4" w:space="0" w:color="auto"/>
              <w:left w:val="single" w:sz="4" w:space="0" w:color="auto"/>
              <w:bottom w:val="single" w:sz="4" w:space="0" w:color="auto"/>
              <w:right w:val="single" w:sz="4" w:space="0" w:color="auto"/>
            </w:tcBorders>
            <w:hideMark/>
          </w:tcPr>
          <w:p w14:paraId="56DF5BCF" w14:textId="77777777" w:rsidR="00D3143C" w:rsidRPr="00980785" w:rsidRDefault="00D3143C" w:rsidP="00290631">
            <w:pPr>
              <w:jc w:val="both"/>
              <w:rPr>
                <w:sz w:val="22"/>
                <w:szCs w:val="22"/>
                <w:lang w:val="sr-Latn-ME"/>
              </w:rPr>
            </w:pPr>
            <w:r w:rsidRPr="00980785">
              <w:rPr>
                <w:sz w:val="22"/>
                <w:szCs w:val="22"/>
                <w:lang w:val="sr-Latn-ME"/>
              </w:rPr>
              <w:t>urtikarija</w:t>
            </w:r>
          </w:p>
        </w:tc>
      </w:tr>
      <w:tr w:rsidR="00D3143C" w:rsidRPr="00980785" w14:paraId="3A9CA1E5" w14:textId="77777777" w:rsidTr="00BB264D">
        <w:tc>
          <w:tcPr>
            <w:tcW w:w="3227" w:type="dxa"/>
            <w:vMerge w:val="restart"/>
            <w:tcBorders>
              <w:top w:val="single" w:sz="4" w:space="0" w:color="auto"/>
              <w:left w:val="single" w:sz="4" w:space="0" w:color="auto"/>
              <w:bottom w:val="single" w:sz="4" w:space="0" w:color="auto"/>
              <w:right w:val="single" w:sz="4" w:space="0" w:color="auto"/>
            </w:tcBorders>
          </w:tcPr>
          <w:p w14:paraId="7D32CC79" w14:textId="77777777" w:rsidR="00D3143C" w:rsidRPr="00980785" w:rsidRDefault="00D3143C" w:rsidP="00290631">
            <w:pPr>
              <w:jc w:val="both"/>
              <w:rPr>
                <w:sz w:val="22"/>
                <w:szCs w:val="22"/>
                <w:lang w:val="sr-Latn-ME"/>
              </w:rPr>
            </w:pPr>
            <w:r w:rsidRPr="00980785">
              <w:rPr>
                <w:sz w:val="22"/>
                <w:szCs w:val="22"/>
                <w:lang w:val="sr-Latn-ME"/>
              </w:rPr>
              <w:t>Opšti poremećaji i reakcije na mjestu primjene</w:t>
            </w:r>
          </w:p>
          <w:p w14:paraId="20DB491A" w14:textId="77777777" w:rsidR="00D3143C" w:rsidRPr="00980785" w:rsidRDefault="00D3143C" w:rsidP="00290631">
            <w:pPr>
              <w:jc w:val="both"/>
              <w:rPr>
                <w:sz w:val="22"/>
                <w:szCs w:val="22"/>
                <w:lang w:val="sr-Latn-ME"/>
              </w:rPr>
            </w:pPr>
          </w:p>
        </w:tc>
        <w:tc>
          <w:tcPr>
            <w:tcW w:w="1691" w:type="dxa"/>
            <w:tcBorders>
              <w:top w:val="single" w:sz="4" w:space="0" w:color="auto"/>
              <w:left w:val="single" w:sz="4" w:space="0" w:color="auto"/>
              <w:bottom w:val="dashed" w:sz="4" w:space="0" w:color="auto"/>
              <w:right w:val="single" w:sz="4" w:space="0" w:color="auto"/>
            </w:tcBorders>
            <w:hideMark/>
          </w:tcPr>
          <w:p w14:paraId="179029C3" w14:textId="65772ACB" w:rsidR="00D3143C" w:rsidRPr="00980785" w:rsidRDefault="00D3143C" w:rsidP="00290631">
            <w:pPr>
              <w:jc w:val="both"/>
              <w:rPr>
                <w:sz w:val="22"/>
                <w:szCs w:val="22"/>
                <w:lang w:val="sr-Latn-ME"/>
              </w:rPr>
            </w:pPr>
            <w:r w:rsidRPr="00980785">
              <w:rPr>
                <w:sz w:val="22"/>
                <w:szCs w:val="22"/>
                <w:lang w:val="sr-Latn-ME"/>
              </w:rPr>
              <w:t>Veoma često</w:t>
            </w:r>
          </w:p>
        </w:tc>
        <w:tc>
          <w:tcPr>
            <w:tcW w:w="4500" w:type="dxa"/>
            <w:tcBorders>
              <w:top w:val="single" w:sz="4" w:space="0" w:color="auto"/>
              <w:left w:val="single" w:sz="4" w:space="0" w:color="auto"/>
              <w:bottom w:val="dashed" w:sz="4" w:space="0" w:color="auto"/>
              <w:right w:val="single" w:sz="4" w:space="0" w:color="auto"/>
            </w:tcBorders>
            <w:hideMark/>
          </w:tcPr>
          <w:p w14:paraId="109EE3FA" w14:textId="716F01FD" w:rsidR="00D3143C" w:rsidRPr="00980785" w:rsidRDefault="00D3143C" w:rsidP="00290631">
            <w:pPr>
              <w:jc w:val="both"/>
              <w:rPr>
                <w:sz w:val="22"/>
                <w:szCs w:val="22"/>
                <w:lang w:val="sr-Latn-ME"/>
              </w:rPr>
            </w:pPr>
            <w:r w:rsidRPr="00980785">
              <w:rPr>
                <w:sz w:val="22"/>
                <w:szCs w:val="22"/>
                <w:lang w:val="sr-Latn-ME"/>
              </w:rPr>
              <w:t xml:space="preserve">visoka tjelesna temperatura </w:t>
            </w:r>
            <w:r w:rsidRPr="00980785">
              <w:rPr>
                <w:sz w:val="22"/>
                <w:szCs w:val="22"/>
                <w:lang w:val="sr-Latn-ME"/>
              </w:rPr>
              <w:sym w:font="Symbol" w:char="F0B3"/>
            </w:r>
            <w:r w:rsidRPr="00980785">
              <w:rPr>
                <w:sz w:val="22"/>
                <w:szCs w:val="22"/>
                <w:lang w:val="sr-Latn-ME"/>
              </w:rPr>
              <w:t xml:space="preserve"> 38°C rektalna (do 2 godine života)), bol, crvenilo, otok na mjestu primjene.</w:t>
            </w:r>
          </w:p>
        </w:tc>
      </w:tr>
      <w:tr w:rsidR="00D3143C" w:rsidRPr="00980785" w14:paraId="23A04CB3" w14:textId="77777777" w:rsidTr="00BB264D">
        <w:tc>
          <w:tcPr>
            <w:tcW w:w="0" w:type="auto"/>
            <w:vMerge/>
            <w:tcBorders>
              <w:top w:val="single" w:sz="4" w:space="0" w:color="auto"/>
              <w:left w:val="single" w:sz="4" w:space="0" w:color="auto"/>
              <w:bottom w:val="single" w:sz="4" w:space="0" w:color="auto"/>
              <w:right w:val="single" w:sz="4" w:space="0" w:color="auto"/>
            </w:tcBorders>
            <w:vAlign w:val="center"/>
            <w:hideMark/>
          </w:tcPr>
          <w:p w14:paraId="25FBB140" w14:textId="77777777" w:rsidR="00D3143C" w:rsidRPr="00980785" w:rsidRDefault="00D3143C" w:rsidP="00290631">
            <w:pPr>
              <w:jc w:val="both"/>
              <w:rPr>
                <w:noProof/>
                <w:sz w:val="22"/>
                <w:szCs w:val="22"/>
                <w:lang w:val="sr-Latn-ME"/>
              </w:rPr>
            </w:pPr>
          </w:p>
        </w:tc>
        <w:tc>
          <w:tcPr>
            <w:tcW w:w="1691" w:type="dxa"/>
            <w:tcBorders>
              <w:top w:val="dashed" w:sz="4" w:space="0" w:color="auto"/>
              <w:left w:val="single" w:sz="4" w:space="0" w:color="auto"/>
              <w:bottom w:val="dashed" w:sz="4" w:space="0" w:color="auto"/>
              <w:right w:val="single" w:sz="4" w:space="0" w:color="auto"/>
            </w:tcBorders>
            <w:hideMark/>
          </w:tcPr>
          <w:p w14:paraId="43CB9CAC" w14:textId="325C9CD9" w:rsidR="00D3143C" w:rsidRPr="00980785" w:rsidRDefault="00D3143C" w:rsidP="00290631">
            <w:pPr>
              <w:jc w:val="both"/>
              <w:rPr>
                <w:sz w:val="22"/>
                <w:szCs w:val="22"/>
                <w:lang w:val="sr-Latn-ME"/>
              </w:rPr>
            </w:pPr>
            <w:r w:rsidRPr="00980785">
              <w:rPr>
                <w:sz w:val="22"/>
                <w:szCs w:val="22"/>
                <w:lang w:val="sr-Latn-ME"/>
              </w:rPr>
              <w:t>Često</w:t>
            </w:r>
          </w:p>
        </w:tc>
        <w:tc>
          <w:tcPr>
            <w:tcW w:w="4500" w:type="dxa"/>
            <w:tcBorders>
              <w:top w:val="dashed" w:sz="4" w:space="0" w:color="auto"/>
              <w:left w:val="single" w:sz="4" w:space="0" w:color="auto"/>
              <w:bottom w:val="dashed" w:sz="4" w:space="0" w:color="auto"/>
              <w:right w:val="single" w:sz="4" w:space="0" w:color="auto"/>
            </w:tcBorders>
            <w:hideMark/>
          </w:tcPr>
          <w:p w14:paraId="754643B4" w14:textId="5E627CA3" w:rsidR="00D3143C" w:rsidRPr="00980785" w:rsidRDefault="00D3143C" w:rsidP="00290631">
            <w:pPr>
              <w:jc w:val="both"/>
              <w:rPr>
                <w:sz w:val="22"/>
                <w:szCs w:val="22"/>
                <w:lang w:val="sr-Latn-ME"/>
              </w:rPr>
            </w:pPr>
            <w:r w:rsidRPr="00980785">
              <w:rPr>
                <w:sz w:val="22"/>
                <w:szCs w:val="22"/>
                <w:lang w:val="sr-Latn-ME"/>
              </w:rPr>
              <w:t xml:space="preserve">visoka tjelesna temperatura &gt; 39°C rektalna (do 2 godine života), reakcije na mjestu primjene kao što je induracija (otvrdnjavanje) mjesta primjene </w:t>
            </w:r>
          </w:p>
        </w:tc>
      </w:tr>
      <w:tr w:rsidR="00D3143C" w:rsidRPr="00980785" w14:paraId="0043D3D0" w14:textId="77777777" w:rsidTr="00BB264D">
        <w:tc>
          <w:tcPr>
            <w:tcW w:w="0" w:type="auto"/>
            <w:vMerge/>
            <w:tcBorders>
              <w:top w:val="single" w:sz="4" w:space="0" w:color="auto"/>
              <w:left w:val="single" w:sz="4" w:space="0" w:color="auto"/>
              <w:bottom w:val="single" w:sz="4" w:space="0" w:color="auto"/>
              <w:right w:val="single" w:sz="4" w:space="0" w:color="auto"/>
            </w:tcBorders>
            <w:vAlign w:val="center"/>
            <w:hideMark/>
          </w:tcPr>
          <w:p w14:paraId="57AB2FB0" w14:textId="77777777" w:rsidR="00D3143C" w:rsidRPr="00980785" w:rsidRDefault="00D3143C" w:rsidP="00290631">
            <w:pPr>
              <w:jc w:val="both"/>
              <w:rPr>
                <w:noProof/>
                <w:sz w:val="22"/>
                <w:szCs w:val="22"/>
                <w:lang w:val="sr-Latn-ME"/>
              </w:rPr>
            </w:pPr>
          </w:p>
        </w:tc>
        <w:tc>
          <w:tcPr>
            <w:tcW w:w="1691" w:type="dxa"/>
            <w:tcBorders>
              <w:top w:val="dashed" w:sz="4" w:space="0" w:color="auto"/>
              <w:left w:val="single" w:sz="4" w:space="0" w:color="auto"/>
              <w:bottom w:val="single" w:sz="4" w:space="0" w:color="auto"/>
              <w:right w:val="single" w:sz="4" w:space="0" w:color="auto"/>
            </w:tcBorders>
            <w:hideMark/>
          </w:tcPr>
          <w:p w14:paraId="5D5169C6" w14:textId="64DAFEE2" w:rsidR="00D3143C" w:rsidRPr="00980785" w:rsidRDefault="00D3143C" w:rsidP="00290631">
            <w:pPr>
              <w:jc w:val="both"/>
              <w:rPr>
                <w:sz w:val="22"/>
                <w:szCs w:val="22"/>
                <w:lang w:val="sr-Latn-ME"/>
              </w:rPr>
            </w:pPr>
            <w:r w:rsidRPr="00980785">
              <w:rPr>
                <w:sz w:val="22"/>
                <w:szCs w:val="22"/>
                <w:lang w:val="sr-Latn-ME"/>
              </w:rPr>
              <w:t>Povremeno</w:t>
            </w:r>
          </w:p>
        </w:tc>
        <w:tc>
          <w:tcPr>
            <w:tcW w:w="4500" w:type="dxa"/>
            <w:tcBorders>
              <w:top w:val="dashed" w:sz="4" w:space="0" w:color="auto"/>
              <w:left w:val="single" w:sz="4" w:space="0" w:color="auto"/>
              <w:bottom w:val="single" w:sz="4" w:space="0" w:color="auto"/>
              <w:right w:val="single" w:sz="4" w:space="0" w:color="auto"/>
            </w:tcBorders>
            <w:hideMark/>
          </w:tcPr>
          <w:p w14:paraId="1753ADEB" w14:textId="53E191B7" w:rsidR="00D3143C" w:rsidRPr="00980785" w:rsidRDefault="00D3143C" w:rsidP="00290631">
            <w:pPr>
              <w:tabs>
                <w:tab w:val="left" w:pos="46"/>
              </w:tabs>
              <w:ind w:left="46" w:hanging="46"/>
              <w:jc w:val="both"/>
              <w:rPr>
                <w:sz w:val="22"/>
                <w:szCs w:val="22"/>
                <w:lang w:val="sr-Latn-ME"/>
              </w:rPr>
            </w:pPr>
            <w:r w:rsidRPr="00980785">
              <w:rPr>
                <w:sz w:val="22"/>
                <w:szCs w:val="22"/>
                <w:lang w:val="sr-Latn-ME"/>
              </w:rPr>
              <w:t xml:space="preserve">reakcije na mjestu primjene kao što su hematom na mjestu primjene, hemoragija i stvaranje čvorova  </w:t>
            </w:r>
          </w:p>
        </w:tc>
      </w:tr>
      <w:tr w:rsidR="00D3143C" w:rsidRPr="00980785" w14:paraId="2F1DA1F8" w14:textId="77777777" w:rsidTr="00BB264D">
        <w:tc>
          <w:tcPr>
            <w:tcW w:w="9418" w:type="dxa"/>
            <w:gridSpan w:val="3"/>
            <w:tcBorders>
              <w:top w:val="single" w:sz="4" w:space="0" w:color="auto"/>
              <w:left w:val="single" w:sz="4" w:space="0" w:color="auto"/>
              <w:bottom w:val="single" w:sz="4" w:space="0" w:color="auto"/>
              <w:right w:val="single" w:sz="4" w:space="0" w:color="auto"/>
            </w:tcBorders>
            <w:hideMark/>
          </w:tcPr>
          <w:p w14:paraId="452171F5" w14:textId="77777777" w:rsidR="00D3143C" w:rsidRPr="00980785" w:rsidRDefault="00D3143C" w:rsidP="00290631">
            <w:pPr>
              <w:tabs>
                <w:tab w:val="left" w:pos="46"/>
              </w:tabs>
              <w:ind w:left="46" w:hanging="46"/>
              <w:jc w:val="both"/>
              <w:rPr>
                <w:i/>
                <w:sz w:val="22"/>
                <w:szCs w:val="22"/>
                <w:lang w:val="sr-Latn-ME"/>
              </w:rPr>
            </w:pPr>
            <w:r w:rsidRPr="00980785">
              <w:rPr>
                <w:i/>
                <w:sz w:val="22"/>
                <w:szCs w:val="22"/>
                <w:lang w:val="sr-Latn-ME"/>
              </w:rPr>
              <w:t>Neželjena dejstva dodatno prijavljena nakon buster doze u primarnoj imunizaciji i/ili nakon propuštene ili odložene uobičajene vakcinacije:</w:t>
            </w:r>
          </w:p>
        </w:tc>
      </w:tr>
      <w:tr w:rsidR="00D3143C" w:rsidRPr="00980785" w14:paraId="4ECE8044" w14:textId="77777777" w:rsidTr="00BB264D">
        <w:tc>
          <w:tcPr>
            <w:tcW w:w="3227" w:type="dxa"/>
            <w:tcBorders>
              <w:top w:val="single" w:sz="4" w:space="0" w:color="auto"/>
              <w:left w:val="single" w:sz="4" w:space="0" w:color="auto"/>
              <w:bottom w:val="single" w:sz="4" w:space="0" w:color="auto"/>
              <w:right w:val="single" w:sz="4" w:space="0" w:color="auto"/>
            </w:tcBorders>
            <w:hideMark/>
          </w:tcPr>
          <w:p w14:paraId="1EDB606B" w14:textId="77777777" w:rsidR="00D3143C" w:rsidRPr="00980785" w:rsidRDefault="00D3143C" w:rsidP="00290631">
            <w:pPr>
              <w:jc w:val="both"/>
              <w:rPr>
                <w:sz w:val="22"/>
                <w:szCs w:val="22"/>
                <w:lang w:val="sr-Latn-ME"/>
              </w:rPr>
            </w:pPr>
            <w:r w:rsidRPr="00980785">
              <w:rPr>
                <w:sz w:val="22"/>
                <w:szCs w:val="22"/>
                <w:lang w:val="sr-Latn-ME"/>
              </w:rPr>
              <w:t xml:space="preserve">Poremećaji nervnog sistema </w:t>
            </w:r>
          </w:p>
        </w:tc>
        <w:tc>
          <w:tcPr>
            <w:tcW w:w="1691" w:type="dxa"/>
            <w:tcBorders>
              <w:top w:val="single" w:sz="4" w:space="0" w:color="auto"/>
              <w:left w:val="single" w:sz="4" w:space="0" w:color="auto"/>
              <w:bottom w:val="single" w:sz="4" w:space="0" w:color="auto"/>
              <w:right w:val="single" w:sz="4" w:space="0" w:color="auto"/>
            </w:tcBorders>
            <w:hideMark/>
          </w:tcPr>
          <w:p w14:paraId="610E9A9F" w14:textId="4B61B325" w:rsidR="00D3143C" w:rsidRPr="00980785" w:rsidRDefault="00D3143C" w:rsidP="00290631">
            <w:pPr>
              <w:jc w:val="both"/>
              <w:rPr>
                <w:sz w:val="22"/>
                <w:szCs w:val="22"/>
                <w:lang w:val="sr-Latn-ME"/>
              </w:rPr>
            </w:pPr>
            <w:r w:rsidRPr="00980785">
              <w:rPr>
                <w:sz w:val="22"/>
                <w:szCs w:val="22"/>
                <w:lang w:val="sr-Latn-ME"/>
              </w:rPr>
              <w:t>Povremeno</w:t>
            </w:r>
          </w:p>
        </w:tc>
        <w:tc>
          <w:tcPr>
            <w:tcW w:w="4500" w:type="dxa"/>
            <w:tcBorders>
              <w:top w:val="single" w:sz="4" w:space="0" w:color="auto"/>
              <w:left w:val="single" w:sz="4" w:space="0" w:color="auto"/>
              <w:bottom w:val="single" w:sz="4" w:space="0" w:color="auto"/>
              <w:right w:val="single" w:sz="4" w:space="0" w:color="auto"/>
            </w:tcBorders>
            <w:hideMark/>
          </w:tcPr>
          <w:p w14:paraId="084EB6FB" w14:textId="77777777" w:rsidR="00D3143C" w:rsidRPr="00980785" w:rsidRDefault="00D3143C" w:rsidP="00290631">
            <w:pPr>
              <w:tabs>
                <w:tab w:val="left" w:pos="46"/>
              </w:tabs>
              <w:ind w:left="46" w:hanging="46"/>
              <w:jc w:val="both"/>
              <w:rPr>
                <w:sz w:val="22"/>
                <w:szCs w:val="22"/>
                <w:lang w:val="sr-Latn-ME"/>
              </w:rPr>
            </w:pPr>
            <w:r w:rsidRPr="00980785">
              <w:rPr>
                <w:sz w:val="22"/>
                <w:szCs w:val="22"/>
                <w:lang w:val="sr-Latn-ME"/>
              </w:rPr>
              <w:t>glavobolja (od 2 do 5 godina života)</w:t>
            </w:r>
          </w:p>
        </w:tc>
      </w:tr>
      <w:tr w:rsidR="00D3143C" w:rsidRPr="00980785" w14:paraId="7844F2A9" w14:textId="77777777" w:rsidTr="00BB264D">
        <w:tc>
          <w:tcPr>
            <w:tcW w:w="3227" w:type="dxa"/>
            <w:tcBorders>
              <w:top w:val="single" w:sz="4" w:space="0" w:color="auto"/>
              <w:left w:val="single" w:sz="4" w:space="0" w:color="auto"/>
              <w:bottom w:val="single" w:sz="4" w:space="0" w:color="auto"/>
              <w:right w:val="single" w:sz="4" w:space="0" w:color="auto"/>
            </w:tcBorders>
            <w:hideMark/>
          </w:tcPr>
          <w:p w14:paraId="0179EE7B" w14:textId="77777777" w:rsidR="00D3143C" w:rsidRPr="00980785" w:rsidRDefault="00D3143C" w:rsidP="00290631">
            <w:pPr>
              <w:jc w:val="both"/>
              <w:rPr>
                <w:sz w:val="22"/>
                <w:szCs w:val="22"/>
                <w:lang w:val="sr-Latn-ME"/>
              </w:rPr>
            </w:pPr>
            <w:r w:rsidRPr="00980785">
              <w:rPr>
                <w:sz w:val="22"/>
                <w:szCs w:val="22"/>
                <w:lang w:val="sr-Latn-ME"/>
              </w:rPr>
              <w:t>Gastrointestinalni poremećaji</w:t>
            </w:r>
          </w:p>
        </w:tc>
        <w:tc>
          <w:tcPr>
            <w:tcW w:w="1691" w:type="dxa"/>
            <w:tcBorders>
              <w:top w:val="single" w:sz="4" w:space="0" w:color="auto"/>
              <w:left w:val="single" w:sz="4" w:space="0" w:color="auto"/>
              <w:bottom w:val="single" w:sz="4" w:space="0" w:color="auto"/>
              <w:right w:val="single" w:sz="4" w:space="0" w:color="auto"/>
            </w:tcBorders>
            <w:hideMark/>
          </w:tcPr>
          <w:p w14:paraId="3DBE8B0C" w14:textId="77777777" w:rsidR="00D3143C" w:rsidRPr="00980785" w:rsidRDefault="00D3143C" w:rsidP="00290631">
            <w:pPr>
              <w:jc w:val="both"/>
              <w:rPr>
                <w:sz w:val="22"/>
                <w:szCs w:val="22"/>
                <w:lang w:val="sr-Latn-ME"/>
              </w:rPr>
            </w:pPr>
            <w:r w:rsidRPr="00980785">
              <w:rPr>
                <w:sz w:val="22"/>
                <w:szCs w:val="22"/>
                <w:lang w:val="sr-Latn-ME"/>
              </w:rPr>
              <w:t>Povremena</w:t>
            </w:r>
          </w:p>
        </w:tc>
        <w:tc>
          <w:tcPr>
            <w:tcW w:w="4500" w:type="dxa"/>
            <w:tcBorders>
              <w:top w:val="single" w:sz="4" w:space="0" w:color="auto"/>
              <w:left w:val="single" w:sz="4" w:space="0" w:color="auto"/>
              <w:bottom w:val="single" w:sz="4" w:space="0" w:color="auto"/>
              <w:right w:val="single" w:sz="4" w:space="0" w:color="auto"/>
            </w:tcBorders>
            <w:hideMark/>
          </w:tcPr>
          <w:p w14:paraId="51E92533" w14:textId="77777777" w:rsidR="00D3143C" w:rsidRPr="00980785" w:rsidRDefault="00D3143C" w:rsidP="00290631">
            <w:pPr>
              <w:tabs>
                <w:tab w:val="left" w:pos="46"/>
              </w:tabs>
              <w:ind w:left="46" w:hanging="46"/>
              <w:jc w:val="both"/>
              <w:rPr>
                <w:sz w:val="22"/>
                <w:szCs w:val="22"/>
                <w:lang w:val="sr-Latn-ME"/>
              </w:rPr>
            </w:pPr>
            <w:r w:rsidRPr="00980785">
              <w:rPr>
                <w:sz w:val="22"/>
                <w:szCs w:val="22"/>
                <w:lang w:val="sr-Latn-ME"/>
              </w:rPr>
              <w:t>mučnina (od 2 do 5 godina života)</w:t>
            </w:r>
          </w:p>
        </w:tc>
      </w:tr>
      <w:tr w:rsidR="00D3143C" w:rsidRPr="00980785" w14:paraId="5D06B751" w14:textId="77777777" w:rsidTr="00BB264D">
        <w:tc>
          <w:tcPr>
            <w:tcW w:w="3227" w:type="dxa"/>
            <w:vMerge w:val="restart"/>
            <w:tcBorders>
              <w:top w:val="single" w:sz="4" w:space="0" w:color="auto"/>
              <w:left w:val="single" w:sz="4" w:space="0" w:color="auto"/>
              <w:bottom w:val="single" w:sz="4" w:space="0" w:color="auto"/>
              <w:right w:val="single" w:sz="4" w:space="0" w:color="auto"/>
            </w:tcBorders>
          </w:tcPr>
          <w:p w14:paraId="081E3522" w14:textId="77777777" w:rsidR="00D3143C" w:rsidRPr="00980785" w:rsidRDefault="00D3143C" w:rsidP="00D3143C">
            <w:pPr>
              <w:pStyle w:val="BodyTextIndent3"/>
              <w:tabs>
                <w:tab w:val="left" w:pos="0"/>
              </w:tabs>
              <w:ind w:left="0"/>
              <w:jc w:val="both"/>
              <w:rPr>
                <w:rFonts w:ascii="Times New Roman" w:hAnsi="Times New Roman"/>
                <w:sz w:val="22"/>
                <w:szCs w:val="22"/>
                <w:lang w:val="sr-Latn-ME"/>
              </w:rPr>
            </w:pPr>
            <w:r w:rsidRPr="00980785">
              <w:rPr>
                <w:rFonts w:ascii="Times New Roman" w:hAnsi="Times New Roman"/>
                <w:sz w:val="22"/>
                <w:szCs w:val="22"/>
                <w:lang w:val="sr-Latn-ME"/>
              </w:rPr>
              <w:t>Opšti poremećaji i promjene na mjestu primjene</w:t>
            </w:r>
          </w:p>
          <w:p w14:paraId="09E91705" w14:textId="77777777" w:rsidR="00D3143C" w:rsidRPr="00980785" w:rsidRDefault="00D3143C" w:rsidP="00290631">
            <w:pPr>
              <w:ind w:right="176"/>
              <w:jc w:val="both"/>
              <w:rPr>
                <w:sz w:val="22"/>
                <w:szCs w:val="22"/>
                <w:lang w:val="sr-Latn-ME"/>
              </w:rPr>
            </w:pPr>
          </w:p>
        </w:tc>
        <w:tc>
          <w:tcPr>
            <w:tcW w:w="1691" w:type="dxa"/>
            <w:tcBorders>
              <w:top w:val="single" w:sz="4" w:space="0" w:color="auto"/>
              <w:left w:val="single" w:sz="4" w:space="0" w:color="auto"/>
              <w:bottom w:val="dashed" w:sz="4" w:space="0" w:color="auto"/>
              <w:right w:val="single" w:sz="4" w:space="0" w:color="auto"/>
            </w:tcBorders>
            <w:hideMark/>
          </w:tcPr>
          <w:p w14:paraId="4E24E119" w14:textId="77777777" w:rsidR="00D3143C" w:rsidRPr="00980785" w:rsidRDefault="00D3143C" w:rsidP="00290631">
            <w:pPr>
              <w:jc w:val="both"/>
              <w:rPr>
                <w:sz w:val="22"/>
                <w:szCs w:val="22"/>
                <w:lang w:val="sr-Latn-ME"/>
              </w:rPr>
            </w:pPr>
            <w:r w:rsidRPr="00980785">
              <w:rPr>
                <w:sz w:val="22"/>
                <w:szCs w:val="22"/>
                <w:lang w:val="sr-Latn-ME"/>
              </w:rPr>
              <w:t>Česta</w:t>
            </w:r>
          </w:p>
        </w:tc>
        <w:tc>
          <w:tcPr>
            <w:tcW w:w="4500" w:type="dxa"/>
            <w:tcBorders>
              <w:top w:val="single" w:sz="4" w:space="0" w:color="auto"/>
              <w:left w:val="single" w:sz="4" w:space="0" w:color="auto"/>
              <w:bottom w:val="dashed" w:sz="4" w:space="0" w:color="auto"/>
              <w:right w:val="single" w:sz="4" w:space="0" w:color="auto"/>
            </w:tcBorders>
            <w:hideMark/>
          </w:tcPr>
          <w:p w14:paraId="77DC6474" w14:textId="68F1EC88" w:rsidR="00D3143C" w:rsidRPr="00980785" w:rsidRDefault="00D3143C" w:rsidP="00290631">
            <w:pPr>
              <w:jc w:val="both"/>
              <w:rPr>
                <w:sz w:val="22"/>
                <w:szCs w:val="22"/>
                <w:lang w:val="sr-Latn-ME"/>
              </w:rPr>
            </w:pPr>
            <w:r w:rsidRPr="00980785">
              <w:rPr>
                <w:sz w:val="22"/>
                <w:szCs w:val="22"/>
                <w:lang w:val="sr-Latn-ME"/>
              </w:rPr>
              <w:t xml:space="preserve">visoka tjelesna temperatura </w:t>
            </w:r>
            <w:r w:rsidRPr="00980785">
              <w:rPr>
                <w:sz w:val="22"/>
                <w:szCs w:val="22"/>
                <w:lang w:val="sr-Latn-ME"/>
              </w:rPr>
              <w:sym w:font="Symbol" w:char="F0B3"/>
            </w:r>
            <w:r w:rsidRPr="00980785">
              <w:rPr>
                <w:sz w:val="22"/>
                <w:szCs w:val="22"/>
                <w:lang w:val="sr-Latn-ME"/>
              </w:rPr>
              <w:t xml:space="preserve"> 38°C rektalno (od 2 do 5 godina života).</w:t>
            </w:r>
          </w:p>
        </w:tc>
      </w:tr>
      <w:tr w:rsidR="00D3143C" w:rsidRPr="00980785" w14:paraId="53578456" w14:textId="77777777" w:rsidTr="00BB264D">
        <w:tc>
          <w:tcPr>
            <w:tcW w:w="0" w:type="auto"/>
            <w:vMerge/>
            <w:tcBorders>
              <w:top w:val="single" w:sz="4" w:space="0" w:color="auto"/>
              <w:left w:val="single" w:sz="4" w:space="0" w:color="auto"/>
              <w:bottom w:val="single" w:sz="4" w:space="0" w:color="auto"/>
              <w:right w:val="single" w:sz="4" w:space="0" w:color="auto"/>
            </w:tcBorders>
            <w:vAlign w:val="center"/>
            <w:hideMark/>
          </w:tcPr>
          <w:p w14:paraId="65B37DF5" w14:textId="77777777" w:rsidR="00D3143C" w:rsidRPr="00980785" w:rsidRDefault="00D3143C" w:rsidP="00290631">
            <w:pPr>
              <w:jc w:val="both"/>
              <w:rPr>
                <w:noProof/>
                <w:sz w:val="22"/>
                <w:szCs w:val="22"/>
                <w:lang w:val="sr-Latn-ME"/>
              </w:rPr>
            </w:pPr>
          </w:p>
        </w:tc>
        <w:tc>
          <w:tcPr>
            <w:tcW w:w="1691" w:type="dxa"/>
            <w:tcBorders>
              <w:top w:val="dashed" w:sz="4" w:space="0" w:color="auto"/>
              <w:left w:val="single" w:sz="4" w:space="0" w:color="auto"/>
              <w:bottom w:val="single" w:sz="4" w:space="0" w:color="auto"/>
              <w:right w:val="single" w:sz="4" w:space="0" w:color="auto"/>
            </w:tcBorders>
            <w:hideMark/>
          </w:tcPr>
          <w:p w14:paraId="31F4108C" w14:textId="77777777" w:rsidR="00D3143C" w:rsidRPr="00980785" w:rsidRDefault="00D3143C" w:rsidP="00290631">
            <w:pPr>
              <w:jc w:val="both"/>
              <w:rPr>
                <w:sz w:val="22"/>
                <w:szCs w:val="22"/>
                <w:lang w:val="sr-Latn-ME"/>
              </w:rPr>
            </w:pPr>
            <w:r w:rsidRPr="00980785">
              <w:rPr>
                <w:sz w:val="22"/>
                <w:szCs w:val="22"/>
                <w:lang w:val="sr-Latn-ME"/>
              </w:rPr>
              <w:t>Povremena</w:t>
            </w:r>
          </w:p>
        </w:tc>
        <w:tc>
          <w:tcPr>
            <w:tcW w:w="4500" w:type="dxa"/>
            <w:tcBorders>
              <w:top w:val="dashed" w:sz="4" w:space="0" w:color="auto"/>
              <w:left w:val="single" w:sz="4" w:space="0" w:color="auto"/>
              <w:bottom w:val="single" w:sz="4" w:space="0" w:color="auto"/>
              <w:right w:val="single" w:sz="4" w:space="0" w:color="auto"/>
            </w:tcBorders>
            <w:hideMark/>
          </w:tcPr>
          <w:p w14:paraId="7B2B9DF4" w14:textId="497196FC" w:rsidR="00D3143C" w:rsidRPr="00980785" w:rsidRDefault="00D3143C" w:rsidP="00290631">
            <w:pPr>
              <w:ind w:right="176"/>
              <w:jc w:val="both"/>
              <w:rPr>
                <w:sz w:val="22"/>
                <w:szCs w:val="22"/>
                <w:lang w:val="sr-Latn-ME"/>
              </w:rPr>
            </w:pPr>
            <w:r w:rsidRPr="00980785">
              <w:rPr>
                <w:sz w:val="22"/>
                <w:szCs w:val="22"/>
                <w:lang w:val="sr-Latn-ME"/>
              </w:rPr>
              <w:t>visoka tjelesna temperatura &gt; 40°C rektalno (do 2 godine života), visoka tjelesna temperatura &gt; 39°C rektalna (od 2 do 5 godina života), reakcije na mjestu primjene kao što je difuzno oticanje ekstremiteta u koji je primijenjena vakcina, ponekad uključujući i susjedni zglob, svrab.</w:t>
            </w:r>
          </w:p>
        </w:tc>
      </w:tr>
      <w:tr w:rsidR="00D3143C" w:rsidRPr="00980785" w14:paraId="516818D9" w14:textId="77777777" w:rsidTr="00BB264D">
        <w:trPr>
          <w:trHeight w:val="389"/>
        </w:trPr>
        <w:tc>
          <w:tcPr>
            <w:tcW w:w="9418" w:type="dxa"/>
            <w:gridSpan w:val="3"/>
            <w:tcBorders>
              <w:top w:val="single" w:sz="4" w:space="0" w:color="auto"/>
              <w:left w:val="single" w:sz="4" w:space="0" w:color="auto"/>
              <w:bottom w:val="single" w:sz="4" w:space="0" w:color="auto"/>
              <w:right w:val="single" w:sz="4" w:space="0" w:color="auto"/>
            </w:tcBorders>
            <w:hideMark/>
          </w:tcPr>
          <w:p w14:paraId="5F7CCA41" w14:textId="77777777" w:rsidR="00D3143C" w:rsidRPr="00980785" w:rsidRDefault="00D3143C" w:rsidP="00290631">
            <w:pPr>
              <w:jc w:val="both"/>
              <w:rPr>
                <w:b/>
                <w:sz w:val="22"/>
                <w:szCs w:val="22"/>
                <w:lang w:val="sr-Latn-ME"/>
              </w:rPr>
            </w:pPr>
            <w:r w:rsidRPr="00980785">
              <w:rPr>
                <w:b/>
                <w:sz w:val="22"/>
                <w:szCs w:val="22"/>
                <w:lang w:val="sr-Latn-ME"/>
              </w:rPr>
              <w:t>Iskustva nakon stavljanja u promet</w:t>
            </w:r>
          </w:p>
        </w:tc>
      </w:tr>
      <w:tr w:rsidR="00D3143C" w:rsidRPr="00980785" w14:paraId="0D552203" w14:textId="77777777" w:rsidTr="00BB264D">
        <w:tc>
          <w:tcPr>
            <w:tcW w:w="3227" w:type="dxa"/>
            <w:tcBorders>
              <w:top w:val="single" w:sz="4" w:space="0" w:color="auto"/>
              <w:left w:val="single" w:sz="4" w:space="0" w:color="auto"/>
              <w:bottom w:val="single" w:sz="4" w:space="0" w:color="auto"/>
              <w:right w:val="single" w:sz="4" w:space="0" w:color="auto"/>
            </w:tcBorders>
            <w:hideMark/>
          </w:tcPr>
          <w:p w14:paraId="218E12A1" w14:textId="77777777" w:rsidR="00D3143C" w:rsidRPr="00980785" w:rsidRDefault="00D3143C" w:rsidP="00290631">
            <w:pPr>
              <w:jc w:val="both"/>
              <w:rPr>
                <w:sz w:val="22"/>
                <w:szCs w:val="22"/>
                <w:lang w:val="sr-Latn-ME"/>
              </w:rPr>
            </w:pPr>
            <w:r w:rsidRPr="00980785">
              <w:rPr>
                <w:sz w:val="22"/>
                <w:szCs w:val="22"/>
                <w:lang w:val="sr-Latn-ME"/>
              </w:rPr>
              <w:t>Imunološki poremećaji</w:t>
            </w:r>
          </w:p>
        </w:tc>
        <w:tc>
          <w:tcPr>
            <w:tcW w:w="1691" w:type="dxa"/>
            <w:tcBorders>
              <w:top w:val="single" w:sz="4" w:space="0" w:color="auto"/>
              <w:left w:val="single" w:sz="4" w:space="0" w:color="auto"/>
              <w:bottom w:val="single" w:sz="4" w:space="0" w:color="auto"/>
              <w:right w:val="single" w:sz="4" w:space="0" w:color="auto"/>
            </w:tcBorders>
            <w:hideMark/>
          </w:tcPr>
          <w:p w14:paraId="626D5D23" w14:textId="77777777" w:rsidR="00D3143C" w:rsidRPr="00980785" w:rsidRDefault="00D3143C" w:rsidP="00290631">
            <w:pPr>
              <w:jc w:val="both"/>
              <w:rPr>
                <w:sz w:val="22"/>
                <w:szCs w:val="22"/>
                <w:lang w:val="sr-Latn-ME"/>
              </w:rPr>
            </w:pPr>
            <w:r w:rsidRPr="00980785">
              <w:rPr>
                <w:sz w:val="22"/>
                <w:szCs w:val="22"/>
                <w:lang w:val="sr-Latn-ME"/>
              </w:rPr>
              <w:t>Veoma rijetka</w:t>
            </w:r>
          </w:p>
        </w:tc>
        <w:tc>
          <w:tcPr>
            <w:tcW w:w="4500" w:type="dxa"/>
            <w:tcBorders>
              <w:top w:val="single" w:sz="4" w:space="0" w:color="auto"/>
              <w:left w:val="single" w:sz="4" w:space="0" w:color="auto"/>
              <w:bottom w:val="single" w:sz="4" w:space="0" w:color="auto"/>
              <w:right w:val="single" w:sz="4" w:space="0" w:color="auto"/>
            </w:tcBorders>
            <w:hideMark/>
          </w:tcPr>
          <w:p w14:paraId="189AFFD4" w14:textId="77777777" w:rsidR="00D3143C" w:rsidRPr="00980785" w:rsidRDefault="00D3143C" w:rsidP="00290631">
            <w:pPr>
              <w:ind w:right="176"/>
              <w:jc w:val="both"/>
              <w:rPr>
                <w:sz w:val="22"/>
                <w:szCs w:val="22"/>
                <w:lang w:val="sr-Latn-ME"/>
              </w:rPr>
            </w:pPr>
            <w:r w:rsidRPr="00980785">
              <w:rPr>
                <w:sz w:val="22"/>
                <w:szCs w:val="22"/>
                <w:lang w:val="sr-Latn-ME"/>
              </w:rPr>
              <w:t>anafilaksa</w:t>
            </w:r>
          </w:p>
        </w:tc>
      </w:tr>
      <w:tr w:rsidR="00D3143C" w:rsidRPr="00980785" w14:paraId="0048A3AC" w14:textId="77777777" w:rsidTr="00BB264D">
        <w:tc>
          <w:tcPr>
            <w:tcW w:w="3227" w:type="dxa"/>
            <w:tcBorders>
              <w:top w:val="single" w:sz="4" w:space="0" w:color="auto"/>
              <w:left w:val="single" w:sz="4" w:space="0" w:color="auto"/>
              <w:bottom w:val="single" w:sz="4" w:space="0" w:color="auto"/>
              <w:right w:val="single" w:sz="4" w:space="0" w:color="auto"/>
            </w:tcBorders>
            <w:hideMark/>
          </w:tcPr>
          <w:p w14:paraId="16069732" w14:textId="77777777" w:rsidR="00D3143C" w:rsidRPr="00980785" w:rsidRDefault="00D3143C" w:rsidP="00290631">
            <w:pPr>
              <w:jc w:val="both"/>
              <w:rPr>
                <w:sz w:val="22"/>
                <w:szCs w:val="22"/>
                <w:lang w:val="sr-Latn-ME"/>
              </w:rPr>
            </w:pPr>
            <w:r w:rsidRPr="00980785">
              <w:rPr>
                <w:sz w:val="22"/>
                <w:szCs w:val="22"/>
                <w:lang w:val="sr-Latn-ME"/>
              </w:rPr>
              <w:t>Poremećaji nervnog sistema</w:t>
            </w:r>
          </w:p>
        </w:tc>
        <w:tc>
          <w:tcPr>
            <w:tcW w:w="1691" w:type="dxa"/>
            <w:tcBorders>
              <w:top w:val="single" w:sz="4" w:space="0" w:color="auto"/>
              <w:left w:val="single" w:sz="4" w:space="0" w:color="auto"/>
              <w:bottom w:val="single" w:sz="4" w:space="0" w:color="auto"/>
              <w:right w:val="single" w:sz="4" w:space="0" w:color="auto"/>
            </w:tcBorders>
            <w:hideMark/>
          </w:tcPr>
          <w:p w14:paraId="15E3254B" w14:textId="77777777" w:rsidR="00D3143C" w:rsidRPr="00980785" w:rsidRDefault="00D3143C" w:rsidP="00290631">
            <w:pPr>
              <w:jc w:val="both"/>
              <w:rPr>
                <w:sz w:val="22"/>
                <w:szCs w:val="22"/>
                <w:lang w:val="sr-Latn-ME"/>
              </w:rPr>
            </w:pPr>
            <w:r w:rsidRPr="00980785">
              <w:rPr>
                <w:sz w:val="22"/>
                <w:szCs w:val="22"/>
                <w:lang w:val="sr-Latn-ME"/>
              </w:rPr>
              <w:t>Rijetka</w:t>
            </w:r>
          </w:p>
        </w:tc>
        <w:tc>
          <w:tcPr>
            <w:tcW w:w="4500" w:type="dxa"/>
            <w:tcBorders>
              <w:top w:val="single" w:sz="4" w:space="0" w:color="auto"/>
              <w:left w:val="single" w:sz="4" w:space="0" w:color="auto"/>
              <w:bottom w:val="single" w:sz="4" w:space="0" w:color="auto"/>
              <w:right w:val="single" w:sz="4" w:space="0" w:color="auto"/>
            </w:tcBorders>
            <w:hideMark/>
          </w:tcPr>
          <w:p w14:paraId="461A76B4" w14:textId="77777777" w:rsidR="00D3143C" w:rsidRPr="00980785" w:rsidRDefault="00D3143C" w:rsidP="00290631">
            <w:pPr>
              <w:ind w:right="176"/>
              <w:jc w:val="both"/>
              <w:rPr>
                <w:sz w:val="22"/>
                <w:szCs w:val="22"/>
                <w:lang w:val="sr-Latn-ME"/>
              </w:rPr>
            </w:pPr>
            <w:r w:rsidRPr="00980785">
              <w:rPr>
                <w:sz w:val="22"/>
                <w:szCs w:val="22"/>
                <w:lang w:val="sr-Latn-ME"/>
              </w:rPr>
              <w:t>hipotono-hiporesponzivna epizoda</w:t>
            </w:r>
          </w:p>
        </w:tc>
      </w:tr>
    </w:tbl>
    <w:p w14:paraId="7DBBAD83" w14:textId="77777777" w:rsidR="00BB264D" w:rsidRPr="00980785" w:rsidRDefault="00BB264D" w:rsidP="00290631">
      <w:pPr>
        <w:pStyle w:val="Heading3"/>
        <w:keepNext w:val="0"/>
        <w:widowControl w:val="0"/>
        <w:jc w:val="both"/>
        <w:rPr>
          <w:rFonts w:ascii="Times New Roman" w:hAnsi="Times New Roman" w:cs="Times New Roman"/>
          <w:sz w:val="22"/>
          <w:szCs w:val="22"/>
          <w:lang w:val="sr-Latn-ME"/>
        </w:rPr>
      </w:pPr>
    </w:p>
    <w:p w14:paraId="23FC64FE" w14:textId="77777777" w:rsidR="00BB264D" w:rsidRPr="00980785" w:rsidRDefault="00BB264D">
      <w:pPr>
        <w:pStyle w:val="BodyTextIndent3"/>
        <w:tabs>
          <w:tab w:val="left" w:pos="0"/>
        </w:tabs>
        <w:ind w:left="0"/>
        <w:jc w:val="both"/>
        <w:rPr>
          <w:rFonts w:ascii="Times New Roman" w:hAnsi="Times New Roman"/>
          <w:sz w:val="22"/>
          <w:szCs w:val="22"/>
          <w:u w:val="single"/>
          <w:lang w:val="sr-Latn-ME"/>
        </w:rPr>
      </w:pPr>
      <w:r w:rsidRPr="00980785">
        <w:rPr>
          <w:rFonts w:ascii="Times New Roman" w:hAnsi="Times New Roman"/>
          <w:b/>
          <w:sz w:val="22"/>
          <w:szCs w:val="22"/>
          <w:lang w:val="sr-Latn-ME"/>
        </w:rPr>
        <w:t xml:space="preserve">          </w:t>
      </w:r>
      <w:r w:rsidRPr="00980785">
        <w:rPr>
          <w:rFonts w:ascii="Times New Roman" w:hAnsi="Times New Roman"/>
          <w:sz w:val="22"/>
          <w:szCs w:val="22"/>
          <w:u w:val="single"/>
          <w:lang w:val="sr-Latn-ME"/>
        </w:rPr>
        <w:t>Posebne populacije</w:t>
      </w:r>
    </w:p>
    <w:p w14:paraId="24BB2371" w14:textId="77777777" w:rsidR="00BB264D" w:rsidRPr="00980785" w:rsidRDefault="00BB264D">
      <w:pPr>
        <w:pStyle w:val="BodyTextIndent3"/>
        <w:tabs>
          <w:tab w:val="left" w:pos="0"/>
        </w:tabs>
        <w:ind w:left="0"/>
        <w:jc w:val="both"/>
        <w:rPr>
          <w:rFonts w:ascii="Times New Roman" w:hAnsi="Times New Roman"/>
          <w:sz w:val="22"/>
          <w:szCs w:val="22"/>
          <w:lang w:val="sr-Latn-ME"/>
        </w:rPr>
      </w:pPr>
    </w:p>
    <w:p w14:paraId="3A4B5E3F" w14:textId="6CECC593" w:rsidR="00BB264D" w:rsidRPr="00980785" w:rsidRDefault="00BB264D">
      <w:pPr>
        <w:pStyle w:val="BodyTextIndent3"/>
        <w:tabs>
          <w:tab w:val="left" w:pos="0"/>
        </w:tabs>
        <w:ind w:left="0"/>
        <w:jc w:val="both"/>
        <w:rPr>
          <w:rFonts w:ascii="Times New Roman" w:hAnsi="Times New Roman"/>
          <w:sz w:val="22"/>
          <w:szCs w:val="22"/>
          <w:lang w:val="sr-Latn-ME"/>
        </w:rPr>
      </w:pPr>
      <w:r w:rsidRPr="00980785">
        <w:rPr>
          <w:rFonts w:ascii="Times New Roman" w:hAnsi="Times New Roman"/>
          <w:sz w:val="22"/>
          <w:szCs w:val="22"/>
          <w:lang w:val="sr-Latn-ME"/>
        </w:rPr>
        <w:t xml:space="preserve">          Bezbjednost vakcine </w:t>
      </w:r>
      <w:r w:rsidR="00677FAC" w:rsidRPr="00980785">
        <w:rPr>
          <w:rFonts w:ascii="Times New Roman" w:hAnsi="Times New Roman"/>
          <w:sz w:val="22"/>
          <w:szCs w:val="22"/>
          <w:lang w:val="sr-Latn-ME"/>
        </w:rPr>
        <w:t>SYNFLORIX</w:t>
      </w:r>
      <w:r w:rsidRPr="00980785">
        <w:rPr>
          <w:rFonts w:ascii="Times New Roman" w:hAnsi="Times New Roman"/>
          <w:sz w:val="22"/>
          <w:szCs w:val="22"/>
          <w:lang w:val="sr-Latn-ME"/>
        </w:rPr>
        <w:t xml:space="preserve"> je ispitivana kod 83 bebe koje su HIV pozitivne (HIV +/+) (asimptomatski ili sa blagim simptomima prema klasifikaciji SZO), 101 bebe koje su HIV negativne, a koje su rodile HIV pozitivne majke (HIV+/-) i 50 beba sa anemijom srpastih ćelija, koje su primile primarnu imunizaciju. Od njih, 76, 96 i 49 beba, respektivno, primilo je buster dozu. Bezbjednost vakcine </w:t>
      </w:r>
      <w:r w:rsidR="00677FAC" w:rsidRPr="00980785">
        <w:rPr>
          <w:rFonts w:ascii="Times New Roman" w:hAnsi="Times New Roman"/>
          <w:sz w:val="22"/>
          <w:szCs w:val="22"/>
          <w:lang w:val="sr-Latn-ME"/>
        </w:rPr>
        <w:t>SYNFLORIX</w:t>
      </w:r>
      <w:r w:rsidRPr="00980785">
        <w:rPr>
          <w:rFonts w:ascii="Times New Roman" w:hAnsi="Times New Roman"/>
          <w:sz w:val="22"/>
          <w:szCs w:val="22"/>
          <w:lang w:val="sr-Latn-ME"/>
        </w:rPr>
        <w:t xml:space="preserve"> je takođe ispitana kod 50 djece sa SCD koja su počela vakcinaciju sa 7-11 mjeseci života, svi oni su primili buster dozu, i kod 50 djece sa SCD koja su počela vakcinaciju sa 12-23 mjeseca života. Rezultati ukazuju na uporedivu reaktogenost i bezbjedonosni profil vakcine </w:t>
      </w:r>
      <w:r w:rsidR="00677FAC" w:rsidRPr="00980785">
        <w:rPr>
          <w:rFonts w:ascii="Times New Roman" w:hAnsi="Times New Roman"/>
          <w:sz w:val="22"/>
          <w:szCs w:val="22"/>
          <w:lang w:val="sr-Latn-ME"/>
        </w:rPr>
        <w:t>SYNFLORIX</w:t>
      </w:r>
      <w:r w:rsidRPr="00980785">
        <w:rPr>
          <w:rFonts w:ascii="Times New Roman" w:hAnsi="Times New Roman"/>
          <w:sz w:val="22"/>
          <w:szCs w:val="22"/>
          <w:lang w:val="sr-Latn-ME"/>
        </w:rPr>
        <w:t xml:space="preserve"> između navedenih visoko rizičnih grupa i zdrave djece.</w:t>
      </w:r>
    </w:p>
    <w:p w14:paraId="786B7990" w14:textId="77777777" w:rsidR="00BB264D" w:rsidRPr="00980785" w:rsidRDefault="00BB264D" w:rsidP="00290631">
      <w:pPr>
        <w:tabs>
          <w:tab w:val="left" w:pos="540"/>
          <w:tab w:val="left" w:pos="569"/>
        </w:tabs>
        <w:jc w:val="both"/>
        <w:rPr>
          <w:b/>
          <w:bCs/>
          <w:sz w:val="22"/>
          <w:szCs w:val="22"/>
          <w:lang w:val="sr-Latn-ME"/>
        </w:rPr>
      </w:pPr>
    </w:p>
    <w:p w14:paraId="5798A7B2" w14:textId="77777777" w:rsidR="003709B1" w:rsidRPr="00980785" w:rsidRDefault="003709B1" w:rsidP="003709B1">
      <w:pPr>
        <w:jc w:val="both"/>
        <w:rPr>
          <w:rFonts w:eastAsia="Calibri"/>
          <w:spacing w:val="-5"/>
          <w:sz w:val="22"/>
          <w:szCs w:val="22"/>
          <w:u w:val="single"/>
          <w:lang w:val="sr-Latn-ME"/>
        </w:rPr>
      </w:pPr>
      <w:r w:rsidRPr="00980785">
        <w:rPr>
          <w:rFonts w:eastAsia="Calibri"/>
          <w:spacing w:val="-5"/>
          <w:sz w:val="22"/>
          <w:szCs w:val="22"/>
          <w:u w:val="single"/>
          <w:lang w:val="sr-Latn-ME"/>
        </w:rPr>
        <w:t>Prijavljivanje sumnji na neželjena dejstva</w:t>
      </w:r>
    </w:p>
    <w:p w14:paraId="16662930" w14:textId="77777777" w:rsidR="003709B1" w:rsidRPr="00980785" w:rsidRDefault="003709B1" w:rsidP="003709B1">
      <w:pPr>
        <w:rPr>
          <w:rFonts w:eastAsia="Calibri"/>
          <w:spacing w:val="-5"/>
          <w:sz w:val="22"/>
          <w:szCs w:val="22"/>
          <w:u w:val="single"/>
          <w:lang w:val="sr-Latn-ME"/>
        </w:rPr>
      </w:pPr>
    </w:p>
    <w:p w14:paraId="6846E1E3" w14:textId="77777777" w:rsidR="003709B1" w:rsidRPr="00980785" w:rsidRDefault="003709B1" w:rsidP="003709B1">
      <w:pPr>
        <w:jc w:val="both"/>
        <w:rPr>
          <w:rFonts w:eastAsia="Calibri"/>
          <w:sz w:val="22"/>
          <w:szCs w:val="22"/>
          <w:lang w:val="sr-Latn-ME"/>
        </w:rPr>
      </w:pPr>
      <w:r w:rsidRPr="00980785">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980785">
        <w:rPr>
          <w:rFonts w:eastAsia="Calibri"/>
          <w:spacing w:val="-4"/>
          <w:sz w:val="22"/>
          <w:szCs w:val="22"/>
          <w:lang w:val="sr-Latn-ME"/>
        </w:rPr>
        <w:t>.</w:t>
      </w:r>
      <w:r w:rsidRPr="00980785">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254BE4D" w14:textId="77777777" w:rsidR="003709B1" w:rsidRPr="00980785" w:rsidRDefault="003709B1" w:rsidP="003709B1">
      <w:pPr>
        <w:jc w:val="both"/>
        <w:rPr>
          <w:rFonts w:eastAsia="Calibri"/>
          <w:sz w:val="22"/>
          <w:szCs w:val="22"/>
          <w:lang w:val="sr-Latn-ME"/>
        </w:rPr>
      </w:pPr>
    </w:p>
    <w:p w14:paraId="0815349E" w14:textId="77777777" w:rsidR="003709B1" w:rsidRPr="00980785" w:rsidRDefault="003709B1" w:rsidP="003709B1">
      <w:pPr>
        <w:rPr>
          <w:sz w:val="22"/>
          <w:szCs w:val="22"/>
          <w:lang w:val="sr-Latn-ME"/>
        </w:rPr>
      </w:pPr>
      <w:r w:rsidRPr="00980785">
        <w:rPr>
          <w:sz w:val="22"/>
          <w:szCs w:val="22"/>
          <w:lang w:val="sr-Latn-ME"/>
        </w:rPr>
        <w:t xml:space="preserve">Institut za ljekove i medicinska sredstva </w:t>
      </w:r>
    </w:p>
    <w:p w14:paraId="30903E0F" w14:textId="77777777" w:rsidR="003709B1" w:rsidRPr="00980785" w:rsidRDefault="003709B1" w:rsidP="003709B1">
      <w:pPr>
        <w:rPr>
          <w:sz w:val="22"/>
          <w:szCs w:val="22"/>
          <w:lang w:val="sr-Latn-ME"/>
        </w:rPr>
      </w:pPr>
      <w:r w:rsidRPr="00980785">
        <w:rPr>
          <w:sz w:val="22"/>
          <w:szCs w:val="22"/>
          <w:lang w:val="sr-Latn-ME"/>
        </w:rPr>
        <w:t>Odjeljenje za farmakovigilancu</w:t>
      </w:r>
    </w:p>
    <w:p w14:paraId="28A999D0" w14:textId="77777777" w:rsidR="003709B1" w:rsidRPr="00980785" w:rsidRDefault="003709B1" w:rsidP="003709B1">
      <w:pPr>
        <w:rPr>
          <w:sz w:val="22"/>
          <w:szCs w:val="22"/>
          <w:lang w:val="sr-Latn-ME"/>
        </w:rPr>
      </w:pPr>
      <w:r w:rsidRPr="00980785">
        <w:rPr>
          <w:sz w:val="22"/>
          <w:szCs w:val="22"/>
          <w:lang w:val="sr-Latn-ME"/>
        </w:rPr>
        <w:t>Bulevar Ivana Crnojevića 64a, 81000 Podgorica</w:t>
      </w:r>
    </w:p>
    <w:p w14:paraId="47F59CB4" w14:textId="77777777" w:rsidR="003709B1" w:rsidRPr="00980785" w:rsidRDefault="003709B1" w:rsidP="003709B1">
      <w:pPr>
        <w:rPr>
          <w:sz w:val="22"/>
          <w:szCs w:val="22"/>
          <w:lang w:val="sr-Latn-ME"/>
        </w:rPr>
      </w:pPr>
      <w:r w:rsidRPr="00980785">
        <w:rPr>
          <w:sz w:val="22"/>
          <w:szCs w:val="22"/>
          <w:lang w:val="sr-Latn-ME"/>
        </w:rPr>
        <w:t>tel: +382 (0) 20 310 280</w:t>
      </w:r>
    </w:p>
    <w:p w14:paraId="34898C75" w14:textId="77777777" w:rsidR="003709B1" w:rsidRPr="00980785" w:rsidRDefault="003709B1" w:rsidP="003709B1">
      <w:pPr>
        <w:rPr>
          <w:sz w:val="22"/>
          <w:szCs w:val="22"/>
          <w:lang w:val="sr-Latn-ME"/>
        </w:rPr>
      </w:pPr>
      <w:r w:rsidRPr="00980785">
        <w:rPr>
          <w:sz w:val="22"/>
          <w:szCs w:val="22"/>
          <w:lang w:val="sr-Latn-ME"/>
        </w:rPr>
        <w:t>fax: +382 (0) 20 310 581</w:t>
      </w:r>
    </w:p>
    <w:p w14:paraId="1BDE253F" w14:textId="77777777" w:rsidR="003709B1" w:rsidRPr="00980785" w:rsidRDefault="00EF09AD" w:rsidP="003709B1">
      <w:pPr>
        <w:rPr>
          <w:sz w:val="22"/>
          <w:szCs w:val="22"/>
          <w:lang w:val="sr-Latn-ME"/>
        </w:rPr>
      </w:pPr>
      <w:hyperlink r:id="rId8" w:history="1">
        <w:r w:rsidR="003709B1" w:rsidRPr="00980785">
          <w:rPr>
            <w:color w:val="0563C1" w:themeColor="hyperlink"/>
            <w:sz w:val="22"/>
            <w:szCs w:val="22"/>
            <w:u w:val="single"/>
            <w:lang w:val="sr-Latn-ME"/>
          </w:rPr>
          <w:t>www.cinmed.me</w:t>
        </w:r>
      </w:hyperlink>
      <w:r w:rsidR="003709B1" w:rsidRPr="00980785">
        <w:rPr>
          <w:sz w:val="22"/>
          <w:szCs w:val="22"/>
          <w:lang w:val="sr-Latn-ME"/>
        </w:rPr>
        <w:t xml:space="preserve"> </w:t>
      </w:r>
    </w:p>
    <w:p w14:paraId="344792F7" w14:textId="77777777" w:rsidR="003709B1" w:rsidRPr="00980785" w:rsidRDefault="00EF09AD" w:rsidP="003709B1">
      <w:pPr>
        <w:rPr>
          <w:sz w:val="22"/>
          <w:szCs w:val="22"/>
          <w:lang w:val="sr-Latn-ME"/>
        </w:rPr>
      </w:pPr>
      <w:hyperlink r:id="rId9" w:history="1">
        <w:r w:rsidR="003709B1" w:rsidRPr="00980785">
          <w:rPr>
            <w:color w:val="0563C1" w:themeColor="hyperlink"/>
            <w:sz w:val="22"/>
            <w:szCs w:val="22"/>
            <w:u w:val="single"/>
            <w:lang w:val="sr-Latn-ME"/>
          </w:rPr>
          <w:t>nezeljenadejstva@cinmed.me</w:t>
        </w:r>
      </w:hyperlink>
      <w:r w:rsidR="003709B1" w:rsidRPr="00980785">
        <w:rPr>
          <w:sz w:val="22"/>
          <w:szCs w:val="22"/>
          <w:lang w:val="sr-Latn-ME"/>
        </w:rPr>
        <w:t xml:space="preserve"> </w:t>
      </w:r>
    </w:p>
    <w:p w14:paraId="38DDE699" w14:textId="77777777" w:rsidR="003709B1" w:rsidRPr="00980785" w:rsidRDefault="003709B1" w:rsidP="003709B1">
      <w:pPr>
        <w:rPr>
          <w:sz w:val="22"/>
          <w:szCs w:val="22"/>
          <w:lang w:val="sr-Latn-ME"/>
        </w:rPr>
      </w:pPr>
      <w:r w:rsidRPr="00980785">
        <w:rPr>
          <w:sz w:val="22"/>
          <w:szCs w:val="22"/>
          <w:lang w:val="sr-Latn-ME"/>
        </w:rPr>
        <w:t>putem IS zdravstvene zaštite</w:t>
      </w:r>
    </w:p>
    <w:p w14:paraId="33E43F65" w14:textId="77777777" w:rsidR="003709B1" w:rsidRPr="00980785" w:rsidRDefault="003709B1" w:rsidP="003709B1">
      <w:pPr>
        <w:rPr>
          <w:sz w:val="22"/>
          <w:szCs w:val="22"/>
          <w:lang w:val="sr-Latn-ME"/>
        </w:rPr>
      </w:pPr>
      <w:r w:rsidRPr="00980785">
        <w:rPr>
          <w:sz w:val="22"/>
          <w:szCs w:val="22"/>
          <w:lang w:val="sr-Latn-ME"/>
        </w:rPr>
        <w:t>QR kod za online prijavu sumnje na neželjeno dejstvo lijeka:</w:t>
      </w:r>
    </w:p>
    <w:p w14:paraId="5660C7ED" w14:textId="77777777" w:rsidR="003709B1" w:rsidRPr="00980785" w:rsidRDefault="003709B1" w:rsidP="003709B1">
      <w:pPr>
        <w:rPr>
          <w:sz w:val="22"/>
          <w:szCs w:val="22"/>
          <w:lang w:val="sr-Latn-ME"/>
        </w:rPr>
      </w:pPr>
    </w:p>
    <w:p w14:paraId="59E2BED1" w14:textId="77777777" w:rsidR="003709B1" w:rsidRPr="00980785" w:rsidRDefault="003709B1" w:rsidP="003709B1">
      <w:pPr>
        <w:rPr>
          <w:sz w:val="22"/>
          <w:szCs w:val="22"/>
          <w:lang w:val="sr-Latn-ME"/>
        </w:rPr>
      </w:pPr>
      <w:r w:rsidRPr="00980785">
        <w:rPr>
          <w:noProof/>
          <w:sz w:val="22"/>
          <w:szCs w:val="22"/>
          <w:lang w:val="sr-Latn-ME" w:eastAsia="sr-Latn-ME"/>
        </w:rPr>
        <w:drawing>
          <wp:inline distT="0" distB="0" distL="0" distR="0" wp14:anchorId="42E52963" wp14:editId="6C71837E">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ABF2B18" w14:textId="77777777" w:rsidR="003709B1" w:rsidRPr="00980785" w:rsidRDefault="003709B1" w:rsidP="003709B1">
      <w:pPr>
        <w:rPr>
          <w:sz w:val="22"/>
          <w:szCs w:val="22"/>
          <w:lang w:val="sr-Latn-ME"/>
        </w:rPr>
      </w:pPr>
    </w:p>
    <w:p w14:paraId="725BAD48" w14:textId="3DD48BF5" w:rsidR="00CD6F02" w:rsidRPr="00980785" w:rsidRDefault="0072020E" w:rsidP="00290631">
      <w:pPr>
        <w:tabs>
          <w:tab w:val="left" w:pos="540"/>
          <w:tab w:val="left" w:pos="569"/>
        </w:tabs>
        <w:jc w:val="both"/>
        <w:rPr>
          <w:b/>
          <w:bCs/>
          <w:sz w:val="22"/>
          <w:szCs w:val="22"/>
          <w:lang w:val="sr-Latn-ME"/>
        </w:rPr>
      </w:pPr>
      <w:r w:rsidRPr="00980785">
        <w:rPr>
          <w:b/>
          <w:bCs/>
          <w:sz w:val="22"/>
          <w:szCs w:val="22"/>
          <w:lang w:val="sr-Latn-ME"/>
        </w:rPr>
        <w:t xml:space="preserve">4.9. </w:t>
      </w:r>
      <w:r w:rsidR="00480FB1" w:rsidRPr="00980785">
        <w:rPr>
          <w:b/>
          <w:bCs/>
          <w:sz w:val="22"/>
          <w:szCs w:val="22"/>
          <w:lang w:val="sr-Latn-ME"/>
        </w:rPr>
        <w:tab/>
      </w:r>
      <w:r w:rsidRPr="00980785">
        <w:rPr>
          <w:b/>
          <w:bCs/>
          <w:sz w:val="22"/>
          <w:szCs w:val="22"/>
          <w:lang w:val="sr-Latn-ME"/>
        </w:rPr>
        <w:t>Predoziranje</w:t>
      </w:r>
      <w:r w:rsidR="002846DB" w:rsidRPr="00980785">
        <w:rPr>
          <w:b/>
          <w:bCs/>
          <w:sz w:val="22"/>
          <w:szCs w:val="22"/>
          <w:lang w:val="sr-Latn-ME"/>
        </w:rPr>
        <w:t xml:space="preserve"> </w:t>
      </w:r>
    </w:p>
    <w:p w14:paraId="1E0A0FC5" w14:textId="77777777" w:rsidR="003709B1" w:rsidRPr="00980785" w:rsidRDefault="003709B1" w:rsidP="00290631">
      <w:pPr>
        <w:tabs>
          <w:tab w:val="left" w:pos="540"/>
          <w:tab w:val="left" w:pos="569"/>
        </w:tabs>
        <w:jc w:val="both"/>
        <w:rPr>
          <w:b/>
          <w:bCs/>
          <w:sz w:val="22"/>
          <w:szCs w:val="22"/>
          <w:lang w:val="sr-Latn-ME"/>
        </w:rPr>
      </w:pPr>
    </w:p>
    <w:p w14:paraId="4213A2FC" w14:textId="77777777" w:rsidR="00CD6F02" w:rsidRPr="00980785" w:rsidRDefault="0035074D" w:rsidP="00290631">
      <w:pPr>
        <w:tabs>
          <w:tab w:val="left" w:pos="540"/>
          <w:tab w:val="left" w:pos="569"/>
        </w:tabs>
        <w:jc w:val="both"/>
        <w:rPr>
          <w:b/>
          <w:bCs/>
          <w:sz w:val="22"/>
          <w:szCs w:val="22"/>
          <w:lang w:val="sr-Latn-ME"/>
        </w:rPr>
      </w:pPr>
      <w:r w:rsidRPr="00980785">
        <w:rPr>
          <w:sz w:val="22"/>
          <w:szCs w:val="22"/>
          <w:lang w:val="sr-Latn-ME"/>
        </w:rPr>
        <w:t>Nijedan slučaj predoziranja nije prijavljen.</w:t>
      </w:r>
    </w:p>
    <w:p w14:paraId="066072E5" w14:textId="2FD296B9" w:rsidR="00227BDB" w:rsidRPr="00980785" w:rsidRDefault="00227BDB" w:rsidP="00290631">
      <w:pPr>
        <w:tabs>
          <w:tab w:val="left" w:pos="540"/>
          <w:tab w:val="left" w:pos="569"/>
        </w:tabs>
        <w:jc w:val="both"/>
        <w:rPr>
          <w:b/>
          <w:bCs/>
          <w:sz w:val="22"/>
          <w:szCs w:val="22"/>
          <w:lang w:val="sr-Latn-ME"/>
        </w:rPr>
      </w:pPr>
    </w:p>
    <w:p w14:paraId="3CED0F06" w14:textId="77777777" w:rsidR="007F441E" w:rsidRPr="00980785" w:rsidRDefault="007F441E" w:rsidP="00290631">
      <w:pPr>
        <w:tabs>
          <w:tab w:val="left" w:pos="540"/>
          <w:tab w:val="left" w:pos="569"/>
        </w:tabs>
        <w:jc w:val="both"/>
        <w:rPr>
          <w:b/>
          <w:bCs/>
          <w:sz w:val="22"/>
          <w:szCs w:val="22"/>
          <w:lang w:val="sr-Latn-ME"/>
        </w:rPr>
      </w:pPr>
    </w:p>
    <w:p w14:paraId="3D246A66" w14:textId="77777777" w:rsidR="0072020E" w:rsidRPr="00980785" w:rsidRDefault="0072020E" w:rsidP="00290631">
      <w:pPr>
        <w:tabs>
          <w:tab w:val="left" w:pos="540"/>
          <w:tab w:val="left" w:pos="569"/>
        </w:tabs>
        <w:jc w:val="both"/>
        <w:rPr>
          <w:b/>
          <w:bCs/>
          <w:sz w:val="22"/>
          <w:szCs w:val="22"/>
          <w:lang w:val="sr-Latn-ME"/>
        </w:rPr>
      </w:pPr>
      <w:r w:rsidRPr="00980785">
        <w:rPr>
          <w:b/>
          <w:bCs/>
          <w:sz w:val="22"/>
          <w:szCs w:val="22"/>
          <w:lang w:val="sr-Latn-ME"/>
        </w:rPr>
        <w:t xml:space="preserve">5. </w:t>
      </w:r>
      <w:r w:rsidR="00480FB1" w:rsidRPr="00980785">
        <w:rPr>
          <w:b/>
          <w:bCs/>
          <w:sz w:val="22"/>
          <w:szCs w:val="22"/>
          <w:lang w:val="sr-Latn-ME"/>
        </w:rPr>
        <w:tab/>
      </w:r>
      <w:r w:rsidRPr="00980785">
        <w:rPr>
          <w:b/>
          <w:bCs/>
          <w:sz w:val="22"/>
          <w:szCs w:val="22"/>
          <w:lang w:val="sr-Latn-ME"/>
        </w:rPr>
        <w:t>FARMAKOLOŠK</w:t>
      </w:r>
      <w:r w:rsidR="000D425A" w:rsidRPr="00980785">
        <w:rPr>
          <w:b/>
          <w:bCs/>
          <w:sz w:val="22"/>
          <w:szCs w:val="22"/>
          <w:lang w:val="sr-Latn-ME"/>
        </w:rPr>
        <w:t>I</w:t>
      </w:r>
      <w:r w:rsidRPr="00980785">
        <w:rPr>
          <w:b/>
          <w:bCs/>
          <w:sz w:val="22"/>
          <w:szCs w:val="22"/>
          <w:lang w:val="sr-Latn-ME"/>
        </w:rPr>
        <w:t xml:space="preserve"> PODACI</w:t>
      </w:r>
    </w:p>
    <w:p w14:paraId="39128F2A" w14:textId="77777777" w:rsidR="0072020E" w:rsidRPr="00980785" w:rsidRDefault="0072020E" w:rsidP="00290631">
      <w:pPr>
        <w:tabs>
          <w:tab w:val="left" w:pos="540"/>
          <w:tab w:val="left" w:pos="569"/>
        </w:tabs>
        <w:jc w:val="both"/>
        <w:rPr>
          <w:b/>
          <w:bCs/>
          <w:sz w:val="22"/>
          <w:szCs w:val="22"/>
          <w:lang w:val="sr-Latn-ME"/>
        </w:rPr>
      </w:pPr>
    </w:p>
    <w:p w14:paraId="180B1C5F" w14:textId="77777777" w:rsidR="0072020E" w:rsidRPr="00980785" w:rsidRDefault="0072020E" w:rsidP="00290631">
      <w:pPr>
        <w:tabs>
          <w:tab w:val="left" w:pos="540"/>
          <w:tab w:val="left" w:pos="569"/>
        </w:tabs>
        <w:jc w:val="both"/>
        <w:rPr>
          <w:b/>
          <w:bCs/>
          <w:sz w:val="22"/>
          <w:szCs w:val="22"/>
          <w:lang w:val="sr-Latn-ME"/>
        </w:rPr>
      </w:pPr>
      <w:r w:rsidRPr="00980785">
        <w:rPr>
          <w:b/>
          <w:bCs/>
          <w:sz w:val="22"/>
          <w:szCs w:val="22"/>
          <w:lang w:val="sr-Latn-ME"/>
        </w:rPr>
        <w:t xml:space="preserve">5.1. </w:t>
      </w:r>
      <w:r w:rsidR="00480FB1" w:rsidRPr="00980785">
        <w:rPr>
          <w:b/>
          <w:bCs/>
          <w:sz w:val="22"/>
          <w:szCs w:val="22"/>
          <w:lang w:val="sr-Latn-ME"/>
        </w:rPr>
        <w:tab/>
      </w:r>
      <w:r w:rsidRPr="00980785">
        <w:rPr>
          <w:b/>
          <w:bCs/>
          <w:sz w:val="22"/>
          <w:szCs w:val="22"/>
          <w:lang w:val="sr-Latn-ME"/>
        </w:rPr>
        <w:t>Farmakodinamski podaci</w:t>
      </w:r>
      <w:r w:rsidR="003A7059" w:rsidRPr="00980785">
        <w:rPr>
          <w:b/>
          <w:bCs/>
          <w:sz w:val="22"/>
          <w:szCs w:val="22"/>
          <w:lang w:val="sr-Latn-ME"/>
        </w:rPr>
        <w:t xml:space="preserve"> </w:t>
      </w:r>
    </w:p>
    <w:p w14:paraId="7D4C2161" w14:textId="77777777" w:rsidR="00F45F77" w:rsidRPr="00980785" w:rsidRDefault="00F45F77" w:rsidP="00290631">
      <w:pPr>
        <w:tabs>
          <w:tab w:val="left" w:pos="540"/>
          <w:tab w:val="left" w:pos="569"/>
        </w:tabs>
        <w:jc w:val="both"/>
        <w:rPr>
          <w:b/>
          <w:bCs/>
          <w:sz w:val="22"/>
          <w:szCs w:val="22"/>
          <w:lang w:val="sr-Latn-ME"/>
        </w:rPr>
      </w:pPr>
    </w:p>
    <w:p w14:paraId="6CA98145" w14:textId="77777777" w:rsidR="0072020E" w:rsidRPr="00980785" w:rsidRDefault="0072020E" w:rsidP="00290631">
      <w:pPr>
        <w:tabs>
          <w:tab w:val="left" w:pos="540"/>
          <w:tab w:val="left" w:pos="569"/>
        </w:tabs>
        <w:jc w:val="both"/>
        <w:rPr>
          <w:bCs/>
          <w:sz w:val="22"/>
          <w:szCs w:val="22"/>
          <w:lang w:val="sr-Latn-ME"/>
        </w:rPr>
      </w:pPr>
      <w:r w:rsidRPr="00980785">
        <w:rPr>
          <w:bCs/>
          <w:sz w:val="22"/>
          <w:szCs w:val="22"/>
          <w:lang w:val="sr-Latn-ME"/>
        </w:rPr>
        <w:t>Farmakoterapijska grupa:</w:t>
      </w:r>
      <w:r w:rsidR="00507BC2" w:rsidRPr="00980785">
        <w:rPr>
          <w:sz w:val="22"/>
          <w:szCs w:val="22"/>
          <w:lang w:val="sr-Latn-ME"/>
        </w:rPr>
        <w:t xml:space="preserve"> vakcina protiv pneumokoka.</w:t>
      </w:r>
    </w:p>
    <w:p w14:paraId="3DD117CC" w14:textId="77777777" w:rsidR="0072020E" w:rsidRPr="00980785" w:rsidRDefault="0072020E" w:rsidP="00290631">
      <w:pPr>
        <w:tabs>
          <w:tab w:val="left" w:pos="540"/>
          <w:tab w:val="left" w:pos="569"/>
        </w:tabs>
        <w:jc w:val="both"/>
        <w:rPr>
          <w:bCs/>
          <w:sz w:val="22"/>
          <w:szCs w:val="22"/>
          <w:lang w:val="sr-Latn-ME"/>
        </w:rPr>
      </w:pPr>
    </w:p>
    <w:p w14:paraId="198ABDF6" w14:textId="77777777" w:rsidR="0072020E" w:rsidRPr="00980785" w:rsidRDefault="0072020E" w:rsidP="00290631">
      <w:pPr>
        <w:tabs>
          <w:tab w:val="left" w:pos="540"/>
          <w:tab w:val="left" w:pos="569"/>
        </w:tabs>
        <w:jc w:val="both"/>
        <w:rPr>
          <w:bCs/>
          <w:sz w:val="22"/>
          <w:szCs w:val="22"/>
          <w:lang w:val="sr-Latn-ME"/>
        </w:rPr>
      </w:pPr>
      <w:r w:rsidRPr="00980785">
        <w:rPr>
          <w:bCs/>
          <w:sz w:val="22"/>
          <w:szCs w:val="22"/>
          <w:lang w:val="sr-Latn-ME"/>
        </w:rPr>
        <w:t>ATC kod:</w:t>
      </w:r>
      <w:r w:rsidR="00E40B0E" w:rsidRPr="00980785">
        <w:rPr>
          <w:b/>
          <w:sz w:val="22"/>
          <w:szCs w:val="22"/>
          <w:lang w:val="sr-Latn-ME"/>
        </w:rPr>
        <w:t xml:space="preserve"> </w:t>
      </w:r>
      <w:r w:rsidR="00E40B0E" w:rsidRPr="00980785">
        <w:rPr>
          <w:sz w:val="22"/>
          <w:szCs w:val="22"/>
          <w:lang w:val="sr-Latn-ME"/>
        </w:rPr>
        <w:t>J07AL52</w:t>
      </w:r>
    </w:p>
    <w:p w14:paraId="7AA63977" w14:textId="77777777" w:rsidR="00E40B0E" w:rsidRPr="00980785" w:rsidRDefault="00E40B0E">
      <w:pPr>
        <w:tabs>
          <w:tab w:val="left" w:pos="540"/>
          <w:tab w:val="left" w:pos="569"/>
        </w:tabs>
        <w:spacing w:before="40" w:after="40"/>
        <w:jc w:val="both"/>
        <w:rPr>
          <w:b/>
          <w:bCs/>
          <w:sz w:val="22"/>
          <w:szCs w:val="22"/>
          <w:highlight w:val="yellow"/>
          <w:lang w:val="sr-Latn-ME"/>
        </w:rPr>
      </w:pPr>
    </w:p>
    <w:p w14:paraId="55F785C9" w14:textId="67DA05B2" w:rsidR="00E40B0E" w:rsidRPr="00980785" w:rsidRDefault="00E40B0E">
      <w:pPr>
        <w:pStyle w:val="Header"/>
        <w:tabs>
          <w:tab w:val="left" w:pos="284"/>
        </w:tabs>
        <w:jc w:val="both"/>
        <w:rPr>
          <w:b/>
          <w:sz w:val="22"/>
          <w:szCs w:val="22"/>
          <w:u w:val="single"/>
          <w:lang w:val="sr-Latn-ME"/>
        </w:rPr>
      </w:pPr>
      <w:r w:rsidRPr="00980785">
        <w:rPr>
          <w:sz w:val="22"/>
          <w:szCs w:val="22"/>
          <w:u w:val="single"/>
          <w:lang w:val="sr-Latn-ME"/>
        </w:rPr>
        <w:t>Epidemiološki podaci</w:t>
      </w:r>
    </w:p>
    <w:p w14:paraId="13D45E18" w14:textId="77777777" w:rsidR="00E40B0E" w:rsidRPr="00980785" w:rsidRDefault="00E40B0E">
      <w:pPr>
        <w:pStyle w:val="Header"/>
        <w:tabs>
          <w:tab w:val="left" w:pos="284"/>
        </w:tabs>
        <w:jc w:val="both"/>
        <w:rPr>
          <w:i/>
          <w:sz w:val="22"/>
          <w:szCs w:val="22"/>
          <w:u w:val="single"/>
          <w:lang w:val="sr-Latn-ME"/>
        </w:rPr>
      </w:pPr>
    </w:p>
    <w:p w14:paraId="552A6BAD" w14:textId="77777777" w:rsidR="00E40B0E" w:rsidRPr="00980785" w:rsidRDefault="00E40B0E">
      <w:pPr>
        <w:pStyle w:val="Header"/>
        <w:tabs>
          <w:tab w:val="left" w:pos="284"/>
        </w:tabs>
        <w:jc w:val="both"/>
        <w:rPr>
          <w:sz w:val="22"/>
          <w:szCs w:val="22"/>
          <w:lang w:val="sr-Latn-ME"/>
        </w:rPr>
      </w:pPr>
      <w:r w:rsidRPr="00980785">
        <w:rPr>
          <w:sz w:val="22"/>
          <w:szCs w:val="22"/>
          <w:lang w:val="sr-Latn-ME"/>
        </w:rPr>
        <w:t xml:space="preserve">Deset serotipova pneumokoka koji se nalaze u vakcini </w:t>
      </w:r>
      <w:r w:rsidR="00677FAC" w:rsidRPr="00980785">
        <w:rPr>
          <w:sz w:val="22"/>
          <w:szCs w:val="22"/>
          <w:lang w:val="sr-Latn-ME"/>
        </w:rPr>
        <w:t>SYNFLORIX</w:t>
      </w:r>
      <w:r w:rsidRPr="00980785">
        <w:rPr>
          <w:sz w:val="22"/>
          <w:szCs w:val="22"/>
          <w:lang w:val="sr-Latn-ME"/>
        </w:rPr>
        <w:t xml:space="preserve"> predstavljaju serotipove koji su najčešći izazivači oboljenja u Evropi i uzročnici su približno od 56% do 90% invazivne pneumokokne </w:t>
      </w:r>
    </w:p>
    <w:p w14:paraId="5771A516" w14:textId="77777777" w:rsidR="00E40B0E" w:rsidRPr="00980785" w:rsidRDefault="00E40B0E">
      <w:pPr>
        <w:pStyle w:val="Header"/>
        <w:tabs>
          <w:tab w:val="left" w:pos="284"/>
        </w:tabs>
        <w:jc w:val="both"/>
        <w:rPr>
          <w:sz w:val="22"/>
          <w:szCs w:val="22"/>
          <w:lang w:val="sr-Latn-ME"/>
        </w:rPr>
      </w:pPr>
      <w:r w:rsidRPr="00980785">
        <w:rPr>
          <w:sz w:val="22"/>
          <w:szCs w:val="22"/>
          <w:lang w:val="sr-Latn-ME"/>
        </w:rPr>
        <w:t>bolesti (IPB) kod djece mlađe od 5 godina života. U navedenoj starosnoj grupi, serotipovi 1, 5 i 7F odgovorni su za od 3,3% do 24,1% IPB, u zavisnosti od zemlje i vremena sprovođenja istraživanja.</w:t>
      </w:r>
    </w:p>
    <w:p w14:paraId="3DD723A5" w14:textId="77777777" w:rsidR="00E40B0E" w:rsidRPr="00980785" w:rsidRDefault="00E40B0E">
      <w:pPr>
        <w:pStyle w:val="Header"/>
        <w:tabs>
          <w:tab w:val="left" w:pos="284"/>
        </w:tabs>
        <w:jc w:val="both"/>
        <w:rPr>
          <w:sz w:val="22"/>
          <w:szCs w:val="22"/>
          <w:lang w:val="sr-Latn-ME"/>
        </w:rPr>
      </w:pPr>
    </w:p>
    <w:p w14:paraId="017F44F1" w14:textId="77777777" w:rsidR="00E40B0E" w:rsidRPr="00980785" w:rsidRDefault="00E40B0E">
      <w:pPr>
        <w:pStyle w:val="Header"/>
        <w:tabs>
          <w:tab w:val="left" w:pos="284"/>
        </w:tabs>
        <w:jc w:val="both"/>
        <w:rPr>
          <w:sz w:val="22"/>
          <w:szCs w:val="22"/>
          <w:lang w:val="sr-Latn-ME"/>
        </w:rPr>
      </w:pPr>
      <w:r w:rsidRPr="00980785">
        <w:rPr>
          <w:sz w:val="22"/>
          <w:szCs w:val="22"/>
          <w:lang w:val="sr-Latn-ME"/>
        </w:rPr>
        <w:t xml:space="preserve">Pneumonija različite etiologije je vodeći uzrok morbiditeta i mortaliteta kod djece globalno. U prospektivnim kliničkim ispitivanjima, procijenjeno je da je </w:t>
      </w:r>
      <w:r w:rsidRPr="00980785">
        <w:rPr>
          <w:i/>
          <w:sz w:val="22"/>
          <w:szCs w:val="22"/>
          <w:lang w:val="sr-Latn-ME"/>
        </w:rPr>
        <w:t xml:space="preserve">Streptococcus pneumoniae </w:t>
      </w:r>
      <w:r w:rsidRPr="00980785">
        <w:rPr>
          <w:sz w:val="22"/>
          <w:szCs w:val="22"/>
          <w:lang w:val="sr-Latn-ME"/>
        </w:rPr>
        <w:t>odgovoran za 30-50% slučajeva pneumonije.</w:t>
      </w:r>
    </w:p>
    <w:p w14:paraId="0A84766B" w14:textId="77777777" w:rsidR="00E40B0E" w:rsidRPr="00980785" w:rsidRDefault="00E40B0E">
      <w:pPr>
        <w:pStyle w:val="Header"/>
        <w:tabs>
          <w:tab w:val="left" w:pos="284"/>
        </w:tabs>
        <w:jc w:val="both"/>
        <w:rPr>
          <w:sz w:val="22"/>
          <w:szCs w:val="22"/>
          <w:lang w:val="sr-Latn-ME"/>
        </w:rPr>
      </w:pPr>
    </w:p>
    <w:p w14:paraId="16BFA870" w14:textId="77777777" w:rsidR="00E40B0E" w:rsidRPr="00980785" w:rsidRDefault="00E40B0E">
      <w:pPr>
        <w:pStyle w:val="Header"/>
        <w:tabs>
          <w:tab w:val="left" w:pos="284"/>
        </w:tabs>
        <w:jc w:val="both"/>
        <w:rPr>
          <w:sz w:val="22"/>
          <w:szCs w:val="22"/>
          <w:lang w:val="sr-Latn-ME"/>
        </w:rPr>
      </w:pPr>
      <w:r w:rsidRPr="00980785">
        <w:rPr>
          <w:sz w:val="22"/>
          <w:szCs w:val="22"/>
          <w:lang w:val="sr-Latn-ME"/>
        </w:rPr>
        <w:t xml:space="preserve">Akutni otitis media (AOM) je često oboljenje dječijeg uzrasta sa različitom etiologijom. Bakterije mogu biti uzrok od 60% do 70% kliničkih epizoda AOM. </w:t>
      </w:r>
      <w:r w:rsidRPr="00980785">
        <w:rPr>
          <w:i/>
          <w:sz w:val="22"/>
          <w:szCs w:val="22"/>
          <w:lang w:val="sr-Latn-ME"/>
        </w:rPr>
        <w:t>Streptococcus pneumoniae</w:t>
      </w:r>
      <w:r w:rsidRPr="00980785">
        <w:rPr>
          <w:sz w:val="22"/>
          <w:szCs w:val="22"/>
          <w:lang w:val="sr-Latn-ME"/>
        </w:rPr>
        <w:t xml:space="preserve"> i netipizirani </w:t>
      </w:r>
      <w:r w:rsidRPr="00980785">
        <w:rPr>
          <w:i/>
          <w:sz w:val="22"/>
          <w:szCs w:val="22"/>
          <w:lang w:val="sr-Latn-ME"/>
        </w:rPr>
        <w:t>Haemophiluss influenzae</w:t>
      </w:r>
      <w:r w:rsidRPr="00980785">
        <w:rPr>
          <w:sz w:val="22"/>
          <w:szCs w:val="22"/>
          <w:lang w:val="sr-Latn-ME"/>
        </w:rPr>
        <w:t xml:space="preserve"> (NTHi) su najčešći izazivači AOM na svjetskom nivou.</w:t>
      </w:r>
    </w:p>
    <w:p w14:paraId="51AD8D31" w14:textId="77777777" w:rsidR="00E40B0E" w:rsidRPr="00980785" w:rsidRDefault="00E40B0E">
      <w:pPr>
        <w:pStyle w:val="Header"/>
        <w:tabs>
          <w:tab w:val="left" w:pos="284"/>
        </w:tabs>
        <w:jc w:val="both"/>
        <w:rPr>
          <w:sz w:val="22"/>
          <w:szCs w:val="22"/>
          <w:lang w:val="sr-Latn-ME"/>
        </w:rPr>
      </w:pPr>
    </w:p>
    <w:p w14:paraId="0A0E7159" w14:textId="32195AE0" w:rsidR="00E40B0E" w:rsidRPr="00980785" w:rsidRDefault="00E40B0E">
      <w:pPr>
        <w:pStyle w:val="Header"/>
        <w:tabs>
          <w:tab w:val="left" w:pos="284"/>
        </w:tabs>
        <w:jc w:val="both"/>
        <w:rPr>
          <w:sz w:val="22"/>
          <w:szCs w:val="22"/>
          <w:u w:val="single"/>
          <w:lang w:val="sr-Latn-ME"/>
        </w:rPr>
      </w:pPr>
      <w:r w:rsidRPr="00980785">
        <w:rPr>
          <w:sz w:val="22"/>
          <w:szCs w:val="22"/>
          <w:u w:val="single"/>
          <w:lang w:val="sr-Latn-ME"/>
        </w:rPr>
        <w:t>Efikasnost i efektivnost u kliničkim ispitivanjima</w:t>
      </w:r>
    </w:p>
    <w:p w14:paraId="671F2BB6" w14:textId="77777777" w:rsidR="00E40B0E" w:rsidRPr="00980785" w:rsidRDefault="00E40B0E">
      <w:pPr>
        <w:pStyle w:val="Header"/>
        <w:tabs>
          <w:tab w:val="left" w:pos="284"/>
        </w:tabs>
        <w:jc w:val="both"/>
        <w:rPr>
          <w:sz w:val="22"/>
          <w:szCs w:val="22"/>
          <w:lang w:val="sr-Latn-ME"/>
        </w:rPr>
      </w:pPr>
    </w:p>
    <w:p w14:paraId="31DCD0CA" w14:textId="2E70F9E0" w:rsidR="00E40B0E" w:rsidRPr="00980785" w:rsidRDefault="00E40B0E">
      <w:pPr>
        <w:pStyle w:val="Header"/>
        <w:tabs>
          <w:tab w:val="left" w:pos="284"/>
        </w:tabs>
        <w:jc w:val="both"/>
        <w:rPr>
          <w:sz w:val="22"/>
          <w:szCs w:val="22"/>
          <w:lang w:val="sr-Latn-ME"/>
        </w:rPr>
      </w:pPr>
      <w:r w:rsidRPr="00980785">
        <w:rPr>
          <w:sz w:val="22"/>
          <w:szCs w:val="22"/>
          <w:lang w:val="sr-Latn-ME"/>
        </w:rPr>
        <w:t xml:space="preserve">U velikom dvostruko slijepom, klaster-randomiziranom, kontrolisanom kliničkom ispitivanju faze III/IV sprovedenom u Finskoj (FinIP),  djeca su bila uključena u 4 grupe prema dvodoznoj šemi vakcinacije [primarna imunizacija sa 2 doze (sa 3 i 5 mjeseci života) ili 3 doze (sa 3, 4 i 5 mjeseci života), primarni raspored praćen buster dozom počev od 11 mjeseci]. Djeca su primila ili </w:t>
      </w:r>
      <w:r w:rsidR="00677FAC" w:rsidRPr="00980785">
        <w:rPr>
          <w:sz w:val="22"/>
          <w:szCs w:val="22"/>
          <w:lang w:val="sr-Latn-ME"/>
        </w:rPr>
        <w:t>SYNFLORIX</w:t>
      </w:r>
      <w:r w:rsidRPr="00980785">
        <w:rPr>
          <w:sz w:val="22"/>
          <w:szCs w:val="22"/>
          <w:lang w:val="sr-Latn-ME"/>
        </w:rPr>
        <w:t xml:space="preserve"> (2/3 klastera) ili vakcinu protiv hepatitisa kao kontrolu (1/3 klastera). U kohortama s</w:t>
      </w:r>
      <w:r w:rsidR="003709B1" w:rsidRPr="00980785">
        <w:rPr>
          <w:sz w:val="22"/>
          <w:szCs w:val="22"/>
          <w:lang w:val="sr-Latn-ME"/>
        </w:rPr>
        <w:t>a</w:t>
      </w:r>
      <w:r w:rsidRPr="00980785">
        <w:rPr>
          <w:sz w:val="22"/>
          <w:szCs w:val="22"/>
          <w:lang w:val="sr-Latn-ME"/>
        </w:rPr>
        <w:t xml:space="preserve"> naknadnim sprovođenjem propuštene ili odložene uobičajene imunizacije, djeca koja su prvu dozu vakcine primila u uzrastu od 7</w:t>
      </w:r>
      <w:r w:rsidR="003709B1" w:rsidRPr="00980785">
        <w:rPr>
          <w:sz w:val="22"/>
          <w:szCs w:val="22"/>
          <w:lang w:val="sr-Latn-ME"/>
        </w:rPr>
        <w:t xml:space="preserve"> do </w:t>
      </w:r>
      <w:r w:rsidRPr="00980785">
        <w:rPr>
          <w:sz w:val="22"/>
          <w:szCs w:val="22"/>
          <w:lang w:val="sr-Latn-ME"/>
        </w:rPr>
        <w:t xml:space="preserve">11 mjeseci primila su </w:t>
      </w:r>
      <w:r w:rsidR="00677FAC" w:rsidRPr="00980785">
        <w:rPr>
          <w:sz w:val="22"/>
          <w:szCs w:val="22"/>
          <w:lang w:val="sr-Latn-ME"/>
        </w:rPr>
        <w:t>SYNFLORIX</w:t>
      </w:r>
      <w:r w:rsidRPr="00980785">
        <w:rPr>
          <w:sz w:val="22"/>
          <w:szCs w:val="22"/>
          <w:lang w:val="sr-Latn-ME"/>
        </w:rPr>
        <w:t xml:space="preserve"> ili vakcinu protiv hepatitisa B kao kontrolu prema šemi primarne imunizacije sa 2 doze, a nakon toga i dozu revakcinacije, dok su djeca koja su prvu dozu vakcine primila u uzrastu od 12</w:t>
      </w:r>
      <w:r w:rsidR="003709B1" w:rsidRPr="00980785">
        <w:rPr>
          <w:sz w:val="22"/>
          <w:szCs w:val="22"/>
          <w:lang w:val="sr-Latn-ME"/>
        </w:rPr>
        <w:t xml:space="preserve"> do </w:t>
      </w:r>
      <w:r w:rsidRPr="00980785">
        <w:rPr>
          <w:sz w:val="22"/>
          <w:szCs w:val="22"/>
          <w:lang w:val="sr-Latn-ME"/>
        </w:rPr>
        <w:t xml:space="preserve">18 mjeseci primila 2 doze ili vakcine </w:t>
      </w:r>
      <w:r w:rsidR="00677FAC" w:rsidRPr="00980785">
        <w:rPr>
          <w:sz w:val="22"/>
          <w:szCs w:val="22"/>
          <w:lang w:val="sr-Latn-ME"/>
        </w:rPr>
        <w:t>SYNFLORIX</w:t>
      </w:r>
      <w:r w:rsidRPr="00980785">
        <w:rPr>
          <w:sz w:val="22"/>
          <w:szCs w:val="22"/>
          <w:lang w:val="sr-Latn-ME"/>
        </w:rPr>
        <w:t xml:space="preserve"> ili vakcine protiv hepatitisa A kao kontrolu. Prosječno vrijeme praćenja od prve vakcinacije iznosilo je 24 do 28 mjeseci za invazivnu bolest i bolnički dijagnostifikovanu upalu pluća. U izdvojenom ispitivanju odojčad su praćena do približno 21 mjeseca života s ciljem ocjenjivanja uticaja vakcine </w:t>
      </w:r>
      <w:r w:rsidR="00677FAC" w:rsidRPr="00980785">
        <w:rPr>
          <w:sz w:val="22"/>
          <w:szCs w:val="22"/>
          <w:lang w:val="sr-Latn-ME"/>
        </w:rPr>
        <w:t>SYNFLORIX</w:t>
      </w:r>
      <w:r w:rsidRPr="00980785">
        <w:rPr>
          <w:sz w:val="22"/>
          <w:szCs w:val="22"/>
          <w:lang w:val="sr-Latn-ME"/>
        </w:rPr>
        <w:t xml:space="preserve"> na nazofaringealno kliconoštvo i AOM koji su prijavili roditelji, a dijagnostifikovao ljekar.</w:t>
      </w:r>
    </w:p>
    <w:p w14:paraId="7F42AFE5" w14:textId="77777777" w:rsidR="00E40B0E" w:rsidRPr="00980785" w:rsidRDefault="00E40B0E">
      <w:pPr>
        <w:pStyle w:val="Header"/>
        <w:tabs>
          <w:tab w:val="left" w:pos="284"/>
        </w:tabs>
        <w:jc w:val="both"/>
        <w:rPr>
          <w:sz w:val="22"/>
          <w:szCs w:val="22"/>
          <w:lang w:val="sr-Latn-ME"/>
        </w:rPr>
      </w:pPr>
    </w:p>
    <w:p w14:paraId="3C62CE37" w14:textId="77777777" w:rsidR="00E40B0E" w:rsidRPr="00980785" w:rsidRDefault="00E40B0E">
      <w:pPr>
        <w:pStyle w:val="Header"/>
        <w:tabs>
          <w:tab w:val="left" w:pos="284"/>
        </w:tabs>
        <w:jc w:val="both"/>
        <w:rPr>
          <w:sz w:val="22"/>
          <w:szCs w:val="22"/>
          <w:lang w:val="sr-Latn-ME"/>
        </w:rPr>
      </w:pPr>
      <w:r w:rsidRPr="00980785">
        <w:rPr>
          <w:sz w:val="22"/>
          <w:szCs w:val="22"/>
          <w:lang w:val="sr-Latn-ME"/>
        </w:rPr>
        <w:t>U velikom, randomizovanom, dvostruko slijepom kliničkom ispitivanju faze III (kliničko ispitivanje otitis media i pneumonije [</w:t>
      </w:r>
      <w:r w:rsidRPr="00980785">
        <w:rPr>
          <w:i/>
          <w:sz w:val="22"/>
          <w:szCs w:val="22"/>
          <w:lang w:val="sr-Latn-ME"/>
        </w:rPr>
        <w:t>Clinical Otitis Media and Pneumonia Study</w:t>
      </w:r>
      <w:r w:rsidRPr="00980785">
        <w:rPr>
          <w:sz w:val="22"/>
          <w:szCs w:val="22"/>
          <w:lang w:val="sr-Latn-ME"/>
        </w:rPr>
        <w:t xml:space="preserve"> - COMPAS]) sprovedenom u Argentini, Panami i Kolumbiji, zdrava odojčad uzrasta od 6 do 16 nedjelja primila su ili </w:t>
      </w:r>
      <w:r w:rsidR="00677FAC" w:rsidRPr="00980785">
        <w:rPr>
          <w:sz w:val="22"/>
          <w:szCs w:val="22"/>
          <w:lang w:val="sr-Latn-ME"/>
        </w:rPr>
        <w:t>SYNFLORIX</w:t>
      </w:r>
      <w:r w:rsidRPr="00980785">
        <w:rPr>
          <w:sz w:val="22"/>
          <w:szCs w:val="22"/>
          <w:lang w:val="sr-Latn-ME"/>
        </w:rPr>
        <w:t xml:space="preserve"> ili vakcinu protiv hepatitisa B kao kontrolu sa 2, 4 i 6 mjeseci života, nakon čega im je u uzrastu od 15 do 18 mjeseci primijenjen ili </w:t>
      </w:r>
      <w:r w:rsidR="00677FAC" w:rsidRPr="00980785">
        <w:rPr>
          <w:sz w:val="22"/>
          <w:szCs w:val="22"/>
          <w:lang w:val="sr-Latn-ME"/>
        </w:rPr>
        <w:t>SYNFLORIX</w:t>
      </w:r>
      <w:r w:rsidRPr="00980785">
        <w:rPr>
          <w:sz w:val="22"/>
          <w:szCs w:val="22"/>
          <w:lang w:val="sr-Latn-ME"/>
        </w:rPr>
        <w:t xml:space="preserve"> ili vakcina protiv hepatitisa A kao kontrola.</w:t>
      </w:r>
    </w:p>
    <w:p w14:paraId="210BE169" w14:textId="5CC5D23E" w:rsidR="00E40B0E" w:rsidRPr="00980785" w:rsidRDefault="00E40B0E">
      <w:pPr>
        <w:pStyle w:val="Header"/>
        <w:tabs>
          <w:tab w:val="left" w:pos="284"/>
        </w:tabs>
        <w:jc w:val="both"/>
        <w:rPr>
          <w:b/>
          <w:sz w:val="22"/>
          <w:szCs w:val="22"/>
          <w:u w:val="single"/>
          <w:lang w:val="sr-Latn-ME"/>
        </w:rPr>
      </w:pPr>
      <w:r w:rsidRPr="00980785">
        <w:rPr>
          <w:i/>
          <w:sz w:val="22"/>
          <w:szCs w:val="22"/>
          <w:u w:val="single"/>
          <w:lang w:val="sr-Latn-ME"/>
        </w:rPr>
        <w:lastRenderedPageBreak/>
        <w:t>Invazivna pneumokokna bolest (uključuje sepsu, meningitis, bakterijsku pneumoniju i bakterijemiju)</w:t>
      </w:r>
    </w:p>
    <w:p w14:paraId="4768B323" w14:textId="77777777" w:rsidR="00E40B0E" w:rsidRPr="00980785" w:rsidRDefault="00E40B0E">
      <w:pPr>
        <w:pStyle w:val="Header"/>
        <w:tabs>
          <w:tab w:val="left" w:pos="284"/>
        </w:tabs>
        <w:jc w:val="both"/>
        <w:rPr>
          <w:sz w:val="22"/>
          <w:szCs w:val="22"/>
          <w:lang w:val="sr-Latn-ME"/>
        </w:rPr>
      </w:pPr>
    </w:p>
    <w:p w14:paraId="16AD0D93" w14:textId="2C4E9D54" w:rsidR="00E40B0E" w:rsidRPr="00980785" w:rsidRDefault="00E40B0E">
      <w:pPr>
        <w:pStyle w:val="Header"/>
        <w:tabs>
          <w:tab w:val="left" w:pos="284"/>
        </w:tabs>
        <w:jc w:val="both"/>
        <w:rPr>
          <w:i/>
          <w:sz w:val="22"/>
          <w:szCs w:val="22"/>
          <w:lang w:val="sr-Latn-ME"/>
        </w:rPr>
      </w:pPr>
      <w:r w:rsidRPr="00980785">
        <w:rPr>
          <w:i/>
          <w:sz w:val="22"/>
          <w:szCs w:val="22"/>
          <w:lang w:val="sr-Latn-ME"/>
        </w:rPr>
        <w:t>Efektivnost/efikasnost kod odojčadi mlađih od 7</w:t>
      </w:r>
      <w:r w:rsidR="00046B01">
        <w:rPr>
          <w:i/>
          <w:sz w:val="22"/>
          <w:szCs w:val="22"/>
          <w:lang w:val="sr-Latn-ME"/>
        </w:rPr>
        <w:t xml:space="preserve"> </w:t>
      </w:r>
      <w:r w:rsidRPr="00980785">
        <w:rPr>
          <w:i/>
          <w:sz w:val="22"/>
          <w:szCs w:val="22"/>
          <w:lang w:val="sr-Latn-ME"/>
        </w:rPr>
        <w:t xml:space="preserve">mjeseci života u trenutku uključivanja </w:t>
      </w:r>
    </w:p>
    <w:p w14:paraId="62FCE39B" w14:textId="77777777" w:rsidR="00E40B0E" w:rsidRPr="00980785" w:rsidRDefault="00E40B0E">
      <w:pPr>
        <w:pStyle w:val="Header"/>
        <w:tabs>
          <w:tab w:val="left" w:pos="284"/>
        </w:tabs>
        <w:jc w:val="both"/>
        <w:rPr>
          <w:sz w:val="22"/>
          <w:szCs w:val="22"/>
          <w:lang w:val="sr-Latn-ME"/>
        </w:rPr>
      </w:pPr>
    </w:p>
    <w:p w14:paraId="1AB498B6" w14:textId="2EE994F1" w:rsidR="00E40B0E" w:rsidRPr="00980785" w:rsidRDefault="00E40B0E">
      <w:pPr>
        <w:pStyle w:val="Header"/>
        <w:tabs>
          <w:tab w:val="left" w:pos="284"/>
        </w:tabs>
        <w:jc w:val="both"/>
        <w:rPr>
          <w:sz w:val="22"/>
          <w:szCs w:val="22"/>
          <w:lang w:val="sr-Latn-ME"/>
        </w:rPr>
      </w:pPr>
      <w:r w:rsidRPr="00980785">
        <w:rPr>
          <w:sz w:val="22"/>
          <w:szCs w:val="22"/>
          <w:lang w:val="sr-Latn-ME"/>
        </w:rPr>
        <w:t xml:space="preserve">Efektivnost ili efikasnost vakcine (VE) je pokazana u prevenciji kulturom potvrđene IPB, uzrokovane pneumokoknim serotipovima prisutnim u vakcini kada je vakcina </w:t>
      </w:r>
      <w:r w:rsidR="00677FAC" w:rsidRPr="00980785">
        <w:rPr>
          <w:sz w:val="22"/>
          <w:szCs w:val="22"/>
          <w:lang w:val="sr-Latn-ME"/>
        </w:rPr>
        <w:t>SYNFLORIX</w:t>
      </w:r>
      <w:r w:rsidRPr="00980785">
        <w:rPr>
          <w:sz w:val="22"/>
          <w:szCs w:val="22"/>
          <w:lang w:val="sr-Latn-ME"/>
        </w:rPr>
        <w:t xml:space="preserve"> data odojčadi prema protokolu 2+1kod FinIP ili 3+1</w:t>
      </w:r>
      <w:r w:rsidR="000E45B9" w:rsidRPr="00980785">
        <w:rPr>
          <w:sz w:val="22"/>
          <w:szCs w:val="22"/>
          <w:lang w:val="sr-Latn-ME"/>
        </w:rPr>
        <w:t xml:space="preserve"> </w:t>
      </w:r>
      <w:r w:rsidRPr="00980785">
        <w:rPr>
          <w:sz w:val="22"/>
          <w:szCs w:val="22"/>
          <w:lang w:val="sr-Latn-ME"/>
        </w:rPr>
        <w:t xml:space="preserve">kod COMPAS (vidjeti tabelu 1). </w:t>
      </w:r>
    </w:p>
    <w:p w14:paraId="1D534B12" w14:textId="77777777" w:rsidR="00E40B0E" w:rsidRPr="00980785" w:rsidRDefault="00E40B0E" w:rsidP="00290631">
      <w:pPr>
        <w:pStyle w:val="Header"/>
        <w:tabs>
          <w:tab w:val="left" w:pos="284"/>
        </w:tabs>
        <w:jc w:val="both"/>
        <w:rPr>
          <w:i/>
          <w:sz w:val="22"/>
          <w:szCs w:val="22"/>
          <w:lang w:val="sr-Latn-ME"/>
        </w:rPr>
      </w:pPr>
    </w:p>
    <w:p w14:paraId="1F73B9EC" w14:textId="77777777" w:rsidR="00E40B0E" w:rsidRPr="00980785" w:rsidRDefault="00E40B0E">
      <w:pPr>
        <w:pStyle w:val="Header"/>
        <w:tabs>
          <w:tab w:val="left" w:pos="284"/>
        </w:tabs>
        <w:jc w:val="both"/>
        <w:rPr>
          <w:b/>
          <w:sz w:val="22"/>
          <w:szCs w:val="22"/>
          <w:lang w:val="sr-Latn-ME"/>
        </w:rPr>
      </w:pPr>
      <w:r w:rsidRPr="00980785">
        <w:rPr>
          <w:b/>
          <w:sz w:val="22"/>
          <w:szCs w:val="22"/>
          <w:lang w:val="sr-Latn-ME"/>
        </w:rPr>
        <w:t xml:space="preserve">Tabela 1: Broj slučajeva IPB uzrokovanih serotipovima zastupljenim u vakcini i efektivnost (FinIP) ili efikasnost (COMPAS) vakcine kod  odojčadi mlađe od 7 mjeseci života u trenutku uključivanja u ispitivanje koja su primila najmanje jednu dozu vakcine (ukupna kohorta vakcinisane odojčadi) </w:t>
      </w:r>
    </w:p>
    <w:p w14:paraId="35B0580B" w14:textId="77777777" w:rsidR="00E40B0E" w:rsidRPr="00980785" w:rsidRDefault="00E40B0E">
      <w:pPr>
        <w:pStyle w:val="Header"/>
        <w:tabs>
          <w:tab w:val="left" w:pos="284"/>
        </w:tabs>
        <w:jc w:val="both"/>
        <w:rPr>
          <w:b/>
          <w:sz w:val="22"/>
          <w:szCs w:val="22"/>
          <w:lang w:val="sr-Latn-ME"/>
        </w:rPr>
      </w:pPr>
    </w:p>
    <w:tbl>
      <w:tblPr>
        <w:tblW w:w="5250"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1"/>
        <w:gridCol w:w="1291"/>
        <w:gridCol w:w="1291"/>
        <w:gridCol w:w="953"/>
        <w:gridCol w:w="884"/>
        <w:gridCol w:w="997"/>
        <w:gridCol w:w="1291"/>
        <w:gridCol w:w="852"/>
        <w:gridCol w:w="979"/>
      </w:tblGrid>
      <w:tr w:rsidR="00E40B0E" w:rsidRPr="00980785" w14:paraId="7CC5949A" w14:textId="77777777" w:rsidTr="00E40B0E">
        <w:trPr>
          <w:cantSplit/>
          <w:tblHeader/>
        </w:trPr>
        <w:tc>
          <w:tcPr>
            <w:tcW w:w="590" w:type="pct"/>
            <w:vMerge w:val="restart"/>
            <w:tcBorders>
              <w:top w:val="single" w:sz="4" w:space="0" w:color="auto"/>
              <w:left w:val="single" w:sz="4" w:space="0" w:color="auto"/>
              <w:bottom w:val="single" w:sz="4" w:space="0" w:color="auto"/>
              <w:right w:val="single" w:sz="4" w:space="0" w:color="auto"/>
            </w:tcBorders>
            <w:vAlign w:val="center"/>
            <w:hideMark/>
          </w:tcPr>
          <w:p w14:paraId="492E7882"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Tip IPB-a</w:t>
            </w:r>
          </w:p>
        </w:tc>
        <w:tc>
          <w:tcPr>
            <w:tcW w:w="2800" w:type="pct"/>
            <w:gridSpan w:val="5"/>
            <w:tcBorders>
              <w:top w:val="single" w:sz="4" w:space="0" w:color="auto"/>
              <w:left w:val="single" w:sz="4" w:space="0" w:color="auto"/>
              <w:bottom w:val="single" w:sz="4" w:space="0" w:color="auto"/>
              <w:right w:val="double" w:sz="4" w:space="0" w:color="auto"/>
            </w:tcBorders>
            <w:vAlign w:val="center"/>
            <w:hideMark/>
          </w:tcPr>
          <w:p w14:paraId="16D1FD41"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FinIP</w:t>
            </w:r>
          </w:p>
        </w:tc>
        <w:tc>
          <w:tcPr>
            <w:tcW w:w="1610" w:type="pct"/>
            <w:gridSpan w:val="3"/>
            <w:tcBorders>
              <w:top w:val="single" w:sz="4" w:space="0" w:color="auto"/>
              <w:left w:val="double" w:sz="4" w:space="0" w:color="auto"/>
              <w:bottom w:val="single" w:sz="4" w:space="0" w:color="auto"/>
              <w:right w:val="single" w:sz="4" w:space="0" w:color="auto"/>
            </w:tcBorders>
            <w:vAlign w:val="center"/>
            <w:hideMark/>
          </w:tcPr>
          <w:p w14:paraId="10ED5AEB"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COMPAS</w:t>
            </w:r>
          </w:p>
        </w:tc>
      </w:tr>
      <w:tr w:rsidR="00E40B0E" w:rsidRPr="00980785" w14:paraId="70621872" w14:textId="77777777" w:rsidTr="00E40B0E">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2D0BB" w14:textId="77777777" w:rsidR="00E40B0E" w:rsidRPr="00980785" w:rsidRDefault="00E40B0E" w:rsidP="00290631">
            <w:pPr>
              <w:jc w:val="both"/>
              <w:rPr>
                <w:sz w:val="22"/>
                <w:szCs w:val="22"/>
                <w:lang w:val="sr-Latn-ME"/>
              </w:rPr>
            </w:pPr>
          </w:p>
        </w:tc>
        <w:tc>
          <w:tcPr>
            <w:tcW w:w="1621" w:type="pct"/>
            <w:gridSpan w:val="3"/>
            <w:tcBorders>
              <w:top w:val="single" w:sz="4" w:space="0" w:color="auto"/>
              <w:left w:val="single" w:sz="4" w:space="0" w:color="auto"/>
              <w:bottom w:val="single" w:sz="4" w:space="0" w:color="auto"/>
              <w:right w:val="single" w:sz="4" w:space="0" w:color="auto"/>
            </w:tcBorders>
            <w:vAlign w:val="center"/>
            <w:hideMark/>
          </w:tcPr>
          <w:p w14:paraId="126E6848"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Broj slučajeva IPB</w:t>
            </w:r>
          </w:p>
        </w:tc>
        <w:tc>
          <w:tcPr>
            <w:tcW w:w="1178" w:type="pct"/>
            <w:gridSpan w:val="2"/>
            <w:tcBorders>
              <w:top w:val="single" w:sz="4" w:space="0" w:color="auto"/>
              <w:left w:val="single" w:sz="4" w:space="0" w:color="auto"/>
              <w:bottom w:val="single" w:sz="4" w:space="0" w:color="auto"/>
              <w:right w:val="double" w:sz="4" w:space="0" w:color="auto"/>
            </w:tcBorders>
            <w:vAlign w:val="center"/>
            <w:hideMark/>
          </w:tcPr>
          <w:p w14:paraId="30A35D89"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VE</w:t>
            </w:r>
            <w:r w:rsidRPr="00980785">
              <w:rPr>
                <w:rFonts w:ascii="Times New Roman" w:hAnsi="Times New Roman"/>
                <w:sz w:val="22"/>
                <w:szCs w:val="22"/>
                <w:lang w:val="sr-Latn-ME"/>
              </w:rPr>
              <w:br/>
              <w:t>(95% IP)</w:t>
            </w:r>
          </w:p>
        </w:tc>
        <w:tc>
          <w:tcPr>
            <w:tcW w:w="1031" w:type="pct"/>
            <w:gridSpan w:val="2"/>
            <w:tcBorders>
              <w:top w:val="single" w:sz="4" w:space="0" w:color="auto"/>
              <w:left w:val="double" w:sz="4" w:space="0" w:color="auto"/>
              <w:bottom w:val="single" w:sz="4" w:space="0" w:color="auto"/>
              <w:right w:val="single" w:sz="4" w:space="0" w:color="auto"/>
            </w:tcBorders>
            <w:vAlign w:val="center"/>
            <w:hideMark/>
          </w:tcPr>
          <w:p w14:paraId="06482046"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Broj slučajeva IPB</w:t>
            </w:r>
          </w:p>
        </w:tc>
        <w:tc>
          <w:tcPr>
            <w:tcW w:w="579" w:type="pct"/>
            <w:tcBorders>
              <w:top w:val="single" w:sz="4" w:space="0" w:color="auto"/>
              <w:left w:val="single" w:sz="4" w:space="0" w:color="auto"/>
              <w:bottom w:val="single" w:sz="4" w:space="0" w:color="auto"/>
              <w:right w:val="single" w:sz="4" w:space="0" w:color="auto"/>
            </w:tcBorders>
            <w:vAlign w:val="center"/>
            <w:hideMark/>
          </w:tcPr>
          <w:p w14:paraId="180AC632"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VE</w:t>
            </w:r>
            <w:r w:rsidRPr="00980785">
              <w:rPr>
                <w:rFonts w:ascii="Times New Roman" w:hAnsi="Times New Roman"/>
                <w:sz w:val="22"/>
                <w:szCs w:val="22"/>
                <w:lang w:val="sr-Latn-ME"/>
              </w:rPr>
              <w:br/>
              <w:t>(95% IP)</w:t>
            </w:r>
          </w:p>
        </w:tc>
      </w:tr>
      <w:tr w:rsidR="00E40B0E" w:rsidRPr="00980785" w14:paraId="546493E2" w14:textId="77777777" w:rsidTr="00E40B0E">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50B4A9" w14:textId="77777777" w:rsidR="00E40B0E" w:rsidRPr="00980785" w:rsidRDefault="00E40B0E" w:rsidP="00290631">
            <w:pPr>
              <w:jc w:val="both"/>
              <w:rPr>
                <w:sz w:val="22"/>
                <w:szCs w:val="22"/>
                <w:lang w:val="sr-Latn-ME"/>
              </w:rPr>
            </w:pPr>
          </w:p>
        </w:tc>
        <w:tc>
          <w:tcPr>
            <w:tcW w:w="516" w:type="pct"/>
            <w:tcBorders>
              <w:top w:val="single" w:sz="4" w:space="0" w:color="auto"/>
              <w:left w:val="single" w:sz="4" w:space="0" w:color="auto"/>
              <w:bottom w:val="dashed" w:sz="4" w:space="0" w:color="auto"/>
              <w:right w:val="single" w:sz="4" w:space="0" w:color="auto"/>
            </w:tcBorders>
            <w:vAlign w:val="center"/>
            <w:hideMark/>
          </w:tcPr>
          <w:p w14:paraId="792FC348" w14:textId="77777777" w:rsidR="00E40B0E" w:rsidRPr="00980785" w:rsidRDefault="00677FAC"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SYNFLORIX</w:t>
            </w:r>
          </w:p>
          <w:p w14:paraId="3863A628"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3+1</w:t>
            </w:r>
            <w:r w:rsidRPr="00980785">
              <w:rPr>
                <w:rFonts w:ascii="Times New Roman" w:hAnsi="Times New Roman"/>
                <w:sz w:val="22"/>
                <w:szCs w:val="22"/>
                <w:lang w:val="sr-Latn-ME"/>
              </w:rPr>
              <w:br/>
              <w:t xml:space="preserve">protokol </w:t>
            </w:r>
          </w:p>
        </w:tc>
        <w:tc>
          <w:tcPr>
            <w:tcW w:w="590" w:type="pct"/>
            <w:tcBorders>
              <w:top w:val="single" w:sz="4" w:space="0" w:color="auto"/>
              <w:left w:val="single" w:sz="4" w:space="0" w:color="auto"/>
              <w:bottom w:val="dashed" w:sz="4" w:space="0" w:color="auto"/>
              <w:right w:val="single" w:sz="4" w:space="0" w:color="auto"/>
            </w:tcBorders>
            <w:vAlign w:val="center"/>
            <w:hideMark/>
          </w:tcPr>
          <w:p w14:paraId="61EA0FE4" w14:textId="77777777" w:rsidR="00E40B0E" w:rsidRPr="00980785" w:rsidRDefault="00677FAC"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SYNFLORIX</w:t>
            </w:r>
          </w:p>
          <w:p w14:paraId="6B7082FB"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2+1</w:t>
            </w:r>
            <w:r w:rsidRPr="00980785">
              <w:rPr>
                <w:rFonts w:ascii="Times New Roman" w:hAnsi="Times New Roman"/>
                <w:sz w:val="22"/>
                <w:szCs w:val="22"/>
                <w:lang w:val="sr-Latn-ME"/>
              </w:rPr>
              <w:br/>
              <w:t xml:space="preserve">protokol </w:t>
            </w:r>
          </w:p>
        </w:tc>
        <w:tc>
          <w:tcPr>
            <w:tcW w:w="515" w:type="pct"/>
            <w:tcBorders>
              <w:top w:val="single" w:sz="4" w:space="0" w:color="auto"/>
              <w:left w:val="single" w:sz="4" w:space="0" w:color="auto"/>
              <w:bottom w:val="dashed" w:sz="4" w:space="0" w:color="auto"/>
              <w:right w:val="single" w:sz="4" w:space="0" w:color="auto"/>
            </w:tcBorders>
            <w:vAlign w:val="center"/>
            <w:hideMark/>
          </w:tcPr>
          <w:p w14:paraId="565DB944"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kontrola</w:t>
            </w:r>
            <w:r w:rsidRPr="00980785">
              <w:rPr>
                <w:rFonts w:ascii="Times New Roman" w:hAnsi="Times New Roman"/>
                <w:sz w:val="22"/>
                <w:szCs w:val="22"/>
                <w:vertAlign w:val="superscript"/>
                <w:lang w:val="sr-Latn-ME"/>
              </w:rPr>
              <w:t>(2)</w:t>
            </w:r>
            <w:r w:rsidRPr="00980785">
              <w:rPr>
                <w:rFonts w:ascii="Times New Roman" w:hAnsi="Times New Roman"/>
                <w:sz w:val="22"/>
                <w:szCs w:val="22"/>
                <w:lang w:val="sr-Latn-ME"/>
              </w:rPr>
              <w:br/>
            </w:r>
          </w:p>
        </w:tc>
        <w:tc>
          <w:tcPr>
            <w:tcW w:w="587" w:type="pct"/>
            <w:vMerge w:val="restart"/>
            <w:tcBorders>
              <w:top w:val="single" w:sz="4" w:space="0" w:color="auto"/>
              <w:left w:val="single" w:sz="4" w:space="0" w:color="auto"/>
              <w:bottom w:val="single" w:sz="4" w:space="0" w:color="auto"/>
              <w:right w:val="single" w:sz="4" w:space="0" w:color="auto"/>
            </w:tcBorders>
            <w:vAlign w:val="center"/>
            <w:hideMark/>
          </w:tcPr>
          <w:p w14:paraId="649936B3"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3+1 protokol</w:t>
            </w:r>
          </w:p>
        </w:tc>
        <w:tc>
          <w:tcPr>
            <w:tcW w:w="591" w:type="pct"/>
            <w:vMerge w:val="restart"/>
            <w:tcBorders>
              <w:top w:val="single" w:sz="4" w:space="0" w:color="auto"/>
              <w:left w:val="single" w:sz="4" w:space="0" w:color="auto"/>
              <w:bottom w:val="single" w:sz="4" w:space="0" w:color="auto"/>
              <w:right w:val="double" w:sz="4" w:space="0" w:color="auto"/>
            </w:tcBorders>
            <w:vAlign w:val="center"/>
            <w:hideMark/>
          </w:tcPr>
          <w:p w14:paraId="64D4586D"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2+1 protokol</w:t>
            </w:r>
          </w:p>
        </w:tc>
        <w:tc>
          <w:tcPr>
            <w:tcW w:w="515" w:type="pct"/>
            <w:tcBorders>
              <w:top w:val="single" w:sz="4" w:space="0" w:color="auto"/>
              <w:left w:val="double" w:sz="4" w:space="0" w:color="auto"/>
              <w:bottom w:val="dashed" w:sz="4" w:space="0" w:color="auto"/>
              <w:right w:val="single" w:sz="4" w:space="0" w:color="auto"/>
            </w:tcBorders>
            <w:vAlign w:val="center"/>
            <w:hideMark/>
          </w:tcPr>
          <w:p w14:paraId="415140EA" w14:textId="77777777" w:rsidR="00E40B0E" w:rsidRPr="00980785" w:rsidRDefault="00677FAC"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SYNFLORIX</w:t>
            </w:r>
            <w:r w:rsidR="00E40B0E" w:rsidRPr="00980785">
              <w:rPr>
                <w:rFonts w:ascii="Times New Roman" w:hAnsi="Times New Roman"/>
                <w:sz w:val="22"/>
                <w:szCs w:val="22"/>
                <w:lang w:val="sr-Latn-ME"/>
              </w:rPr>
              <w:t xml:space="preserve"> 3+1</w:t>
            </w:r>
          </w:p>
          <w:p w14:paraId="65341963"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 xml:space="preserve">protokol </w:t>
            </w:r>
          </w:p>
        </w:tc>
        <w:tc>
          <w:tcPr>
            <w:tcW w:w="516" w:type="pct"/>
            <w:tcBorders>
              <w:top w:val="single" w:sz="4" w:space="0" w:color="auto"/>
              <w:left w:val="single" w:sz="4" w:space="0" w:color="auto"/>
              <w:bottom w:val="dashed" w:sz="4" w:space="0" w:color="auto"/>
              <w:right w:val="single" w:sz="4" w:space="0" w:color="auto"/>
            </w:tcBorders>
            <w:vAlign w:val="center"/>
            <w:hideMark/>
          </w:tcPr>
          <w:p w14:paraId="1ABED6A4"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Kontrola</w:t>
            </w:r>
          </w:p>
        </w:tc>
        <w:tc>
          <w:tcPr>
            <w:tcW w:w="579" w:type="pct"/>
            <w:vMerge w:val="restart"/>
            <w:tcBorders>
              <w:top w:val="single" w:sz="4" w:space="0" w:color="auto"/>
              <w:left w:val="single" w:sz="4" w:space="0" w:color="auto"/>
              <w:bottom w:val="single" w:sz="4" w:space="0" w:color="auto"/>
              <w:right w:val="single" w:sz="4" w:space="0" w:color="auto"/>
            </w:tcBorders>
            <w:vAlign w:val="center"/>
            <w:hideMark/>
          </w:tcPr>
          <w:p w14:paraId="263D05BB"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3+1</w:t>
            </w:r>
          </w:p>
          <w:p w14:paraId="0E119A99"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protokol</w:t>
            </w:r>
          </w:p>
        </w:tc>
      </w:tr>
      <w:tr w:rsidR="00E40B0E" w:rsidRPr="00980785" w14:paraId="5D8C697F" w14:textId="77777777" w:rsidTr="00E40B0E">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A16B3" w14:textId="77777777" w:rsidR="00E40B0E" w:rsidRPr="00980785" w:rsidRDefault="00E40B0E" w:rsidP="00290631">
            <w:pPr>
              <w:jc w:val="both"/>
              <w:rPr>
                <w:sz w:val="22"/>
                <w:szCs w:val="22"/>
                <w:lang w:val="sr-Latn-ME"/>
              </w:rPr>
            </w:pPr>
          </w:p>
        </w:tc>
        <w:tc>
          <w:tcPr>
            <w:tcW w:w="516" w:type="pct"/>
            <w:tcBorders>
              <w:top w:val="dashed" w:sz="4" w:space="0" w:color="auto"/>
              <w:left w:val="single" w:sz="4" w:space="0" w:color="auto"/>
              <w:bottom w:val="single" w:sz="4" w:space="0" w:color="auto"/>
              <w:right w:val="single" w:sz="4" w:space="0" w:color="auto"/>
            </w:tcBorders>
            <w:vAlign w:val="center"/>
            <w:hideMark/>
          </w:tcPr>
          <w:p w14:paraId="1995A373"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N</w:t>
            </w:r>
          </w:p>
          <w:p w14:paraId="1CAC4520"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10 273</w:t>
            </w:r>
          </w:p>
        </w:tc>
        <w:tc>
          <w:tcPr>
            <w:tcW w:w="590" w:type="pct"/>
            <w:tcBorders>
              <w:top w:val="dashed" w:sz="4" w:space="0" w:color="auto"/>
              <w:left w:val="single" w:sz="4" w:space="0" w:color="auto"/>
              <w:bottom w:val="single" w:sz="4" w:space="0" w:color="auto"/>
              <w:right w:val="single" w:sz="4" w:space="0" w:color="auto"/>
            </w:tcBorders>
            <w:vAlign w:val="center"/>
            <w:hideMark/>
          </w:tcPr>
          <w:p w14:paraId="17E4A801"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N</w:t>
            </w:r>
          </w:p>
          <w:p w14:paraId="3A0DFDDD"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10 054</w:t>
            </w:r>
          </w:p>
        </w:tc>
        <w:tc>
          <w:tcPr>
            <w:tcW w:w="515" w:type="pct"/>
            <w:tcBorders>
              <w:top w:val="dashed" w:sz="4" w:space="0" w:color="auto"/>
              <w:left w:val="single" w:sz="4" w:space="0" w:color="auto"/>
              <w:bottom w:val="single" w:sz="4" w:space="0" w:color="auto"/>
              <w:right w:val="single" w:sz="4" w:space="0" w:color="auto"/>
            </w:tcBorders>
            <w:vAlign w:val="center"/>
            <w:hideMark/>
          </w:tcPr>
          <w:p w14:paraId="45D0D669"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N</w:t>
            </w:r>
          </w:p>
          <w:p w14:paraId="77BE4CCA"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10 200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94C8A2" w14:textId="77777777" w:rsidR="00E40B0E" w:rsidRPr="00980785" w:rsidRDefault="00E40B0E" w:rsidP="00290631">
            <w:pPr>
              <w:jc w:val="both"/>
              <w:rPr>
                <w:sz w:val="22"/>
                <w:szCs w:val="22"/>
                <w:lang w:val="sr-Latn-ME"/>
              </w:rPr>
            </w:pPr>
          </w:p>
        </w:tc>
        <w:tc>
          <w:tcPr>
            <w:tcW w:w="0" w:type="auto"/>
            <w:vMerge/>
            <w:tcBorders>
              <w:top w:val="single" w:sz="4" w:space="0" w:color="auto"/>
              <w:left w:val="single" w:sz="4" w:space="0" w:color="auto"/>
              <w:bottom w:val="single" w:sz="4" w:space="0" w:color="auto"/>
              <w:right w:val="double" w:sz="4" w:space="0" w:color="auto"/>
            </w:tcBorders>
            <w:vAlign w:val="center"/>
            <w:hideMark/>
          </w:tcPr>
          <w:p w14:paraId="18E1D462" w14:textId="77777777" w:rsidR="00E40B0E" w:rsidRPr="00980785" w:rsidRDefault="00E40B0E" w:rsidP="00290631">
            <w:pPr>
              <w:jc w:val="both"/>
              <w:rPr>
                <w:sz w:val="22"/>
                <w:szCs w:val="22"/>
                <w:lang w:val="sr-Latn-ME"/>
              </w:rPr>
            </w:pPr>
          </w:p>
        </w:tc>
        <w:tc>
          <w:tcPr>
            <w:tcW w:w="515" w:type="pct"/>
            <w:tcBorders>
              <w:top w:val="dashed" w:sz="4" w:space="0" w:color="auto"/>
              <w:left w:val="double" w:sz="4" w:space="0" w:color="auto"/>
              <w:bottom w:val="single" w:sz="4" w:space="0" w:color="auto"/>
              <w:right w:val="single" w:sz="4" w:space="0" w:color="auto"/>
            </w:tcBorders>
            <w:vAlign w:val="center"/>
            <w:hideMark/>
          </w:tcPr>
          <w:p w14:paraId="2A9D6BCD" w14:textId="77777777" w:rsidR="00E40B0E" w:rsidRPr="00980785" w:rsidRDefault="00E40B0E" w:rsidP="00290631">
            <w:pPr>
              <w:keepNext/>
              <w:jc w:val="both"/>
              <w:rPr>
                <w:sz w:val="22"/>
                <w:szCs w:val="22"/>
                <w:lang w:val="sr-Latn-ME" w:eastAsia="en-GB" w:bidi="or-IN"/>
              </w:rPr>
            </w:pPr>
            <w:r w:rsidRPr="00980785">
              <w:rPr>
                <w:sz w:val="22"/>
                <w:szCs w:val="22"/>
                <w:lang w:val="sr-Latn-ME" w:eastAsia="en-GB" w:bidi="or-IN"/>
              </w:rPr>
              <w:t>N</w:t>
            </w:r>
          </w:p>
          <w:p w14:paraId="743D53C9"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11 798</w:t>
            </w:r>
          </w:p>
        </w:tc>
        <w:tc>
          <w:tcPr>
            <w:tcW w:w="516" w:type="pct"/>
            <w:tcBorders>
              <w:top w:val="dashed" w:sz="4" w:space="0" w:color="auto"/>
              <w:left w:val="single" w:sz="4" w:space="0" w:color="auto"/>
              <w:bottom w:val="single" w:sz="4" w:space="0" w:color="auto"/>
              <w:right w:val="single" w:sz="4" w:space="0" w:color="auto"/>
            </w:tcBorders>
            <w:vAlign w:val="center"/>
            <w:hideMark/>
          </w:tcPr>
          <w:p w14:paraId="6FC44EB0" w14:textId="77777777" w:rsidR="00E40B0E" w:rsidRPr="00980785" w:rsidRDefault="00E40B0E" w:rsidP="00290631">
            <w:pPr>
              <w:keepNext/>
              <w:jc w:val="both"/>
              <w:rPr>
                <w:sz w:val="22"/>
                <w:szCs w:val="22"/>
                <w:lang w:val="sr-Latn-ME" w:eastAsia="en-GB" w:bidi="or-IN"/>
              </w:rPr>
            </w:pPr>
            <w:r w:rsidRPr="00980785">
              <w:rPr>
                <w:sz w:val="22"/>
                <w:szCs w:val="22"/>
                <w:lang w:val="sr-Latn-ME" w:eastAsia="en-GB" w:bidi="or-IN"/>
              </w:rPr>
              <w:t>N</w:t>
            </w:r>
          </w:p>
          <w:p w14:paraId="590B9BC4"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11 799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638259" w14:textId="77777777" w:rsidR="00E40B0E" w:rsidRPr="00980785" w:rsidRDefault="00E40B0E" w:rsidP="00290631">
            <w:pPr>
              <w:jc w:val="both"/>
              <w:rPr>
                <w:sz w:val="22"/>
                <w:szCs w:val="22"/>
                <w:lang w:val="sr-Latn-ME"/>
              </w:rPr>
            </w:pPr>
          </w:p>
        </w:tc>
      </w:tr>
      <w:tr w:rsidR="00E40B0E" w:rsidRPr="00980785" w14:paraId="49B852D3" w14:textId="77777777" w:rsidTr="00E40B0E">
        <w:trPr>
          <w:cantSplit/>
        </w:trPr>
        <w:tc>
          <w:tcPr>
            <w:tcW w:w="590" w:type="pct"/>
            <w:tcBorders>
              <w:top w:val="single" w:sz="4" w:space="0" w:color="auto"/>
              <w:left w:val="single" w:sz="4" w:space="0" w:color="auto"/>
              <w:bottom w:val="single" w:sz="4" w:space="0" w:color="auto"/>
              <w:right w:val="single" w:sz="4" w:space="0" w:color="auto"/>
            </w:tcBorders>
            <w:vAlign w:val="center"/>
          </w:tcPr>
          <w:p w14:paraId="6EB80CD1" w14:textId="77777777" w:rsidR="00E40B0E" w:rsidRPr="00980785" w:rsidRDefault="00E40B0E" w:rsidP="00290631">
            <w:pPr>
              <w:pStyle w:val="tabletextNS"/>
              <w:keepNext/>
              <w:jc w:val="both"/>
              <w:rPr>
                <w:rFonts w:ascii="Times New Roman" w:hAnsi="Times New Roman"/>
                <w:sz w:val="22"/>
                <w:szCs w:val="22"/>
                <w:lang w:val="sr-Latn-ME"/>
              </w:rPr>
            </w:pPr>
          </w:p>
          <w:p w14:paraId="25D0AC68"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Serotip</w:t>
            </w:r>
          </w:p>
          <w:p w14:paraId="5172DCA2"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IPB zastupljen u vakcini</w:t>
            </w:r>
            <w:r w:rsidRPr="00980785">
              <w:rPr>
                <w:rFonts w:ascii="Times New Roman" w:hAnsi="Times New Roman"/>
                <w:sz w:val="22"/>
                <w:szCs w:val="22"/>
                <w:vertAlign w:val="superscript"/>
                <w:lang w:val="sr-Latn-ME"/>
              </w:rPr>
              <w:t xml:space="preserve"> (1)</w:t>
            </w:r>
          </w:p>
        </w:tc>
        <w:tc>
          <w:tcPr>
            <w:tcW w:w="516" w:type="pct"/>
            <w:tcBorders>
              <w:top w:val="single" w:sz="4" w:space="0" w:color="auto"/>
              <w:left w:val="single" w:sz="4" w:space="0" w:color="auto"/>
              <w:bottom w:val="single" w:sz="4" w:space="0" w:color="auto"/>
              <w:right w:val="single" w:sz="4" w:space="0" w:color="auto"/>
            </w:tcBorders>
            <w:vAlign w:val="center"/>
            <w:hideMark/>
          </w:tcPr>
          <w:p w14:paraId="3E871E4D"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0</w:t>
            </w:r>
          </w:p>
        </w:tc>
        <w:tc>
          <w:tcPr>
            <w:tcW w:w="590" w:type="pct"/>
            <w:tcBorders>
              <w:top w:val="single" w:sz="4" w:space="0" w:color="auto"/>
              <w:left w:val="single" w:sz="4" w:space="0" w:color="auto"/>
              <w:bottom w:val="single" w:sz="4" w:space="0" w:color="auto"/>
              <w:right w:val="single" w:sz="4" w:space="0" w:color="auto"/>
            </w:tcBorders>
            <w:vAlign w:val="center"/>
            <w:hideMark/>
          </w:tcPr>
          <w:p w14:paraId="60A23594"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1</w:t>
            </w:r>
          </w:p>
        </w:tc>
        <w:tc>
          <w:tcPr>
            <w:tcW w:w="515" w:type="pct"/>
            <w:tcBorders>
              <w:top w:val="single" w:sz="4" w:space="0" w:color="auto"/>
              <w:left w:val="single" w:sz="4" w:space="0" w:color="auto"/>
              <w:bottom w:val="single" w:sz="4" w:space="0" w:color="auto"/>
              <w:right w:val="single" w:sz="4" w:space="0" w:color="auto"/>
            </w:tcBorders>
            <w:vAlign w:val="center"/>
            <w:hideMark/>
          </w:tcPr>
          <w:p w14:paraId="49EE6527"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12</w:t>
            </w:r>
          </w:p>
        </w:tc>
        <w:tc>
          <w:tcPr>
            <w:tcW w:w="587" w:type="pct"/>
            <w:tcBorders>
              <w:top w:val="single" w:sz="4" w:space="0" w:color="auto"/>
              <w:left w:val="single" w:sz="4" w:space="0" w:color="auto"/>
              <w:bottom w:val="single" w:sz="4" w:space="0" w:color="auto"/>
              <w:right w:val="single" w:sz="4" w:space="0" w:color="auto"/>
            </w:tcBorders>
            <w:vAlign w:val="center"/>
            <w:hideMark/>
          </w:tcPr>
          <w:p w14:paraId="59AB62B5"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100%</w:t>
            </w:r>
            <w:r w:rsidRPr="00980785">
              <w:rPr>
                <w:rFonts w:ascii="Times New Roman" w:hAnsi="Times New Roman"/>
                <w:sz w:val="22"/>
                <w:szCs w:val="22"/>
                <w:vertAlign w:val="superscript"/>
                <w:lang w:val="sr-Latn-ME"/>
              </w:rPr>
              <w:t>(3)</w:t>
            </w:r>
            <w:r w:rsidRPr="00980785">
              <w:rPr>
                <w:rFonts w:ascii="Times New Roman" w:hAnsi="Times New Roman"/>
                <w:sz w:val="22"/>
                <w:szCs w:val="22"/>
                <w:lang w:val="sr-Latn-ME"/>
              </w:rPr>
              <w:br/>
              <w:t>(82,8; 100)</w:t>
            </w:r>
          </w:p>
        </w:tc>
        <w:tc>
          <w:tcPr>
            <w:tcW w:w="591" w:type="pct"/>
            <w:tcBorders>
              <w:top w:val="single" w:sz="4" w:space="0" w:color="auto"/>
              <w:left w:val="single" w:sz="4" w:space="0" w:color="auto"/>
              <w:bottom w:val="single" w:sz="4" w:space="0" w:color="auto"/>
              <w:right w:val="double" w:sz="4" w:space="0" w:color="auto"/>
            </w:tcBorders>
            <w:vAlign w:val="center"/>
            <w:hideMark/>
          </w:tcPr>
          <w:p w14:paraId="1EF695EB"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91,8%</w:t>
            </w:r>
            <w:r w:rsidRPr="00980785">
              <w:rPr>
                <w:rFonts w:ascii="Times New Roman" w:hAnsi="Times New Roman"/>
                <w:sz w:val="22"/>
                <w:szCs w:val="22"/>
                <w:vertAlign w:val="superscript"/>
                <w:lang w:val="sr-Latn-ME"/>
              </w:rPr>
              <w:t>(4)</w:t>
            </w:r>
            <w:r w:rsidRPr="00980785">
              <w:rPr>
                <w:rFonts w:ascii="Times New Roman" w:hAnsi="Times New Roman"/>
                <w:sz w:val="22"/>
                <w:szCs w:val="22"/>
                <w:lang w:val="sr-Latn-ME"/>
              </w:rPr>
              <w:br/>
              <w:t>(58,3; 99,6)</w:t>
            </w:r>
          </w:p>
        </w:tc>
        <w:tc>
          <w:tcPr>
            <w:tcW w:w="515" w:type="pct"/>
            <w:tcBorders>
              <w:top w:val="single" w:sz="4" w:space="0" w:color="auto"/>
              <w:left w:val="double" w:sz="4" w:space="0" w:color="auto"/>
              <w:bottom w:val="single" w:sz="4" w:space="0" w:color="auto"/>
              <w:right w:val="single" w:sz="4" w:space="0" w:color="auto"/>
            </w:tcBorders>
            <w:vAlign w:val="center"/>
            <w:hideMark/>
          </w:tcPr>
          <w:p w14:paraId="74E21BE1"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0</w:t>
            </w:r>
          </w:p>
        </w:tc>
        <w:tc>
          <w:tcPr>
            <w:tcW w:w="516" w:type="pct"/>
            <w:tcBorders>
              <w:top w:val="single" w:sz="4" w:space="0" w:color="auto"/>
              <w:left w:val="single" w:sz="4" w:space="0" w:color="auto"/>
              <w:bottom w:val="single" w:sz="4" w:space="0" w:color="auto"/>
              <w:right w:val="single" w:sz="4" w:space="0" w:color="auto"/>
            </w:tcBorders>
            <w:vAlign w:val="center"/>
            <w:hideMark/>
          </w:tcPr>
          <w:p w14:paraId="215479D5"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18</w:t>
            </w:r>
          </w:p>
        </w:tc>
        <w:tc>
          <w:tcPr>
            <w:tcW w:w="579" w:type="pct"/>
            <w:tcBorders>
              <w:top w:val="single" w:sz="4" w:space="0" w:color="auto"/>
              <w:left w:val="single" w:sz="4" w:space="0" w:color="auto"/>
              <w:bottom w:val="single" w:sz="4" w:space="0" w:color="auto"/>
              <w:right w:val="single" w:sz="4" w:space="0" w:color="auto"/>
            </w:tcBorders>
            <w:vAlign w:val="center"/>
            <w:hideMark/>
          </w:tcPr>
          <w:p w14:paraId="40D293DB" w14:textId="77777777" w:rsidR="00E40B0E" w:rsidRPr="00980785" w:rsidRDefault="00E40B0E" w:rsidP="00290631">
            <w:pPr>
              <w:keepNext/>
              <w:jc w:val="both"/>
              <w:rPr>
                <w:sz w:val="22"/>
                <w:szCs w:val="22"/>
                <w:lang w:val="sr-Latn-ME" w:eastAsia="en-GB" w:bidi="or-IN"/>
              </w:rPr>
            </w:pPr>
            <w:r w:rsidRPr="00980785">
              <w:rPr>
                <w:sz w:val="22"/>
                <w:szCs w:val="22"/>
                <w:lang w:val="sr-Latn-ME" w:eastAsia="en-GB" w:bidi="or-IN"/>
              </w:rPr>
              <w:t>100%</w:t>
            </w:r>
            <w:r w:rsidRPr="00980785">
              <w:rPr>
                <w:sz w:val="22"/>
                <w:szCs w:val="22"/>
                <w:vertAlign w:val="superscript"/>
                <w:lang w:val="sr-Latn-ME" w:eastAsia="en-GB" w:bidi="or-IN"/>
              </w:rPr>
              <w:t>(5)</w:t>
            </w:r>
          </w:p>
          <w:p w14:paraId="697F0A3A"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(77,3;100)</w:t>
            </w:r>
          </w:p>
        </w:tc>
      </w:tr>
      <w:tr w:rsidR="00E40B0E" w:rsidRPr="00980785" w14:paraId="20A4CE83" w14:textId="77777777" w:rsidTr="00E40B0E">
        <w:trPr>
          <w:cantSplit/>
        </w:trPr>
        <w:tc>
          <w:tcPr>
            <w:tcW w:w="590" w:type="pct"/>
            <w:tcBorders>
              <w:top w:val="single" w:sz="4" w:space="0" w:color="auto"/>
              <w:left w:val="single" w:sz="4" w:space="0" w:color="auto"/>
              <w:bottom w:val="single" w:sz="4" w:space="0" w:color="auto"/>
              <w:right w:val="single" w:sz="4" w:space="0" w:color="auto"/>
            </w:tcBorders>
            <w:vAlign w:val="center"/>
            <w:hideMark/>
          </w:tcPr>
          <w:p w14:paraId="3F4E36E1"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Serotip 6B IPB</w:t>
            </w:r>
          </w:p>
        </w:tc>
        <w:tc>
          <w:tcPr>
            <w:tcW w:w="516" w:type="pct"/>
            <w:tcBorders>
              <w:top w:val="single" w:sz="4" w:space="0" w:color="auto"/>
              <w:left w:val="single" w:sz="4" w:space="0" w:color="auto"/>
              <w:bottom w:val="single" w:sz="4" w:space="0" w:color="auto"/>
              <w:right w:val="single" w:sz="4" w:space="0" w:color="auto"/>
            </w:tcBorders>
            <w:vAlign w:val="center"/>
            <w:hideMark/>
          </w:tcPr>
          <w:p w14:paraId="369C217E"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0</w:t>
            </w:r>
          </w:p>
        </w:tc>
        <w:tc>
          <w:tcPr>
            <w:tcW w:w="590" w:type="pct"/>
            <w:tcBorders>
              <w:top w:val="single" w:sz="4" w:space="0" w:color="auto"/>
              <w:left w:val="single" w:sz="4" w:space="0" w:color="auto"/>
              <w:bottom w:val="single" w:sz="4" w:space="0" w:color="auto"/>
              <w:right w:val="single" w:sz="4" w:space="0" w:color="auto"/>
            </w:tcBorders>
            <w:vAlign w:val="center"/>
            <w:hideMark/>
          </w:tcPr>
          <w:p w14:paraId="1EBDAAC1"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0</w:t>
            </w:r>
          </w:p>
        </w:tc>
        <w:tc>
          <w:tcPr>
            <w:tcW w:w="515" w:type="pct"/>
            <w:tcBorders>
              <w:top w:val="single" w:sz="4" w:space="0" w:color="auto"/>
              <w:left w:val="single" w:sz="4" w:space="0" w:color="auto"/>
              <w:bottom w:val="single" w:sz="4" w:space="0" w:color="auto"/>
              <w:right w:val="single" w:sz="4" w:space="0" w:color="auto"/>
            </w:tcBorders>
            <w:vAlign w:val="center"/>
            <w:hideMark/>
          </w:tcPr>
          <w:p w14:paraId="6D4C68A1"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5</w:t>
            </w:r>
          </w:p>
        </w:tc>
        <w:tc>
          <w:tcPr>
            <w:tcW w:w="587" w:type="pct"/>
            <w:tcBorders>
              <w:top w:val="single" w:sz="4" w:space="0" w:color="auto"/>
              <w:left w:val="single" w:sz="4" w:space="0" w:color="auto"/>
              <w:bottom w:val="single" w:sz="4" w:space="0" w:color="auto"/>
              <w:right w:val="single" w:sz="4" w:space="0" w:color="auto"/>
            </w:tcBorders>
            <w:vAlign w:val="center"/>
            <w:hideMark/>
          </w:tcPr>
          <w:p w14:paraId="2756E35F" w14:textId="77777777" w:rsidR="00E40B0E" w:rsidRPr="00980785" w:rsidRDefault="00E40B0E" w:rsidP="00290631">
            <w:pPr>
              <w:keepNext/>
              <w:jc w:val="both"/>
              <w:rPr>
                <w:sz w:val="22"/>
                <w:szCs w:val="22"/>
                <w:lang w:val="sr-Latn-ME"/>
              </w:rPr>
            </w:pPr>
            <w:r w:rsidRPr="00980785">
              <w:rPr>
                <w:sz w:val="22"/>
                <w:szCs w:val="22"/>
                <w:lang w:val="sr-Latn-ME"/>
              </w:rPr>
              <w:t>100%</w:t>
            </w:r>
            <w:r w:rsidRPr="00980785">
              <w:rPr>
                <w:sz w:val="22"/>
                <w:szCs w:val="22"/>
                <w:lang w:val="sr-Latn-ME"/>
              </w:rPr>
              <w:br/>
              <w:t>(54,9; 100)</w:t>
            </w:r>
          </w:p>
        </w:tc>
        <w:tc>
          <w:tcPr>
            <w:tcW w:w="591" w:type="pct"/>
            <w:tcBorders>
              <w:top w:val="single" w:sz="4" w:space="0" w:color="auto"/>
              <w:left w:val="single" w:sz="4" w:space="0" w:color="auto"/>
              <w:bottom w:val="single" w:sz="4" w:space="0" w:color="auto"/>
              <w:right w:val="double" w:sz="4" w:space="0" w:color="auto"/>
            </w:tcBorders>
            <w:vAlign w:val="center"/>
            <w:hideMark/>
          </w:tcPr>
          <w:p w14:paraId="4B5D8928"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100%</w:t>
            </w:r>
            <w:r w:rsidRPr="00980785">
              <w:rPr>
                <w:rFonts w:ascii="Times New Roman" w:hAnsi="Times New Roman"/>
                <w:sz w:val="22"/>
                <w:szCs w:val="22"/>
                <w:lang w:val="sr-Latn-ME"/>
              </w:rPr>
              <w:br/>
              <w:t>(54,5; 100)</w:t>
            </w:r>
          </w:p>
        </w:tc>
        <w:tc>
          <w:tcPr>
            <w:tcW w:w="515" w:type="pct"/>
            <w:tcBorders>
              <w:top w:val="single" w:sz="4" w:space="0" w:color="auto"/>
              <w:left w:val="double" w:sz="4" w:space="0" w:color="auto"/>
              <w:bottom w:val="single" w:sz="4" w:space="0" w:color="auto"/>
              <w:right w:val="single" w:sz="4" w:space="0" w:color="auto"/>
            </w:tcBorders>
            <w:vAlign w:val="center"/>
            <w:hideMark/>
          </w:tcPr>
          <w:p w14:paraId="5E638E9C"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0</w:t>
            </w:r>
          </w:p>
        </w:tc>
        <w:tc>
          <w:tcPr>
            <w:tcW w:w="516" w:type="pct"/>
            <w:tcBorders>
              <w:top w:val="single" w:sz="4" w:space="0" w:color="auto"/>
              <w:left w:val="single" w:sz="4" w:space="0" w:color="auto"/>
              <w:bottom w:val="single" w:sz="4" w:space="0" w:color="auto"/>
              <w:right w:val="single" w:sz="4" w:space="0" w:color="auto"/>
            </w:tcBorders>
            <w:vAlign w:val="center"/>
            <w:hideMark/>
          </w:tcPr>
          <w:p w14:paraId="2C62D0AA"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2</w:t>
            </w:r>
          </w:p>
        </w:tc>
        <w:tc>
          <w:tcPr>
            <w:tcW w:w="579" w:type="pct"/>
            <w:tcBorders>
              <w:top w:val="single" w:sz="4" w:space="0" w:color="auto"/>
              <w:left w:val="single" w:sz="4" w:space="0" w:color="auto"/>
              <w:bottom w:val="single" w:sz="4" w:space="0" w:color="auto"/>
              <w:right w:val="single" w:sz="4" w:space="0" w:color="auto"/>
            </w:tcBorders>
            <w:vAlign w:val="center"/>
            <w:hideMark/>
          </w:tcPr>
          <w:p w14:paraId="65EBC300"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w:t>
            </w:r>
          </w:p>
        </w:tc>
      </w:tr>
      <w:tr w:rsidR="00E40B0E" w:rsidRPr="00980785" w14:paraId="4C58D9D8" w14:textId="77777777" w:rsidTr="00E40B0E">
        <w:trPr>
          <w:cantSplit/>
        </w:trPr>
        <w:tc>
          <w:tcPr>
            <w:tcW w:w="590" w:type="pct"/>
            <w:tcBorders>
              <w:top w:val="single" w:sz="4" w:space="0" w:color="auto"/>
              <w:left w:val="single" w:sz="4" w:space="0" w:color="auto"/>
              <w:bottom w:val="single" w:sz="4" w:space="0" w:color="auto"/>
              <w:right w:val="single" w:sz="4" w:space="0" w:color="auto"/>
            </w:tcBorders>
            <w:vAlign w:val="center"/>
            <w:hideMark/>
          </w:tcPr>
          <w:p w14:paraId="6D934690"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Serotip 14 IPB</w:t>
            </w:r>
          </w:p>
        </w:tc>
        <w:tc>
          <w:tcPr>
            <w:tcW w:w="516" w:type="pct"/>
            <w:tcBorders>
              <w:top w:val="single" w:sz="4" w:space="0" w:color="auto"/>
              <w:left w:val="single" w:sz="4" w:space="0" w:color="auto"/>
              <w:bottom w:val="single" w:sz="4" w:space="0" w:color="auto"/>
              <w:right w:val="single" w:sz="4" w:space="0" w:color="auto"/>
            </w:tcBorders>
            <w:vAlign w:val="center"/>
            <w:hideMark/>
          </w:tcPr>
          <w:p w14:paraId="4606ED63"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0</w:t>
            </w:r>
          </w:p>
        </w:tc>
        <w:tc>
          <w:tcPr>
            <w:tcW w:w="590" w:type="pct"/>
            <w:tcBorders>
              <w:top w:val="single" w:sz="4" w:space="0" w:color="auto"/>
              <w:left w:val="single" w:sz="4" w:space="0" w:color="auto"/>
              <w:bottom w:val="single" w:sz="4" w:space="0" w:color="auto"/>
              <w:right w:val="single" w:sz="4" w:space="0" w:color="auto"/>
            </w:tcBorders>
            <w:vAlign w:val="center"/>
            <w:hideMark/>
          </w:tcPr>
          <w:p w14:paraId="12CDB82C"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0</w:t>
            </w:r>
          </w:p>
        </w:tc>
        <w:tc>
          <w:tcPr>
            <w:tcW w:w="515" w:type="pct"/>
            <w:tcBorders>
              <w:top w:val="single" w:sz="4" w:space="0" w:color="auto"/>
              <w:left w:val="single" w:sz="4" w:space="0" w:color="auto"/>
              <w:bottom w:val="single" w:sz="4" w:space="0" w:color="auto"/>
              <w:right w:val="single" w:sz="4" w:space="0" w:color="auto"/>
            </w:tcBorders>
            <w:vAlign w:val="center"/>
            <w:hideMark/>
          </w:tcPr>
          <w:p w14:paraId="791F3537"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4</w:t>
            </w:r>
          </w:p>
        </w:tc>
        <w:tc>
          <w:tcPr>
            <w:tcW w:w="587" w:type="pct"/>
            <w:tcBorders>
              <w:top w:val="single" w:sz="4" w:space="0" w:color="auto"/>
              <w:left w:val="single" w:sz="4" w:space="0" w:color="auto"/>
              <w:bottom w:val="single" w:sz="4" w:space="0" w:color="auto"/>
              <w:right w:val="single" w:sz="4" w:space="0" w:color="auto"/>
            </w:tcBorders>
            <w:vAlign w:val="center"/>
            <w:hideMark/>
          </w:tcPr>
          <w:p w14:paraId="3D4978E4"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100%</w:t>
            </w:r>
            <w:r w:rsidRPr="00980785">
              <w:rPr>
                <w:rFonts w:ascii="Times New Roman" w:hAnsi="Times New Roman"/>
                <w:sz w:val="22"/>
                <w:szCs w:val="22"/>
                <w:lang w:val="sr-Latn-ME"/>
              </w:rPr>
              <w:br/>
              <w:t>(39,6; 100)</w:t>
            </w:r>
          </w:p>
        </w:tc>
        <w:tc>
          <w:tcPr>
            <w:tcW w:w="591" w:type="pct"/>
            <w:tcBorders>
              <w:top w:val="single" w:sz="4" w:space="0" w:color="auto"/>
              <w:left w:val="single" w:sz="4" w:space="0" w:color="auto"/>
              <w:bottom w:val="single" w:sz="4" w:space="0" w:color="auto"/>
              <w:right w:val="double" w:sz="4" w:space="0" w:color="auto"/>
            </w:tcBorders>
            <w:vAlign w:val="center"/>
            <w:hideMark/>
          </w:tcPr>
          <w:p w14:paraId="46AF8AAF"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100%</w:t>
            </w:r>
            <w:r w:rsidRPr="00980785">
              <w:rPr>
                <w:rFonts w:ascii="Times New Roman" w:hAnsi="Times New Roman"/>
                <w:sz w:val="22"/>
                <w:szCs w:val="22"/>
                <w:lang w:val="sr-Latn-ME"/>
              </w:rPr>
              <w:br/>
              <w:t>(43,3; 100)</w:t>
            </w:r>
          </w:p>
        </w:tc>
        <w:tc>
          <w:tcPr>
            <w:tcW w:w="515" w:type="pct"/>
            <w:tcBorders>
              <w:top w:val="single" w:sz="4" w:space="0" w:color="auto"/>
              <w:left w:val="double" w:sz="4" w:space="0" w:color="auto"/>
              <w:bottom w:val="single" w:sz="4" w:space="0" w:color="auto"/>
              <w:right w:val="single" w:sz="4" w:space="0" w:color="auto"/>
            </w:tcBorders>
            <w:vAlign w:val="center"/>
            <w:hideMark/>
          </w:tcPr>
          <w:p w14:paraId="57683CD4"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0</w:t>
            </w:r>
          </w:p>
        </w:tc>
        <w:tc>
          <w:tcPr>
            <w:tcW w:w="516" w:type="pct"/>
            <w:tcBorders>
              <w:top w:val="single" w:sz="4" w:space="0" w:color="auto"/>
              <w:left w:val="single" w:sz="4" w:space="0" w:color="auto"/>
              <w:bottom w:val="single" w:sz="4" w:space="0" w:color="auto"/>
              <w:right w:val="single" w:sz="4" w:space="0" w:color="auto"/>
            </w:tcBorders>
            <w:vAlign w:val="center"/>
            <w:hideMark/>
          </w:tcPr>
          <w:p w14:paraId="54F28860"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9</w:t>
            </w:r>
          </w:p>
        </w:tc>
        <w:tc>
          <w:tcPr>
            <w:tcW w:w="579" w:type="pct"/>
            <w:tcBorders>
              <w:top w:val="single" w:sz="4" w:space="0" w:color="auto"/>
              <w:left w:val="single" w:sz="4" w:space="0" w:color="auto"/>
              <w:bottom w:val="single" w:sz="4" w:space="0" w:color="auto"/>
              <w:right w:val="single" w:sz="4" w:space="0" w:color="auto"/>
            </w:tcBorders>
            <w:vAlign w:val="center"/>
            <w:hideMark/>
          </w:tcPr>
          <w:p w14:paraId="7766B246" w14:textId="77777777" w:rsidR="00E40B0E" w:rsidRPr="00980785" w:rsidRDefault="00E40B0E" w:rsidP="00290631">
            <w:pPr>
              <w:keepNext/>
              <w:jc w:val="both"/>
              <w:rPr>
                <w:sz w:val="22"/>
                <w:szCs w:val="22"/>
                <w:lang w:val="sr-Latn-ME" w:eastAsia="en-GB" w:bidi="or-IN"/>
              </w:rPr>
            </w:pPr>
            <w:r w:rsidRPr="00980785">
              <w:rPr>
                <w:sz w:val="22"/>
                <w:szCs w:val="22"/>
                <w:lang w:val="sr-Latn-ME" w:eastAsia="en-GB" w:bidi="or-IN"/>
              </w:rPr>
              <w:t>100%</w:t>
            </w:r>
          </w:p>
          <w:p w14:paraId="39D21ABF" w14:textId="77777777" w:rsidR="00E40B0E" w:rsidRPr="00980785" w:rsidRDefault="00E40B0E" w:rsidP="00290631">
            <w:pPr>
              <w:pStyle w:val="tabletextNS"/>
              <w:keepNext/>
              <w:jc w:val="both"/>
              <w:rPr>
                <w:rFonts w:ascii="Times New Roman" w:hAnsi="Times New Roman"/>
                <w:sz w:val="22"/>
                <w:szCs w:val="22"/>
                <w:lang w:val="sr-Latn-ME"/>
              </w:rPr>
            </w:pPr>
            <w:r w:rsidRPr="00980785">
              <w:rPr>
                <w:rFonts w:ascii="Times New Roman" w:hAnsi="Times New Roman"/>
                <w:sz w:val="22"/>
                <w:szCs w:val="22"/>
                <w:lang w:val="sr-Latn-ME"/>
              </w:rPr>
              <w:t>(49,5;100)</w:t>
            </w:r>
          </w:p>
        </w:tc>
      </w:tr>
    </w:tbl>
    <w:p w14:paraId="07A9FFC0" w14:textId="77777777" w:rsidR="00E40B0E" w:rsidRPr="00980785" w:rsidRDefault="00E40B0E">
      <w:pPr>
        <w:pStyle w:val="Header"/>
        <w:tabs>
          <w:tab w:val="left" w:pos="284"/>
        </w:tabs>
        <w:jc w:val="both"/>
        <w:rPr>
          <w:sz w:val="22"/>
          <w:szCs w:val="22"/>
          <w:lang w:val="sr-Latn-ME" w:eastAsia="x-none"/>
        </w:rPr>
      </w:pPr>
    </w:p>
    <w:p w14:paraId="1FC518C8" w14:textId="77777777" w:rsidR="00E40B0E" w:rsidRPr="00980785" w:rsidRDefault="00E40B0E">
      <w:pPr>
        <w:pStyle w:val="Header"/>
        <w:tabs>
          <w:tab w:val="left" w:pos="284"/>
        </w:tabs>
        <w:jc w:val="both"/>
        <w:rPr>
          <w:sz w:val="22"/>
          <w:szCs w:val="22"/>
          <w:lang w:val="sr-Latn-ME"/>
        </w:rPr>
      </w:pPr>
      <w:r w:rsidRPr="00980785">
        <w:rPr>
          <w:sz w:val="22"/>
          <w:szCs w:val="22"/>
          <w:lang w:val="sr-Latn-ME"/>
        </w:rPr>
        <w:t>IPB  invazivna pneumokokna bolest</w:t>
      </w:r>
    </w:p>
    <w:p w14:paraId="675474B0" w14:textId="77777777" w:rsidR="00E40B0E" w:rsidRPr="00980785" w:rsidRDefault="00E40B0E">
      <w:pPr>
        <w:pStyle w:val="Header"/>
        <w:tabs>
          <w:tab w:val="left" w:pos="284"/>
        </w:tabs>
        <w:jc w:val="both"/>
        <w:rPr>
          <w:sz w:val="22"/>
          <w:szCs w:val="22"/>
          <w:lang w:val="sr-Latn-ME"/>
        </w:rPr>
      </w:pPr>
      <w:r w:rsidRPr="00980785">
        <w:rPr>
          <w:sz w:val="22"/>
          <w:szCs w:val="22"/>
          <w:lang w:val="sr-Latn-ME"/>
        </w:rPr>
        <w:t>VE   efektivnost vakcine (FinIP) ili efikasnost (COMPAS)</w:t>
      </w:r>
    </w:p>
    <w:p w14:paraId="2E0D8172" w14:textId="77777777" w:rsidR="00E40B0E" w:rsidRPr="00980785" w:rsidRDefault="00E40B0E">
      <w:pPr>
        <w:pStyle w:val="Header"/>
        <w:tabs>
          <w:tab w:val="left" w:pos="284"/>
        </w:tabs>
        <w:jc w:val="both"/>
        <w:rPr>
          <w:sz w:val="22"/>
          <w:szCs w:val="22"/>
          <w:lang w:val="sr-Latn-ME"/>
        </w:rPr>
      </w:pPr>
      <w:r w:rsidRPr="00980785">
        <w:rPr>
          <w:sz w:val="22"/>
          <w:szCs w:val="22"/>
          <w:lang w:val="sr-Latn-ME"/>
        </w:rPr>
        <w:t>N     broj ispitanika po grupi</w:t>
      </w:r>
    </w:p>
    <w:p w14:paraId="572BAF68" w14:textId="77777777" w:rsidR="00E40B0E" w:rsidRPr="00980785" w:rsidRDefault="00E40B0E">
      <w:pPr>
        <w:pStyle w:val="Header"/>
        <w:tabs>
          <w:tab w:val="left" w:pos="284"/>
        </w:tabs>
        <w:jc w:val="both"/>
        <w:rPr>
          <w:sz w:val="22"/>
          <w:szCs w:val="22"/>
          <w:lang w:val="sr-Latn-ME"/>
        </w:rPr>
      </w:pPr>
      <w:r w:rsidRPr="00980785">
        <w:rPr>
          <w:sz w:val="22"/>
          <w:szCs w:val="22"/>
          <w:lang w:val="sr-Latn-ME"/>
        </w:rPr>
        <w:t>IP    interval povjerenja</w:t>
      </w:r>
    </w:p>
    <w:p w14:paraId="41F4FD13" w14:textId="77777777" w:rsidR="00E40B0E" w:rsidRPr="00980785" w:rsidRDefault="00E40B0E">
      <w:pPr>
        <w:pStyle w:val="Header"/>
        <w:tabs>
          <w:tab w:val="left" w:pos="284"/>
        </w:tabs>
        <w:jc w:val="both"/>
        <w:rPr>
          <w:sz w:val="22"/>
          <w:szCs w:val="22"/>
          <w:lang w:val="sr-Latn-ME"/>
        </w:rPr>
      </w:pPr>
      <w:r w:rsidRPr="00980785">
        <w:rPr>
          <w:sz w:val="22"/>
          <w:szCs w:val="22"/>
          <w:lang w:val="sr-Latn-ME"/>
        </w:rPr>
        <w:t>(1)</w:t>
      </w:r>
      <w:r w:rsidRPr="00980785">
        <w:rPr>
          <w:sz w:val="22"/>
          <w:szCs w:val="22"/>
          <w:lang w:val="sr-Latn-ME"/>
        </w:rPr>
        <w:tab/>
        <w:t xml:space="preserve">   u ispitivanju FinIP, osim za serotipove 6B i 14 slučajevi IPB sa kulturom potvrđenim serotipovima zastupljenim u vakcini uključujući 7F ( 1 slučaj u </w:t>
      </w:r>
      <w:r w:rsidR="00677FAC" w:rsidRPr="00980785">
        <w:rPr>
          <w:sz w:val="22"/>
          <w:szCs w:val="22"/>
          <w:lang w:val="sr-Latn-ME"/>
        </w:rPr>
        <w:t>SYNFLORIX</w:t>
      </w:r>
      <w:r w:rsidRPr="00980785">
        <w:rPr>
          <w:sz w:val="22"/>
          <w:szCs w:val="22"/>
          <w:lang w:val="sr-Latn-ME"/>
        </w:rPr>
        <w:t xml:space="preserve"> 2+1 klasterima), 18C, 19F i 23F (po 1 slučaj od svakog u kontrolnim klasterima). U ispitivanju COMPAS su uz serotipove 6B i 14 u kontrolnoj grupi pronađeni i serotipovi 5 (2 slučaja), 18C (4 slučaja) i 23F (1 slučaj).</w:t>
      </w:r>
    </w:p>
    <w:p w14:paraId="6E9DA900" w14:textId="77777777" w:rsidR="00E40B0E" w:rsidRPr="00980785" w:rsidRDefault="00E40B0E">
      <w:pPr>
        <w:pStyle w:val="Header"/>
        <w:tabs>
          <w:tab w:val="left" w:pos="284"/>
        </w:tabs>
        <w:jc w:val="both"/>
        <w:rPr>
          <w:sz w:val="22"/>
          <w:szCs w:val="22"/>
          <w:lang w:val="sr-Latn-ME"/>
        </w:rPr>
      </w:pPr>
      <w:r w:rsidRPr="00980785">
        <w:rPr>
          <w:sz w:val="22"/>
          <w:szCs w:val="22"/>
          <w:lang w:val="sr-Latn-ME"/>
        </w:rPr>
        <w:t xml:space="preserve">(2)   2 grupe kontrolnih klastera odojčadi su objedinjene </w:t>
      </w:r>
    </w:p>
    <w:p w14:paraId="316962CE" w14:textId="5A9226DD" w:rsidR="00E40B0E" w:rsidRPr="00980785" w:rsidRDefault="00E40B0E">
      <w:pPr>
        <w:pStyle w:val="Header"/>
        <w:tabs>
          <w:tab w:val="left" w:pos="284"/>
        </w:tabs>
        <w:jc w:val="both"/>
        <w:rPr>
          <w:sz w:val="22"/>
          <w:szCs w:val="22"/>
          <w:lang w:val="sr-Latn-ME"/>
        </w:rPr>
      </w:pPr>
      <w:r w:rsidRPr="00980785">
        <w:rPr>
          <w:sz w:val="22"/>
          <w:szCs w:val="22"/>
          <w:lang w:val="sr-Latn-ME"/>
        </w:rPr>
        <w:t>(3)   p-vrijednost</w:t>
      </w:r>
      <w:r w:rsidR="000E45B9" w:rsidRPr="00980785">
        <w:rPr>
          <w:sz w:val="22"/>
          <w:szCs w:val="22"/>
          <w:lang w:val="sr-Latn-ME"/>
        </w:rPr>
        <w:t xml:space="preserve"> </w:t>
      </w:r>
      <w:r w:rsidRPr="00980785">
        <w:rPr>
          <w:sz w:val="22"/>
          <w:szCs w:val="22"/>
          <w:lang w:val="sr-Latn-ME"/>
        </w:rPr>
        <w:t>&lt;</w:t>
      </w:r>
      <w:r w:rsidR="000E45B9" w:rsidRPr="00980785">
        <w:rPr>
          <w:sz w:val="22"/>
          <w:szCs w:val="22"/>
          <w:lang w:val="sr-Latn-ME"/>
        </w:rPr>
        <w:t xml:space="preserve"> </w:t>
      </w:r>
      <w:r w:rsidRPr="00980785">
        <w:rPr>
          <w:sz w:val="22"/>
          <w:szCs w:val="22"/>
          <w:lang w:val="sr-Latn-ME"/>
        </w:rPr>
        <w:t>0,0001</w:t>
      </w:r>
    </w:p>
    <w:p w14:paraId="330051C7" w14:textId="2A41025F" w:rsidR="00E40B0E" w:rsidRPr="00980785" w:rsidRDefault="00E40B0E">
      <w:pPr>
        <w:pStyle w:val="Header"/>
        <w:tabs>
          <w:tab w:val="left" w:pos="284"/>
        </w:tabs>
        <w:jc w:val="both"/>
        <w:rPr>
          <w:sz w:val="22"/>
          <w:szCs w:val="22"/>
          <w:lang w:val="sr-Latn-ME"/>
        </w:rPr>
      </w:pPr>
      <w:r w:rsidRPr="00980785">
        <w:rPr>
          <w:sz w:val="22"/>
          <w:szCs w:val="22"/>
          <w:lang w:val="sr-Latn-ME"/>
        </w:rPr>
        <w:t>(4)   p-vrijednost</w:t>
      </w:r>
      <w:r w:rsidR="000E45B9" w:rsidRPr="00980785">
        <w:rPr>
          <w:sz w:val="22"/>
          <w:szCs w:val="22"/>
          <w:lang w:val="sr-Latn-ME"/>
        </w:rPr>
        <w:t xml:space="preserve"> </w:t>
      </w:r>
      <w:r w:rsidRPr="00980785">
        <w:rPr>
          <w:sz w:val="22"/>
          <w:szCs w:val="22"/>
          <w:lang w:val="sr-Latn-ME"/>
        </w:rPr>
        <w:t>=</w:t>
      </w:r>
      <w:r w:rsidR="000E45B9" w:rsidRPr="00980785">
        <w:rPr>
          <w:sz w:val="22"/>
          <w:szCs w:val="22"/>
          <w:lang w:val="sr-Latn-ME"/>
        </w:rPr>
        <w:t xml:space="preserve"> </w:t>
      </w:r>
      <w:r w:rsidRPr="00980785">
        <w:rPr>
          <w:sz w:val="22"/>
          <w:szCs w:val="22"/>
          <w:lang w:val="sr-Latn-ME"/>
        </w:rPr>
        <w:t>0,0009</w:t>
      </w:r>
    </w:p>
    <w:p w14:paraId="2E4E0A13" w14:textId="77777777" w:rsidR="00E40B0E" w:rsidRPr="00980785" w:rsidRDefault="00E40B0E">
      <w:pPr>
        <w:pStyle w:val="Header"/>
        <w:tabs>
          <w:tab w:val="left" w:pos="284"/>
        </w:tabs>
        <w:jc w:val="both"/>
        <w:rPr>
          <w:sz w:val="22"/>
          <w:szCs w:val="22"/>
          <w:lang w:val="sr-Latn-ME"/>
        </w:rPr>
      </w:pPr>
      <w:r w:rsidRPr="00980785">
        <w:rPr>
          <w:sz w:val="22"/>
          <w:szCs w:val="22"/>
          <w:lang w:val="sr-Latn-ME"/>
        </w:rPr>
        <w:t xml:space="preserve">(5)   </w:t>
      </w:r>
      <w:r w:rsidRPr="00980785">
        <w:rPr>
          <w:sz w:val="22"/>
          <w:szCs w:val="22"/>
          <w:lang w:val="sr-Latn-ME"/>
        </w:rPr>
        <w:tab/>
        <w:t xml:space="preserve">u kohorti prema protokolu (engl. </w:t>
      </w:r>
      <w:r w:rsidRPr="00980785">
        <w:rPr>
          <w:i/>
          <w:sz w:val="22"/>
          <w:szCs w:val="22"/>
          <w:lang w:val="sr-Latn-ME"/>
        </w:rPr>
        <w:t>according-to-protocol</w:t>
      </w:r>
      <w:r w:rsidRPr="00980785">
        <w:rPr>
          <w:sz w:val="22"/>
          <w:szCs w:val="22"/>
          <w:lang w:val="sr-Latn-ME"/>
        </w:rPr>
        <w:t>, ATP)  VE je bila 100% (95% IP: 74,3</w:t>
      </w:r>
      <w:r w:rsidRPr="00980785">
        <w:rPr>
          <w:sz w:val="22"/>
          <w:szCs w:val="22"/>
          <w:lang w:val="sr-Latn-ME"/>
        </w:rPr>
        <w:noBreakHyphen/>
        <w:t>100; 0 naspram 16 slučajeva)</w:t>
      </w:r>
    </w:p>
    <w:p w14:paraId="02E53906" w14:textId="77777777" w:rsidR="00E40B0E" w:rsidRPr="00980785" w:rsidRDefault="00E40B0E">
      <w:pPr>
        <w:pStyle w:val="Header"/>
        <w:tabs>
          <w:tab w:val="left" w:pos="284"/>
        </w:tabs>
        <w:jc w:val="both"/>
        <w:rPr>
          <w:sz w:val="22"/>
          <w:szCs w:val="22"/>
          <w:lang w:val="sr-Latn-ME"/>
        </w:rPr>
      </w:pPr>
    </w:p>
    <w:p w14:paraId="2EC93E8C" w14:textId="77777777" w:rsidR="00E40B0E" w:rsidRPr="00980785" w:rsidRDefault="00E40B0E">
      <w:pPr>
        <w:pStyle w:val="Header"/>
        <w:tabs>
          <w:tab w:val="left" w:pos="284"/>
        </w:tabs>
        <w:jc w:val="both"/>
        <w:rPr>
          <w:sz w:val="22"/>
          <w:szCs w:val="22"/>
          <w:lang w:val="sr-Latn-ME"/>
        </w:rPr>
      </w:pPr>
      <w:r w:rsidRPr="00980785">
        <w:rPr>
          <w:sz w:val="22"/>
          <w:szCs w:val="22"/>
          <w:lang w:val="sr-Latn-ME"/>
        </w:rPr>
        <w:t>U ispitivanju FinIP, sveukupna efektivnost/efikasnost vakcine protiv kulturom potvrđenog IPB bila je 100% (95% IP: 85,6-100; 0 u odnosu na 14 slučajeva) za protokol 3+1, 85,8% (95% IP: 49,1-97,8; 2 u odnosu na 14 slučajeva) za protokol 2+1 i 93,0% (95% IP: 74,9-98,9; 2 u odnosu na 14 slučajeva) nezavisno od šeme primarne imunizacije. U ispitivanju COMPAS, sveukupna efektivnost/efikasnost vakcine iznosila je 66,7% (95% IP: 21,8</w:t>
      </w:r>
      <w:r w:rsidRPr="00980785">
        <w:rPr>
          <w:sz w:val="22"/>
          <w:szCs w:val="22"/>
          <w:lang w:val="sr-Latn-ME"/>
        </w:rPr>
        <w:noBreakHyphen/>
        <w:t xml:space="preserve">85,9; 7 naspram 21 slučaja). </w:t>
      </w:r>
    </w:p>
    <w:p w14:paraId="0B2A7F4B" w14:textId="77777777" w:rsidR="00E40B0E" w:rsidRPr="00980785" w:rsidRDefault="00E40B0E" w:rsidP="00290631">
      <w:pPr>
        <w:pStyle w:val="Header"/>
        <w:tabs>
          <w:tab w:val="left" w:pos="284"/>
        </w:tabs>
        <w:jc w:val="both"/>
        <w:rPr>
          <w:i/>
          <w:sz w:val="22"/>
          <w:szCs w:val="22"/>
          <w:lang w:val="sr-Latn-ME"/>
        </w:rPr>
      </w:pPr>
    </w:p>
    <w:p w14:paraId="1E8D629B" w14:textId="239A522C" w:rsidR="000E45B9" w:rsidRPr="00980785" w:rsidRDefault="00E40B0E">
      <w:pPr>
        <w:pStyle w:val="Header"/>
        <w:tabs>
          <w:tab w:val="left" w:pos="284"/>
        </w:tabs>
        <w:jc w:val="both"/>
        <w:rPr>
          <w:sz w:val="22"/>
          <w:szCs w:val="22"/>
          <w:lang w:val="sr-Latn-ME"/>
        </w:rPr>
      </w:pPr>
      <w:r w:rsidRPr="00980785">
        <w:rPr>
          <w:i/>
          <w:sz w:val="22"/>
          <w:szCs w:val="22"/>
          <w:lang w:val="sr-Latn-ME"/>
        </w:rPr>
        <w:t>Efektivnost nakon propuštene imunizacije</w:t>
      </w:r>
      <w:r w:rsidR="000E45B9" w:rsidRPr="00980785">
        <w:rPr>
          <w:sz w:val="22"/>
          <w:szCs w:val="22"/>
          <w:lang w:val="sr-Latn-ME"/>
        </w:rPr>
        <w:t xml:space="preserve"> </w:t>
      </w:r>
    </w:p>
    <w:p w14:paraId="67B219D2" w14:textId="29D65526" w:rsidR="00E40B0E" w:rsidRPr="00980785" w:rsidRDefault="00E40B0E">
      <w:pPr>
        <w:pStyle w:val="Header"/>
        <w:tabs>
          <w:tab w:val="left" w:pos="284"/>
        </w:tabs>
        <w:jc w:val="both"/>
        <w:rPr>
          <w:sz w:val="22"/>
          <w:szCs w:val="22"/>
          <w:lang w:val="sr-Latn-ME"/>
        </w:rPr>
      </w:pPr>
      <w:r w:rsidRPr="00980785">
        <w:rPr>
          <w:sz w:val="22"/>
          <w:szCs w:val="22"/>
          <w:lang w:val="sr-Latn-ME"/>
        </w:rPr>
        <w:lastRenderedPageBreak/>
        <w:t xml:space="preserve">Među 15.447 djece u vakcinisanim kohortama </w:t>
      </w:r>
      <w:r w:rsidRPr="00980785">
        <w:rPr>
          <w:i/>
          <w:sz w:val="22"/>
          <w:szCs w:val="22"/>
          <w:lang w:val="sr-Latn-ME"/>
        </w:rPr>
        <w:t>catch-up</w:t>
      </w:r>
      <w:r w:rsidRPr="00980785">
        <w:rPr>
          <w:sz w:val="22"/>
          <w:szCs w:val="22"/>
          <w:lang w:val="sr-Latn-ME"/>
        </w:rPr>
        <w:t xml:space="preserve"> imunizacija, nije bilo kulturom potvrđenih slučajeva IPB u grupama koje su primile vakcinu </w:t>
      </w:r>
      <w:r w:rsidR="00677FAC" w:rsidRPr="00980785">
        <w:rPr>
          <w:sz w:val="22"/>
          <w:szCs w:val="22"/>
          <w:lang w:val="sr-Latn-ME"/>
        </w:rPr>
        <w:t>SYNFLORIX</w:t>
      </w:r>
      <w:r w:rsidRPr="00980785">
        <w:rPr>
          <w:sz w:val="22"/>
          <w:szCs w:val="22"/>
          <w:lang w:val="sr-Latn-ME"/>
        </w:rPr>
        <w:t xml:space="preserve"> dok je u kontrolnim grupama zabilježeno 5 slučajeva IPB izazvanih serotipovima prisutnim u vakcini (serotipovi 4, 6B, 7F, 14 i 19F).</w:t>
      </w:r>
    </w:p>
    <w:p w14:paraId="226D6BEE" w14:textId="77777777" w:rsidR="00E40B0E" w:rsidRPr="00980785" w:rsidRDefault="00E40B0E">
      <w:pPr>
        <w:pStyle w:val="Header"/>
        <w:tabs>
          <w:tab w:val="left" w:pos="284"/>
        </w:tabs>
        <w:jc w:val="both"/>
        <w:rPr>
          <w:sz w:val="22"/>
          <w:szCs w:val="22"/>
          <w:lang w:val="sr-Latn-ME"/>
        </w:rPr>
      </w:pPr>
    </w:p>
    <w:p w14:paraId="5AD2525D" w14:textId="4FBC7638" w:rsidR="00E40B0E" w:rsidRPr="00980785" w:rsidRDefault="00E40B0E">
      <w:pPr>
        <w:jc w:val="both"/>
        <w:rPr>
          <w:b/>
          <w:sz w:val="22"/>
          <w:szCs w:val="22"/>
          <w:u w:val="single"/>
          <w:lang w:val="sr-Latn-ME"/>
        </w:rPr>
      </w:pPr>
      <w:r w:rsidRPr="00980785">
        <w:rPr>
          <w:i/>
          <w:sz w:val="22"/>
          <w:szCs w:val="22"/>
          <w:u w:val="single"/>
          <w:lang w:val="sr-Latn-ME"/>
        </w:rPr>
        <w:t>Pneumonija</w:t>
      </w:r>
    </w:p>
    <w:p w14:paraId="359DE20B" w14:textId="77777777" w:rsidR="00E40B0E" w:rsidRPr="00980785" w:rsidRDefault="00E40B0E">
      <w:pPr>
        <w:jc w:val="both"/>
        <w:rPr>
          <w:b/>
          <w:sz w:val="22"/>
          <w:szCs w:val="22"/>
          <w:u w:val="single"/>
          <w:lang w:val="sr-Latn-ME"/>
        </w:rPr>
      </w:pPr>
    </w:p>
    <w:p w14:paraId="04F58648" w14:textId="25649B4B" w:rsidR="00E40B0E" w:rsidRPr="00980785" w:rsidRDefault="00E40B0E">
      <w:pPr>
        <w:pStyle w:val="Header"/>
        <w:tabs>
          <w:tab w:val="left" w:pos="284"/>
        </w:tabs>
        <w:jc w:val="both"/>
        <w:rPr>
          <w:sz w:val="22"/>
          <w:szCs w:val="22"/>
          <w:lang w:val="sr-Latn-ME"/>
        </w:rPr>
      </w:pPr>
      <w:r w:rsidRPr="00980785">
        <w:rPr>
          <w:sz w:val="22"/>
          <w:szCs w:val="22"/>
          <w:lang w:val="sr-Latn-ME"/>
        </w:rPr>
        <w:t xml:space="preserve">Efikasnost protiv pneumonije procijenjena je u </w:t>
      </w:r>
      <w:r w:rsidR="009F0045" w:rsidRPr="00980785">
        <w:rPr>
          <w:sz w:val="22"/>
          <w:szCs w:val="22"/>
          <w:lang w:val="sr-Latn-ME"/>
        </w:rPr>
        <w:t>kliničkom ispitivanju COMPAS</w:t>
      </w:r>
      <w:r w:rsidR="002A5CDF" w:rsidRPr="00980785">
        <w:rPr>
          <w:sz w:val="22"/>
          <w:szCs w:val="22"/>
          <w:lang w:val="sr-Latn-ME"/>
        </w:rPr>
        <w:t>.</w:t>
      </w:r>
      <w:r w:rsidR="002A5CDF" w:rsidRPr="00980785">
        <w:rPr>
          <w:color w:val="C00000"/>
          <w:sz w:val="22"/>
          <w:szCs w:val="22"/>
          <w:lang w:val="sr-Latn-ME"/>
        </w:rPr>
        <w:t xml:space="preserve"> </w:t>
      </w:r>
      <w:r w:rsidRPr="00980785">
        <w:rPr>
          <w:sz w:val="22"/>
          <w:szCs w:val="22"/>
          <w:lang w:val="sr-Latn-ME"/>
        </w:rPr>
        <w:t xml:space="preserve">Srednja vrijednost trajanja perioda praćenja ATP kohorte, od 2 nedjelje nakon primjene treće doze bila je 23 mjeseca (u opsegu od 0 do 34 mjeseca) za interim analizu i 30 mjeseci (u opsegu od 0 do 44 mjeseca) za analizu na kraju kliničkog ispitivanja. Na kraju perioda praćenja interim analize ili </w:t>
      </w:r>
      <w:r w:rsidR="00ED5685" w:rsidRPr="00980785">
        <w:rPr>
          <w:sz w:val="22"/>
          <w:szCs w:val="22"/>
          <w:lang w:val="sr-Latn-ME"/>
        </w:rPr>
        <w:t>analiz</w:t>
      </w:r>
      <w:r w:rsidR="009F0045" w:rsidRPr="00980785">
        <w:rPr>
          <w:sz w:val="22"/>
          <w:szCs w:val="22"/>
          <w:lang w:val="sr-Latn-ME"/>
        </w:rPr>
        <w:t>E</w:t>
      </w:r>
      <w:r w:rsidR="00ED5685" w:rsidRPr="00980785">
        <w:rPr>
          <w:sz w:val="22"/>
          <w:szCs w:val="22"/>
          <w:lang w:val="sr-Latn-ME"/>
        </w:rPr>
        <w:t xml:space="preserve"> na kraju kliničkog ispitivanja</w:t>
      </w:r>
      <w:r w:rsidRPr="00980785">
        <w:rPr>
          <w:sz w:val="22"/>
          <w:szCs w:val="22"/>
          <w:lang w:val="sr-Latn-ME"/>
        </w:rPr>
        <w:t>, prosječ</w:t>
      </w:r>
      <w:r w:rsidR="000E45B9" w:rsidRPr="00980785">
        <w:rPr>
          <w:sz w:val="22"/>
          <w:szCs w:val="22"/>
          <w:lang w:val="sr-Latn-ME"/>
        </w:rPr>
        <w:t>ni uzrast</w:t>
      </w:r>
      <w:r w:rsidRPr="00980785">
        <w:rPr>
          <w:sz w:val="22"/>
          <w:szCs w:val="22"/>
          <w:lang w:val="sr-Latn-ME"/>
        </w:rPr>
        <w:t xml:space="preserve"> je bi</w:t>
      </w:r>
      <w:r w:rsidR="000E45B9" w:rsidRPr="00980785">
        <w:rPr>
          <w:sz w:val="22"/>
          <w:szCs w:val="22"/>
          <w:lang w:val="sr-Latn-ME"/>
        </w:rPr>
        <w:t>o</w:t>
      </w:r>
      <w:r w:rsidRPr="00980785">
        <w:rPr>
          <w:sz w:val="22"/>
          <w:szCs w:val="22"/>
          <w:lang w:val="sr-Latn-ME"/>
        </w:rPr>
        <w:t xml:space="preserve"> 29 mjeseci (u opsegu od 4 do 41 mjesec) i 36 mjeseci (u opsegu od 4 do 50 mjeseci), respektivno. Procenat osoba koje su primile buster dozu u ATP kohorti, iznosio je 92.3% u obije analize.</w:t>
      </w:r>
    </w:p>
    <w:p w14:paraId="5A2D3A2B" w14:textId="77777777" w:rsidR="00E40B0E" w:rsidRPr="00980785" w:rsidRDefault="00E40B0E">
      <w:pPr>
        <w:pStyle w:val="Header"/>
        <w:tabs>
          <w:tab w:val="left" w:pos="284"/>
        </w:tabs>
        <w:jc w:val="both"/>
        <w:rPr>
          <w:sz w:val="22"/>
          <w:szCs w:val="22"/>
          <w:lang w:val="sr-Latn-ME"/>
        </w:rPr>
      </w:pPr>
    </w:p>
    <w:p w14:paraId="141D5E70" w14:textId="77777777" w:rsidR="00E40B0E" w:rsidRPr="00980785" w:rsidRDefault="00E40B0E">
      <w:pPr>
        <w:pStyle w:val="Header"/>
        <w:tabs>
          <w:tab w:val="left" w:pos="284"/>
        </w:tabs>
        <w:jc w:val="both"/>
        <w:rPr>
          <w:sz w:val="22"/>
          <w:szCs w:val="22"/>
          <w:lang w:val="sr-Latn-ME"/>
        </w:rPr>
      </w:pPr>
      <w:r w:rsidRPr="00980785">
        <w:rPr>
          <w:sz w:val="22"/>
          <w:szCs w:val="22"/>
          <w:lang w:val="sr-Latn-ME"/>
        </w:rPr>
        <w:t xml:space="preserve">Efikasnost vakcine </w:t>
      </w:r>
      <w:r w:rsidR="00677FAC" w:rsidRPr="00980785">
        <w:rPr>
          <w:sz w:val="22"/>
          <w:szCs w:val="22"/>
          <w:lang w:val="sr-Latn-ME"/>
        </w:rPr>
        <w:t>SYNFLORIX</w:t>
      </w:r>
      <w:r w:rsidRPr="00980785">
        <w:rPr>
          <w:sz w:val="22"/>
          <w:szCs w:val="22"/>
          <w:lang w:val="sr-Latn-ME"/>
        </w:rPr>
        <w:t xml:space="preserve"> protiv prvih epizoda vanbolnički stečene pneumonije (</w:t>
      </w:r>
      <w:r w:rsidRPr="00980785">
        <w:rPr>
          <w:i/>
          <w:sz w:val="22"/>
          <w:szCs w:val="22"/>
          <w:lang w:val="sr-Latn-ME"/>
        </w:rPr>
        <w:t>Community Acquired Pneumonia</w:t>
      </w:r>
      <w:r w:rsidRPr="00980785">
        <w:rPr>
          <w:sz w:val="22"/>
          <w:szCs w:val="22"/>
          <w:lang w:val="sr-Latn-ME"/>
        </w:rPr>
        <w:t xml:space="preserve"> - CAP) sa vjerovatnim bakterijskim uzročnikom, koja se javlja  2 nedjelje nakon primjene 3. doze vakcine, pokazana je u ATP kohorti (p vrijednost ≤ 0.002) u interim analizi (vođena događajima; primarni cilj).</w:t>
      </w:r>
    </w:p>
    <w:p w14:paraId="45BCA7DC" w14:textId="4F6AEC76" w:rsidR="00E40B0E" w:rsidRPr="00980785" w:rsidRDefault="00E40B0E">
      <w:pPr>
        <w:pStyle w:val="Header"/>
        <w:tabs>
          <w:tab w:val="left" w:pos="284"/>
        </w:tabs>
        <w:jc w:val="both"/>
        <w:rPr>
          <w:sz w:val="22"/>
          <w:szCs w:val="22"/>
          <w:lang w:val="sr-Latn-ME"/>
        </w:rPr>
      </w:pPr>
      <w:r w:rsidRPr="00980785">
        <w:rPr>
          <w:sz w:val="22"/>
          <w:szCs w:val="22"/>
          <w:lang w:val="sr-Latn-ME"/>
        </w:rPr>
        <w:t>CAP sa vjerovatnim bakterijskim uzročnikom (B</w:t>
      </w:r>
      <w:r w:rsidR="00F9059C" w:rsidRPr="00980785">
        <w:rPr>
          <w:sz w:val="22"/>
          <w:szCs w:val="22"/>
          <w:lang w:val="sr-Latn-ME"/>
        </w:rPr>
        <w:t>–</w:t>
      </w:r>
      <w:r w:rsidRPr="00980785">
        <w:rPr>
          <w:sz w:val="22"/>
          <w:szCs w:val="22"/>
          <w:lang w:val="sr-Latn-ME"/>
        </w:rPr>
        <w:t>CAP) su definisane kao radiološki potvrđeni slučajevi CAP sa alveolarnom konsolidacijom/pleuralnom efuzijom na rendgenskom snimku pluća, ili bez alveolarnih infiltrata ali sa vrijednostima C-reaktivnog proteina (CRP) ≥</w:t>
      </w:r>
      <w:r w:rsidR="00ED5685" w:rsidRPr="00980785">
        <w:rPr>
          <w:sz w:val="22"/>
          <w:szCs w:val="22"/>
          <w:lang w:val="sr-Latn-ME"/>
        </w:rPr>
        <w:t xml:space="preserve"> </w:t>
      </w:r>
      <w:r w:rsidRPr="00980785">
        <w:rPr>
          <w:sz w:val="22"/>
          <w:szCs w:val="22"/>
          <w:lang w:val="sr-Latn-ME"/>
        </w:rPr>
        <w:t>40 mg/</w:t>
      </w:r>
      <w:r w:rsidR="000A0F3F" w:rsidRPr="00980785">
        <w:rPr>
          <w:sz w:val="22"/>
          <w:szCs w:val="22"/>
          <w:lang w:val="sr-Latn-ME"/>
        </w:rPr>
        <w:t>l</w:t>
      </w:r>
      <w:r w:rsidRPr="00980785">
        <w:rPr>
          <w:sz w:val="22"/>
          <w:szCs w:val="22"/>
          <w:lang w:val="sr-Latn-ME"/>
        </w:rPr>
        <w:t xml:space="preserve">. </w:t>
      </w:r>
    </w:p>
    <w:p w14:paraId="71806D19" w14:textId="77777777" w:rsidR="00E40B0E" w:rsidRPr="00980785" w:rsidRDefault="00E40B0E">
      <w:pPr>
        <w:pStyle w:val="Header"/>
        <w:tabs>
          <w:tab w:val="left" w:pos="284"/>
        </w:tabs>
        <w:jc w:val="both"/>
        <w:rPr>
          <w:sz w:val="22"/>
          <w:szCs w:val="22"/>
          <w:lang w:val="sr-Latn-ME"/>
        </w:rPr>
      </w:pPr>
    </w:p>
    <w:p w14:paraId="2CD305E8" w14:textId="73AFDA57" w:rsidR="00E40B0E" w:rsidRPr="00980785" w:rsidRDefault="00E40B0E">
      <w:pPr>
        <w:pStyle w:val="Header"/>
        <w:tabs>
          <w:tab w:val="left" w:pos="284"/>
        </w:tabs>
        <w:jc w:val="both"/>
        <w:rPr>
          <w:sz w:val="22"/>
          <w:szCs w:val="22"/>
          <w:lang w:val="sr-Latn-ME"/>
        </w:rPr>
      </w:pPr>
      <w:r w:rsidRPr="00980785">
        <w:rPr>
          <w:sz w:val="22"/>
          <w:szCs w:val="22"/>
          <w:lang w:val="sr-Latn-ME"/>
        </w:rPr>
        <w:t>Rezultati efikasnosti vakcine protiv B</w:t>
      </w:r>
      <w:r w:rsidR="00F9059C" w:rsidRPr="00980785">
        <w:rPr>
          <w:sz w:val="22"/>
          <w:szCs w:val="22"/>
          <w:lang w:val="sr-Latn-ME"/>
        </w:rPr>
        <w:t>–</w:t>
      </w:r>
      <w:r w:rsidRPr="00980785">
        <w:rPr>
          <w:sz w:val="22"/>
          <w:szCs w:val="22"/>
          <w:lang w:val="sr-Latn-ME"/>
        </w:rPr>
        <w:t xml:space="preserve">CAP zabilježeni u interim analizi prikazani su u tabeli </w:t>
      </w:r>
      <w:r w:rsidR="00ED5685" w:rsidRPr="00980785">
        <w:rPr>
          <w:sz w:val="22"/>
          <w:szCs w:val="22"/>
          <w:lang w:val="sr-Latn-ME"/>
        </w:rPr>
        <w:t>ispod</w:t>
      </w:r>
      <w:r w:rsidRPr="00980785">
        <w:rPr>
          <w:sz w:val="22"/>
          <w:szCs w:val="22"/>
          <w:lang w:val="sr-Latn-ME"/>
        </w:rPr>
        <w:t xml:space="preserve"> (tabela 2).</w:t>
      </w:r>
    </w:p>
    <w:p w14:paraId="369668E7" w14:textId="77777777" w:rsidR="00E40B0E" w:rsidRPr="00980785" w:rsidRDefault="00E40B0E">
      <w:pPr>
        <w:pStyle w:val="Header"/>
        <w:tabs>
          <w:tab w:val="left" w:pos="284"/>
        </w:tabs>
        <w:jc w:val="both"/>
        <w:rPr>
          <w:sz w:val="22"/>
          <w:szCs w:val="22"/>
          <w:lang w:val="sr-Latn-ME"/>
        </w:rPr>
      </w:pPr>
    </w:p>
    <w:p w14:paraId="434334AB" w14:textId="5F33EBE8" w:rsidR="00E40B0E" w:rsidRPr="00980785" w:rsidRDefault="00E40B0E">
      <w:pPr>
        <w:pStyle w:val="Header"/>
        <w:tabs>
          <w:tab w:val="left" w:pos="284"/>
        </w:tabs>
        <w:jc w:val="both"/>
        <w:rPr>
          <w:b/>
          <w:sz w:val="22"/>
          <w:szCs w:val="22"/>
          <w:lang w:val="sr-Latn-ME"/>
        </w:rPr>
      </w:pPr>
      <w:r w:rsidRPr="00980785">
        <w:rPr>
          <w:b/>
          <w:sz w:val="22"/>
          <w:szCs w:val="22"/>
          <w:lang w:val="sr-Latn-ME"/>
        </w:rPr>
        <w:t>Tabela 2: Brojevi i procenti osoba sa prvim epizodama B</w:t>
      </w:r>
      <w:r w:rsidR="00F9059C" w:rsidRPr="00980785">
        <w:rPr>
          <w:b/>
          <w:sz w:val="22"/>
          <w:szCs w:val="22"/>
          <w:lang w:val="sr-Latn-ME"/>
        </w:rPr>
        <w:t>–</w:t>
      </w:r>
      <w:r w:rsidRPr="00980785">
        <w:rPr>
          <w:b/>
          <w:sz w:val="22"/>
          <w:szCs w:val="22"/>
          <w:lang w:val="sr-Latn-ME"/>
        </w:rPr>
        <w:t xml:space="preserve">CAP koje su se javile  2 nedjelje nakon primjene 3. doze vakcine </w:t>
      </w:r>
      <w:r w:rsidR="00677FAC" w:rsidRPr="00980785">
        <w:rPr>
          <w:b/>
          <w:sz w:val="22"/>
          <w:szCs w:val="22"/>
          <w:lang w:val="sr-Latn-ME"/>
        </w:rPr>
        <w:t>SYNFLORIX</w:t>
      </w:r>
      <w:r w:rsidRPr="00980785">
        <w:rPr>
          <w:b/>
          <w:sz w:val="22"/>
          <w:szCs w:val="22"/>
          <w:lang w:val="sr-Latn-ME"/>
        </w:rPr>
        <w:t xml:space="preserve"> ili kontrolne vakcine i efikasnost vakcine (ATP kohorta)</w:t>
      </w:r>
    </w:p>
    <w:p w14:paraId="04485A4B" w14:textId="77777777" w:rsidR="00E40B0E" w:rsidRPr="00980785" w:rsidRDefault="00E40B0E" w:rsidP="00290631">
      <w:pPr>
        <w:pStyle w:val="Header"/>
        <w:tabs>
          <w:tab w:val="left" w:pos="284"/>
        </w:tabs>
        <w:jc w:val="both"/>
        <w:rPr>
          <w:b/>
          <w:sz w:val="22"/>
          <w:szCs w:val="22"/>
          <w:lang w:val="sr-Latn-ME"/>
        </w:rPr>
      </w:pPr>
    </w:p>
    <w:tbl>
      <w:tblPr>
        <w:tblW w:w="876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1702"/>
        <w:gridCol w:w="1418"/>
        <w:gridCol w:w="1702"/>
        <w:gridCol w:w="2411"/>
      </w:tblGrid>
      <w:tr w:rsidR="00E40B0E" w:rsidRPr="00980785" w14:paraId="1B57B798" w14:textId="77777777" w:rsidTr="00E40B0E">
        <w:tc>
          <w:tcPr>
            <w:tcW w:w="3227" w:type="dxa"/>
            <w:gridSpan w:val="2"/>
            <w:tcBorders>
              <w:top w:val="single" w:sz="4" w:space="0" w:color="auto"/>
              <w:left w:val="single" w:sz="4" w:space="0" w:color="auto"/>
              <w:bottom w:val="single" w:sz="4" w:space="0" w:color="auto"/>
              <w:right w:val="single" w:sz="4" w:space="0" w:color="auto"/>
            </w:tcBorders>
            <w:vAlign w:val="center"/>
            <w:hideMark/>
          </w:tcPr>
          <w:p w14:paraId="66BC9E60" w14:textId="77777777" w:rsidR="00E40B0E" w:rsidRPr="00980785" w:rsidRDefault="00677FAC" w:rsidP="00290631">
            <w:pPr>
              <w:tabs>
                <w:tab w:val="left" w:pos="851"/>
              </w:tabs>
              <w:jc w:val="both"/>
              <w:rPr>
                <w:sz w:val="22"/>
                <w:szCs w:val="22"/>
                <w:lang w:val="sr-Latn-ME"/>
              </w:rPr>
            </w:pPr>
            <w:r w:rsidRPr="00980785">
              <w:rPr>
                <w:sz w:val="22"/>
                <w:szCs w:val="22"/>
                <w:lang w:val="sr-Latn-ME"/>
              </w:rPr>
              <w:t>SYNFLORIX</w:t>
            </w:r>
          </w:p>
          <w:p w14:paraId="6D14AC61" w14:textId="77777777" w:rsidR="00E40B0E" w:rsidRPr="00980785" w:rsidRDefault="00E40B0E" w:rsidP="00290631">
            <w:pPr>
              <w:tabs>
                <w:tab w:val="left" w:pos="851"/>
              </w:tabs>
              <w:jc w:val="both"/>
              <w:rPr>
                <w:sz w:val="22"/>
                <w:szCs w:val="22"/>
                <w:lang w:val="sr-Latn-ME"/>
              </w:rPr>
            </w:pPr>
            <w:r w:rsidRPr="00980785">
              <w:rPr>
                <w:sz w:val="22"/>
                <w:szCs w:val="22"/>
                <w:lang w:val="sr-Latn-ME"/>
              </w:rPr>
              <w:t>N=10,295</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4D25E778" w14:textId="77777777" w:rsidR="00E40B0E" w:rsidRPr="00980785" w:rsidRDefault="00E40B0E" w:rsidP="00290631">
            <w:pPr>
              <w:tabs>
                <w:tab w:val="left" w:pos="851"/>
              </w:tabs>
              <w:jc w:val="both"/>
              <w:rPr>
                <w:sz w:val="22"/>
                <w:szCs w:val="22"/>
                <w:lang w:val="sr-Latn-ME"/>
              </w:rPr>
            </w:pPr>
            <w:r w:rsidRPr="00980785">
              <w:rPr>
                <w:sz w:val="22"/>
                <w:szCs w:val="22"/>
                <w:lang w:val="sr-Latn-ME"/>
              </w:rPr>
              <w:t>Kontrolna vakcina</w:t>
            </w:r>
          </w:p>
          <w:p w14:paraId="422DC587" w14:textId="77777777" w:rsidR="00E40B0E" w:rsidRPr="00980785" w:rsidRDefault="00E40B0E" w:rsidP="00290631">
            <w:pPr>
              <w:tabs>
                <w:tab w:val="left" w:pos="851"/>
              </w:tabs>
              <w:jc w:val="both"/>
              <w:rPr>
                <w:sz w:val="22"/>
                <w:szCs w:val="22"/>
                <w:lang w:val="sr-Latn-ME"/>
              </w:rPr>
            </w:pPr>
            <w:r w:rsidRPr="00980785">
              <w:rPr>
                <w:sz w:val="22"/>
                <w:szCs w:val="22"/>
                <w:lang w:val="sr-Latn-ME"/>
              </w:rPr>
              <w:t>N=10,201</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0FFAB33" w14:textId="77777777" w:rsidR="00E40B0E" w:rsidRPr="00980785" w:rsidRDefault="00E40B0E" w:rsidP="00290631">
            <w:pPr>
              <w:tabs>
                <w:tab w:val="left" w:pos="851"/>
              </w:tabs>
              <w:jc w:val="both"/>
              <w:rPr>
                <w:sz w:val="22"/>
                <w:szCs w:val="22"/>
                <w:lang w:val="sr-Latn-ME"/>
              </w:rPr>
            </w:pPr>
            <w:r w:rsidRPr="00980785">
              <w:rPr>
                <w:sz w:val="22"/>
                <w:szCs w:val="22"/>
                <w:lang w:val="sr-Latn-ME"/>
              </w:rPr>
              <w:t>Efikasnost vakcine</w:t>
            </w:r>
          </w:p>
        </w:tc>
      </w:tr>
      <w:tr w:rsidR="00E40B0E" w:rsidRPr="00980785" w14:paraId="4200A6A3" w14:textId="77777777" w:rsidTr="00E40B0E">
        <w:tc>
          <w:tcPr>
            <w:tcW w:w="1526" w:type="dxa"/>
            <w:tcBorders>
              <w:top w:val="single" w:sz="4" w:space="0" w:color="auto"/>
              <w:left w:val="single" w:sz="4" w:space="0" w:color="auto"/>
              <w:bottom w:val="single" w:sz="4" w:space="0" w:color="auto"/>
              <w:right w:val="single" w:sz="4" w:space="0" w:color="auto"/>
            </w:tcBorders>
            <w:vAlign w:val="center"/>
            <w:hideMark/>
          </w:tcPr>
          <w:p w14:paraId="0F2B03A2" w14:textId="77777777" w:rsidR="00E40B0E" w:rsidRPr="00980785" w:rsidRDefault="00E40B0E" w:rsidP="00290631">
            <w:pPr>
              <w:tabs>
                <w:tab w:val="left" w:pos="851"/>
              </w:tabs>
              <w:jc w:val="both"/>
              <w:rPr>
                <w:sz w:val="22"/>
                <w:szCs w:val="22"/>
                <w:lang w:val="sr-Latn-ME"/>
              </w:rPr>
            </w:pPr>
            <w:r w:rsidRPr="00980785">
              <w:rPr>
                <w:sz w:val="22"/>
                <w:szCs w:val="22"/>
                <w:lang w:val="sr-Latn-ME"/>
              </w:rPr>
              <w:t>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372749" w14:textId="77777777" w:rsidR="00E40B0E" w:rsidRPr="00980785" w:rsidRDefault="00E40B0E" w:rsidP="00290631">
            <w:pPr>
              <w:tabs>
                <w:tab w:val="left" w:pos="851"/>
              </w:tabs>
              <w:jc w:val="both"/>
              <w:rPr>
                <w:sz w:val="22"/>
                <w:szCs w:val="22"/>
                <w:lang w:val="sr-Latn-ME"/>
              </w:rPr>
            </w:pPr>
            <w:r w:rsidRPr="00980785">
              <w:rPr>
                <w:sz w:val="22"/>
                <w:szCs w:val="22"/>
                <w:lang w:val="sr-Latn-ME"/>
              </w:rPr>
              <w:t>% (n/N)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EACF4B" w14:textId="77777777" w:rsidR="00E40B0E" w:rsidRPr="00980785" w:rsidRDefault="00E40B0E" w:rsidP="00290631">
            <w:pPr>
              <w:tabs>
                <w:tab w:val="left" w:pos="851"/>
              </w:tabs>
              <w:jc w:val="both"/>
              <w:rPr>
                <w:sz w:val="22"/>
                <w:szCs w:val="22"/>
                <w:lang w:val="sr-Latn-ME"/>
              </w:rPr>
            </w:pPr>
            <w:r w:rsidRPr="00980785">
              <w:rPr>
                <w:sz w:val="22"/>
                <w:szCs w:val="22"/>
                <w:lang w:val="sr-Latn-ME"/>
              </w:rPr>
              <w:t>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1F5DCA" w14:textId="77777777" w:rsidR="00E40B0E" w:rsidRPr="00980785" w:rsidRDefault="00E40B0E" w:rsidP="00290631">
            <w:pPr>
              <w:tabs>
                <w:tab w:val="left" w:pos="851"/>
              </w:tabs>
              <w:jc w:val="both"/>
              <w:rPr>
                <w:sz w:val="22"/>
                <w:szCs w:val="22"/>
                <w:lang w:val="sr-Latn-ME"/>
              </w:rPr>
            </w:pPr>
            <w:r w:rsidRPr="00980785">
              <w:rPr>
                <w:sz w:val="22"/>
                <w:szCs w:val="22"/>
                <w:lang w:val="sr-Latn-ME"/>
              </w:rPr>
              <w:t>% (n/N)</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B5E0C09" w14:textId="77777777" w:rsidR="00E40B0E" w:rsidRPr="00980785" w:rsidRDefault="00E40B0E" w:rsidP="00290631">
            <w:pPr>
              <w:jc w:val="both"/>
              <w:rPr>
                <w:noProof/>
                <w:sz w:val="22"/>
                <w:szCs w:val="22"/>
                <w:lang w:val="sr-Latn-ME"/>
              </w:rPr>
            </w:pPr>
          </w:p>
        </w:tc>
      </w:tr>
      <w:tr w:rsidR="00E40B0E" w:rsidRPr="00980785" w14:paraId="0B5FA890" w14:textId="77777777" w:rsidTr="00E40B0E">
        <w:tc>
          <w:tcPr>
            <w:tcW w:w="1526" w:type="dxa"/>
            <w:tcBorders>
              <w:top w:val="single" w:sz="4" w:space="0" w:color="auto"/>
              <w:left w:val="single" w:sz="4" w:space="0" w:color="auto"/>
              <w:bottom w:val="single" w:sz="4" w:space="0" w:color="auto"/>
              <w:right w:val="single" w:sz="4" w:space="0" w:color="auto"/>
            </w:tcBorders>
            <w:vAlign w:val="center"/>
            <w:hideMark/>
          </w:tcPr>
          <w:p w14:paraId="2E058E3D" w14:textId="77777777" w:rsidR="00E40B0E" w:rsidRPr="00980785" w:rsidRDefault="00E40B0E" w:rsidP="00290631">
            <w:pPr>
              <w:tabs>
                <w:tab w:val="left" w:pos="851"/>
              </w:tabs>
              <w:jc w:val="both"/>
              <w:rPr>
                <w:sz w:val="22"/>
                <w:szCs w:val="22"/>
                <w:lang w:val="sr-Latn-ME"/>
              </w:rPr>
            </w:pPr>
            <w:r w:rsidRPr="00980785">
              <w:rPr>
                <w:sz w:val="22"/>
                <w:szCs w:val="22"/>
                <w:lang w:val="sr-Latn-ME"/>
              </w:rPr>
              <w:t>240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2E7787" w14:textId="77777777" w:rsidR="00E40B0E" w:rsidRPr="00980785" w:rsidRDefault="00E40B0E" w:rsidP="00290631">
            <w:pPr>
              <w:tabs>
                <w:tab w:val="left" w:pos="851"/>
              </w:tabs>
              <w:jc w:val="both"/>
              <w:rPr>
                <w:sz w:val="22"/>
                <w:szCs w:val="22"/>
                <w:lang w:val="sr-Latn-ME"/>
              </w:rPr>
            </w:pPr>
            <w:r w:rsidRPr="00980785">
              <w:rPr>
                <w:sz w:val="22"/>
                <w:szCs w:val="22"/>
                <w:lang w:val="sr-Latn-ME"/>
              </w:rPr>
              <w:t>2.3%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AC46D0" w14:textId="77777777" w:rsidR="00E40B0E" w:rsidRPr="00980785" w:rsidRDefault="00E40B0E" w:rsidP="00290631">
            <w:pPr>
              <w:tabs>
                <w:tab w:val="left" w:pos="851"/>
              </w:tabs>
              <w:jc w:val="both"/>
              <w:rPr>
                <w:sz w:val="22"/>
                <w:szCs w:val="22"/>
                <w:lang w:val="sr-Latn-ME"/>
              </w:rPr>
            </w:pPr>
            <w:r w:rsidRPr="00980785">
              <w:rPr>
                <w:sz w:val="22"/>
                <w:szCs w:val="22"/>
                <w:lang w:val="sr-Latn-ME"/>
              </w:rPr>
              <w:t>304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25926B" w14:textId="77777777" w:rsidR="00E40B0E" w:rsidRPr="00980785" w:rsidRDefault="00E40B0E" w:rsidP="00290631">
            <w:pPr>
              <w:tabs>
                <w:tab w:val="left" w:pos="851"/>
              </w:tabs>
              <w:jc w:val="both"/>
              <w:rPr>
                <w:sz w:val="22"/>
                <w:szCs w:val="22"/>
                <w:lang w:val="sr-Latn-ME"/>
              </w:rPr>
            </w:pPr>
            <w:r w:rsidRPr="00980785">
              <w:rPr>
                <w:sz w:val="22"/>
                <w:szCs w:val="22"/>
                <w:lang w:val="sr-Latn-ME"/>
              </w:rPr>
              <w:t>3.0%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6F128D" w14:textId="77777777" w:rsidR="00E40B0E" w:rsidRPr="00980785" w:rsidRDefault="00E40B0E" w:rsidP="00290631">
            <w:pPr>
              <w:tabs>
                <w:tab w:val="left" w:pos="851"/>
              </w:tabs>
              <w:jc w:val="both"/>
              <w:rPr>
                <w:sz w:val="22"/>
                <w:szCs w:val="22"/>
                <w:lang w:val="sr-Latn-ME"/>
              </w:rPr>
            </w:pPr>
            <w:r w:rsidRPr="00980785">
              <w:rPr>
                <w:sz w:val="22"/>
                <w:szCs w:val="22"/>
                <w:lang w:val="sr-Latn-ME"/>
              </w:rPr>
              <w:t>22.0%</w:t>
            </w:r>
          </w:p>
          <w:p w14:paraId="3327727B" w14:textId="77777777" w:rsidR="00E40B0E" w:rsidRPr="00980785" w:rsidRDefault="00E40B0E" w:rsidP="00290631">
            <w:pPr>
              <w:tabs>
                <w:tab w:val="left" w:pos="851"/>
              </w:tabs>
              <w:jc w:val="both"/>
              <w:rPr>
                <w:sz w:val="22"/>
                <w:szCs w:val="22"/>
                <w:lang w:val="sr-Latn-ME"/>
              </w:rPr>
            </w:pPr>
            <w:r w:rsidRPr="00980785">
              <w:rPr>
                <w:sz w:val="22"/>
                <w:szCs w:val="22"/>
                <w:lang w:val="sr-Latn-ME"/>
              </w:rPr>
              <w:t>(95% IP: 7.7; 34.2)</w:t>
            </w:r>
          </w:p>
        </w:tc>
      </w:tr>
    </w:tbl>
    <w:p w14:paraId="6FD2418D" w14:textId="77777777" w:rsidR="00E40B0E" w:rsidRPr="00980785" w:rsidRDefault="00E40B0E" w:rsidP="00290631">
      <w:pPr>
        <w:pStyle w:val="Header"/>
        <w:tabs>
          <w:tab w:val="left" w:pos="284"/>
        </w:tabs>
        <w:jc w:val="both"/>
        <w:rPr>
          <w:sz w:val="22"/>
          <w:szCs w:val="22"/>
          <w:lang w:val="sr-Latn-ME" w:eastAsia="x-none"/>
        </w:rPr>
      </w:pPr>
    </w:p>
    <w:p w14:paraId="7029A2A0" w14:textId="77777777" w:rsidR="00E40B0E" w:rsidRPr="00980785" w:rsidRDefault="00E40B0E">
      <w:pPr>
        <w:pStyle w:val="Header"/>
        <w:tabs>
          <w:tab w:val="left" w:pos="284"/>
        </w:tabs>
        <w:jc w:val="both"/>
        <w:rPr>
          <w:sz w:val="22"/>
          <w:szCs w:val="22"/>
          <w:lang w:val="sr-Latn-ME"/>
        </w:rPr>
      </w:pPr>
      <w:r w:rsidRPr="00980785">
        <w:rPr>
          <w:sz w:val="22"/>
          <w:szCs w:val="22"/>
          <w:lang w:val="sr-Latn-ME"/>
        </w:rPr>
        <w:t>N - broj osoba po grupi</w:t>
      </w:r>
    </w:p>
    <w:p w14:paraId="0850BD41" w14:textId="0ED9758D" w:rsidR="00E40B0E" w:rsidRPr="00980785" w:rsidRDefault="00E40B0E">
      <w:pPr>
        <w:pStyle w:val="Header"/>
        <w:tabs>
          <w:tab w:val="left" w:pos="284"/>
        </w:tabs>
        <w:jc w:val="both"/>
        <w:rPr>
          <w:sz w:val="22"/>
          <w:szCs w:val="22"/>
          <w:lang w:val="sr-Latn-ME"/>
        </w:rPr>
      </w:pPr>
      <w:r w:rsidRPr="00980785">
        <w:rPr>
          <w:sz w:val="22"/>
          <w:szCs w:val="22"/>
          <w:lang w:val="sr-Latn-ME"/>
        </w:rPr>
        <w:t>n/% - broj/procenat osoba koje su prijavile prvu epizodu B</w:t>
      </w:r>
      <w:r w:rsidR="00F9059C" w:rsidRPr="00980785">
        <w:rPr>
          <w:sz w:val="22"/>
          <w:szCs w:val="22"/>
          <w:lang w:val="sr-Latn-ME"/>
        </w:rPr>
        <w:t>–</w:t>
      </w:r>
      <w:r w:rsidRPr="00980785">
        <w:rPr>
          <w:sz w:val="22"/>
          <w:szCs w:val="22"/>
          <w:lang w:val="sr-Latn-ME"/>
        </w:rPr>
        <w:t>CAP u bilo koje vrijeme od 2 nedjelje nakon primjene 3. doze vakcine</w:t>
      </w:r>
    </w:p>
    <w:p w14:paraId="1C791419" w14:textId="77777777" w:rsidR="00E40B0E" w:rsidRPr="00980785" w:rsidRDefault="00E40B0E">
      <w:pPr>
        <w:pStyle w:val="Header"/>
        <w:tabs>
          <w:tab w:val="left" w:pos="284"/>
        </w:tabs>
        <w:jc w:val="both"/>
        <w:rPr>
          <w:sz w:val="22"/>
          <w:szCs w:val="22"/>
          <w:lang w:val="sr-Latn-ME"/>
        </w:rPr>
      </w:pPr>
      <w:r w:rsidRPr="00980785">
        <w:rPr>
          <w:sz w:val="22"/>
          <w:szCs w:val="22"/>
          <w:lang w:val="sr-Latn-ME"/>
        </w:rPr>
        <w:t>IP – interval pouzdanosti</w:t>
      </w:r>
    </w:p>
    <w:p w14:paraId="6C04C05F" w14:textId="77777777" w:rsidR="00E40B0E" w:rsidRPr="00980785" w:rsidRDefault="00E40B0E">
      <w:pPr>
        <w:pStyle w:val="Header"/>
        <w:tabs>
          <w:tab w:val="left" w:pos="284"/>
        </w:tabs>
        <w:jc w:val="both"/>
        <w:rPr>
          <w:sz w:val="22"/>
          <w:szCs w:val="22"/>
          <w:lang w:val="sr-Latn-ME"/>
        </w:rPr>
      </w:pPr>
    </w:p>
    <w:p w14:paraId="0D54ECAF" w14:textId="11850151" w:rsidR="00E40B0E" w:rsidRPr="00980785" w:rsidRDefault="00E40B0E">
      <w:pPr>
        <w:pStyle w:val="Header"/>
        <w:tabs>
          <w:tab w:val="left" w:pos="284"/>
        </w:tabs>
        <w:jc w:val="both"/>
        <w:rPr>
          <w:sz w:val="22"/>
          <w:szCs w:val="22"/>
          <w:lang w:val="sr-Latn-ME"/>
        </w:rPr>
      </w:pPr>
      <w:r w:rsidRPr="00980785">
        <w:rPr>
          <w:sz w:val="22"/>
          <w:szCs w:val="22"/>
          <w:lang w:val="sr-Latn-ME"/>
        </w:rPr>
        <w:t>U interim analizi (ATP kohorta), efikasnost vakcine protiv prvih epizoda CAP sa alveolarnom konsolidacijom ili pleuralnom efuzijom (C</w:t>
      </w:r>
      <w:r w:rsidR="00F9059C" w:rsidRPr="00980785">
        <w:rPr>
          <w:sz w:val="22"/>
          <w:szCs w:val="22"/>
          <w:lang w:val="sr-Latn-ME"/>
        </w:rPr>
        <w:t>–</w:t>
      </w:r>
      <w:r w:rsidRPr="00980785">
        <w:rPr>
          <w:sz w:val="22"/>
          <w:szCs w:val="22"/>
          <w:lang w:val="sr-Latn-ME"/>
        </w:rPr>
        <w:t>CAP, SZO definicija) iznosila je 25.7% (95% IP: 8.4; 39.6) i protiv prvih epizoda klinički suspektne CAP na osnovu rendgenskog snimka iznosila je 6.7 % (95% IP: 0.7; 12.3).</w:t>
      </w:r>
    </w:p>
    <w:p w14:paraId="0E08A5E8" w14:textId="77777777" w:rsidR="00E40B0E" w:rsidRPr="00980785" w:rsidRDefault="00E40B0E">
      <w:pPr>
        <w:pStyle w:val="Header"/>
        <w:tabs>
          <w:tab w:val="left" w:pos="284"/>
        </w:tabs>
        <w:jc w:val="both"/>
        <w:rPr>
          <w:sz w:val="22"/>
          <w:szCs w:val="22"/>
          <w:lang w:val="sr-Latn-ME"/>
        </w:rPr>
      </w:pPr>
    </w:p>
    <w:p w14:paraId="7CD16ED3" w14:textId="671297C5" w:rsidR="00E40B0E" w:rsidRPr="00980785" w:rsidRDefault="00E40B0E">
      <w:pPr>
        <w:pStyle w:val="Header"/>
        <w:tabs>
          <w:tab w:val="left" w:pos="284"/>
        </w:tabs>
        <w:jc w:val="both"/>
        <w:rPr>
          <w:sz w:val="22"/>
          <w:szCs w:val="22"/>
          <w:lang w:val="sr-Latn-ME"/>
        </w:rPr>
      </w:pPr>
      <w:r w:rsidRPr="00980785">
        <w:rPr>
          <w:sz w:val="22"/>
          <w:szCs w:val="22"/>
          <w:lang w:val="sr-Latn-ME"/>
        </w:rPr>
        <w:t>U analizi na kraju kliničkog ispitivanja (ATP kohorta) efikasnost vakcine (prve epizode) protiv B</w:t>
      </w:r>
      <w:r w:rsidR="00F9059C" w:rsidRPr="00980785">
        <w:rPr>
          <w:sz w:val="22"/>
          <w:szCs w:val="22"/>
          <w:lang w:val="sr-Latn-ME"/>
        </w:rPr>
        <w:t>–</w:t>
      </w:r>
      <w:r w:rsidRPr="00980785">
        <w:rPr>
          <w:sz w:val="22"/>
          <w:szCs w:val="22"/>
          <w:lang w:val="sr-Latn-ME"/>
        </w:rPr>
        <w:t>CAP iznosila je 18.2% (95% IP: 4.1; 30.3), protiv C</w:t>
      </w:r>
      <w:r w:rsidR="00F9059C" w:rsidRPr="00980785">
        <w:rPr>
          <w:sz w:val="22"/>
          <w:szCs w:val="22"/>
          <w:lang w:val="sr-Latn-ME"/>
        </w:rPr>
        <w:t>–</w:t>
      </w:r>
      <w:r w:rsidRPr="00980785">
        <w:rPr>
          <w:sz w:val="22"/>
          <w:szCs w:val="22"/>
          <w:lang w:val="sr-Latn-ME"/>
        </w:rPr>
        <w:t>CAP 22.4% (95% IP: 5.7; 36.1) i protiv klinički suspektne CAP na osnovu rendgenskog snimka 7.3% (95% IP: 1.6; 12.6). Efikasnost vakcine protiv bakterijske pneumokokne pneumonije ili empijema uzrokovanih serotipovima iz vakcine iznosila je 100% (95% IP: 41.9; 100). Zaštita protiv B</w:t>
      </w:r>
      <w:r w:rsidR="00F9059C" w:rsidRPr="00980785">
        <w:rPr>
          <w:sz w:val="22"/>
          <w:szCs w:val="22"/>
          <w:lang w:val="sr-Latn-ME"/>
        </w:rPr>
        <w:t>–</w:t>
      </w:r>
      <w:r w:rsidRPr="00980785">
        <w:rPr>
          <w:sz w:val="22"/>
          <w:szCs w:val="22"/>
          <w:lang w:val="sr-Latn-ME"/>
        </w:rPr>
        <w:t xml:space="preserve">CAP prije primjene buster doze i u vrijeme ili nakon primjene buster doze iznosila je 13.6% (95% IP: </w:t>
      </w:r>
      <w:r w:rsidR="00B43F5E" w:rsidRPr="00980785">
        <w:rPr>
          <w:sz w:val="22"/>
          <w:szCs w:val="22"/>
          <w:lang w:val="sr-Latn-ME"/>
        </w:rPr>
        <w:t>-</w:t>
      </w:r>
      <w:r w:rsidRPr="00980785">
        <w:rPr>
          <w:sz w:val="22"/>
          <w:szCs w:val="22"/>
          <w:lang w:val="sr-Latn-ME"/>
        </w:rPr>
        <w:t>11.3; 33.0) i 21.7% (95% IP: 3.4; 36.5), respektivno. Za C</w:t>
      </w:r>
      <w:r w:rsidR="00F9059C" w:rsidRPr="00980785">
        <w:rPr>
          <w:sz w:val="22"/>
          <w:szCs w:val="22"/>
          <w:lang w:val="sr-Latn-ME"/>
        </w:rPr>
        <w:t>–</w:t>
      </w:r>
      <w:r w:rsidRPr="00980785">
        <w:rPr>
          <w:sz w:val="22"/>
          <w:szCs w:val="22"/>
          <w:lang w:val="sr-Latn-ME"/>
        </w:rPr>
        <w:t xml:space="preserve">CAP iznosila je 15.1% (95% IP: -15.5; 37.6) i 26.3% (95% IP: 4.4; 43.2), respektivno. </w:t>
      </w:r>
    </w:p>
    <w:p w14:paraId="099581AD" w14:textId="45E1D233" w:rsidR="00E40B0E" w:rsidRPr="00980785" w:rsidRDefault="00E40B0E">
      <w:pPr>
        <w:pStyle w:val="Header"/>
        <w:tabs>
          <w:tab w:val="left" w:pos="284"/>
        </w:tabs>
        <w:jc w:val="both"/>
        <w:rPr>
          <w:sz w:val="22"/>
          <w:szCs w:val="22"/>
          <w:lang w:val="sr-Latn-ME"/>
        </w:rPr>
      </w:pPr>
      <w:r w:rsidRPr="00980785">
        <w:rPr>
          <w:sz w:val="22"/>
          <w:szCs w:val="22"/>
          <w:lang w:val="sr-Latn-ME"/>
        </w:rPr>
        <w:t>Smanjenje B</w:t>
      </w:r>
      <w:r w:rsidR="00F9059C" w:rsidRPr="00980785">
        <w:rPr>
          <w:sz w:val="22"/>
          <w:szCs w:val="22"/>
          <w:lang w:val="sr-Latn-ME"/>
        </w:rPr>
        <w:t>–</w:t>
      </w:r>
      <w:r w:rsidRPr="00980785">
        <w:rPr>
          <w:sz w:val="22"/>
          <w:szCs w:val="22"/>
          <w:lang w:val="sr-Latn-ME"/>
        </w:rPr>
        <w:t>CAP i C</w:t>
      </w:r>
      <w:r w:rsidR="00F9059C" w:rsidRPr="00980785">
        <w:rPr>
          <w:sz w:val="22"/>
          <w:szCs w:val="22"/>
          <w:lang w:val="sr-Latn-ME"/>
        </w:rPr>
        <w:t>–</w:t>
      </w:r>
      <w:r w:rsidRPr="00980785">
        <w:rPr>
          <w:sz w:val="22"/>
          <w:szCs w:val="22"/>
          <w:lang w:val="sr-Latn-ME"/>
        </w:rPr>
        <w:t xml:space="preserve">CAP je bilo najveće kod djece </w:t>
      </w:r>
      <w:r w:rsidR="00B43F5E" w:rsidRPr="00980785">
        <w:rPr>
          <w:sz w:val="22"/>
          <w:szCs w:val="22"/>
          <w:lang w:val="sr-Latn-ME"/>
        </w:rPr>
        <w:t xml:space="preserve">uzrasta </w:t>
      </w:r>
      <w:r w:rsidRPr="00980785">
        <w:rPr>
          <w:sz w:val="22"/>
          <w:szCs w:val="22"/>
          <w:lang w:val="sr-Latn-ME"/>
        </w:rPr>
        <w:t>&lt; 36 mjeseci života (efikasnost vakcine od 20.6% (95% IP: 6.5; 32.6) i 24.2% (95% IP: 7.4; 38.0), respektivno). Rezultati efikasnosti vakcine kod djece &gt; 36 mjeseci života ukazuju na opadanje zaštite. Nije utvrđeno prisustvo zaštite protiv B</w:t>
      </w:r>
      <w:r w:rsidR="00F9059C" w:rsidRPr="00980785">
        <w:rPr>
          <w:sz w:val="22"/>
          <w:szCs w:val="22"/>
          <w:lang w:val="sr-Latn-ME"/>
        </w:rPr>
        <w:t>–</w:t>
      </w:r>
      <w:r w:rsidRPr="00980785">
        <w:rPr>
          <w:sz w:val="22"/>
          <w:szCs w:val="22"/>
          <w:lang w:val="sr-Latn-ME"/>
        </w:rPr>
        <w:t>CAP i C</w:t>
      </w:r>
      <w:r w:rsidR="00F9059C" w:rsidRPr="00980785">
        <w:rPr>
          <w:sz w:val="22"/>
          <w:szCs w:val="22"/>
          <w:lang w:val="sr-Latn-ME"/>
        </w:rPr>
        <w:t>–</w:t>
      </w:r>
      <w:r w:rsidRPr="00980785">
        <w:rPr>
          <w:sz w:val="22"/>
          <w:szCs w:val="22"/>
          <w:lang w:val="sr-Latn-ME"/>
        </w:rPr>
        <w:t xml:space="preserve">CAP </w:t>
      </w:r>
      <w:r w:rsidR="00B43F5E" w:rsidRPr="00980785">
        <w:rPr>
          <w:sz w:val="22"/>
          <w:szCs w:val="22"/>
          <w:lang w:val="sr-Latn-ME"/>
        </w:rPr>
        <w:t xml:space="preserve">u uzrastu </w:t>
      </w:r>
      <w:r w:rsidRPr="00980785">
        <w:rPr>
          <w:sz w:val="22"/>
          <w:szCs w:val="22"/>
          <w:lang w:val="sr-Latn-ME"/>
        </w:rPr>
        <w:t>iznad 36 mjeseci života.</w:t>
      </w:r>
    </w:p>
    <w:p w14:paraId="479C886A" w14:textId="77777777" w:rsidR="00E40B0E" w:rsidRPr="00980785" w:rsidRDefault="00E40B0E">
      <w:pPr>
        <w:pStyle w:val="Header"/>
        <w:tabs>
          <w:tab w:val="left" w:pos="284"/>
        </w:tabs>
        <w:jc w:val="both"/>
        <w:rPr>
          <w:sz w:val="22"/>
          <w:szCs w:val="22"/>
          <w:lang w:val="sr-Latn-ME"/>
        </w:rPr>
      </w:pPr>
    </w:p>
    <w:p w14:paraId="5B2A17AF" w14:textId="58C4468B" w:rsidR="00E40B0E" w:rsidRPr="00980785" w:rsidRDefault="00E40B0E">
      <w:pPr>
        <w:pStyle w:val="Header"/>
        <w:tabs>
          <w:tab w:val="left" w:pos="284"/>
        </w:tabs>
        <w:jc w:val="both"/>
        <w:rPr>
          <w:sz w:val="22"/>
          <w:szCs w:val="22"/>
          <w:lang w:val="sr-Latn-ME"/>
        </w:rPr>
      </w:pPr>
      <w:r w:rsidRPr="00980785">
        <w:rPr>
          <w:sz w:val="22"/>
          <w:szCs w:val="22"/>
          <w:lang w:val="sr-Latn-ME"/>
        </w:rPr>
        <w:lastRenderedPageBreak/>
        <w:t>S obzirom na moguće razlike u epidemiologiji pneumonije u različitim geografskim područjima, rezultate COMPAS kliničkog ispitivanja koje je spovedeno u Južnoj Americi potrebno je pažljivo interpretirati.</w:t>
      </w:r>
    </w:p>
    <w:p w14:paraId="78DB71DB" w14:textId="77777777" w:rsidR="00E40B0E" w:rsidRPr="00980785" w:rsidRDefault="00E40B0E">
      <w:pPr>
        <w:jc w:val="both"/>
        <w:rPr>
          <w:sz w:val="22"/>
          <w:szCs w:val="22"/>
          <w:lang w:val="sr-Latn-ME"/>
        </w:rPr>
      </w:pPr>
    </w:p>
    <w:p w14:paraId="15ABE43C" w14:textId="4468AEAB" w:rsidR="00E40B0E" w:rsidRPr="00980785" w:rsidRDefault="00E40B0E">
      <w:pPr>
        <w:jc w:val="both"/>
        <w:rPr>
          <w:sz w:val="22"/>
          <w:szCs w:val="22"/>
          <w:lang w:val="sr-Latn-ME"/>
        </w:rPr>
      </w:pPr>
      <w:r w:rsidRPr="00980785">
        <w:rPr>
          <w:sz w:val="22"/>
          <w:szCs w:val="22"/>
          <w:lang w:val="sr-Latn-ME"/>
        </w:rPr>
        <w:t>U kliničkom ispitivanju FinIP, efektivnost vakcine u smanjenju broja bolnički dijagnostifikovanih slučajeva upale pluća (identifikovanih na osnovu MKB</w:t>
      </w:r>
      <w:r w:rsidRPr="00980785">
        <w:rPr>
          <w:sz w:val="22"/>
          <w:szCs w:val="22"/>
          <w:lang w:val="sr-Latn-ME"/>
        </w:rPr>
        <w:noBreakHyphen/>
        <w:t>10 šifri za upalu pluća) iznosila je 26,7% (95% CI: 4,9; 43,5) kod imunizacije odojčadi prema rasporedu 3+1 te 29,3% (95% CI: 7,5; 46,3) kod imunizacije odojčadi prema šemi 2+1. Kod naknadno sprovedene propuštene ili odložene uobičajene imunizacije, efektivnost vakcine je iznosila 33,2% (95% CI: 3,0; 53,4) u kohorti kod uzrasta od 7</w:t>
      </w:r>
      <w:r w:rsidR="00F224CD" w:rsidRPr="00980785">
        <w:rPr>
          <w:sz w:val="22"/>
          <w:szCs w:val="22"/>
          <w:lang w:val="sr-Latn-ME"/>
        </w:rPr>
        <w:t xml:space="preserve"> do </w:t>
      </w:r>
      <w:r w:rsidRPr="00980785">
        <w:rPr>
          <w:sz w:val="22"/>
          <w:szCs w:val="22"/>
          <w:lang w:val="sr-Latn-ME"/>
        </w:rPr>
        <w:t xml:space="preserve">11 mjeseci i 22,4% (95% CI: </w:t>
      </w:r>
      <w:r w:rsidRPr="00980785">
        <w:rPr>
          <w:sz w:val="22"/>
          <w:szCs w:val="22"/>
          <w:lang w:val="sr-Latn-ME"/>
        </w:rPr>
        <w:noBreakHyphen/>
        <w:t>8,7; 44,8) u kohorti kod uzrasta od 12</w:t>
      </w:r>
      <w:r w:rsidR="00F224CD" w:rsidRPr="00980785">
        <w:rPr>
          <w:sz w:val="22"/>
          <w:szCs w:val="22"/>
          <w:lang w:val="sr-Latn-ME"/>
        </w:rPr>
        <w:t xml:space="preserve"> do </w:t>
      </w:r>
      <w:r w:rsidRPr="00980785">
        <w:rPr>
          <w:sz w:val="22"/>
          <w:szCs w:val="22"/>
          <w:lang w:val="sr-Latn-ME"/>
        </w:rPr>
        <w:t>18 mjeseci.</w:t>
      </w:r>
    </w:p>
    <w:p w14:paraId="7E5F8711" w14:textId="77777777" w:rsidR="00E40B0E" w:rsidRPr="00980785" w:rsidRDefault="00E40B0E">
      <w:pPr>
        <w:pStyle w:val="Header"/>
        <w:tabs>
          <w:tab w:val="left" w:pos="284"/>
        </w:tabs>
        <w:jc w:val="both"/>
        <w:rPr>
          <w:b/>
          <w:sz w:val="22"/>
          <w:szCs w:val="22"/>
          <w:lang w:val="sr-Latn-ME"/>
        </w:rPr>
      </w:pPr>
    </w:p>
    <w:p w14:paraId="31CD9D00" w14:textId="63468F87" w:rsidR="00E40B0E" w:rsidRPr="00980785" w:rsidRDefault="00E40B0E">
      <w:pPr>
        <w:pStyle w:val="Header"/>
        <w:tabs>
          <w:tab w:val="left" w:pos="284"/>
        </w:tabs>
        <w:jc w:val="both"/>
        <w:rPr>
          <w:i/>
          <w:sz w:val="22"/>
          <w:szCs w:val="22"/>
          <w:u w:val="single"/>
          <w:lang w:val="sr-Latn-ME"/>
        </w:rPr>
      </w:pPr>
      <w:r w:rsidRPr="00980785">
        <w:rPr>
          <w:i/>
          <w:sz w:val="22"/>
          <w:szCs w:val="22"/>
          <w:u w:val="single"/>
          <w:lang w:val="sr-Latn-ME"/>
        </w:rPr>
        <w:t>Akutni otitis media (AOM)</w:t>
      </w:r>
    </w:p>
    <w:p w14:paraId="5E08CA93" w14:textId="77777777" w:rsidR="00E40B0E" w:rsidRPr="00980785" w:rsidRDefault="00E40B0E">
      <w:pPr>
        <w:pStyle w:val="Header"/>
        <w:tabs>
          <w:tab w:val="left" w:pos="284"/>
        </w:tabs>
        <w:jc w:val="both"/>
        <w:rPr>
          <w:i/>
          <w:sz w:val="22"/>
          <w:szCs w:val="22"/>
          <w:u w:val="single"/>
          <w:lang w:val="sr-Latn-ME"/>
        </w:rPr>
      </w:pPr>
    </w:p>
    <w:p w14:paraId="2D6CA4F9" w14:textId="79EBC79B" w:rsidR="00E40B0E" w:rsidRPr="00980785" w:rsidRDefault="00E40B0E" w:rsidP="00290631">
      <w:pPr>
        <w:pStyle w:val="Header"/>
        <w:tabs>
          <w:tab w:val="clear" w:pos="8640"/>
          <w:tab w:val="left" w:pos="284"/>
          <w:tab w:val="right" w:pos="9072"/>
        </w:tabs>
        <w:jc w:val="both"/>
        <w:rPr>
          <w:sz w:val="22"/>
          <w:szCs w:val="22"/>
          <w:lang w:val="sr-Latn-ME"/>
        </w:rPr>
      </w:pPr>
      <w:r w:rsidRPr="00980785">
        <w:rPr>
          <w:sz w:val="22"/>
          <w:szCs w:val="22"/>
          <w:lang w:val="sr-Latn-ME"/>
        </w:rPr>
        <w:t>Sprovedena su dva ispitivanja efikasnosti, COMPAS i POET (</w:t>
      </w:r>
      <w:r w:rsidRPr="00980785">
        <w:rPr>
          <w:i/>
          <w:sz w:val="22"/>
          <w:szCs w:val="22"/>
          <w:lang w:val="sr-Latn-ME"/>
        </w:rPr>
        <w:t>Pneumococcal Otitis Media Efficacy Trial</w:t>
      </w:r>
      <w:r w:rsidRPr="00980785">
        <w:rPr>
          <w:sz w:val="22"/>
          <w:szCs w:val="22"/>
          <w:lang w:val="sr-Latn-ME"/>
        </w:rPr>
        <w:t xml:space="preserve"> – ispitivanje efikasnosti protiv pneumokoknog otitisa media) – u kojima su se primjenjivale</w:t>
      </w:r>
      <w:r w:rsidR="00F224CD" w:rsidRPr="00980785">
        <w:rPr>
          <w:sz w:val="22"/>
          <w:szCs w:val="22"/>
          <w:lang w:val="sr-Latn-ME"/>
        </w:rPr>
        <w:t xml:space="preserve"> </w:t>
      </w:r>
      <w:r w:rsidRPr="00980785">
        <w:rPr>
          <w:sz w:val="22"/>
          <w:szCs w:val="22"/>
          <w:lang w:val="sr-Latn-ME"/>
        </w:rPr>
        <w:t xml:space="preserve">konjugovane pneumokokne vakcine koje sadrže protein D: </w:t>
      </w:r>
      <w:r w:rsidR="00F224CD" w:rsidRPr="00980785">
        <w:rPr>
          <w:sz w:val="22"/>
          <w:szCs w:val="22"/>
          <w:lang w:val="sr-Latn-ME"/>
        </w:rPr>
        <w:t xml:space="preserve">Lijek </w:t>
      </w:r>
      <w:r w:rsidR="00677FAC" w:rsidRPr="00980785">
        <w:rPr>
          <w:sz w:val="22"/>
          <w:szCs w:val="22"/>
          <w:lang w:val="sr-Latn-ME"/>
        </w:rPr>
        <w:t>SYNFLORIX</w:t>
      </w:r>
      <w:r w:rsidRPr="00980785">
        <w:rPr>
          <w:sz w:val="22"/>
          <w:szCs w:val="22"/>
          <w:lang w:val="sr-Latn-ME"/>
        </w:rPr>
        <w:t xml:space="preserve"> odnosno ispitivana 11</w:t>
      </w:r>
      <w:r w:rsidRPr="00980785">
        <w:rPr>
          <w:sz w:val="22"/>
          <w:szCs w:val="22"/>
          <w:lang w:val="sr-Latn-ME"/>
        </w:rPr>
        <w:noBreakHyphen/>
        <w:t>valentna konjugovana vakcina (koja je sadržala i serotip 3).</w:t>
      </w:r>
    </w:p>
    <w:p w14:paraId="3C019E87" w14:textId="77777777" w:rsidR="00E40B0E" w:rsidRPr="00980785" w:rsidRDefault="00E40B0E" w:rsidP="00290631">
      <w:pPr>
        <w:pStyle w:val="Header"/>
        <w:tabs>
          <w:tab w:val="left" w:pos="284"/>
        </w:tabs>
        <w:jc w:val="both"/>
        <w:rPr>
          <w:sz w:val="22"/>
          <w:szCs w:val="22"/>
          <w:lang w:val="sr-Latn-ME"/>
        </w:rPr>
      </w:pPr>
    </w:p>
    <w:p w14:paraId="252B721E" w14:textId="77777777" w:rsidR="00E40B0E" w:rsidRPr="00980785" w:rsidRDefault="00E40B0E">
      <w:pPr>
        <w:pStyle w:val="Header"/>
        <w:tabs>
          <w:tab w:val="left" w:pos="284"/>
        </w:tabs>
        <w:jc w:val="both"/>
        <w:rPr>
          <w:sz w:val="22"/>
          <w:szCs w:val="22"/>
          <w:lang w:val="sr-Latn-ME"/>
        </w:rPr>
      </w:pPr>
      <w:r w:rsidRPr="00980785">
        <w:rPr>
          <w:sz w:val="22"/>
          <w:szCs w:val="22"/>
          <w:lang w:val="sr-Latn-ME"/>
        </w:rPr>
        <w:t>U COMPAS ispitivanju je za analizu efikasnosti protiv AOM bilo uključeno 7214 ispitanika (ukupna kohorta vakcinisanih), od kojih je 5989 ispitanika bilo u ATP kohorti (tabela 3).</w:t>
      </w:r>
    </w:p>
    <w:p w14:paraId="0EC5B0E8" w14:textId="77777777" w:rsidR="00E40B0E" w:rsidRPr="00980785" w:rsidRDefault="00E40B0E" w:rsidP="00290631">
      <w:pPr>
        <w:pStyle w:val="Header"/>
        <w:tabs>
          <w:tab w:val="left" w:pos="284"/>
        </w:tabs>
        <w:jc w:val="both"/>
        <w:rPr>
          <w:b/>
          <w:sz w:val="22"/>
          <w:szCs w:val="22"/>
          <w:lang w:val="sr-Latn-ME"/>
        </w:rPr>
      </w:pPr>
    </w:p>
    <w:p w14:paraId="51207D1C" w14:textId="77777777" w:rsidR="00E40B0E" w:rsidRPr="00980785" w:rsidRDefault="00E40B0E" w:rsidP="00290631">
      <w:pPr>
        <w:pStyle w:val="Header"/>
        <w:tabs>
          <w:tab w:val="left" w:pos="284"/>
        </w:tabs>
        <w:jc w:val="both"/>
        <w:rPr>
          <w:b/>
          <w:sz w:val="22"/>
          <w:szCs w:val="22"/>
          <w:lang w:val="sr-Latn-ME"/>
        </w:rPr>
      </w:pPr>
      <w:r w:rsidRPr="00980785">
        <w:rPr>
          <w:b/>
          <w:sz w:val="22"/>
          <w:szCs w:val="22"/>
          <w:lang w:val="sr-Latn-ME"/>
        </w:rPr>
        <w:t>Tabela 3: Efikasnost vakcine protiv AOM</w:t>
      </w:r>
      <w:r w:rsidRPr="00980785">
        <w:rPr>
          <w:b/>
          <w:sz w:val="22"/>
          <w:szCs w:val="22"/>
          <w:vertAlign w:val="superscript"/>
          <w:lang w:val="sr-Latn-ME"/>
        </w:rPr>
        <w:t>(1)</w:t>
      </w:r>
      <w:r w:rsidRPr="00980785">
        <w:rPr>
          <w:b/>
          <w:sz w:val="22"/>
          <w:szCs w:val="22"/>
          <w:lang w:val="sr-Latn-ME"/>
        </w:rPr>
        <w:t xml:space="preserve"> u COMPAS ispitivanju</w:t>
      </w:r>
    </w:p>
    <w:p w14:paraId="666C8A4A" w14:textId="77777777" w:rsidR="00E40B0E" w:rsidRPr="00980785" w:rsidRDefault="00E40B0E" w:rsidP="00290631">
      <w:pPr>
        <w:pStyle w:val="Header"/>
        <w:tabs>
          <w:tab w:val="left" w:pos="284"/>
        </w:tabs>
        <w:jc w:val="both"/>
        <w:rPr>
          <w:sz w:val="22"/>
          <w:szCs w:val="22"/>
          <w:lang w:val="sr-Latn-ME"/>
        </w:rPr>
      </w:pP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3118"/>
      </w:tblGrid>
      <w:tr w:rsidR="00E40B0E" w:rsidRPr="00980785" w14:paraId="2645D7D0" w14:textId="77777777" w:rsidTr="00E40B0E">
        <w:trPr>
          <w:trHeight w:val="562"/>
        </w:trPr>
        <w:tc>
          <w:tcPr>
            <w:tcW w:w="4395" w:type="dxa"/>
            <w:vMerge w:val="restart"/>
            <w:tcBorders>
              <w:top w:val="single" w:sz="4" w:space="0" w:color="auto"/>
              <w:left w:val="single" w:sz="4" w:space="0" w:color="auto"/>
              <w:bottom w:val="single" w:sz="4" w:space="0" w:color="auto"/>
              <w:right w:val="single" w:sz="4" w:space="0" w:color="auto"/>
            </w:tcBorders>
            <w:vAlign w:val="center"/>
            <w:hideMark/>
          </w:tcPr>
          <w:p w14:paraId="6D022108" w14:textId="77777777" w:rsidR="00E40B0E" w:rsidRPr="00980785" w:rsidRDefault="00E40B0E" w:rsidP="00290631">
            <w:pPr>
              <w:keepNext/>
              <w:jc w:val="both"/>
              <w:rPr>
                <w:sz w:val="22"/>
                <w:szCs w:val="22"/>
                <w:lang w:val="sr-Latn-ME"/>
              </w:rPr>
            </w:pPr>
            <w:r w:rsidRPr="00980785">
              <w:rPr>
                <w:sz w:val="22"/>
                <w:szCs w:val="22"/>
                <w:lang w:val="sr-Latn-ME"/>
              </w:rPr>
              <w:t>Vrsta ili uzrok AOM</w:t>
            </w:r>
            <w:r w:rsidRPr="00980785">
              <w:rPr>
                <w:sz w:val="22"/>
                <w:szCs w:val="22"/>
                <w:lang w:val="sr-Latn-ME"/>
              </w:rPr>
              <w:noBreakHyphen/>
              <w:t>a</w:t>
            </w:r>
          </w:p>
        </w:tc>
        <w:tc>
          <w:tcPr>
            <w:tcW w:w="3118" w:type="dxa"/>
            <w:tcBorders>
              <w:top w:val="single" w:sz="4" w:space="0" w:color="auto"/>
              <w:left w:val="single" w:sz="4" w:space="0" w:color="auto"/>
              <w:bottom w:val="dashed" w:sz="4" w:space="0" w:color="auto"/>
              <w:right w:val="single" w:sz="4" w:space="0" w:color="auto"/>
            </w:tcBorders>
            <w:vAlign w:val="center"/>
            <w:hideMark/>
          </w:tcPr>
          <w:p w14:paraId="05BA1C2E" w14:textId="77777777" w:rsidR="00E40B0E" w:rsidRPr="00980785" w:rsidRDefault="00E40B0E" w:rsidP="00290631">
            <w:pPr>
              <w:keepNext/>
              <w:jc w:val="both"/>
              <w:rPr>
                <w:sz w:val="22"/>
                <w:szCs w:val="22"/>
                <w:lang w:val="sr-Latn-ME"/>
              </w:rPr>
            </w:pPr>
            <w:r w:rsidRPr="00980785">
              <w:rPr>
                <w:sz w:val="22"/>
                <w:szCs w:val="22"/>
                <w:lang w:val="sr-Latn-ME"/>
              </w:rPr>
              <w:t>Efikasnost vakcine</w:t>
            </w:r>
          </w:p>
          <w:p w14:paraId="4FD7D652" w14:textId="77777777" w:rsidR="00E40B0E" w:rsidRPr="00980785" w:rsidRDefault="00E40B0E" w:rsidP="00290631">
            <w:pPr>
              <w:keepNext/>
              <w:jc w:val="both"/>
              <w:rPr>
                <w:sz w:val="22"/>
                <w:szCs w:val="22"/>
                <w:lang w:val="sr-Latn-ME"/>
              </w:rPr>
            </w:pPr>
            <w:r w:rsidRPr="00980785">
              <w:rPr>
                <w:sz w:val="22"/>
                <w:szCs w:val="22"/>
                <w:lang w:val="sr-Latn-ME"/>
              </w:rPr>
              <w:t>(95% CI)</w:t>
            </w:r>
          </w:p>
        </w:tc>
      </w:tr>
      <w:tr w:rsidR="00E40B0E" w:rsidRPr="00980785" w14:paraId="01766130" w14:textId="77777777" w:rsidTr="00E40B0E">
        <w:tc>
          <w:tcPr>
            <w:tcW w:w="0" w:type="auto"/>
            <w:vMerge/>
            <w:tcBorders>
              <w:top w:val="single" w:sz="4" w:space="0" w:color="auto"/>
              <w:left w:val="single" w:sz="4" w:space="0" w:color="auto"/>
              <w:bottom w:val="single" w:sz="4" w:space="0" w:color="auto"/>
              <w:right w:val="single" w:sz="4" w:space="0" w:color="auto"/>
            </w:tcBorders>
            <w:vAlign w:val="center"/>
            <w:hideMark/>
          </w:tcPr>
          <w:p w14:paraId="6075201A" w14:textId="77777777" w:rsidR="00E40B0E" w:rsidRPr="00980785" w:rsidRDefault="00E40B0E" w:rsidP="00290631">
            <w:pPr>
              <w:jc w:val="both"/>
              <w:rPr>
                <w:noProof/>
                <w:sz w:val="22"/>
                <w:szCs w:val="22"/>
                <w:lang w:val="sr-Latn-ME"/>
              </w:rPr>
            </w:pPr>
          </w:p>
        </w:tc>
        <w:tc>
          <w:tcPr>
            <w:tcW w:w="3118" w:type="dxa"/>
            <w:tcBorders>
              <w:top w:val="dashed" w:sz="4" w:space="0" w:color="auto"/>
              <w:left w:val="single" w:sz="4" w:space="0" w:color="auto"/>
              <w:bottom w:val="single" w:sz="4" w:space="0" w:color="auto"/>
              <w:right w:val="single" w:sz="4" w:space="0" w:color="auto"/>
            </w:tcBorders>
            <w:vAlign w:val="center"/>
            <w:hideMark/>
          </w:tcPr>
          <w:p w14:paraId="085D619C" w14:textId="77777777" w:rsidR="00E40B0E" w:rsidRPr="00980785" w:rsidRDefault="00E40B0E" w:rsidP="00290631">
            <w:pPr>
              <w:keepNext/>
              <w:jc w:val="both"/>
              <w:rPr>
                <w:b/>
                <w:bCs/>
                <w:sz w:val="22"/>
                <w:szCs w:val="22"/>
                <w:lang w:val="sr-Latn-ME"/>
              </w:rPr>
            </w:pPr>
            <w:r w:rsidRPr="00980785">
              <w:rPr>
                <w:sz w:val="22"/>
                <w:szCs w:val="22"/>
                <w:lang w:val="sr-Latn-ME"/>
              </w:rPr>
              <w:t>ATP</w:t>
            </w:r>
            <w:r w:rsidRPr="00980785">
              <w:rPr>
                <w:sz w:val="22"/>
                <w:szCs w:val="22"/>
                <w:vertAlign w:val="superscript"/>
                <w:lang w:val="sr-Latn-ME"/>
              </w:rPr>
              <w:t>(2)</w:t>
            </w:r>
          </w:p>
        </w:tc>
      </w:tr>
      <w:tr w:rsidR="00E40B0E" w:rsidRPr="00980785" w14:paraId="407EADE6" w14:textId="77777777" w:rsidTr="00E40B0E">
        <w:tc>
          <w:tcPr>
            <w:tcW w:w="4395" w:type="dxa"/>
            <w:tcBorders>
              <w:top w:val="single" w:sz="4" w:space="0" w:color="auto"/>
              <w:left w:val="single" w:sz="4" w:space="0" w:color="auto"/>
              <w:bottom w:val="single" w:sz="4" w:space="0" w:color="auto"/>
              <w:right w:val="single" w:sz="4" w:space="0" w:color="auto"/>
            </w:tcBorders>
            <w:vAlign w:val="center"/>
            <w:hideMark/>
          </w:tcPr>
          <w:p w14:paraId="357B14CD" w14:textId="77777777" w:rsidR="00E40B0E" w:rsidRPr="00980785" w:rsidRDefault="00E40B0E" w:rsidP="00290631">
            <w:pPr>
              <w:keepNext/>
              <w:jc w:val="both"/>
              <w:rPr>
                <w:b/>
                <w:bCs/>
                <w:sz w:val="22"/>
                <w:szCs w:val="22"/>
                <w:lang w:val="sr-Latn-ME"/>
              </w:rPr>
            </w:pPr>
            <w:r w:rsidRPr="00980785">
              <w:rPr>
                <w:sz w:val="22"/>
                <w:szCs w:val="22"/>
                <w:lang w:val="sr-Latn-ME"/>
              </w:rPr>
              <w:t>Klinički AOM</w:t>
            </w:r>
          </w:p>
        </w:tc>
        <w:tc>
          <w:tcPr>
            <w:tcW w:w="3118" w:type="dxa"/>
            <w:tcBorders>
              <w:top w:val="single" w:sz="4" w:space="0" w:color="auto"/>
              <w:left w:val="single" w:sz="4" w:space="0" w:color="auto"/>
              <w:bottom w:val="single" w:sz="4" w:space="0" w:color="auto"/>
              <w:right w:val="single" w:sz="4" w:space="0" w:color="auto"/>
            </w:tcBorders>
            <w:hideMark/>
          </w:tcPr>
          <w:p w14:paraId="4DD9D650" w14:textId="77777777" w:rsidR="00E40B0E" w:rsidRPr="00980785" w:rsidRDefault="00E40B0E" w:rsidP="00290631">
            <w:pPr>
              <w:keepNext/>
              <w:jc w:val="both"/>
              <w:rPr>
                <w:b/>
                <w:bCs/>
                <w:sz w:val="22"/>
                <w:szCs w:val="22"/>
                <w:lang w:val="sr-Latn-ME"/>
              </w:rPr>
            </w:pPr>
            <w:r w:rsidRPr="00980785">
              <w:rPr>
                <w:sz w:val="22"/>
                <w:szCs w:val="22"/>
                <w:lang w:val="sr-Latn-ME"/>
              </w:rPr>
              <w:t>16,1%</w:t>
            </w:r>
          </w:p>
          <w:p w14:paraId="38FF9833" w14:textId="002351DE" w:rsidR="00E40B0E" w:rsidRPr="00980785" w:rsidRDefault="00E40B0E" w:rsidP="00290631">
            <w:pPr>
              <w:keepNext/>
              <w:jc w:val="both"/>
              <w:rPr>
                <w:b/>
                <w:bCs/>
                <w:sz w:val="22"/>
                <w:szCs w:val="22"/>
                <w:lang w:val="sr-Latn-ME"/>
              </w:rPr>
            </w:pPr>
            <w:r w:rsidRPr="00980785">
              <w:rPr>
                <w:sz w:val="22"/>
                <w:szCs w:val="22"/>
                <w:lang w:val="sr-Latn-ME"/>
              </w:rPr>
              <w:t>(-1,1;</w:t>
            </w:r>
            <w:r w:rsidR="00F224CD" w:rsidRPr="00980785">
              <w:rPr>
                <w:sz w:val="22"/>
                <w:szCs w:val="22"/>
                <w:lang w:val="sr-Latn-ME"/>
              </w:rPr>
              <w:t xml:space="preserve"> </w:t>
            </w:r>
            <w:r w:rsidRPr="00980785">
              <w:rPr>
                <w:sz w:val="22"/>
                <w:szCs w:val="22"/>
                <w:lang w:val="sr-Latn-ME"/>
              </w:rPr>
              <w:t>30,4)</w:t>
            </w:r>
            <w:r w:rsidRPr="00980785">
              <w:rPr>
                <w:sz w:val="22"/>
                <w:szCs w:val="22"/>
                <w:vertAlign w:val="superscript"/>
                <w:lang w:val="sr-Latn-ME"/>
              </w:rPr>
              <w:t>(3)</w:t>
            </w:r>
          </w:p>
        </w:tc>
      </w:tr>
      <w:tr w:rsidR="00E40B0E" w:rsidRPr="00980785" w14:paraId="20E7F2BF" w14:textId="77777777" w:rsidTr="00E40B0E">
        <w:tc>
          <w:tcPr>
            <w:tcW w:w="4395" w:type="dxa"/>
            <w:tcBorders>
              <w:top w:val="single" w:sz="4" w:space="0" w:color="auto"/>
              <w:left w:val="single" w:sz="4" w:space="0" w:color="auto"/>
              <w:bottom w:val="single" w:sz="4" w:space="0" w:color="auto"/>
              <w:right w:val="single" w:sz="4" w:space="0" w:color="auto"/>
            </w:tcBorders>
            <w:vAlign w:val="center"/>
            <w:hideMark/>
          </w:tcPr>
          <w:p w14:paraId="56E2346F" w14:textId="77777777" w:rsidR="00E40B0E" w:rsidRPr="00980785" w:rsidRDefault="00E40B0E" w:rsidP="00290631">
            <w:pPr>
              <w:keepNext/>
              <w:jc w:val="both"/>
              <w:rPr>
                <w:b/>
                <w:bCs/>
                <w:sz w:val="22"/>
                <w:szCs w:val="22"/>
                <w:lang w:val="sr-Latn-ME"/>
              </w:rPr>
            </w:pPr>
            <w:r w:rsidRPr="00980785">
              <w:rPr>
                <w:sz w:val="22"/>
                <w:szCs w:val="22"/>
                <w:lang w:val="sr-Latn-ME"/>
              </w:rPr>
              <w:t>Bilo koji pneumokokni serotip</w:t>
            </w:r>
          </w:p>
        </w:tc>
        <w:tc>
          <w:tcPr>
            <w:tcW w:w="3118" w:type="dxa"/>
            <w:tcBorders>
              <w:top w:val="single" w:sz="4" w:space="0" w:color="auto"/>
              <w:left w:val="single" w:sz="4" w:space="0" w:color="auto"/>
              <w:bottom w:val="single" w:sz="4" w:space="0" w:color="auto"/>
              <w:right w:val="single" w:sz="4" w:space="0" w:color="auto"/>
            </w:tcBorders>
            <w:hideMark/>
          </w:tcPr>
          <w:p w14:paraId="3F026509" w14:textId="77777777" w:rsidR="00E40B0E" w:rsidRPr="00980785" w:rsidRDefault="00E40B0E" w:rsidP="00290631">
            <w:pPr>
              <w:keepNext/>
              <w:jc w:val="both"/>
              <w:rPr>
                <w:b/>
                <w:bCs/>
                <w:sz w:val="22"/>
                <w:szCs w:val="22"/>
                <w:lang w:val="sr-Latn-ME"/>
              </w:rPr>
            </w:pPr>
            <w:r w:rsidRPr="00980785">
              <w:rPr>
                <w:sz w:val="22"/>
                <w:szCs w:val="22"/>
                <w:lang w:val="sr-Latn-ME"/>
              </w:rPr>
              <w:t>56,1%</w:t>
            </w:r>
          </w:p>
          <w:p w14:paraId="59EAD486" w14:textId="6813C3A2" w:rsidR="00E40B0E" w:rsidRPr="00980785" w:rsidRDefault="00E40B0E" w:rsidP="00290631">
            <w:pPr>
              <w:keepNext/>
              <w:jc w:val="both"/>
              <w:rPr>
                <w:b/>
                <w:bCs/>
                <w:sz w:val="22"/>
                <w:szCs w:val="22"/>
                <w:lang w:val="sr-Latn-ME"/>
              </w:rPr>
            </w:pPr>
            <w:r w:rsidRPr="00980785">
              <w:rPr>
                <w:sz w:val="22"/>
                <w:szCs w:val="22"/>
                <w:lang w:val="sr-Latn-ME"/>
              </w:rPr>
              <w:t>(13,4;</w:t>
            </w:r>
            <w:r w:rsidR="00F224CD" w:rsidRPr="00980785">
              <w:rPr>
                <w:sz w:val="22"/>
                <w:szCs w:val="22"/>
                <w:lang w:val="sr-Latn-ME"/>
              </w:rPr>
              <w:t xml:space="preserve"> </w:t>
            </w:r>
            <w:r w:rsidRPr="00980785">
              <w:rPr>
                <w:sz w:val="22"/>
                <w:szCs w:val="22"/>
                <w:lang w:val="sr-Latn-ME"/>
              </w:rPr>
              <w:t>77,8)</w:t>
            </w:r>
          </w:p>
        </w:tc>
      </w:tr>
      <w:tr w:rsidR="00E40B0E" w:rsidRPr="00980785" w14:paraId="6F475662" w14:textId="77777777" w:rsidTr="00E40B0E">
        <w:tc>
          <w:tcPr>
            <w:tcW w:w="4395" w:type="dxa"/>
            <w:tcBorders>
              <w:top w:val="single" w:sz="4" w:space="0" w:color="auto"/>
              <w:left w:val="single" w:sz="4" w:space="0" w:color="auto"/>
              <w:bottom w:val="single" w:sz="4" w:space="0" w:color="auto"/>
              <w:right w:val="single" w:sz="4" w:space="0" w:color="auto"/>
            </w:tcBorders>
            <w:vAlign w:val="center"/>
            <w:hideMark/>
          </w:tcPr>
          <w:p w14:paraId="7D584999" w14:textId="77777777" w:rsidR="00E40B0E" w:rsidRPr="00980785" w:rsidRDefault="00E40B0E" w:rsidP="00290631">
            <w:pPr>
              <w:keepNext/>
              <w:jc w:val="both"/>
              <w:rPr>
                <w:b/>
                <w:bCs/>
                <w:sz w:val="22"/>
                <w:szCs w:val="22"/>
                <w:lang w:val="sr-Latn-ME"/>
              </w:rPr>
            </w:pPr>
            <w:r w:rsidRPr="00980785">
              <w:rPr>
                <w:sz w:val="22"/>
                <w:szCs w:val="22"/>
                <w:lang w:val="sr-Latn-ME"/>
              </w:rPr>
              <w:t>10 pneumokoknih serotipova zastupljenih u vakcini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F0C65F9" w14:textId="77777777" w:rsidR="00E40B0E" w:rsidRPr="00980785" w:rsidRDefault="00E40B0E" w:rsidP="00290631">
            <w:pPr>
              <w:keepNext/>
              <w:jc w:val="both"/>
              <w:rPr>
                <w:b/>
                <w:bCs/>
                <w:sz w:val="22"/>
                <w:szCs w:val="22"/>
                <w:lang w:val="sr-Latn-ME"/>
              </w:rPr>
            </w:pPr>
            <w:r w:rsidRPr="00980785">
              <w:rPr>
                <w:sz w:val="22"/>
                <w:szCs w:val="22"/>
                <w:lang w:val="sr-Latn-ME"/>
              </w:rPr>
              <w:t>67,1%</w:t>
            </w:r>
          </w:p>
          <w:p w14:paraId="59B0D0CE" w14:textId="77777777" w:rsidR="00E40B0E" w:rsidRPr="00980785" w:rsidRDefault="00E40B0E" w:rsidP="00290631">
            <w:pPr>
              <w:keepNext/>
              <w:jc w:val="both"/>
              <w:rPr>
                <w:b/>
                <w:bCs/>
                <w:sz w:val="22"/>
                <w:szCs w:val="22"/>
                <w:lang w:val="sr-Latn-ME"/>
              </w:rPr>
            </w:pPr>
            <w:r w:rsidRPr="00980785">
              <w:rPr>
                <w:sz w:val="22"/>
                <w:szCs w:val="22"/>
                <w:lang w:val="sr-Latn-ME"/>
              </w:rPr>
              <w:t>(17,0; 86,9)</w:t>
            </w:r>
          </w:p>
        </w:tc>
      </w:tr>
      <w:tr w:rsidR="00E40B0E" w:rsidRPr="00980785" w14:paraId="77249D5A" w14:textId="77777777" w:rsidTr="00E40B0E">
        <w:tc>
          <w:tcPr>
            <w:tcW w:w="4395" w:type="dxa"/>
            <w:tcBorders>
              <w:top w:val="single" w:sz="4" w:space="0" w:color="auto"/>
              <w:left w:val="single" w:sz="4" w:space="0" w:color="auto"/>
              <w:bottom w:val="single" w:sz="4" w:space="0" w:color="auto"/>
              <w:right w:val="single" w:sz="4" w:space="0" w:color="auto"/>
            </w:tcBorders>
            <w:vAlign w:val="center"/>
            <w:hideMark/>
          </w:tcPr>
          <w:p w14:paraId="1EC9EEDB" w14:textId="77777777" w:rsidR="00E40B0E" w:rsidRPr="00980785" w:rsidRDefault="00E40B0E" w:rsidP="00290631">
            <w:pPr>
              <w:keepNext/>
              <w:jc w:val="both"/>
              <w:rPr>
                <w:b/>
                <w:bCs/>
                <w:sz w:val="22"/>
                <w:szCs w:val="22"/>
                <w:lang w:val="sr-Latn-ME"/>
              </w:rPr>
            </w:pPr>
            <w:r w:rsidRPr="00980785">
              <w:rPr>
                <w:sz w:val="22"/>
                <w:szCs w:val="22"/>
                <w:lang w:val="sr-Latn-ME"/>
              </w:rPr>
              <w:t xml:space="preserve">Netipizirani </w:t>
            </w:r>
            <w:r w:rsidRPr="00980785">
              <w:rPr>
                <w:i/>
                <w:sz w:val="22"/>
                <w:szCs w:val="22"/>
                <w:lang w:val="sr-Latn-ME"/>
              </w:rPr>
              <w:t>Haemophilus influenzae</w:t>
            </w:r>
            <w:r w:rsidRPr="00980785">
              <w:rPr>
                <w:sz w:val="22"/>
                <w:szCs w:val="22"/>
                <w:lang w:val="sr-Latn-ME"/>
              </w:rPr>
              <w:t xml:space="preserve"> (NTHi)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3DD07C6" w14:textId="77777777" w:rsidR="00E40B0E" w:rsidRPr="00980785" w:rsidRDefault="00E40B0E" w:rsidP="00290631">
            <w:pPr>
              <w:keepNext/>
              <w:jc w:val="both"/>
              <w:rPr>
                <w:b/>
                <w:bCs/>
                <w:sz w:val="22"/>
                <w:szCs w:val="22"/>
                <w:lang w:val="sr-Latn-ME"/>
              </w:rPr>
            </w:pPr>
            <w:r w:rsidRPr="00980785">
              <w:rPr>
                <w:sz w:val="22"/>
                <w:szCs w:val="22"/>
                <w:lang w:val="sr-Latn-ME"/>
              </w:rPr>
              <w:t>15,0%</w:t>
            </w:r>
            <w:r w:rsidRPr="00980785">
              <w:rPr>
                <w:sz w:val="22"/>
                <w:szCs w:val="22"/>
                <w:vertAlign w:val="superscript"/>
                <w:lang w:val="sr-Latn-ME"/>
              </w:rPr>
              <w:t>(4)</w:t>
            </w:r>
          </w:p>
          <w:p w14:paraId="118003F6" w14:textId="6DA42D96" w:rsidR="00E40B0E" w:rsidRPr="00980785" w:rsidRDefault="00E40B0E" w:rsidP="00290631">
            <w:pPr>
              <w:keepNext/>
              <w:jc w:val="both"/>
              <w:rPr>
                <w:b/>
                <w:bCs/>
                <w:sz w:val="22"/>
                <w:szCs w:val="22"/>
                <w:lang w:val="sr-Latn-ME"/>
              </w:rPr>
            </w:pPr>
            <w:r w:rsidRPr="00980785">
              <w:rPr>
                <w:sz w:val="22"/>
                <w:szCs w:val="22"/>
                <w:lang w:val="sr-Latn-ME"/>
              </w:rPr>
              <w:t>(-83,8;</w:t>
            </w:r>
            <w:r w:rsidR="00F224CD" w:rsidRPr="00980785">
              <w:rPr>
                <w:sz w:val="22"/>
                <w:szCs w:val="22"/>
                <w:lang w:val="sr-Latn-ME"/>
              </w:rPr>
              <w:t xml:space="preserve"> </w:t>
            </w:r>
            <w:r w:rsidRPr="00980785">
              <w:rPr>
                <w:sz w:val="22"/>
                <w:szCs w:val="22"/>
                <w:lang w:val="sr-Latn-ME"/>
              </w:rPr>
              <w:t>60,7)</w:t>
            </w:r>
          </w:p>
        </w:tc>
      </w:tr>
    </w:tbl>
    <w:p w14:paraId="52B56D3F" w14:textId="77777777" w:rsidR="00E40B0E" w:rsidRPr="00980785" w:rsidRDefault="00E40B0E">
      <w:pPr>
        <w:pStyle w:val="Header"/>
        <w:tabs>
          <w:tab w:val="left" w:pos="284"/>
        </w:tabs>
        <w:jc w:val="both"/>
        <w:rPr>
          <w:sz w:val="22"/>
          <w:szCs w:val="22"/>
          <w:lang w:val="sr-Latn-ME" w:eastAsia="x-none"/>
        </w:rPr>
      </w:pPr>
    </w:p>
    <w:p w14:paraId="152CE4ED" w14:textId="1A4F6DD3" w:rsidR="00E40B0E" w:rsidRPr="00980785" w:rsidRDefault="00E40B0E">
      <w:pPr>
        <w:pStyle w:val="Header"/>
        <w:tabs>
          <w:tab w:val="left" w:pos="284"/>
        </w:tabs>
        <w:jc w:val="both"/>
        <w:rPr>
          <w:sz w:val="22"/>
          <w:szCs w:val="22"/>
          <w:lang w:val="sr-Latn-ME"/>
        </w:rPr>
      </w:pPr>
      <w:r w:rsidRPr="00980785">
        <w:rPr>
          <w:sz w:val="22"/>
          <w:szCs w:val="22"/>
          <w:lang w:val="sr-Latn-ME"/>
        </w:rPr>
        <w:t>IP</w:t>
      </w:r>
      <w:r w:rsidRPr="00980785">
        <w:rPr>
          <w:sz w:val="22"/>
          <w:szCs w:val="22"/>
          <w:lang w:val="sr-Latn-ME"/>
        </w:rPr>
        <w:tab/>
      </w:r>
      <w:r w:rsidR="00F224CD" w:rsidRPr="00980785">
        <w:rPr>
          <w:sz w:val="22"/>
          <w:szCs w:val="22"/>
          <w:lang w:val="sr-Latn-ME"/>
        </w:rPr>
        <w:t xml:space="preserve">    </w:t>
      </w:r>
      <w:r w:rsidRPr="00980785">
        <w:rPr>
          <w:sz w:val="22"/>
          <w:szCs w:val="22"/>
          <w:lang w:val="sr-Latn-ME"/>
        </w:rPr>
        <w:t>interval povjerenja</w:t>
      </w:r>
    </w:p>
    <w:p w14:paraId="7657262C" w14:textId="7B90B1F6" w:rsidR="00E40B0E" w:rsidRPr="00980785" w:rsidRDefault="00E40B0E">
      <w:pPr>
        <w:pStyle w:val="Header"/>
        <w:tabs>
          <w:tab w:val="left" w:pos="284"/>
        </w:tabs>
        <w:jc w:val="both"/>
        <w:rPr>
          <w:sz w:val="22"/>
          <w:szCs w:val="22"/>
          <w:lang w:val="sr-Latn-ME"/>
        </w:rPr>
      </w:pPr>
      <w:r w:rsidRPr="00980785">
        <w:rPr>
          <w:sz w:val="22"/>
          <w:szCs w:val="22"/>
          <w:lang w:val="sr-Latn-ME"/>
        </w:rPr>
        <w:t>(1)</w:t>
      </w:r>
      <w:r w:rsidRPr="00980785">
        <w:rPr>
          <w:sz w:val="22"/>
          <w:szCs w:val="22"/>
          <w:lang w:val="sr-Latn-ME"/>
        </w:rPr>
        <w:tab/>
      </w:r>
      <w:r w:rsidR="00F224CD" w:rsidRPr="00980785">
        <w:rPr>
          <w:sz w:val="22"/>
          <w:szCs w:val="22"/>
          <w:lang w:val="sr-Latn-ME"/>
        </w:rPr>
        <w:t xml:space="preserve">    </w:t>
      </w:r>
      <w:r w:rsidRPr="00980785">
        <w:rPr>
          <w:sz w:val="22"/>
          <w:szCs w:val="22"/>
          <w:lang w:val="sr-Latn-ME"/>
        </w:rPr>
        <w:t>prva epizoda</w:t>
      </w:r>
    </w:p>
    <w:p w14:paraId="08604A2B" w14:textId="3BA4A4E1" w:rsidR="00E40B0E" w:rsidRPr="00980785" w:rsidRDefault="00E40B0E">
      <w:pPr>
        <w:pStyle w:val="Header"/>
        <w:tabs>
          <w:tab w:val="left" w:pos="284"/>
        </w:tabs>
        <w:jc w:val="both"/>
        <w:rPr>
          <w:sz w:val="22"/>
          <w:szCs w:val="22"/>
          <w:lang w:val="sr-Latn-ME"/>
        </w:rPr>
      </w:pPr>
      <w:r w:rsidRPr="00980785">
        <w:rPr>
          <w:sz w:val="22"/>
          <w:szCs w:val="22"/>
          <w:lang w:val="sr-Latn-ME"/>
        </w:rPr>
        <w:t xml:space="preserve">(2) </w:t>
      </w:r>
      <w:r w:rsidR="00F224CD" w:rsidRPr="00980785">
        <w:rPr>
          <w:sz w:val="22"/>
          <w:szCs w:val="22"/>
          <w:lang w:val="sr-Latn-ME"/>
        </w:rPr>
        <w:t xml:space="preserve">    </w:t>
      </w:r>
      <w:r w:rsidRPr="00980785">
        <w:rPr>
          <w:sz w:val="22"/>
          <w:szCs w:val="22"/>
          <w:lang w:val="sr-Latn-ME"/>
        </w:rPr>
        <w:t>period praćenja do najviše 40 mjeseci, počev od 2 nedjelje nakon treće primarne doze</w:t>
      </w:r>
    </w:p>
    <w:p w14:paraId="710A018D" w14:textId="071389E7" w:rsidR="00E40B0E" w:rsidRPr="00980785" w:rsidRDefault="00E40B0E">
      <w:pPr>
        <w:pStyle w:val="Header"/>
        <w:tabs>
          <w:tab w:val="left" w:pos="284"/>
        </w:tabs>
        <w:jc w:val="both"/>
        <w:rPr>
          <w:sz w:val="22"/>
          <w:szCs w:val="22"/>
          <w:lang w:val="sr-Latn-ME"/>
        </w:rPr>
      </w:pPr>
      <w:r w:rsidRPr="00980785">
        <w:rPr>
          <w:sz w:val="22"/>
          <w:szCs w:val="22"/>
          <w:lang w:val="sr-Latn-ME"/>
        </w:rPr>
        <w:t>(3)</w:t>
      </w:r>
      <w:r w:rsidR="00F224CD" w:rsidRPr="00980785">
        <w:rPr>
          <w:sz w:val="22"/>
          <w:szCs w:val="22"/>
          <w:lang w:val="sr-Latn-ME"/>
        </w:rPr>
        <w:t xml:space="preserve"> </w:t>
      </w:r>
      <w:r w:rsidRPr="00980785">
        <w:rPr>
          <w:sz w:val="22"/>
          <w:szCs w:val="22"/>
          <w:lang w:val="sr-Latn-ME"/>
        </w:rPr>
        <w:t>nije</w:t>
      </w:r>
      <w:r w:rsidR="00F224CD" w:rsidRPr="00980785">
        <w:rPr>
          <w:sz w:val="22"/>
          <w:szCs w:val="22"/>
          <w:lang w:val="sr-Latn-ME"/>
        </w:rPr>
        <w:t xml:space="preserve"> </w:t>
      </w:r>
      <w:r w:rsidRPr="00980785">
        <w:rPr>
          <w:sz w:val="22"/>
          <w:szCs w:val="22"/>
          <w:lang w:val="sr-Latn-ME"/>
        </w:rPr>
        <w:t>statistički značajno prema unaprijed definisanim kriterijumima (jednostrana p</w:t>
      </w:r>
      <w:r w:rsidRPr="00980785">
        <w:rPr>
          <w:sz w:val="22"/>
          <w:szCs w:val="22"/>
          <w:lang w:val="sr-Latn-ME"/>
        </w:rPr>
        <w:noBreakHyphen/>
        <w:t>vrijednost = 0,032). Međutim, u TVC kohorti efikasnost vakcine protiv prve kliničke epizode AOM iznosila je 19% (95% IP: 4,4;</w:t>
      </w:r>
      <w:r w:rsidR="00F224CD" w:rsidRPr="00980785">
        <w:rPr>
          <w:sz w:val="22"/>
          <w:szCs w:val="22"/>
          <w:lang w:val="sr-Latn-ME"/>
        </w:rPr>
        <w:t xml:space="preserve"> </w:t>
      </w:r>
      <w:r w:rsidRPr="00980785">
        <w:rPr>
          <w:sz w:val="22"/>
          <w:szCs w:val="22"/>
          <w:lang w:val="sr-Latn-ME"/>
        </w:rPr>
        <w:t>31,4).</w:t>
      </w:r>
    </w:p>
    <w:p w14:paraId="27EA6553" w14:textId="0671B24D" w:rsidR="00E40B0E" w:rsidRPr="00980785" w:rsidRDefault="00E40B0E">
      <w:pPr>
        <w:pStyle w:val="Header"/>
        <w:tabs>
          <w:tab w:val="left" w:pos="284"/>
        </w:tabs>
        <w:jc w:val="both"/>
        <w:rPr>
          <w:sz w:val="22"/>
          <w:szCs w:val="22"/>
          <w:lang w:val="sr-Latn-ME"/>
        </w:rPr>
      </w:pPr>
      <w:r w:rsidRPr="00980785">
        <w:rPr>
          <w:sz w:val="22"/>
          <w:szCs w:val="22"/>
          <w:lang w:val="sr-Latn-ME"/>
        </w:rPr>
        <w:t>(4)</w:t>
      </w:r>
      <w:r w:rsidRPr="00980785">
        <w:rPr>
          <w:sz w:val="22"/>
          <w:szCs w:val="22"/>
          <w:lang w:val="sr-Latn-ME"/>
        </w:rPr>
        <w:tab/>
      </w:r>
      <w:r w:rsidR="00F224CD" w:rsidRPr="00980785">
        <w:rPr>
          <w:sz w:val="22"/>
          <w:szCs w:val="22"/>
          <w:lang w:val="sr-Latn-ME"/>
        </w:rPr>
        <w:t xml:space="preserve">   </w:t>
      </w:r>
      <w:r w:rsidRPr="00980785">
        <w:rPr>
          <w:sz w:val="22"/>
          <w:szCs w:val="22"/>
          <w:lang w:val="sr-Latn-ME"/>
        </w:rPr>
        <w:t xml:space="preserve"> nije statistički značajno.</w:t>
      </w:r>
    </w:p>
    <w:p w14:paraId="663DF897" w14:textId="77777777" w:rsidR="00E40B0E" w:rsidRPr="00980785" w:rsidRDefault="00E40B0E">
      <w:pPr>
        <w:pStyle w:val="Header"/>
        <w:tabs>
          <w:tab w:val="left" w:pos="284"/>
        </w:tabs>
        <w:jc w:val="both"/>
        <w:rPr>
          <w:i/>
          <w:sz w:val="22"/>
          <w:szCs w:val="22"/>
          <w:u w:val="single"/>
          <w:lang w:val="sr-Latn-ME"/>
        </w:rPr>
      </w:pPr>
    </w:p>
    <w:p w14:paraId="7276B815" w14:textId="5922D4BA" w:rsidR="00E40B0E" w:rsidRPr="00980785" w:rsidRDefault="00E40B0E">
      <w:pPr>
        <w:pStyle w:val="Header"/>
        <w:tabs>
          <w:tab w:val="left" w:pos="284"/>
        </w:tabs>
        <w:jc w:val="both"/>
        <w:rPr>
          <w:sz w:val="22"/>
          <w:szCs w:val="22"/>
          <w:lang w:val="sr-Latn-ME"/>
        </w:rPr>
      </w:pPr>
      <w:r w:rsidRPr="00980785">
        <w:rPr>
          <w:sz w:val="22"/>
          <w:szCs w:val="22"/>
          <w:lang w:val="sr-Latn-ME"/>
        </w:rPr>
        <w:t>U drugoj velikoj, randomizovanoj, duplo slijepoj kliničkoj studiji (POET) sprovedenoj u Republici Češkoj i Slovačkoj,  4907</w:t>
      </w:r>
      <w:r w:rsidR="00F224CD" w:rsidRPr="00980785">
        <w:rPr>
          <w:sz w:val="22"/>
          <w:szCs w:val="22"/>
          <w:lang w:val="sr-Latn-ME"/>
        </w:rPr>
        <w:t xml:space="preserve"> </w:t>
      </w:r>
      <w:r w:rsidRPr="00980785">
        <w:rPr>
          <w:sz w:val="22"/>
          <w:szCs w:val="22"/>
          <w:lang w:val="sr-Latn-ME"/>
        </w:rPr>
        <w:t xml:space="preserve">odojčadi (ATP kohorta) je dobilo 11-valentnu vakcinu koja je ispitivana (11Pn-PD), koja sadrži 10 serotipova koji se nalaze u vakcini </w:t>
      </w:r>
      <w:r w:rsidR="00677FAC" w:rsidRPr="00980785">
        <w:rPr>
          <w:sz w:val="22"/>
          <w:szCs w:val="22"/>
          <w:lang w:val="sr-Latn-ME"/>
        </w:rPr>
        <w:t>SYNFLORIX</w:t>
      </w:r>
      <w:r w:rsidRPr="00980785">
        <w:rPr>
          <w:sz w:val="22"/>
          <w:szCs w:val="22"/>
          <w:lang w:val="sr-Latn-ME"/>
        </w:rPr>
        <w:t xml:space="preserve"> (zajedno sa serotipom 3 čija efikasnost nije dokazana) ili kontrolnu vakcinu (vakcinu protiv hepatitisa A), prema protokolu vakcinacije 3, 4, 5 i 12-15 mjeseci.</w:t>
      </w:r>
    </w:p>
    <w:p w14:paraId="4F80E7CD" w14:textId="77777777" w:rsidR="00E40B0E" w:rsidRPr="00980785" w:rsidRDefault="00E40B0E">
      <w:pPr>
        <w:pStyle w:val="Header"/>
        <w:tabs>
          <w:tab w:val="left" w:pos="284"/>
        </w:tabs>
        <w:jc w:val="both"/>
        <w:rPr>
          <w:sz w:val="22"/>
          <w:szCs w:val="22"/>
          <w:lang w:val="sr-Latn-ME"/>
        </w:rPr>
      </w:pPr>
    </w:p>
    <w:p w14:paraId="1F498C26" w14:textId="54F078A7" w:rsidR="00E40B0E" w:rsidRPr="00980785" w:rsidRDefault="00E40B0E">
      <w:pPr>
        <w:pStyle w:val="Header"/>
        <w:tabs>
          <w:tab w:val="left" w:pos="284"/>
        </w:tabs>
        <w:jc w:val="both"/>
        <w:rPr>
          <w:sz w:val="22"/>
          <w:szCs w:val="22"/>
          <w:lang w:val="sr-Latn-ME"/>
        </w:rPr>
      </w:pPr>
      <w:r w:rsidRPr="00980785">
        <w:rPr>
          <w:sz w:val="22"/>
          <w:szCs w:val="22"/>
          <w:lang w:val="sr-Latn-ME"/>
        </w:rPr>
        <w:t xml:space="preserve">Efikasnost 11Pn-PD vakcine nasuprot prvoj pojavi AOM izazvanog nekim od serotipova koji se nalazi u vakcini bila je 52, 6% (95% IP: 35,0; 65,5). Specifična serotipska efikasnost protiv pojave prve AOM epizode pokazala se za serotipove 6B (86,5%, 95% IP: 54,9; 96,0), 14 (94,8%, 95% IP: 61,0; 99,3), 19F (43,3%, 95% IP: 6,3; 65,4) i 23F (70,8%, 95% IP: 20,8; 89,2). Za ostale serotipove prisutne u vakcini, broj osoba sa AOM bio je ograničen da bi se mogao donijeti bilo koji zaključak o efikasnosti. Efikasnost protiv pojave bilo koje epozode AOM izazvane bilo kojim pneumokoknim serotipom bila je 51,5% (95% IP: 36,8; 62,9). Efikasnost vakcine protiv prve epizode NTHi AOM bila je 31,1% (95% IP: </w:t>
      </w:r>
      <w:r w:rsidR="00F224CD" w:rsidRPr="00980785">
        <w:rPr>
          <w:sz w:val="22"/>
          <w:szCs w:val="22"/>
          <w:lang w:val="sr-Latn-ME"/>
        </w:rPr>
        <w:t>-</w:t>
      </w:r>
      <w:r w:rsidRPr="00980785">
        <w:rPr>
          <w:sz w:val="22"/>
          <w:szCs w:val="22"/>
          <w:lang w:val="sr-Latn-ME"/>
        </w:rPr>
        <w:t xml:space="preserve">3,7; 54,2, nije značajna). Efikasnost vakcine protiv bilo koje epizode NTHi AOM bila je 35,3% (95% IP: 1,8; </w:t>
      </w:r>
      <w:r w:rsidRPr="00980785">
        <w:rPr>
          <w:sz w:val="22"/>
          <w:szCs w:val="22"/>
          <w:lang w:val="sr-Latn-ME"/>
        </w:rPr>
        <w:lastRenderedPageBreak/>
        <w:t>57,4).  Procijenjena efikasnost vakcine protiv pojave bilo koje kliničke epizode otitis media, bez obzira na etiologiju, bila je 33,6% (95% IP: 20,8; 44,3).</w:t>
      </w:r>
    </w:p>
    <w:p w14:paraId="7279364F" w14:textId="77777777" w:rsidR="00E40B0E" w:rsidRPr="00980785" w:rsidRDefault="00E40B0E">
      <w:pPr>
        <w:pStyle w:val="Header"/>
        <w:tabs>
          <w:tab w:val="left" w:pos="284"/>
        </w:tabs>
        <w:jc w:val="both"/>
        <w:rPr>
          <w:sz w:val="22"/>
          <w:szCs w:val="22"/>
          <w:lang w:val="sr-Latn-ME"/>
        </w:rPr>
      </w:pPr>
    </w:p>
    <w:p w14:paraId="2F256013" w14:textId="77777777" w:rsidR="00E40B0E" w:rsidRPr="00980785" w:rsidRDefault="00E40B0E">
      <w:pPr>
        <w:pStyle w:val="Header"/>
        <w:tabs>
          <w:tab w:val="left" w:pos="284"/>
        </w:tabs>
        <w:jc w:val="both"/>
        <w:rPr>
          <w:sz w:val="22"/>
          <w:szCs w:val="22"/>
          <w:lang w:val="sr-Latn-ME"/>
        </w:rPr>
      </w:pPr>
      <w:r w:rsidRPr="00980785">
        <w:rPr>
          <w:sz w:val="22"/>
          <w:szCs w:val="22"/>
          <w:lang w:val="sr-Latn-ME"/>
        </w:rPr>
        <w:t xml:space="preserve">Na osnovu imunološke veze funkcionalnog odgovora na vakcinu (OPA) </w:t>
      </w:r>
      <w:r w:rsidR="00677FAC" w:rsidRPr="00980785">
        <w:rPr>
          <w:sz w:val="22"/>
          <w:szCs w:val="22"/>
          <w:lang w:val="sr-Latn-ME"/>
        </w:rPr>
        <w:t>SYNFLORIX</w:t>
      </w:r>
      <w:r w:rsidRPr="00980785">
        <w:rPr>
          <w:sz w:val="22"/>
          <w:szCs w:val="22"/>
          <w:lang w:val="sr-Latn-ME"/>
        </w:rPr>
        <w:t xml:space="preserve"> sa 11-valenetnom formulacijom upotrijebljenom u POET studiji, očekuje se da vakcina </w:t>
      </w:r>
      <w:r w:rsidR="00677FAC" w:rsidRPr="00980785">
        <w:rPr>
          <w:sz w:val="22"/>
          <w:szCs w:val="22"/>
          <w:lang w:val="sr-Latn-ME"/>
        </w:rPr>
        <w:t>SYNFLORIX</w:t>
      </w:r>
      <w:r w:rsidRPr="00980785">
        <w:rPr>
          <w:sz w:val="22"/>
          <w:szCs w:val="22"/>
          <w:lang w:val="sr-Latn-ME"/>
        </w:rPr>
        <w:t xml:space="preserve"> obezbijedi sličnu zaštitu protiv pneumokoknog AOM.     </w:t>
      </w:r>
    </w:p>
    <w:p w14:paraId="47E38328" w14:textId="77777777" w:rsidR="00E40B0E" w:rsidRPr="00980785" w:rsidRDefault="00E40B0E" w:rsidP="00290631">
      <w:pPr>
        <w:pStyle w:val="Header"/>
        <w:tabs>
          <w:tab w:val="left" w:pos="284"/>
        </w:tabs>
        <w:jc w:val="both"/>
        <w:rPr>
          <w:sz w:val="22"/>
          <w:szCs w:val="22"/>
          <w:lang w:val="sr-Latn-ME"/>
        </w:rPr>
      </w:pPr>
    </w:p>
    <w:p w14:paraId="7E2B6F97" w14:textId="77777777" w:rsidR="00E40B0E" w:rsidRPr="00980785" w:rsidRDefault="00E40B0E">
      <w:pPr>
        <w:pStyle w:val="Header"/>
        <w:tabs>
          <w:tab w:val="left" w:pos="284"/>
        </w:tabs>
        <w:jc w:val="both"/>
        <w:rPr>
          <w:sz w:val="22"/>
          <w:szCs w:val="22"/>
          <w:lang w:val="sr-Latn-ME"/>
        </w:rPr>
      </w:pPr>
      <w:r w:rsidRPr="00980785">
        <w:rPr>
          <w:sz w:val="22"/>
          <w:szCs w:val="22"/>
          <w:lang w:val="sr-Latn-ME"/>
        </w:rPr>
        <w:t>Nije primijećen porast incidence AOM uzrokovanog drugim bakterijskim patogenima ili nevakcinalnim/nevakcinalno povezanim serotipovima ni u ispitivanju COMPAS (na osnovu malobrojnih prijavljenih slučajeva) ni u ispitivanju POET.</w:t>
      </w:r>
    </w:p>
    <w:p w14:paraId="636500CB" w14:textId="77777777" w:rsidR="00E40B0E" w:rsidRPr="00980785" w:rsidRDefault="00E40B0E">
      <w:pPr>
        <w:pStyle w:val="Header"/>
        <w:tabs>
          <w:tab w:val="left" w:pos="284"/>
        </w:tabs>
        <w:jc w:val="both"/>
        <w:rPr>
          <w:sz w:val="22"/>
          <w:szCs w:val="22"/>
          <w:lang w:val="sr-Latn-ME"/>
        </w:rPr>
      </w:pPr>
    </w:p>
    <w:p w14:paraId="34DC5F36" w14:textId="77777777" w:rsidR="00E40B0E" w:rsidRPr="00980785" w:rsidRDefault="00E40B0E">
      <w:pPr>
        <w:pStyle w:val="Header"/>
        <w:tabs>
          <w:tab w:val="left" w:pos="284"/>
        </w:tabs>
        <w:jc w:val="both"/>
        <w:rPr>
          <w:sz w:val="22"/>
          <w:szCs w:val="22"/>
          <w:lang w:val="sr-Latn-ME"/>
        </w:rPr>
      </w:pPr>
      <w:r w:rsidRPr="00980785">
        <w:rPr>
          <w:sz w:val="22"/>
          <w:szCs w:val="22"/>
          <w:lang w:val="sr-Latn-ME"/>
        </w:rPr>
        <w:t>Efektivnost protiv klinički dijagnostifikovanog AOM, prijavljenog od strane roditelja, ispitivana je u izdvojenom ispitivanju u okviru ispitivanja FinIP. Efektivnost vakcine kao cilj za AOM u kohorti vakcinisane odojčadi iznosila je 6,1% (95% IP: </w:t>
      </w:r>
      <w:r w:rsidRPr="00980785">
        <w:rPr>
          <w:sz w:val="22"/>
          <w:szCs w:val="22"/>
          <w:lang w:val="sr-Latn-ME"/>
        </w:rPr>
        <w:noBreakHyphen/>
        <w:t xml:space="preserve">2,7; 14,1) za protokol 3+1 i 7,4% (95% IP: </w:t>
      </w:r>
      <w:r w:rsidRPr="00980785">
        <w:rPr>
          <w:sz w:val="22"/>
          <w:szCs w:val="22"/>
          <w:lang w:val="sr-Latn-ME"/>
        </w:rPr>
        <w:noBreakHyphen/>
        <w:t>2,8; 16,6) za protokol 2+1.</w:t>
      </w:r>
    </w:p>
    <w:p w14:paraId="053D70F0" w14:textId="77777777" w:rsidR="00E40B0E" w:rsidRPr="00980785" w:rsidRDefault="00E40B0E">
      <w:pPr>
        <w:pStyle w:val="Header"/>
        <w:tabs>
          <w:tab w:val="left" w:pos="284"/>
        </w:tabs>
        <w:jc w:val="both"/>
        <w:rPr>
          <w:sz w:val="22"/>
          <w:szCs w:val="22"/>
          <w:lang w:val="sr-Latn-ME"/>
        </w:rPr>
      </w:pPr>
    </w:p>
    <w:p w14:paraId="21226442" w14:textId="24FD0975" w:rsidR="00E40B0E" w:rsidRPr="00980785" w:rsidRDefault="00E40B0E">
      <w:pPr>
        <w:pStyle w:val="Header"/>
        <w:tabs>
          <w:tab w:val="left" w:pos="284"/>
        </w:tabs>
        <w:jc w:val="both"/>
        <w:rPr>
          <w:i/>
          <w:sz w:val="22"/>
          <w:szCs w:val="22"/>
          <w:u w:val="single"/>
          <w:lang w:val="sr-Latn-ME"/>
        </w:rPr>
      </w:pPr>
      <w:r w:rsidRPr="00980785">
        <w:rPr>
          <w:i/>
          <w:sz w:val="22"/>
          <w:szCs w:val="22"/>
          <w:u w:val="single"/>
          <w:lang w:val="sr-Latn-ME"/>
        </w:rPr>
        <w:t>Uticaj na nazofaringealno kliconoštvo</w:t>
      </w:r>
    </w:p>
    <w:p w14:paraId="3F6CECE0" w14:textId="77777777" w:rsidR="00E40B0E" w:rsidRPr="00980785" w:rsidRDefault="00E40B0E">
      <w:pPr>
        <w:pStyle w:val="Header"/>
        <w:tabs>
          <w:tab w:val="left" w:pos="284"/>
        </w:tabs>
        <w:jc w:val="both"/>
        <w:rPr>
          <w:sz w:val="22"/>
          <w:szCs w:val="22"/>
          <w:lang w:val="sr-Latn-ME"/>
        </w:rPr>
      </w:pPr>
    </w:p>
    <w:p w14:paraId="50C8305B" w14:textId="35083865" w:rsidR="00E40B0E" w:rsidRPr="00980785" w:rsidRDefault="00E40B0E">
      <w:pPr>
        <w:pStyle w:val="Header"/>
        <w:tabs>
          <w:tab w:val="left" w:pos="284"/>
        </w:tabs>
        <w:jc w:val="both"/>
        <w:rPr>
          <w:sz w:val="22"/>
          <w:szCs w:val="22"/>
          <w:lang w:val="sr-Latn-ME"/>
        </w:rPr>
      </w:pPr>
      <w:r w:rsidRPr="00980785">
        <w:rPr>
          <w:sz w:val="22"/>
          <w:szCs w:val="22"/>
          <w:lang w:val="sr-Latn-ME"/>
        </w:rPr>
        <w:t xml:space="preserve">Uticaj vakcine </w:t>
      </w:r>
      <w:r w:rsidR="00677FAC" w:rsidRPr="00980785">
        <w:rPr>
          <w:sz w:val="22"/>
          <w:szCs w:val="22"/>
          <w:lang w:val="sr-Latn-ME"/>
        </w:rPr>
        <w:t>SYNFLORIX</w:t>
      </w:r>
      <w:r w:rsidRPr="00980785">
        <w:rPr>
          <w:sz w:val="22"/>
          <w:szCs w:val="22"/>
          <w:lang w:val="sr-Latn-ME"/>
        </w:rPr>
        <w:t xml:space="preserve"> na nazofarigealno kliconoštvo ispitan je u dva dvostruko slijepa, randomizovana ispitivanja s</w:t>
      </w:r>
      <w:r w:rsidR="00F224CD" w:rsidRPr="00980785">
        <w:rPr>
          <w:sz w:val="22"/>
          <w:szCs w:val="22"/>
          <w:lang w:val="sr-Latn-ME"/>
        </w:rPr>
        <w:t>a</w:t>
      </w:r>
      <w:r w:rsidRPr="00980785">
        <w:rPr>
          <w:sz w:val="22"/>
          <w:szCs w:val="22"/>
          <w:lang w:val="sr-Latn-ME"/>
        </w:rPr>
        <w:t xml:space="preserve"> neaktivnom kontrolom: u izdvojenom ispitivanju u sklopu ispitivanja FinIP u Finskoj (5023 ispitanika) i u ispitivanju COMPAS (1700 ispitanika).</w:t>
      </w:r>
    </w:p>
    <w:p w14:paraId="17685D86" w14:textId="77777777" w:rsidR="00F224CD" w:rsidRPr="00980785" w:rsidRDefault="00F224CD">
      <w:pPr>
        <w:pStyle w:val="Header"/>
        <w:tabs>
          <w:tab w:val="left" w:pos="284"/>
        </w:tabs>
        <w:jc w:val="both"/>
        <w:rPr>
          <w:sz w:val="22"/>
          <w:szCs w:val="22"/>
          <w:lang w:val="sr-Latn-ME"/>
        </w:rPr>
      </w:pPr>
    </w:p>
    <w:p w14:paraId="2AF3EAE0" w14:textId="17972A99" w:rsidR="00E40B0E" w:rsidRPr="00980785" w:rsidRDefault="00E40B0E">
      <w:pPr>
        <w:pStyle w:val="Header"/>
        <w:tabs>
          <w:tab w:val="left" w:pos="284"/>
        </w:tabs>
        <w:jc w:val="both"/>
        <w:rPr>
          <w:sz w:val="22"/>
          <w:szCs w:val="22"/>
          <w:lang w:val="sr-Latn-ME"/>
        </w:rPr>
      </w:pPr>
      <w:r w:rsidRPr="00980785">
        <w:rPr>
          <w:sz w:val="22"/>
          <w:szCs w:val="22"/>
          <w:lang w:val="sr-Latn-ME"/>
        </w:rPr>
        <w:t xml:space="preserve">I u ispitivanju COMPAS i u izdvojenom finskom ispitivanju, vakcina </w:t>
      </w:r>
      <w:r w:rsidR="00677FAC" w:rsidRPr="00980785">
        <w:rPr>
          <w:sz w:val="22"/>
          <w:szCs w:val="22"/>
          <w:lang w:val="sr-Latn-ME"/>
        </w:rPr>
        <w:t>SYNFLORIX</w:t>
      </w:r>
      <w:r w:rsidRPr="00980785">
        <w:rPr>
          <w:sz w:val="22"/>
          <w:szCs w:val="22"/>
          <w:lang w:val="sr-Latn-ME"/>
        </w:rPr>
        <w:t xml:space="preserve"> je smanjila kliconoštvo tipova zastupljenih u vakcini, ali je nakon primjene buster doze primijećeno prividno povećanje kliconoštva nevakcinalnih tipova (isključujući vakcinalno povezane serotipove). Rezultati nijesu bili statistički značajni u svim analizama u sklopu ispitivanja COMPAS. Međutim, kada su se svi podaci sagledali zajedno, primijećen je trend smanjenja cjelokupnog kliconoštva pneumokoka.</w:t>
      </w:r>
    </w:p>
    <w:p w14:paraId="1D49F7D1" w14:textId="77777777" w:rsidR="00F224CD" w:rsidRPr="00980785" w:rsidRDefault="00F224CD">
      <w:pPr>
        <w:pStyle w:val="Header"/>
        <w:tabs>
          <w:tab w:val="left" w:pos="284"/>
        </w:tabs>
        <w:jc w:val="both"/>
        <w:rPr>
          <w:sz w:val="22"/>
          <w:szCs w:val="22"/>
          <w:lang w:val="sr-Latn-ME"/>
        </w:rPr>
      </w:pPr>
    </w:p>
    <w:p w14:paraId="6A8668B7" w14:textId="77777777" w:rsidR="00E40B0E" w:rsidRPr="00980785" w:rsidRDefault="00E40B0E">
      <w:pPr>
        <w:pStyle w:val="Header"/>
        <w:tabs>
          <w:tab w:val="left" w:pos="284"/>
        </w:tabs>
        <w:jc w:val="both"/>
        <w:rPr>
          <w:sz w:val="22"/>
          <w:szCs w:val="22"/>
          <w:lang w:val="sr-Latn-ME"/>
        </w:rPr>
      </w:pPr>
      <w:r w:rsidRPr="00980785">
        <w:rPr>
          <w:sz w:val="22"/>
          <w:szCs w:val="22"/>
          <w:lang w:val="sr-Latn-ME"/>
        </w:rPr>
        <w:t>U oba ispitivanja je primijećeno značajno smanjenje pojedinačnih serotipova 6B i 19F. U izdvojenom  finskom ispitivanju primijećeno je i značajno smanjenje pojedinačnih serotipova 14 i 23F, a kod primarne imunizacije sa 3 doze i smanjenje unakrsno reaktivnog serotipa 19A.</w:t>
      </w:r>
    </w:p>
    <w:p w14:paraId="416C3069" w14:textId="77777777" w:rsidR="00E40B0E" w:rsidRPr="00980785" w:rsidRDefault="00E40B0E" w:rsidP="00290631">
      <w:pPr>
        <w:pStyle w:val="Header"/>
        <w:tabs>
          <w:tab w:val="left" w:pos="284"/>
        </w:tabs>
        <w:jc w:val="both"/>
        <w:rPr>
          <w:sz w:val="22"/>
          <w:szCs w:val="22"/>
          <w:lang w:val="sr-Latn-ME"/>
        </w:rPr>
      </w:pPr>
    </w:p>
    <w:p w14:paraId="6E8A169D" w14:textId="01140B4D" w:rsidR="00E40B0E" w:rsidRPr="00980785" w:rsidRDefault="00E40B0E" w:rsidP="00290631">
      <w:pPr>
        <w:pStyle w:val="Header"/>
        <w:tabs>
          <w:tab w:val="left" w:pos="284"/>
        </w:tabs>
        <w:jc w:val="both"/>
        <w:rPr>
          <w:sz w:val="22"/>
          <w:szCs w:val="22"/>
          <w:lang w:val="sr-Latn-ME"/>
        </w:rPr>
      </w:pPr>
      <w:r w:rsidRPr="00980785">
        <w:rPr>
          <w:sz w:val="22"/>
          <w:szCs w:val="22"/>
          <w:lang w:val="sr-Latn-ME"/>
        </w:rPr>
        <w:t>Uticaj na nazofaringealno kliconoštvo (NPC) je ispitivan u kliničkoj studiji</w:t>
      </w:r>
      <w:r w:rsidRPr="00980785">
        <w:rPr>
          <w:b/>
          <w:sz w:val="22"/>
          <w:szCs w:val="22"/>
          <w:lang w:val="sr-Latn-ME"/>
        </w:rPr>
        <w:t xml:space="preserve"> </w:t>
      </w:r>
      <w:r w:rsidRPr="00980785">
        <w:rPr>
          <w:sz w:val="22"/>
          <w:szCs w:val="22"/>
          <w:lang w:val="sr-Latn-ME"/>
        </w:rPr>
        <w:t xml:space="preserve">kod HIV pozitivnih beba (N=83) i HIV negativnih beba, koje su rodile HIV pozitivne majke (N=101) i upoređen je sa HIV negativnim bebama koje su rodile HIV negativne majke (N=100). Nema izgleda da ekspozicija ili infekcija HIV virusom mijenja efekat vakcine </w:t>
      </w:r>
      <w:r w:rsidR="00677FAC" w:rsidRPr="00980785">
        <w:rPr>
          <w:sz w:val="22"/>
          <w:szCs w:val="22"/>
          <w:lang w:val="sr-Latn-ME"/>
        </w:rPr>
        <w:t>SYNFLORIX</w:t>
      </w:r>
      <w:r w:rsidRPr="00980785">
        <w:rPr>
          <w:sz w:val="22"/>
          <w:szCs w:val="22"/>
          <w:lang w:val="sr-Latn-ME"/>
        </w:rPr>
        <w:t xml:space="preserve"> na pneumokokno kliconoštvo do 24</w:t>
      </w:r>
      <w:r w:rsidR="00C942DC" w:rsidRPr="00980785">
        <w:rPr>
          <w:sz w:val="22"/>
          <w:szCs w:val="22"/>
          <w:lang w:val="sr-Latn-ME"/>
        </w:rPr>
        <w:t xml:space="preserve"> do </w:t>
      </w:r>
      <w:r w:rsidRPr="00980785">
        <w:rPr>
          <w:sz w:val="22"/>
          <w:szCs w:val="22"/>
          <w:lang w:val="sr-Latn-ME"/>
        </w:rPr>
        <w:t>27 mjeseci života, tj. do 15 mjeseci nakon buster doze vakcine.</w:t>
      </w:r>
    </w:p>
    <w:p w14:paraId="42928982" w14:textId="77777777" w:rsidR="00E40B0E" w:rsidRPr="00980785" w:rsidRDefault="00E40B0E">
      <w:pPr>
        <w:pStyle w:val="Header"/>
        <w:tabs>
          <w:tab w:val="left" w:pos="284"/>
        </w:tabs>
        <w:jc w:val="both"/>
        <w:rPr>
          <w:sz w:val="22"/>
          <w:szCs w:val="22"/>
          <w:lang w:val="sr-Latn-ME"/>
        </w:rPr>
      </w:pPr>
    </w:p>
    <w:p w14:paraId="0AB21F77" w14:textId="1A60980F" w:rsidR="00E40B0E" w:rsidRPr="00980785" w:rsidRDefault="00E40B0E" w:rsidP="00290631">
      <w:pPr>
        <w:pStyle w:val="Header"/>
        <w:tabs>
          <w:tab w:val="left" w:pos="284"/>
        </w:tabs>
        <w:jc w:val="both"/>
        <w:rPr>
          <w:sz w:val="22"/>
          <w:szCs w:val="22"/>
          <w:u w:val="single"/>
          <w:lang w:val="sr-Latn-ME"/>
        </w:rPr>
      </w:pPr>
      <w:r w:rsidRPr="00980785">
        <w:rPr>
          <w:sz w:val="22"/>
          <w:szCs w:val="22"/>
          <w:u w:val="single"/>
          <w:lang w:val="sr-Latn-ME"/>
        </w:rPr>
        <w:t>Efektivnost u postmarketinškim kliničkim ispitivanjima</w:t>
      </w:r>
    </w:p>
    <w:p w14:paraId="6E6DC689" w14:textId="77777777" w:rsidR="00E40B0E" w:rsidRPr="00980785" w:rsidRDefault="00E40B0E" w:rsidP="00290631">
      <w:pPr>
        <w:pStyle w:val="Header"/>
        <w:tabs>
          <w:tab w:val="left" w:pos="284"/>
        </w:tabs>
        <w:jc w:val="both"/>
        <w:rPr>
          <w:b/>
          <w:sz w:val="22"/>
          <w:szCs w:val="22"/>
          <w:lang w:val="sr-Latn-ME"/>
        </w:rPr>
      </w:pPr>
    </w:p>
    <w:p w14:paraId="0466595A" w14:textId="60783D86" w:rsidR="00E40B0E" w:rsidRPr="00980785" w:rsidRDefault="00E40B0E" w:rsidP="00290631">
      <w:pPr>
        <w:pStyle w:val="Header"/>
        <w:tabs>
          <w:tab w:val="left" w:pos="284"/>
        </w:tabs>
        <w:jc w:val="both"/>
        <w:rPr>
          <w:sz w:val="22"/>
          <w:szCs w:val="22"/>
          <w:lang w:val="sr-Latn-ME"/>
        </w:rPr>
      </w:pPr>
      <w:r w:rsidRPr="00980785">
        <w:rPr>
          <w:sz w:val="22"/>
          <w:szCs w:val="22"/>
          <w:lang w:val="sr-Latn-ME"/>
        </w:rPr>
        <w:t xml:space="preserve">U Brazilu je vakcina </w:t>
      </w:r>
      <w:r w:rsidR="00677FAC" w:rsidRPr="00980785">
        <w:rPr>
          <w:sz w:val="22"/>
          <w:szCs w:val="22"/>
          <w:lang w:val="sr-Latn-ME"/>
        </w:rPr>
        <w:t>SYNFLORIX</w:t>
      </w:r>
      <w:r w:rsidRPr="00980785">
        <w:rPr>
          <w:sz w:val="22"/>
          <w:szCs w:val="22"/>
          <w:lang w:val="sr-Latn-ME"/>
        </w:rPr>
        <w:t xml:space="preserve"> uvedena u nacionalni program imunizacije (NPI) po šemi doziranja 3+1 kod odojčadi (u 2, 4. i 6. mjesecu života i buster doza u 12. mjesecu života) sa nadoknadom propuštene ili odložene vakcinacije djece do 2. godine života. Studija slučajeva i kontrola, zasnovana na gotovo trogodišnjem praćenju nakon uvođenja vakcine </w:t>
      </w:r>
      <w:r w:rsidR="00677FAC" w:rsidRPr="00980785">
        <w:rPr>
          <w:sz w:val="22"/>
          <w:szCs w:val="22"/>
          <w:lang w:val="sr-Latn-ME"/>
        </w:rPr>
        <w:t>SYNFLORIX</w:t>
      </w:r>
      <w:r w:rsidRPr="00980785">
        <w:rPr>
          <w:sz w:val="22"/>
          <w:szCs w:val="22"/>
          <w:lang w:val="sr-Latn-ME"/>
        </w:rPr>
        <w:t>, je pokazala značajno smanjenje kulturom potvrđene ili PCR potvrđene IPB izazvane bilo kojim serotipom prisutnim u vakcini, i IPB izazvane individualnim serotipovima 6B, 14 i 19A.</w:t>
      </w:r>
    </w:p>
    <w:p w14:paraId="0D56EFB0" w14:textId="77777777" w:rsidR="007F441E" w:rsidRPr="00980785" w:rsidRDefault="007F441E" w:rsidP="00290631">
      <w:pPr>
        <w:pStyle w:val="Header"/>
        <w:tabs>
          <w:tab w:val="left" w:pos="284"/>
        </w:tabs>
        <w:jc w:val="both"/>
        <w:rPr>
          <w:sz w:val="22"/>
          <w:szCs w:val="22"/>
          <w:lang w:val="sr-Latn-ME"/>
        </w:rPr>
      </w:pPr>
    </w:p>
    <w:p w14:paraId="4417E004" w14:textId="77777777" w:rsidR="00E40B0E" w:rsidRPr="00980785" w:rsidRDefault="00E40B0E" w:rsidP="00290631">
      <w:pPr>
        <w:pStyle w:val="Header"/>
        <w:tabs>
          <w:tab w:val="left" w:pos="284"/>
        </w:tabs>
        <w:jc w:val="both"/>
        <w:rPr>
          <w:b/>
          <w:sz w:val="22"/>
          <w:szCs w:val="22"/>
          <w:lang w:val="sr-Latn-ME"/>
        </w:rPr>
      </w:pPr>
      <w:r w:rsidRPr="00980785">
        <w:rPr>
          <w:b/>
          <w:sz w:val="22"/>
          <w:szCs w:val="22"/>
          <w:lang w:val="sr-Latn-ME"/>
        </w:rPr>
        <w:t xml:space="preserve">Tabela 4: Rezime efektivnosti vakcine </w:t>
      </w:r>
      <w:r w:rsidR="00677FAC" w:rsidRPr="00980785">
        <w:rPr>
          <w:b/>
          <w:sz w:val="22"/>
          <w:szCs w:val="22"/>
          <w:lang w:val="sr-Latn-ME"/>
        </w:rPr>
        <w:t>SYNFLORIX</w:t>
      </w:r>
      <w:r w:rsidRPr="00980785">
        <w:rPr>
          <w:b/>
          <w:sz w:val="22"/>
          <w:szCs w:val="22"/>
          <w:lang w:val="sr-Latn-ME"/>
        </w:rPr>
        <w:t xml:space="preserve"> protiv IPB u Brazilu</w:t>
      </w:r>
    </w:p>
    <w:p w14:paraId="62F9CDE5" w14:textId="10CF08FE" w:rsidR="00E40B0E" w:rsidRDefault="00E40B0E" w:rsidP="00290631">
      <w:pPr>
        <w:pStyle w:val="Header"/>
        <w:tabs>
          <w:tab w:val="left" w:pos="284"/>
        </w:tabs>
        <w:jc w:val="both"/>
        <w:rPr>
          <w:b/>
          <w:sz w:val="22"/>
          <w:szCs w:val="22"/>
          <w:lang w:val="sr-Latn-ME"/>
        </w:rPr>
      </w:pPr>
    </w:p>
    <w:p w14:paraId="7198B929" w14:textId="77777777" w:rsidR="00980785" w:rsidRPr="00980785" w:rsidRDefault="00980785" w:rsidP="00290631">
      <w:pPr>
        <w:pStyle w:val="Header"/>
        <w:tabs>
          <w:tab w:val="left" w:pos="284"/>
        </w:tabs>
        <w:jc w:val="both"/>
        <w:rPr>
          <w:b/>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1"/>
        <w:gridCol w:w="4006"/>
      </w:tblGrid>
      <w:tr w:rsidR="00E40B0E" w:rsidRPr="00980785" w14:paraId="2BF0695D" w14:textId="77777777" w:rsidTr="00290631">
        <w:tc>
          <w:tcPr>
            <w:tcW w:w="5061" w:type="dxa"/>
            <w:tcBorders>
              <w:top w:val="single" w:sz="4" w:space="0" w:color="auto"/>
              <w:left w:val="single" w:sz="4" w:space="0" w:color="auto"/>
              <w:bottom w:val="single" w:sz="4" w:space="0" w:color="auto"/>
              <w:right w:val="single" w:sz="4" w:space="0" w:color="auto"/>
            </w:tcBorders>
            <w:hideMark/>
          </w:tcPr>
          <w:p w14:paraId="245CBF3B" w14:textId="77777777" w:rsidR="00E40B0E" w:rsidRPr="00980785" w:rsidRDefault="00E40B0E" w:rsidP="00290631">
            <w:pPr>
              <w:pStyle w:val="Header"/>
              <w:tabs>
                <w:tab w:val="left" w:pos="284"/>
              </w:tabs>
              <w:jc w:val="both"/>
              <w:rPr>
                <w:b/>
                <w:sz w:val="22"/>
                <w:szCs w:val="22"/>
                <w:lang w:val="sr-Latn-ME"/>
              </w:rPr>
            </w:pPr>
            <w:r w:rsidRPr="00980785">
              <w:rPr>
                <w:b/>
                <w:sz w:val="22"/>
                <w:szCs w:val="22"/>
                <w:lang w:val="sr-Latn-ME"/>
              </w:rPr>
              <w:t>Tip IPB</w:t>
            </w:r>
            <w:r w:rsidRPr="00980785">
              <w:rPr>
                <w:b/>
                <w:sz w:val="22"/>
                <w:szCs w:val="22"/>
                <w:vertAlign w:val="superscript"/>
                <w:lang w:val="sr-Latn-ME"/>
              </w:rPr>
              <w:t>(1)</w:t>
            </w:r>
          </w:p>
        </w:tc>
        <w:tc>
          <w:tcPr>
            <w:tcW w:w="4006" w:type="dxa"/>
            <w:tcBorders>
              <w:top w:val="single" w:sz="4" w:space="0" w:color="auto"/>
              <w:left w:val="single" w:sz="4" w:space="0" w:color="auto"/>
              <w:bottom w:val="single" w:sz="4" w:space="0" w:color="auto"/>
              <w:right w:val="single" w:sz="4" w:space="0" w:color="auto"/>
            </w:tcBorders>
            <w:hideMark/>
          </w:tcPr>
          <w:p w14:paraId="152109A3" w14:textId="77777777" w:rsidR="00E40B0E" w:rsidRPr="00980785" w:rsidRDefault="00E40B0E" w:rsidP="00290631">
            <w:pPr>
              <w:pStyle w:val="Header"/>
              <w:tabs>
                <w:tab w:val="left" w:pos="284"/>
              </w:tabs>
              <w:jc w:val="both"/>
              <w:rPr>
                <w:b/>
                <w:sz w:val="22"/>
                <w:szCs w:val="22"/>
                <w:lang w:val="sr-Latn-ME"/>
              </w:rPr>
            </w:pPr>
            <w:r w:rsidRPr="00980785">
              <w:rPr>
                <w:b/>
                <w:sz w:val="22"/>
                <w:szCs w:val="22"/>
                <w:lang w:val="sr-Latn-ME"/>
              </w:rPr>
              <w:t>Korigovana efektivnost</w:t>
            </w:r>
            <w:r w:rsidRPr="00980785">
              <w:rPr>
                <w:b/>
                <w:sz w:val="22"/>
                <w:szCs w:val="22"/>
                <w:vertAlign w:val="superscript"/>
                <w:lang w:val="sr-Latn-ME"/>
              </w:rPr>
              <w:t>(2)</w:t>
            </w:r>
          </w:p>
          <w:p w14:paraId="2F7B6578" w14:textId="77777777" w:rsidR="00E40B0E" w:rsidRPr="00980785" w:rsidRDefault="00E40B0E" w:rsidP="00290631">
            <w:pPr>
              <w:pStyle w:val="Header"/>
              <w:tabs>
                <w:tab w:val="left" w:pos="284"/>
              </w:tabs>
              <w:jc w:val="both"/>
              <w:rPr>
                <w:b/>
                <w:sz w:val="22"/>
                <w:szCs w:val="22"/>
                <w:lang w:val="sr-Latn-ME"/>
              </w:rPr>
            </w:pPr>
            <w:r w:rsidRPr="00980785">
              <w:rPr>
                <w:b/>
                <w:sz w:val="22"/>
                <w:szCs w:val="22"/>
                <w:lang w:val="sr-Latn-ME"/>
              </w:rPr>
              <w:t>% (95% IP)</w:t>
            </w:r>
          </w:p>
        </w:tc>
      </w:tr>
      <w:tr w:rsidR="00E40B0E" w:rsidRPr="00980785" w14:paraId="4287BA2D" w14:textId="77777777" w:rsidTr="00290631">
        <w:tc>
          <w:tcPr>
            <w:tcW w:w="5061" w:type="dxa"/>
            <w:tcBorders>
              <w:top w:val="single" w:sz="4" w:space="0" w:color="auto"/>
              <w:left w:val="single" w:sz="4" w:space="0" w:color="auto"/>
              <w:bottom w:val="single" w:sz="4" w:space="0" w:color="auto"/>
              <w:right w:val="single" w:sz="4" w:space="0" w:color="auto"/>
            </w:tcBorders>
            <w:hideMark/>
          </w:tcPr>
          <w:p w14:paraId="4106D42D" w14:textId="77777777" w:rsidR="00E40B0E" w:rsidRPr="00980785" w:rsidRDefault="00E40B0E" w:rsidP="00290631">
            <w:pPr>
              <w:pStyle w:val="Header"/>
              <w:tabs>
                <w:tab w:val="left" w:pos="284"/>
              </w:tabs>
              <w:jc w:val="both"/>
              <w:rPr>
                <w:sz w:val="22"/>
                <w:szCs w:val="22"/>
                <w:lang w:val="sr-Latn-ME"/>
              </w:rPr>
            </w:pPr>
            <w:r w:rsidRPr="00980785">
              <w:rPr>
                <w:sz w:val="22"/>
                <w:szCs w:val="22"/>
                <w:lang w:val="sr-Latn-ME"/>
              </w:rPr>
              <w:t>IPB izazvana bilo kojim vakcinalnim serotipom</w:t>
            </w:r>
            <w:r w:rsidRPr="00980785">
              <w:rPr>
                <w:sz w:val="22"/>
                <w:szCs w:val="22"/>
                <w:vertAlign w:val="superscript"/>
                <w:lang w:val="sr-Latn-ME"/>
              </w:rPr>
              <w:t>(3)</w:t>
            </w:r>
          </w:p>
          <w:p w14:paraId="3E068F73" w14:textId="77777777" w:rsidR="00E40B0E" w:rsidRPr="00980785" w:rsidRDefault="00E40B0E">
            <w:pPr>
              <w:pStyle w:val="Header"/>
              <w:numPr>
                <w:ilvl w:val="0"/>
                <w:numId w:val="13"/>
              </w:numPr>
              <w:tabs>
                <w:tab w:val="left" w:pos="284"/>
              </w:tabs>
              <w:jc w:val="both"/>
              <w:rPr>
                <w:sz w:val="22"/>
                <w:szCs w:val="22"/>
                <w:lang w:val="sr-Latn-ME"/>
              </w:rPr>
            </w:pPr>
            <w:r w:rsidRPr="00980785">
              <w:rPr>
                <w:sz w:val="22"/>
                <w:szCs w:val="22"/>
                <w:lang w:val="sr-Latn-ME"/>
              </w:rPr>
              <w:t>Invazivna pneumonija ili bakterijemija</w:t>
            </w:r>
          </w:p>
          <w:p w14:paraId="1CBA0519" w14:textId="77777777" w:rsidR="00E40B0E" w:rsidRPr="00980785" w:rsidRDefault="00E40B0E">
            <w:pPr>
              <w:pStyle w:val="Header"/>
              <w:numPr>
                <w:ilvl w:val="0"/>
                <w:numId w:val="13"/>
              </w:numPr>
              <w:tabs>
                <w:tab w:val="left" w:pos="284"/>
              </w:tabs>
              <w:jc w:val="both"/>
              <w:rPr>
                <w:sz w:val="22"/>
                <w:szCs w:val="22"/>
                <w:lang w:val="sr-Latn-ME"/>
              </w:rPr>
            </w:pPr>
            <w:r w:rsidRPr="00980785">
              <w:rPr>
                <w:sz w:val="22"/>
                <w:szCs w:val="22"/>
                <w:lang w:val="sr-Latn-ME"/>
              </w:rPr>
              <w:t>Meningitis</w:t>
            </w:r>
          </w:p>
        </w:tc>
        <w:tc>
          <w:tcPr>
            <w:tcW w:w="4006" w:type="dxa"/>
            <w:tcBorders>
              <w:top w:val="single" w:sz="4" w:space="0" w:color="auto"/>
              <w:left w:val="single" w:sz="4" w:space="0" w:color="auto"/>
              <w:bottom w:val="single" w:sz="4" w:space="0" w:color="auto"/>
              <w:right w:val="single" w:sz="4" w:space="0" w:color="auto"/>
            </w:tcBorders>
          </w:tcPr>
          <w:p w14:paraId="27624D27" w14:textId="3292D8C3" w:rsidR="00E40B0E" w:rsidRPr="00980785" w:rsidRDefault="00E40B0E" w:rsidP="00290631">
            <w:pPr>
              <w:pStyle w:val="Header"/>
              <w:tabs>
                <w:tab w:val="left" w:pos="284"/>
              </w:tabs>
              <w:jc w:val="both"/>
              <w:rPr>
                <w:sz w:val="22"/>
                <w:szCs w:val="22"/>
                <w:lang w:val="sr-Latn-ME"/>
              </w:rPr>
            </w:pPr>
            <w:r w:rsidRPr="00980785">
              <w:rPr>
                <w:sz w:val="22"/>
                <w:szCs w:val="22"/>
                <w:lang w:val="sr-Latn-ME"/>
              </w:rPr>
              <w:t>83,8% (65,9;</w:t>
            </w:r>
            <w:r w:rsidR="00C942DC" w:rsidRPr="00980785">
              <w:rPr>
                <w:sz w:val="22"/>
                <w:szCs w:val="22"/>
                <w:lang w:val="sr-Latn-ME"/>
              </w:rPr>
              <w:t xml:space="preserve"> </w:t>
            </w:r>
            <w:r w:rsidRPr="00980785">
              <w:rPr>
                <w:sz w:val="22"/>
                <w:szCs w:val="22"/>
                <w:lang w:val="sr-Latn-ME"/>
              </w:rPr>
              <w:t>92,3)</w:t>
            </w:r>
          </w:p>
          <w:p w14:paraId="01368612" w14:textId="77777777" w:rsidR="00E40B0E" w:rsidRPr="00980785" w:rsidRDefault="00E40B0E" w:rsidP="00290631">
            <w:pPr>
              <w:pStyle w:val="Header"/>
              <w:tabs>
                <w:tab w:val="left" w:pos="284"/>
              </w:tabs>
              <w:jc w:val="both"/>
              <w:rPr>
                <w:sz w:val="22"/>
                <w:szCs w:val="22"/>
                <w:lang w:val="sr-Latn-ME"/>
              </w:rPr>
            </w:pPr>
          </w:p>
          <w:p w14:paraId="23C21D28" w14:textId="77777777" w:rsidR="00E40B0E" w:rsidRPr="00980785" w:rsidRDefault="00E40B0E" w:rsidP="00290631">
            <w:pPr>
              <w:pStyle w:val="Header"/>
              <w:tabs>
                <w:tab w:val="left" w:pos="284"/>
              </w:tabs>
              <w:jc w:val="both"/>
              <w:rPr>
                <w:sz w:val="22"/>
                <w:szCs w:val="22"/>
                <w:lang w:val="sr-Latn-ME"/>
              </w:rPr>
            </w:pPr>
            <w:r w:rsidRPr="00980785">
              <w:rPr>
                <w:sz w:val="22"/>
                <w:szCs w:val="22"/>
                <w:lang w:val="sr-Latn-ME"/>
              </w:rPr>
              <w:t>81,3% (46,9;93,4)</w:t>
            </w:r>
          </w:p>
          <w:p w14:paraId="68E55F59" w14:textId="5891988B" w:rsidR="00E40B0E" w:rsidRPr="00980785" w:rsidRDefault="00E40B0E" w:rsidP="00290631">
            <w:pPr>
              <w:pStyle w:val="Header"/>
              <w:tabs>
                <w:tab w:val="left" w:pos="284"/>
              </w:tabs>
              <w:jc w:val="both"/>
              <w:rPr>
                <w:sz w:val="22"/>
                <w:szCs w:val="22"/>
                <w:lang w:val="sr-Latn-ME"/>
              </w:rPr>
            </w:pPr>
            <w:r w:rsidRPr="00980785">
              <w:rPr>
                <w:sz w:val="22"/>
                <w:szCs w:val="22"/>
                <w:lang w:val="sr-Latn-ME"/>
              </w:rPr>
              <w:t>87,7% (61,4;</w:t>
            </w:r>
            <w:r w:rsidR="00C942DC" w:rsidRPr="00980785">
              <w:rPr>
                <w:sz w:val="22"/>
                <w:szCs w:val="22"/>
                <w:lang w:val="sr-Latn-ME"/>
              </w:rPr>
              <w:t xml:space="preserve"> </w:t>
            </w:r>
            <w:r w:rsidRPr="00980785">
              <w:rPr>
                <w:sz w:val="22"/>
                <w:szCs w:val="22"/>
                <w:lang w:val="sr-Latn-ME"/>
              </w:rPr>
              <w:t>96,1)</w:t>
            </w:r>
          </w:p>
        </w:tc>
      </w:tr>
      <w:tr w:rsidR="00E40B0E" w:rsidRPr="00980785" w14:paraId="593E2672" w14:textId="77777777" w:rsidTr="00290631">
        <w:tc>
          <w:tcPr>
            <w:tcW w:w="5061" w:type="dxa"/>
            <w:tcBorders>
              <w:top w:val="single" w:sz="4" w:space="0" w:color="auto"/>
              <w:left w:val="single" w:sz="4" w:space="0" w:color="auto"/>
              <w:bottom w:val="single" w:sz="4" w:space="0" w:color="auto"/>
              <w:right w:val="single" w:sz="4" w:space="0" w:color="auto"/>
            </w:tcBorders>
            <w:hideMark/>
          </w:tcPr>
          <w:p w14:paraId="6BFE3499" w14:textId="77777777" w:rsidR="00E40B0E" w:rsidRPr="00980785" w:rsidRDefault="00E40B0E" w:rsidP="00290631">
            <w:pPr>
              <w:pStyle w:val="Header"/>
              <w:tabs>
                <w:tab w:val="left" w:pos="284"/>
              </w:tabs>
              <w:jc w:val="both"/>
              <w:rPr>
                <w:sz w:val="22"/>
                <w:szCs w:val="22"/>
                <w:lang w:val="sr-Latn-ME"/>
              </w:rPr>
            </w:pPr>
            <w:r w:rsidRPr="00980785">
              <w:rPr>
                <w:sz w:val="22"/>
                <w:szCs w:val="22"/>
                <w:lang w:val="sr-Latn-ME"/>
              </w:rPr>
              <w:t>IPB izazvana individualnim serotipovima</w:t>
            </w:r>
            <w:r w:rsidRPr="00980785">
              <w:rPr>
                <w:sz w:val="22"/>
                <w:szCs w:val="22"/>
                <w:vertAlign w:val="superscript"/>
                <w:lang w:val="sr-Latn-ME"/>
              </w:rPr>
              <w:t>(4)</w:t>
            </w:r>
          </w:p>
          <w:p w14:paraId="1234D323" w14:textId="77777777" w:rsidR="00E40B0E" w:rsidRPr="00980785" w:rsidRDefault="00E40B0E">
            <w:pPr>
              <w:pStyle w:val="Header"/>
              <w:numPr>
                <w:ilvl w:val="0"/>
                <w:numId w:val="13"/>
              </w:numPr>
              <w:tabs>
                <w:tab w:val="left" w:pos="284"/>
              </w:tabs>
              <w:jc w:val="both"/>
              <w:rPr>
                <w:sz w:val="22"/>
                <w:szCs w:val="22"/>
                <w:lang w:val="sr-Latn-ME"/>
              </w:rPr>
            </w:pPr>
            <w:r w:rsidRPr="00980785">
              <w:rPr>
                <w:sz w:val="22"/>
                <w:szCs w:val="22"/>
                <w:lang w:val="sr-Latn-ME"/>
              </w:rPr>
              <w:lastRenderedPageBreak/>
              <w:t>6B</w:t>
            </w:r>
          </w:p>
          <w:p w14:paraId="0F949B71" w14:textId="77777777" w:rsidR="00E40B0E" w:rsidRPr="00980785" w:rsidRDefault="00E40B0E">
            <w:pPr>
              <w:pStyle w:val="Header"/>
              <w:numPr>
                <w:ilvl w:val="0"/>
                <w:numId w:val="13"/>
              </w:numPr>
              <w:tabs>
                <w:tab w:val="left" w:pos="284"/>
              </w:tabs>
              <w:jc w:val="both"/>
              <w:rPr>
                <w:sz w:val="22"/>
                <w:szCs w:val="22"/>
                <w:lang w:val="sr-Latn-ME"/>
              </w:rPr>
            </w:pPr>
            <w:r w:rsidRPr="00980785">
              <w:rPr>
                <w:sz w:val="22"/>
                <w:szCs w:val="22"/>
                <w:lang w:val="sr-Latn-ME"/>
              </w:rPr>
              <w:t>14</w:t>
            </w:r>
          </w:p>
          <w:p w14:paraId="531BFA98" w14:textId="77777777" w:rsidR="00E40B0E" w:rsidRPr="00980785" w:rsidRDefault="00E40B0E">
            <w:pPr>
              <w:pStyle w:val="Header"/>
              <w:numPr>
                <w:ilvl w:val="0"/>
                <w:numId w:val="13"/>
              </w:numPr>
              <w:tabs>
                <w:tab w:val="left" w:pos="284"/>
              </w:tabs>
              <w:jc w:val="both"/>
              <w:rPr>
                <w:sz w:val="22"/>
                <w:szCs w:val="22"/>
                <w:lang w:val="sr-Latn-ME"/>
              </w:rPr>
            </w:pPr>
            <w:r w:rsidRPr="00980785">
              <w:rPr>
                <w:sz w:val="22"/>
                <w:szCs w:val="22"/>
                <w:lang w:val="sr-Latn-ME"/>
              </w:rPr>
              <w:t>19A</w:t>
            </w:r>
          </w:p>
        </w:tc>
        <w:tc>
          <w:tcPr>
            <w:tcW w:w="4006" w:type="dxa"/>
            <w:tcBorders>
              <w:top w:val="single" w:sz="4" w:space="0" w:color="auto"/>
              <w:left w:val="single" w:sz="4" w:space="0" w:color="auto"/>
              <w:bottom w:val="single" w:sz="4" w:space="0" w:color="auto"/>
              <w:right w:val="single" w:sz="4" w:space="0" w:color="auto"/>
            </w:tcBorders>
          </w:tcPr>
          <w:p w14:paraId="73696A10" w14:textId="77777777" w:rsidR="00E40B0E" w:rsidRPr="00980785" w:rsidRDefault="00E40B0E" w:rsidP="00290631">
            <w:pPr>
              <w:pStyle w:val="Header"/>
              <w:tabs>
                <w:tab w:val="left" w:pos="284"/>
              </w:tabs>
              <w:jc w:val="both"/>
              <w:rPr>
                <w:sz w:val="22"/>
                <w:szCs w:val="22"/>
                <w:lang w:val="sr-Latn-ME"/>
              </w:rPr>
            </w:pPr>
          </w:p>
          <w:p w14:paraId="2E16E7A4" w14:textId="485B4BE1" w:rsidR="00E40B0E" w:rsidRPr="00980785" w:rsidRDefault="00E40B0E" w:rsidP="00290631">
            <w:pPr>
              <w:pStyle w:val="Header"/>
              <w:tabs>
                <w:tab w:val="left" w:pos="284"/>
              </w:tabs>
              <w:jc w:val="both"/>
              <w:rPr>
                <w:sz w:val="22"/>
                <w:szCs w:val="22"/>
                <w:lang w:val="sr-Latn-ME"/>
              </w:rPr>
            </w:pPr>
            <w:r w:rsidRPr="00980785">
              <w:rPr>
                <w:sz w:val="22"/>
                <w:szCs w:val="22"/>
                <w:lang w:val="sr-Latn-ME"/>
              </w:rPr>
              <w:lastRenderedPageBreak/>
              <w:t>82,8% (23,8;</w:t>
            </w:r>
            <w:r w:rsidR="00C942DC" w:rsidRPr="00980785">
              <w:rPr>
                <w:sz w:val="22"/>
                <w:szCs w:val="22"/>
                <w:lang w:val="sr-Latn-ME"/>
              </w:rPr>
              <w:t xml:space="preserve"> </w:t>
            </w:r>
            <w:r w:rsidRPr="00980785">
              <w:rPr>
                <w:sz w:val="22"/>
                <w:szCs w:val="22"/>
                <w:lang w:val="sr-Latn-ME"/>
              </w:rPr>
              <w:t>96,1)</w:t>
            </w:r>
          </w:p>
          <w:p w14:paraId="3FC153EC" w14:textId="7D141EAD" w:rsidR="00E40B0E" w:rsidRPr="00980785" w:rsidRDefault="00E40B0E" w:rsidP="00290631">
            <w:pPr>
              <w:pStyle w:val="Header"/>
              <w:tabs>
                <w:tab w:val="left" w:pos="284"/>
              </w:tabs>
              <w:jc w:val="both"/>
              <w:rPr>
                <w:sz w:val="22"/>
                <w:szCs w:val="22"/>
                <w:lang w:val="sr-Latn-ME"/>
              </w:rPr>
            </w:pPr>
            <w:r w:rsidRPr="00980785">
              <w:rPr>
                <w:sz w:val="22"/>
                <w:szCs w:val="22"/>
                <w:lang w:val="sr-Latn-ME"/>
              </w:rPr>
              <w:t>87,7% (60,8;</w:t>
            </w:r>
            <w:r w:rsidR="00C942DC" w:rsidRPr="00980785">
              <w:rPr>
                <w:sz w:val="22"/>
                <w:szCs w:val="22"/>
                <w:lang w:val="sr-Latn-ME"/>
              </w:rPr>
              <w:t xml:space="preserve"> </w:t>
            </w:r>
            <w:r w:rsidRPr="00980785">
              <w:rPr>
                <w:sz w:val="22"/>
                <w:szCs w:val="22"/>
                <w:lang w:val="sr-Latn-ME"/>
              </w:rPr>
              <w:t>96,1)</w:t>
            </w:r>
          </w:p>
          <w:p w14:paraId="76BD5A4D" w14:textId="4E620DF8" w:rsidR="00E40B0E" w:rsidRPr="00980785" w:rsidRDefault="00E40B0E" w:rsidP="00290631">
            <w:pPr>
              <w:pStyle w:val="Header"/>
              <w:tabs>
                <w:tab w:val="left" w:pos="284"/>
              </w:tabs>
              <w:jc w:val="both"/>
              <w:rPr>
                <w:sz w:val="22"/>
                <w:szCs w:val="22"/>
                <w:lang w:val="sr-Latn-ME"/>
              </w:rPr>
            </w:pPr>
            <w:r w:rsidRPr="00980785">
              <w:rPr>
                <w:sz w:val="22"/>
                <w:szCs w:val="22"/>
                <w:lang w:val="sr-Latn-ME"/>
              </w:rPr>
              <w:t>82,2% (10,7;</w:t>
            </w:r>
            <w:r w:rsidR="00C942DC" w:rsidRPr="00980785">
              <w:rPr>
                <w:sz w:val="22"/>
                <w:szCs w:val="22"/>
                <w:lang w:val="sr-Latn-ME"/>
              </w:rPr>
              <w:t xml:space="preserve"> </w:t>
            </w:r>
            <w:r w:rsidRPr="00980785">
              <w:rPr>
                <w:sz w:val="22"/>
                <w:szCs w:val="22"/>
                <w:lang w:val="sr-Latn-ME"/>
              </w:rPr>
              <w:t>96,4)</w:t>
            </w:r>
          </w:p>
        </w:tc>
      </w:tr>
    </w:tbl>
    <w:p w14:paraId="4055C199" w14:textId="77777777" w:rsidR="00E40B0E" w:rsidRPr="00980785" w:rsidRDefault="00E40B0E">
      <w:pPr>
        <w:pStyle w:val="Header"/>
        <w:numPr>
          <w:ilvl w:val="0"/>
          <w:numId w:val="14"/>
        </w:numPr>
        <w:tabs>
          <w:tab w:val="left" w:pos="284"/>
        </w:tabs>
        <w:jc w:val="both"/>
        <w:rPr>
          <w:sz w:val="22"/>
          <w:szCs w:val="22"/>
          <w:lang w:val="sr-Latn-ME" w:eastAsia="x-none"/>
        </w:rPr>
      </w:pPr>
      <w:r w:rsidRPr="00980785">
        <w:rPr>
          <w:sz w:val="22"/>
          <w:szCs w:val="22"/>
          <w:lang w:val="sr-Latn-ME"/>
        </w:rPr>
        <w:lastRenderedPageBreak/>
        <w:t>Kulturom ili PCR potvrđena IPB</w:t>
      </w:r>
    </w:p>
    <w:p w14:paraId="34F0F0C9" w14:textId="77777777" w:rsidR="00E40B0E" w:rsidRPr="00980785" w:rsidRDefault="00E40B0E">
      <w:pPr>
        <w:pStyle w:val="Header"/>
        <w:numPr>
          <w:ilvl w:val="0"/>
          <w:numId w:val="14"/>
        </w:numPr>
        <w:tabs>
          <w:tab w:val="left" w:pos="284"/>
        </w:tabs>
        <w:jc w:val="both"/>
        <w:rPr>
          <w:sz w:val="22"/>
          <w:szCs w:val="22"/>
          <w:lang w:val="sr-Latn-ME"/>
        </w:rPr>
      </w:pPr>
      <w:r w:rsidRPr="00980785">
        <w:rPr>
          <w:sz w:val="22"/>
          <w:szCs w:val="22"/>
          <w:lang w:val="sr-Latn-ME"/>
        </w:rPr>
        <w:t xml:space="preserve">Korigovana efektivnost predstavlja procentualno smanjenje IPB u grupi djece koja su primila vakcinu </w:t>
      </w:r>
      <w:r w:rsidR="00677FAC" w:rsidRPr="00980785">
        <w:rPr>
          <w:sz w:val="22"/>
          <w:szCs w:val="22"/>
          <w:lang w:val="sr-Latn-ME"/>
        </w:rPr>
        <w:t>SYNFLORIX</w:t>
      </w:r>
      <w:r w:rsidRPr="00980785">
        <w:rPr>
          <w:sz w:val="22"/>
          <w:szCs w:val="22"/>
          <w:lang w:val="sr-Latn-ME"/>
        </w:rPr>
        <w:t xml:space="preserve"> u poređenju sa nevakcinisanom grupom, kontrolišući faktore koji mogu dovesti do zabune</w:t>
      </w:r>
    </w:p>
    <w:p w14:paraId="1A521F92" w14:textId="77777777" w:rsidR="00E40B0E" w:rsidRPr="00980785" w:rsidRDefault="00E40B0E">
      <w:pPr>
        <w:pStyle w:val="Header"/>
        <w:numPr>
          <w:ilvl w:val="0"/>
          <w:numId w:val="14"/>
        </w:numPr>
        <w:tabs>
          <w:tab w:val="left" w:pos="284"/>
        </w:tabs>
        <w:jc w:val="both"/>
        <w:rPr>
          <w:sz w:val="22"/>
          <w:szCs w:val="22"/>
          <w:lang w:val="sr-Latn-ME"/>
        </w:rPr>
      </w:pPr>
      <w:r w:rsidRPr="00980785">
        <w:rPr>
          <w:sz w:val="22"/>
          <w:szCs w:val="22"/>
          <w:lang w:val="sr-Latn-ME"/>
        </w:rPr>
        <w:t>Kulturom ili PCR potvrđeni slučajevi bolesti izazvanih serotipovima 4, 6B, 7F, 9V, 14, 18C, 19F i 23F, koji su doprinijeli analizi</w:t>
      </w:r>
    </w:p>
    <w:p w14:paraId="5B91E1A1" w14:textId="77777777" w:rsidR="00E40B0E" w:rsidRPr="00980785" w:rsidRDefault="00E40B0E">
      <w:pPr>
        <w:pStyle w:val="Header"/>
        <w:numPr>
          <w:ilvl w:val="0"/>
          <w:numId w:val="14"/>
        </w:numPr>
        <w:tabs>
          <w:tab w:val="left" w:pos="284"/>
        </w:tabs>
        <w:jc w:val="both"/>
        <w:rPr>
          <w:sz w:val="22"/>
          <w:szCs w:val="22"/>
          <w:lang w:val="sr-Latn-ME"/>
        </w:rPr>
      </w:pPr>
      <w:r w:rsidRPr="00980785">
        <w:rPr>
          <w:sz w:val="22"/>
          <w:szCs w:val="22"/>
          <w:lang w:val="sr-Latn-ME"/>
        </w:rPr>
        <w:t>Individualni serotipovi za koje je statistička značajnost postignuta u analizi efektivnosti, kontrolišući faktore koji mogu dovesti do zabune (nije izvršeno prilagođavanje za multiplicitet)</w:t>
      </w:r>
    </w:p>
    <w:p w14:paraId="0689C32B" w14:textId="77777777" w:rsidR="00E40B0E" w:rsidRPr="00980785" w:rsidRDefault="00E40B0E" w:rsidP="00290631">
      <w:pPr>
        <w:pStyle w:val="Header"/>
        <w:tabs>
          <w:tab w:val="left" w:pos="284"/>
        </w:tabs>
        <w:jc w:val="both"/>
        <w:rPr>
          <w:sz w:val="22"/>
          <w:szCs w:val="22"/>
          <w:lang w:val="sr-Latn-ME"/>
        </w:rPr>
      </w:pPr>
    </w:p>
    <w:p w14:paraId="6E110EC0" w14:textId="77777777" w:rsidR="00E40B0E" w:rsidRPr="00980785" w:rsidRDefault="00E40B0E" w:rsidP="00290631">
      <w:pPr>
        <w:pStyle w:val="Header"/>
        <w:tabs>
          <w:tab w:val="left" w:pos="284"/>
        </w:tabs>
        <w:jc w:val="both"/>
        <w:rPr>
          <w:sz w:val="22"/>
          <w:szCs w:val="22"/>
          <w:lang w:val="sr-Latn-ME"/>
        </w:rPr>
      </w:pPr>
      <w:r w:rsidRPr="00980785">
        <w:rPr>
          <w:sz w:val="22"/>
          <w:szCs w:val="22"/>
          <w:lang w:val="sr-Latn-ME"/>
        </w:rPr>
        <w:t xml:space="preserve">U Finskoj, vakcina </w:t>
      </w:r>
      <w:r w:rsidR="00677FAC" w:rsidRPr="00980785">
        <w:rPr>
          <w:sz w:val="22"/>
          <w:szCs w:val="22"/>
          <w:lang w:val="sr-Latn-ME"/>
        </w:rPr>
        <w:t>SYNFLORIX</w:t>
      </w:r>
      <w:r w:rsidRPr="00980785">
        <w:rPr>
          <w:sz w:val="22"/>
          <w:szCs w:val="22"/>
          <w:lang w:val="sr-Latn-ME"/>
        </w:rPr>
        <w:t xml:space="preserve"> je uvedena u NPI po šemi doziranja 2+1 kod odojčadi (u 3. i 5. mjesecu života i buster doza u 12. mjesecu života) bez propuštene ili odložene vakcinacije. Poređenje stanja prije i nakon NPI pokazuje značajno smanjenje učestalosti bilo koje kulturom potvrđene IPB , bilo koje IPB izazvane serotipovima prisutnim u vakcini i IPB izazvane serotipom 19A.</w:t>
      </w:r>
    </w:p>
    <w:p w14:paraId="1F6FDC8E" w14:textId="77777777" w:rsidR="00E40B0E" w:rsidRPr="00980785" w:rsidRDefault="00E40B0E" w:rsidP="00290631">
      <w:pPr>
        <w:pStyle w:val="Header"/>
        <w:tabs>
          <w:tab w:val="left" w:pos="284"/>
        </w:tabs>
        <w:jc w:val="both"/>
        <w:rPr>
          <w:sz w:val="22"/>
          <w:szCs w:val="22"/>
          <w:lang w:val="sr-Latn-ME"/>
        </w:rPr>
      </w:pPr>
    </w:p>
    <w:p w14:paraId="216CF05B" w14:textId="77777777" w:rsidR="00E40B0E" w:rsidRPr="00980785" w:rsidRDefault="00E40B0E" w:rsidP="00290631">
      <w:pPr>
        <w:pStyle w:val="Header"/>
        <w:tabs>
          <w:tab w:val="left" w:pos="284"/>
        </w:tabs>
        <w:jc w:val="both"/>
        <w:rPr>
          <w:b/>
          <w:sz w:val="22"/>
          <w:szCs w:val="22"/>
          <w:lang w:val="sr-Latn-ME"/>
        </w:rPr>
      </w:pPr>
      <w:r w:rsidRPr="00980785">
        <w:rPr>
          <w:b/>
          <w:sz w:val="22"/>
          <w:szCs w:val="22"/>
          <w:lang w:val="sr-Latn-ME"/>
        </w:rPr>
        <w:t xml:space="preserve">Tabela 5: Stopa IPB i odgovarajuća stopa smanjenja u Finskoj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0"/>
        <w:gridCol w:w="2530"/>
        <w:gridCol w:w="2531"/>
        <w:gridCol w:w="1760"/>
      </w:tblGrid>
      <w:tr w:rsidR="00E40B0E" w:rsidRPr="00980785" w14:paraId="658C711B" w14:textId="77777777" w:rsidTr="00290631">
        <w:tc>
          <w:tcPr>
            <w:tcW w:w="2530" w:type="dxa"/>
            <w:vMerge w:val="restart"/>
            <w:tcBorders>
              <w:top w:val="single" w:sz="4" w:space="0" w:color="auto"/>
              <w:left w:val="single" w:sz="4" w:space="0" w:color="auto"/>
              <w:bottom w:val="single" w:sz="4" w:space="0" w:color="auto"/>
              <w:right w:val="single" w:sz="4" w:space="0" w:color="auto"/>
            </w:tcBorders>
            <w:hideMark/>
          </w:tcPr>
          <w:p w14:paraId="6B4D9272" w14:textId="77777777" w:rsidR="00E40B0E" w:rsidRPr="00980785" w:rsidRDefault="00E40B0E" w:rsidP="00290631">
            <w:pPr>
              <w:pStyle w:val="Header"/>
              <w:tabs>
                <w:tab w:val="left" w:pos="284"/>
              </w:tabs>
              <w:jc w:val="both"/>
              <w:rPr>
                <w:b/>
                <w:sz w:val="22"/>
                <w:szCs w:val="22"/>
                <w:lang w:val="sr-Latn-ME"/>
              </w:rPr>
            </w:pPr>
            <w:r w:rsidRPr="00980785">
              <w:rPr>
                <w:b/>
                <w:sz w:val="22"/>
                <w:szCs w:val="22"/>
                <w:lang w:val="sr-Latn-ME"/>
              </w:rPr>
              <w:t>IPB</w:t>
            </w:r>
          </w:p>
        </w:tc>
        <w:tc>
          <w:tcPr>
            <w:tcW w:w="5061" w:type="dxa"/>
            <w:gridSpan w:val="2"/>
            <w:tcBorders>
              <w:top w:val="single" w:sz="4" w:space="0" w:color="auto"/>
              <w:left w:val="single" w:sz="4" w:space="0" w:color="auto"/>
              <w:bottom w:val="single" w:sz="4" w:space="0" w:color="auto"/>
              <w:right w:val="single" w:sz="4" w:space="0" w:color="auto"/>
            </w:tcBorders>
            <w:hideMark/>
          </w:tcPr>
          <w:p w14:paraId="19F812E2" w14:textId="77777777" w:rsidR="00E40B0E" w:rsidRPr="00980785" w:rsidRDefault="00E40B0E" w:rsidP="00290631">
            <w:pPr>
              <w:pStyle w:val="Header"/>
              <w:tabs>
                <w:tab w:val="left" w:pos="284"/>
              </w:tabs>
              <w:jc w:val="both"/>
              <w:rPr>
                <w:b/>
                <w:sz w:val="22"/>
                <w:szCs w:val="22"/>
                <w:lang w:val="sr-Latn-ME"/>
              </w:rPr>
            </w:pPr>
            <w:r w:rsidRPr="00980785">
              <w:rPr>
                <w:b/>
                <w:sz w:val="22"/>
                <w:szCs w:val="22"/>
                <w:lang w:val="sr-Latn-ME"/>
              </w:rPr>
              <w:t>Učestalost na 100 000 pacijent godina</w:t>
            </w:r>
          </w:p>
        </w:tc>
        <w:tc>
          <w:tcPr>
            <w:tcW w:w="1760" w:type="dxa"/>
            <w:vMerge w:val="restart"/>
            <w:tcBorders>
              <w:top w:val="single" w:sz="4" w:space="0" w:color="auto"/>
              <w:left w:val="single" w:sz="4" w:space="0" w:color="auto"/>
              <w:bottom w:val="single" w:sz="4" w:space="0" w:color="auto"/>
              <w:right w:val="single" w:sz="4" w:space="0" w:color="auto"/>
            </w:tcBorders>
            <w:hideMark/>
          </w:tcPr>
          <w:p w14:paraId="5CF91821" w14:textId="77777777" w:rsidR="00E40B0E" w:rsidRPr="00980785" w:rsidRDefault="00E40B0E" w:rsidP="00290631">
            <w:pPr>
              <w:pStyle w:val="Header"/>
              <w:tabs>
                <w:tab w:val="left" w:pos="284"/>
              </w:tabs>
              <w:jc w:val="both"/>
              <w:rPr>
                <w:b/>
                <w:sz w:val="22"/>
                <w:szCs w:val="22"/>
                <w:vertAlign w:val="superscript"/>
                <w:lang w:val="sr-Latn-ME"/>
              </w:rPr>
            </w:pPr>
            <w:r w:rsidRPr="00980785">
              <w:rPr>
                <w:b/>
                <w:sz w:val="22"/>
                <w:szCs w:val="22"/>
                <w:lang w:val="sr-Latn-ME"/>
              </w:rPr>
              <w:t>Relativna stopa smanjenja</w:t>
            </w:r>
            <w:r w:rsidRPr="00980785">
              <w:rPr>
                <w:b/>
                <w:sz w:val="22"/>
                <w:szCs w:val="22"/>
                <w:vertAlign w:val="superscript"/>
                <w:lang w:val="sr-Latn-ME"/>
              </w:rPr>
              <w:t>(1)</w:t>
            </w:r>
          </w:p>
          <w:p w14:paraId="5B1F9463" w14:textId="77777777" w:rsidR="00E40B0E" w:rsidRPr="00980785" w:rsidRDefault="00E40B0E" w:rsidP="00290631">
            <w:pPr>
              <w:pStyle w:val="Header"/>
              <w:tabs>
                <w:tab w:val="left" w:pos="284"/>
              </w:tabs>
              <w:jc w:val="both"/>
              <w:rPr>
                <w:b/>
                <w:sz w:val="22"/>
                <w:szCs w:val="22"/>
                <w:lang w:val="sr-Latn-ME"/>
              </w:rPr>
            </w:pPr>
            <w:r w:rsidRPr="00980785">
              <w:rPr>
                <w:b/>
                <w:sz w:val="22"/>
                <w:szCs w:val="22"/>
                <w:lang w:val="sr-Latn-ME"/>
              </w:rPr>
              <w:t>% (95% PI)</w:t>
            </w:r>
          </w:p>
        </w:tc>
      </w:tr>
      <w:tr w:rsidR="00E40B0E" w:rsidRPr="00980785" w14:paraId="5B110A15" w14:textId="77777777" w:rsidTr="00290631">
        <w:tc>
          <w:tcPr>
            <w:tcW w:w="2530" w:type="dxa"/>
            <w:vMerge/>
            <w:tcBorders>
              <w:top w:val="single" w:sz="4" w:space="0" w:color="auto"/>
              <w:left w:val="single" w:sz="4" w:space="0" w:color="auto"/>
              <w:bottom w:val="single" w:sz="4" w:space="0" w:color="auto"/>
              <w:right w:val="single" w:sz="4" w:space="0" w:color="auto"/>
            </w:tcBorders>
            <w:vAlign w:val="center"/>
            <w:hideMark/>
          </w:tcPr>
          <w:p w14:paraId="57DBFC2A" w14:textId="77777777" w:rsidR="00E40B0E" w:rsidRPr="00980785" w:rsidRDefault="00E40B0E" w:rsidP="00290631">
            <w:pPr>
              <w:jc w:val="both"/>
              <w:rPr>
                <w:b/>
                <w:sz w:val="22"/>
                <w:szCs w:val="22"/>
                <w:lang w:val="sr-Latn-ME" w:eastAsia="x-none"/>
              </w:rPr>
            </w:pPr>
          </w:p>
        </w:tc>
        <w:tc>
          <w:tcPr>
            <w:tcW w:w="2530" w:type="dxa"/>
            <w:tcBorders>
              <w:top w:val="single" w:sz="4" w:space="0" w:color="auto"/>
              <w:left w:val="single" w:sz="4" w:space="0" w:color="auto"/>
              <w:bottom w:val="single" w:sz="4" w:space="0" w:color="auto"/>
              <w:right w:val="single" w:sz="4" w:space="0" w:color="auto"/>
            </w:tcBorders>
            <w:hideMark/>
          </w:tcPr>
          <w:p w14:paraId="2D65AB8E" w14:textId="77777777" w:rsidR="00E40B0E" w:rsidRPr="00980785" w:rsidRDefault="00E40B0E" w:rsidP="00290631">
            <w:pPr>
              <w:pStyle w:val="Header"/>
              <w:tabs>
                <w:tab w:val="left" w:pos="284"/>
              </w:tabs>
              <w:jc w:val="both"/>
              <w:rPr>
                <w:b/>
                <w:sz w:val="22"/>
                <w:szCs w:val="22"/>
                <w:lang w:val="sr-Latn-ME"/>
              </w:rPr>
            </w:pPr>
            <w:r w:rsidRPr="00980785">
              <w:rPr>
                <w:b/>
                <w:sz w:val="22"/>
                <w:szCs w:val="22"/>
                <w:lang w:val="sr-Latn-ME"/>
              </w:rPr>
              <w:t>Prije NIP</w:t>
            </w:r>
          </w:p>
        </w:tc>
        <w:tc>
          <w:tcPr>
            <w:tcW w:w="2531" w:type="dxa"/>
            <w:tcBorders>
              <w:top w:val="single" w:sz="4" w:space="0" w:color="auto"/>
              <w:left w:val="single" w:sz="4" w:space="0" w:color="auto"/>
              <w:bottom w:val="single" w:sz="4" w:space="0" w:color="auto"/>
              <w:right w:val="single" w:sz="4" w:space="0" w:color="auto"/>
            </w:tcBorders>
            <w:hideMark/>
          </w:tcPr>
          <w:p w14:paraId="30732753" w14:textId="77777777" w:rsidR="00E40B0E" w:rsidRPr="00980785" w:rsidRDefault="00E40B0E" w:rsidP="00290631">
            <w:pPr>
              <w:pStyle w:val="Header"/>
              <w:tabs>
                <w:tab w:val="left" w:pos="284"/>
              </w:tabs>
              <w:jc w:val="both"/>
              <w:rPr>
                <w:b/>
                <w:sz w:val="22"/>
                <w:szCs w:val="22"/>
                <w:lang w:val="sr-Latn-ME"/>
              </w:rPr>
            </w:pPr>
            <w:r w:rsidRPr="00980785">
              <w:rPr>
                <w:b/>
                <w:sz w:val="22"/>
                <w:szCs w:val="22"/>
                <w:lang w:val="sr-Latn-ME"/>
              </w:rPr>
              <w:t>Poslije NIP</w:t>
            </w: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4CB87298" w14:textId="77777777" w:rsidR="00E40B0E" w:rsidRPr="00980785" w:rsidRDefault="00E40B0E" w:rsidP="00290631">
            <w:pPr>
              <w:jc w:val="both"/>
              <w:rPr>
                <w:b/>
                <w:sz w:val="22"/>
                <w:szCs w:val="22"/>
                <w:lang w:val="sr-Latn-ME" w:eastAsia="x-none"/>
              </w:rPr>
            </w:pPr>
          </w:p>
        </w:tc>
      </w:tr>
      <w:tr w:rsidR="00E40B0E" w:rsidRPr="00980785" w14:paraId="5642D01B" w14:textId="77777777" w:rsidTr="00290631">
        <w:tc>
          <w:tcPr>
            <w:tcW w:w="2530" w:type="dxa"/>
            <w:tcBorders>
              <w:top w:val="single" w:sz="4" w:space="0" w:color="auto"/>
              <w:left w:val="single" w:sz="4" w:space="0" w:color="auto"/>
              <w:bottom w:val="single" w:sz="4" w:space="0" w:color="auto"/>
              <w:right w:val="single" w:sz="4" w:space="0" w:color="auto"/>
            </w:tcBorders>
            <w:hideMark/>
          </w:tcPr>
          <w:p w14:paraId="37BCB1CE" w14:textId="77777777" w:rsidR="00E40B0E" w:rsidRPr="00980785" w:rsidRDefault="00E40B0E" w:rsidP="00290631">
            <w:pPr>
              <w:pStyle w:val="Header"/>
              <w:tabs>
                <w:tab w:val="left" w:pos="284"/>
              </w:tabs>
              <w:jc w:val="both"/>
              <w:rPr>
                <w:sz w:val="22"/>
                <w:szCs w:val="22"/>
                <w:lang w:val="sr-Latn-ME"/>
              </w:rPr>
            </w:pPr>
            <w:r w:rsidRPr="00980785">
              <w:rPr>
                <w:sz w:val="22"/>
                <w:szCs w:val="22"/>
                <w:lang w:val="sr-Latn-ME"/>
              </w:rPr>
              <w:t>Bilo koja potvrđena kultura</w:t>
            </w:r>
          </w:p>
        </w:tc>
        <w:tc>
          <w:tcPr>
            <w:tcW w:w="2530" w:type="dxa"/>
            <w:tcBorders>
              <w:top w:val="single" w:sz="4" w:space="0" w:color="auto"/>
              <w:left w:val="single" w:sz="4" w:space="0" w:color="auto"/>
              <w:bottom w:val="single" w:sz="4" w:space="0" w:color="auto"/>
              <w:right w:val="single" w:sz="4" w:space="0" w:color="auto"/>
            </w:tcBorders>
            <w:hideMark/>
          </w:tcPr>
          <w:p w14:paraId="5CFDEE12" w14:textId="77777777" w:rsidR="00E40B0E" w:rsidRPr="00980785" w:rsidRDefault="00E40B0E" w:rsidP="00290631">
            <w:pPr>
              <w:pStyle w:val="Header"/>
              <w:tabs>
                <w:tab w:val="left" w:pos="284"/>
              </w:tabs>
              <w:jc w:val="both"/>
              <w:rPr>
                <w:sz w:val="22"/>
                <w:szCs w:val="22"/>
                <w:lang w:val="sr-Latn-ME"/>
              </w:rPr>
            </w:pPr>
            <w:r w:rsidRPr="00980785">
              <w:rPr>
                <w:sz w:val="22"/>
                <w:szCs w:val="22"/>
                <w:lang w:val="sr-Latn-ME"/>
              </w:rPr>
              <w:t>62,9</w:t>
            </w:r>
          </w:p>
        </w:tc>
        <w:tc>
          <w:tcPr>
            <w:tcW w:w="2531" w:type="dxa"/>
            <w:tcBorders>
              <w:top w:val="single" w:sz="4" w:space="0" w:color="auto"/>
              <w:left w:val="single" w:sz="4" w:space="0" w:color="auto"/>
              <w:bottom w:val="single" w:sz="4" w:space="0" w:color="auto"/>
              <w:right w:val="single" w:sz="4" w:space="0" w:color="auto"/>
            </w:tcBorders>
            <w:hideMark/>
          </w:tcPr>
          <w:p w14:paraId="14A31843" w14:textId="77777777" w:rsidR="00E40B0E" w:rsidRPr="00980785" w:rsidRDefault="00E40B0E" w:rsidP="00290631">
            <w:pPr>
              <w:pStyle w:val="Header"/>
              <w:tabs>
                <w:tab w:val="left" w:pos="284"/>
              </w:tabs>
              <w:jc w:val="both"/>
              <w:rPr>
                <w:sz w:val="22"/>
                <w:szCs w:val="22"/>
                <w:lang w:val="sr-Latn-ME"/>
              </w:rPr>
            </w:pPr>
            <w:r w:rsidRPr="00980785">
              <w:rPr>
                <w:sz w:val="22"/>
                <w:szCs w:val="22"/>
                <w:lang w:val="sr-Latn-ME"/>
              </w:rPr>
              <w:t>12,9</w:t>
            </w:r>
          </w:p>
        </w:tc>
        <w:tc>
          <w:tcPr>
            <w:tcW w:w="1760" w:type="dxa"/>
            <w:tcBorders>
              <w:top w:val="single" w:sz="4" w:space="0" w:color="auto"/>
              <w:left w:val="single" w:sz="4" w:space="0" w:color="auto"/>
              <w:bottom w:val="single" w:sz="4" w:space="0" w:color="auto"/>
              <w:right w:val="single" w:sz="4" w:space="0" w:color="auto"/>
            </w:tcBorders>
            <w:hideMark/>
          </w:tcPr>
          <w:p w14:paraId="4FE66F25" w14:textId="0A0BA8B0" w:rsidR="00E40B0E" w:rsidRPr="00980785" w:rsidRDefault="00E40B0E" w:rsidP="00290631">
            <w:pPr>
              <w:pStyle w:val="Header"/>
              <w:tabs>
                <w:tab w:val="left" w:pos="284"/>
              </w:tabs>
              <w:jc w:val="both"/>
              <w:rPr>
                <w:sz w:val="22"/>
                <w:szCs w:val="22"/>
                <w:lang w:val="sr-Latn-ME"/>
              </w:rPr>
            </w:pPr>
            <w:r w:rsidRPr="00980785">
              <w:rPr>
                <w:sz w:val="22"/>
                <w:szCs w:val="22"/>
                <w:lang w:val="sr-Latn-ME"/>
              </w:rPr>
              <w:t>80% (72;</w:t>
            </w:r>
            <w:r w:rsidR="00C942DC" w:rsidRPr="00980785">
              <w:rPr>
                <w:sz w:val="22"/>
                <w:szCs w:val="22"/>
                <w:lang w:val="sr-Latn-ME"/>
              </w:rPr>
              <w:t xml:space="preserve"> </w:t>
            </w:r>
            <w:r w:rsidRPr="00980785">
              <w:rPr>
                <w:sz w:val="22"/>
                <w:szCs w:val="22"/>
                <w:lang w:val="sr-Latn-ME"/>
              </w:rPr>
              <w:t>85)</w:t>
            </w:r>
          </w:p>
        </w:tc>
      </w:tr>
      <w:tr w:rsidR="00E40B0E" w:rsidRPr="00980785" w14:paraId="306C8BE9" w14:textId="77777777" w:rsidTr="00290631">
        <w:tc>
          <w:tcPr>
            <w:tcW w:w="2530" w:type="dxa"/>
            <w:tcBorders>
              <w:top w:val="single" w:sz="4" w:space="0" w:color="auto"/>
              <w:left w:val="single" w:sz="4" w:space="0" w:color="auto"/>
              <w:bottom w:val="single" w:sz="4" w:space="0" w:color="auto"/>
              <w:right w:val="single" w:sz="4" w:space="0" w:color="auto"/>
            </w:tcBorders>
            <w:hideMark/>
          </w:tcPr>
          <w:p w14:paraId="5C368AB3" w14:textId="77777777" w:rsidR="00E40B0E" w:rsidRPr="00980785" w:rsidRDefault="00E40B0E" w:rsidP="00290631">
            <w:pPr>
              <w:pStyle w:val="Header"/>
              <w:tabs>
                <w:tab w:val="left" w:pos="284"/>
              </w:tabs>
              <w:jc w:val="both"/>
              <w:rPr>
                <w:sz w:val="22"/>
                <w:szCs w:val="22"/>
                <w:lang w:val="sr-Latn-ME"/>
              </w:rPr>
            </w:pPr>
            <w:r w:rsidRPr="00980785">
              <w:rPr>
                <w:sz w:val="22"/>
                <w:szCs w:val="22"/>
                <w:lang w:val="sr-Latn-ME"/>
              </w:rPr>
              <w:t>Bilo koji serotip prisutan u vakcini</w:t>
            </w:r>
            <w:r w:rsidRPr="00980785">
              <w:rPr>
                <w:sz w:val="22"/>
                <w:szCs w:val="22"/>
                <w:vertAlign w:val="superscript"/>
                <w:lang w:val="sr-Latn-ME"/>
              </w:rPr>
              <w:t>(2)</w:t>
            </w:r>
          </w:p>
        </w:tc>
        <w:tc>
          <w:tcPr>
            <w:tcW w:w="2530" w:type="dxa"/>
            <w:tcBorders>
              <w:top w:val="single" w:sz="4" w:space="0" w:color="auto"/>
              <w:left w:val="single" w:sz="4" w:space="0" w:color="auto"/>
              <w:bottom w:val="single" w:sz="4" w:space="0" w:color="auto"/>
              <w:right w:val="single" w:sz="4" w:space="0" w:color="auto"/>
            </w:tcBorders>
            <w:hideMark/>
          </w:tcPr>
          <w:p w14:paraId="3373EEA3" w14:textId="77777777" w:rsidR="00E40B0E" w:rsidRPr="00980785" w:rsidRDefault="00E40B0E" w:rsidP="00290631">
            <w:pPr>
              <w:pStyle w:val="Header"/>
              <w:tabs>
                <w:tab w:val="left" w:pos="284"/>
              </w:tabs>
              <w:jc w:val="both"/>
              <w:rPr>
                <w:sz w:val="22"/>
                <w:szCs w:val="22"/>
                <w:lang w:val="sr-Latn-ME"/>
              </w:rPr>
            </w:pPr>
            <w:r w:rsidRPr="00980785">
              <w:rPr>
                <w:sz w:val="22"/>
                <w:szCs w:val="22"/>
                <w:lang w:val="sr-Latn-ME"/>
              </w:rPr>
              <w:t>49,1</w:t>
            </w:r>
          </w:p>
        </w:tc>
        <w:tc>
          <w:tcPr>
            <w:tcW w:w="2531" w:type="dxa"/>
            <w:tcBorders>
              <w:top w:val="single" w:sz="4" w:space="0" w:color="auto"/>
              <w:left w:val="single" w:sz="4" w:space="0" w:color="auto"/>
              <w:bottom w:val="single" w:sz="4" w:space="0" w:color="auto"/>
              <w:right w:val="single" w:sz="4" w:space="0" w:color="auto"/>
            </w:tcBorders>
            <w:hideMark/>
          </w:tcPr>
          <w:p w14:paraId="0196B57E" w14:textId="77777777" w:rsidR="00E40B0E" w:rsidRPr="00980785" w:rsidRDefault="00E40B0E" w:rsidP="00290631">
            <w:pPr>
              <w:pStyle w:val="Header"/>
              <w:tabs>
                <w:tab w:val="left" w:pos="284"/>
              </w:tabs>
              <w:jc w:val="both"/>
              <w:rPr>
                <w:sz w:val="22"/>
                <w:szCs w:val="22"/>
                <w:lang w:val="sr-Latn-ME"/>
              </w:rPr>
            </w:pPr>
            <w:r w:rsidRPr="00980785">
              <w:rPr>
                <w:sz w:val="22"/>
                <w:szCs w:val="22"/>
                <w:lang w:val="sr-Latn-ME"/>
              </w:rPr>
              <w:t>4,2</w:t>
            </w:r>
          </w:p>
        </w:tc>
        <w:tc>
          <w:tcPr>
            <w:tcW w:w="1760" w:type="dxa"/>
            <w:tcBorders>
              <w:top w:val="single" w:sz="4" w:space="0" w:color="auto"/>
              <w:left w:val="single" w:sz="4" w:space="0" w:color="auto"/>
              <w:bottom w:val="single" w:sz="4" w:space="0" w:color="auto"/>
              <w:right w:val="single" w:sz="4" w:space="0" w:color="auto"/>
            </w:tcBorders>
            <w:hideMark/>
          </w:tcPr>
          <w:p w14:paraId="0DBD40D3" w14:textId="72E5ED8B" w:rsidR="00E40B0E" w:rsidRPr="00980785" w:rsidRDefault="00E40B0E" w:rsidP="00290631">
            <w:pPr>
              <w:pStyle w:val="Header"/>
              <w:tabs>
                <w:tab w:val="left" w:pos="284"/>
              </w:tabs>
              <w:jc w:val="both"/>
              <w:rPr>
                <w:sz w:val="22"/>
                <w:szCs w:val="22"/>
                <w:lang w:val="sr-Latn-ME"/>
              </w:rPr>
            </w:pPr>
            <w:r w:rsidRPr="00980785">
              <w:rPr>
                <w:sz w:val="22"/>
                <w:szCs w:val="22"/>
                <w:lang w:val="sr-Latn-ME"/>
              </w:rPr>
              <w:t>92% (86;</w:t>
            </w:r>
            <w:r w:rsidR="00C942DC" w:rsidRPr="00980785">
              <w:rPr>
                <w:sz w:val="22"/>
                <w:szCs w:val="22"/>
                <w:lang w:val="sr-Latn-ME"/>
              </w:rPr>
              <w:t xml:space="preserve"> </w:t>
            </w:r>
            <w:r w:rsidRPr="00980785">
              <w:rPr>
                <w:sz w:val="22"/>
                <w:szCs w:val="22"/>
                <w:lang w:val="sr-Latn-ME"/>
              </w:rPr>
              <w:t>95)</w:t>
            </w:r>
          </w:p>
        </w:tc>
      </w:tr>
      <w:tr w:rsidR="00E40B0E" w:rsidRPr="00980785" w14:paraId="69C97641" w14:textId="77777777" w:rsidTr="00290631">
        <w:tc>
          <w:tcPr>
            <w:tcW w:w="2530" w:type="dxa"/>
            <w:tcBorders>
              <w:top w:val="single" w:sz="4" w:space="0" w:color="auto"/>
              <w:left w:val="single" w:sz="4" w:space="0" w:color="auto"/>
              <w:bottom w:val="single" w:sz="4" w:space="0" w:color="auto"/>
              <w:right w:val="single" w:sz="4" w:space="0" w:color="auto"/>
            </w:tcBorders>
            <w:hideMark/>
          </w:tcPr>
          <w:p w14:paraId="4F4043E5" w14:textId="77777777" w:rsidR="00E40B0E" w:rsidRPr="00980785" w:rsidRDefault="00E40B0E" w:rsidP="00290631">
            <w:pPr>
              <w:pStyle w:val="Header"/>
              <w:tabs>
                <w:tab w:val="left" w:pos="284"/>
              </w:tabs>
              <w:jc w:val="both"/>
              <w:rPr>
                <w:sz w:val="22"/>
                <w:szCs w:val="22"/>
                <w:lang w:val="sr-Latn-ME"/>
              </w:rPr>
            </w:pPr>
            <w:r w:rsidRPr="00980785">
              <w:rPr>
                <w:sz w:val="22"/>
                <w:szCs w:val="22"/>
                <w:lang w:val="sr-Latn-ME"/>
              </w:rPr>
              <w:t>Serotip 19A</w:t>
            </w:r>
          </w:p>
        </w:tc>
        <w:tc>
          <w:tcPr>
            <w:tcW w:w="2530" w:type="dxa"/>
            <w:tcBorders>
              <w:top w:val="single" w:sz="4" w:space="0" w:color="auto"/>
              <w:left w:val="single" w:sz="4" w:space="0" w:color="auto"/>
              <w:bottom w:val="single" w:sz="4" w:space="0" w:color="auto"/>
              <w:right w:val="single" w:sz="4" w:space="0" w:color="auto"/>
            </w:tcBorders>
            <w:hideMark/>
          </w:tcPr>
          <w:p w14:paraId="6F798D01" w14:textId="77777777" w:rsidR="00E40B0E" w:rsidRPr="00980785" w:rsidRDefault="00E40B0E" w:rsidP="00290631">
            <w:pPr>
              <w:pStyle w:val="Header"/>
              <w:tabs>
                <w:tab w:val="left" w:pos="284"/>
              </w:tabs>
              <w:jc w:val="both"/>
              <w:rPr>
                <w:sz w:val="22"/>
                <w:szCs w:val="22"/>
                <w:lang w:val="sr-Latn-ME"/>
              </w:rPr>
            </w:pPr>
            <w:r w:rsidRPr="00980785">
              <w:rPr>
                <w:sz w:val="22"/>
                <w:szCs w:val="22"/>
                <w:lang w:val="sr-Latn-ME"/>
              </w:rPr>
              <w:t>5,5</w:t>
            </w:r>
          </w:p>
        </w:tc>
        <w:tc>
          <w:tcPr>
            <w:tcW w:w="2531" w:type="dxa"/>
            <w:tcBorders>
              <w:top w:val="single" w:sz="4" w:space="0" w:color="auto"/>
              <w:left w:val="single" w:sz="4" w:space="0" w:color="auto"/>
              <w:bottom w:val="single" w:sz="4" w:space="0" w:color="auto"/>
              <w:right w:val="single" w:sz="4" w:space="0" w:color="auto"/>
            </w:tcBorders>
            <w:hideMark/>
          </w:tcPr>
          <w:p w14:paraId="25235B99" w14:textId="77777777" w:rsidR="00E40B0E" w:rsidRPr="00980785" w:rsidRDefault="00E40B0E" w:rsidP="00290631">
            <w:pPr>
              <w:pStyle w:val="Header"/>
              <w:tabs>
                <w:tab w:val="left" w:pos="284"/>
              </w:tabs>
              <w:jc w:val="both"/>
              <w:rPr>
                <w:sz w:val="22"/>
                <w:szCs w:val="22"/>
                <w:lang w:val="sr-Latn-ME"/>
              </w:rPr>
            </w:pPr>
            <w:r w:rsidRPr="00980785">
              <w:rPr>
                <w:sz w:val="22"/>
                <w:szCs w:val="22"/>
                <w:lang w:val="sr-Latn-ME"/>
              </w:rPr>
              <w:t>2,1</w:t>
            </w:r>
          </w:p>
        </w:tc>
        <w:tc>
          <w:tcPr>
            <w:tcW w:w="1760" w:type="dxa"/>
            <w:tcBorders>
              <w:top w:val="single" w:sz="4" w:space="0" w:color="auto"/>
              <w:left w:val="single" w:sz="4" w:space="0" w:color="auto"/>
              <w:bottom w:val="single" w:sz="4" w:space="0" w:color="auto"/>
              <w:right w:val="single" w:sz="4" w:space="0" w:color="auto"/>
            </w:tcBorders>
            <w:hideMark/>
          </w:tcPr>
          <w:p w14:paraId="587DB65A" w14:textId="02A54E69" w:rsidR="00E40B0E" w:rsidRPr="00980785" w:rsidRDefault="00E40B0E" w:rsidP="00290631">
            <w:pPr>
              <w:pStyle w:val="Header"/>
              <w:tabs>
                <w:tab w:val="left" w:pos="284"/>
              </w:tabs>
              <w:jc w:val="both"/>
              <w:rPr>
                <w:sz w:val="22"/>
                <w:szCs w:val="22"/>
                <w:lang w:val="sr-Latn-ME"/>
              </w:rPr>
            </w:pPr>
            <w:r w:rsidRPr="00980785">
              <w:rPr>
                <w:sz w:val="22"/>
                <w:szCs w:val="22"/>
                <w:lang w:val="sr-Latn-ME"/>
              </w:rPr>
              <w:t>62% (20;</w:t>
            </w:r>
            <w:r w:rsidR="00C942DC" w:rsidRPr="00980785">
              <w:rPr>
                <w:sz w:val="22"/>
                <w:szCs w:val="22"/>
                <w:lang w:val="sr-Latn-ME"/>
              </w:rPr>
              <w:t xml:space="preserve"> </w:t>
            </w:r>
            <w:r w:rsidRPr="00980785">
              <w:rPr>
                <w:sz w:val="22"/>
                <w:szCs w:val="22"/>
                <w:lang w:val="sr-Latn-ME"/>
              </w:rPr>
              <w:t>85)</w:t>
            </w:r>
          </w:p>
        </w:tc>
      </w:tr>
    </w:tbl>
    <w:p w14:paraId="70CA9A77" w14:textId="03CEE6C1" w:rsidR="00E40B0E" w:rsidRPr="00980785" w:rsidRDefault="00E40B0E">
      <w:pPr>
        <w:pStyle w:val="Header"/>
        <w:numPr>
          <w:ilvl w:val="0"/>
          <w:numId w:val="15"/>
        </w:numPr>
        <w:tabs>
          <w:tab w:val="left" w:pos="284"/>
        </w:tabs>
        <w:jc w:val="both"/>
        <w:rPr>
          <w:sz w:val="22"/>
          <w:szCs w:val="22"/>
          <w:lang w:val="sr-Latn-ME" w:eastAsia="x-none"/>
        </w:rPr>
      </w:pPr>
      <w:r w:rsidRPr="00980785">
        <w:rPr>
          <w:sz w:val="22"/>
          <w:szCs w:val="22"/>
          <w:lang w:val="sr-Latn-ME"/>
        </w:rPr>
        <w:t xml:space="preserve">Relativna stopa smanjenja pokazuje koliko je učestalost IPB kod djece </w:t>
      </w:r>
      <w:r w:rsidR="00C942DC" w:rsidRPr="00980785">
        <w:rPr>
          <w:sz w:val="22"/>
          <w:szCs w:val="22"/>
          <w:lang w:val="sr-Latn-ME"/>
        </w:rPr>
        <w:t>uzrasta</w:t>
      </w:r>
      <w:r w:rsidRPr="00980785">
        <w:rPr>
          <w:sz w:val="22"/>
          <w:szCs w:val="22"/>
          <w:lang w:val="sr-Latn-ME"/>
        </w:rPr>
        <w:t xml:space="preserve"> 5 godina i manje smanjena u kohortnoj grupi koja je primila vakcinu </w:t>
      </w:r>
      <w:r w:rsidR="00677FAC" w:rsidRPr="00980785">
        <w:rPr>
          <w:sz w:val="22"/>
          <w:szCs w:val="22"/>
          <w:lang w:val="sr-Latn-ME"/>
        </w:rPr>
        <w:t>SYNFLORIX</w:t>
      </w:r>
      <w:r w:rsidRPr="00980785">
        <w:rPr>
          <w:sz w:val="22"/>
          <w:szCs w:val="22"/>
          <w:lang w:val="sr-Latn-ME"/>
        </w:rPr>
        <w:t xml:space="preserve"> (praćenoj tri godine nakon uvođenja NPI) u poređenju sa, prema </w:t>
      </w:r>
      <w:r w:rsidR="00C942DC" w:rsidRPr="00980785">
        <w:rPr>
          <w:sz w:val="22"/>
          <w:szCs w:val="22"/>
          <w:lang w:val="sr-Latn-ME"/>
        </w:rPr>
        <w:t>uzrastu</w:t>
      </w:r>
      <w:r w:rsidRPr="00980785">
        <w:rPr>
          <w:sz w:val="22"/>
          <w:szCs w:val="22"/>
          <w:lang w:val="sr-Latn-ME"/>
        </w:rPr>
        <w:t xml:space="preserve"> i sezoni usklađenim nevakcinisanim kohortnim grupama (svaka je praćena u periodu od tri godine prije uvođenja vakcine </w:t>
      </w:r>
      <w:r w:rsidR="00677FAC" w:rsidRPr="00980785">
        <w:rPr>
          <w:sz w:val="22"/>
          <w:szCs w:val="22"/>
          <w:lang w:val="sr-Latn-ME"/>
        </w:rPr>
        <w:t>SYNFLORIX</w:t>
      </w:r>
      <w:r w:rsidRPr="00980785">
        <w:rPr>
          <w:sz w:val="22"/>
          <w:szCs w:val="22"/>
          <w:lang w:val="sr-Latn-ME"/>
        </w:rPr>
        <w:t xml:space="preserve"> u NPI)</w:t>
      </w:r>
    </w:p>
    <w:p w14:paraId="2794B4ED" w14:textId="77777777" w:rsidR="00E40B0E" w:rsidRPr="00980785" w:rsidRDefault="00E40B0E">
      <w:pPr>
        <w:pStyle w:val="Header"/>
        <w:numPr>
          <w:ilvl w:val="0"/>
          <w:numId w:val="15"/>
        </w:numPr>
        <w:tabs>
          <w:tab w:val="left" w:pos="284"/>
        </w:tabs>
        <w:jc w:val="both"/>
        <w:rPr>
          <w:sz w:val="22"/>
          <w:szCs w:val="22"/>
          <w:lang w:val="sr-Latn-ME"/>
        </w:rPr>
      </w:pPr>
      <w:r w:rsidRPr="00980785">
        <w:rPr>
          <w:sz w:val="22"/>
          <w:szCs w:val="22"/>
          <w:lang w:val="sr-Latn-ME"/>
        </w:rPr>
        <w:t>Kulturom potvrđeni slučajevi serotipova 1, 4, 6B, 7F, 9V, 14, 18C, 19F i 23F koji su doprinijeli analizi</w:t>
      </w:r>
    </w:p>
    <w:p w14:paraId="0EEDBEF1" w14:textId="77777777" w:rsidR="00E40B0E" w:rsidRPr="00980785" w:rsidRDefault="00E40B0E" w:rsidP="00290631">
      <w:pPr>
        <w:pStyle w:val="Header"/>
        <w:tabs>
          <w:tab w:val="left" w:pos="284"/>
        </w:tabs>
        <w:jc w:val="both"/>
        <w:rPr>
          <w:b/>
          <w:sz w:val="22"/>
          <w:szCs w:val="22"/>
          <w:lang w:val="sr-Latn-ME"/>
        </w:rPr>
      </w:pPr>
    </w:p>
    <w:p w14:paraId="51C2EB08" w14:textId="7CCAB669" w:rsidR="00E40B0E" w:rsidRPr="00980785" w:rsidRDefault="00E40B0E" w:rsidP="00290631">
      <w:pPr>
        <w:pStyle w:val="Header"/>
        <w:tabs>
          <w:tab w:val="left" w:pos="284"/>
        </w:tabs>
        <w:jc w:val="both"/>
        <w:rPr>
          <w:sz w:val="22"/>
          <w:szCs w:val="22"/>
          <w:lang w:val="sr-Latn-ME"/>
        </w:rPr>
      </w:pPr>
      <w:r w:rsidRPr="00980785">
        <w:rPr>
          <w:sz w:val="22"/>
          <w:szCs w:val="22"/>
          <w:lang w:val="sr-Latn-ME"/>
        </w:rPr>
        <w:t xml:space="preserve">U Kvebeku, Kanadi, vakcina </w:t>
      </w:r>
      <w:r w:rsidR="00677FAC" w:rsidRPr="00980785">
        <w:rPr>
          <w:sz w:val="22"/>
          <w:szCs w:val="22"/>
          <w:lang w:val="sr-Latn-ME"/>
        </w:rPr>
        <w:t>SYNFLORIX</w:t>
      </w:r>
      <w:r w:rsidRPr="00980785">
        <w:rPr>
          <w:sz w:val="22"/>
          <w:szCs w:val="22"/>
          <w:lang w:val="sr-Latn-ME"/>
        </w:rPr>
        <w:t xml:space="preserve"> je uvedena u program imunizacije odojčadi (2 primarne doze za odojčad mlađu od 6 mjeseci života i dodatna (buster) doza u 12. mjesecu života) nakon što je 4,5 godine primijenjivana 7-valentna vakcina Prevenar. Na osnovu 1,5 godine nadzora nakon uvođenja vakcine </w:t>
      </w:r>
      <w:r w:rsidR="00677FAC" w:rsidRPr="00980785">
        <w:rPr>
          <w:sz w:val="22"/>
          <w:szCs w:val="22"/>
          <w:lang w:val="sr-Latn-ME"/>
        </w:rPr>
        <w:t>SYNFLORIX</w:t>
      </w:r>
      <w:r w:rsidRPr="00980785">
        <w:rPr>
          <w:sz w:val="22"/>
          <w:szCs w:val="22"/>
          <w:lang w:val="sr-Latn-ME"/>
        </w:rPr>
        <w:t xml:space="preserve">, uz pokrivenost od preko 90% u </w:t>
      </w:r>
      <w:r w:rsidR="00C942DC" w:rsidRPr="00980785">
        <w:rPr>
          <w:sz w:val="22"/>
          <w:szCs w:val="22"/>
          <w:lang w:val="sr-Latn-ME"/>
        </w:rPr>
        <w:t xml:space="preserve">starosnoj </w:t>
      </w:r>
      <w:r w:rsidRPr="00980785">
        <w:rPr>
          <w:sz w:val="22"/>
          <w:szCs w:val="22"/>
          <w:lang w:val="sr-Latn-ME"/>
        </w:rPr>
        <w:t>grupi podobnoj za vakcinaciju, zabilježeno je smanjenje incidence IPB izazvane serotipovima prisutnim u vakcini (većinom zbog promjena u bolesti izazvane serotipom 7F) bez istovremenog porasta incidence IPB izazvane serotipovima koji ni</w:t>
      </w:r>
      <w:r w:rsidR="00C942DC" w:rsidRPr="00980785">
        <w:rPr>
          <w:sz w:val="22"/>
          <w:szCs w:val="22"/>
          <w:lang w:val="sr-Latn-ME"/>
        </w:rPr>
        <w:t>je</w:t>
      </w:r>
      <w:r w:rsidRPr="00980785">
        <w:rPr>
          <w:sz w:val="22"/>
          <w:szCs w:val="22"/>
          <w:lang w:val="sr-Latn-ME"/>
        </w:rPr>
        <w:t xml:space="preserve">su prisutni u vakcini. Uopšteno, incidenca IPB je bila 35/100 000 osoba-godina u kohortama koje su primile vakcinu </w:t>
      </w:r>
      <w:r w:rsidR="00677FAC" w:rsidRPr="00980785">
        <w:rPr>
          <w:sz w:val="22"/>
          <w:szCs w:val="22"/>
          <w:lang w:val="sr-Latn-ME"/>
        </w:rPr>
        <w:t>SYNFLORIX</w:t>
      </w:r>
      <w:r w:rsidRPr="00980785">
        <w:rPr>
          <w:sz w:val="22"/>
          <w:szCs w:val="22"/>
          <w:lang w:val="sr-Latn-ME"/>
        </w:rPr>
        <w:t>, i 64/100 000 osoba-godina koje su primile 7-valentnu vakcinu Prevenar, što predstavlja statistički značajnu razliku (p = 0,03). Iz opservacionih ispitivanja ovog tipa ne može se izvesti direktni uzročno posljedični zaključak.</w:t>
      </w:r>
    </w:p>
    <w:p w14:paraId="3DBF76AF" w14:textId="77777777" w:rsidR="00E40B0E" w:rsidRPr="00980785" w:rsidRDefault="00E40B0E">
      <w:pPr>
        <w:pStyle w:val="Header"/>
        <w:tabs>
          <w:tab w:val="left" w:pos="284"/>
        </w:tabs>
        <w:jc w:val="both"/>
        <w:rPr>
          <w:sz w:val="22"/>
          <w:szCs w:val="22"/>
          <w:lang w:val="sr-Latn-ME"/>
        </w:rPr>
      </w:pPr>
    </w:p>
    <w:p w14:paraId="7538FD2D" w14:textId="19CF8746" w:rsidR="00E40B0E" w:rsidRPr="00980785" w:rsidRDefault="00E40B0E">
      <w:pPr>
        <w:pStyle w:val="Header"/>
        <w:tabs>
          <w:tab w:val="left" w:pos="284"/>
        </w:tabs>
        <w:jc w:val="both"/>
        <w:rPr>
          <w:b/>
          <w:sz w:val="22"/>
          <w:szCs w:val="22"/>
          <w:u w:val="single"/>
          <w:lang w:val="sr-Latn-ME"/>
        </w:rPr>
      </w:pPr>
      <w:r w:rsidRPr="00980785">
        <w:rPr>
          <w:sz w:val="22"/>
          <w:szCs w:val="22"/>
          <w:u w:val="single"/>
          <w:lang w:val="sr-Latn-ME"/>
        </w:rPr>
        <w:t>Podaci o imunogenosti</w:t>
      </w:r>
    </w:p>
    <w:p w14:paraId="26558CE1" w14:textId="77777777" w:rsidR="00E40B0E" w:rsidRPr="00980785" w:rsidRDefault="00E40B0E">
      <w:pPr>
        <w:pStyle w:val="Header"/>
        <w:tabs>
          <w:tab w:val="left" w:pos="284"/>
        </w:tabs>
        <w:jc w:val="both"/>
        <w:rPr>
          <w:b/>
          <w:sz w:val="22"/>
          <w:szCs w:val="22"/>
          <w:u w:val="single"/>
          <w:lang w:val="sr-Latn-ME"/>
        </w:rPr>
      </w:pPr>
    </w:p>
    <w:p w14:paraId="3B0A4C03" w14:textId="498556F4" w:rsidR="00E40B0E" w:rsidRPr="00980785" w:rsidRDefault="00E40B0E">
      <w:pPr>
        <w:pStyle w:val="Header"/>
        <w:tabs>
          <w:tab w:val="left" w:pos="284"/>
        </w:tabs>
        <w:jc w:val="both"/>
        <w:rPr>
          <w:i/>
          <w:sz w:val="22"/>
          <w:szCs w:val="22"/>
          <w:u w:val="single"/>
          <w:lang w:val="sr-Latn-ME"/>
        </w:rPr>
      </w:pPr>
      <w:r w:rsidRPr="00980785">
        <w:rPr>
          <w:i/>
          <w:sz w:val="22"/>
          <w:szCs w:val="22"/>
          <w:u w:val="single"/>
          <w:lang w:val="sr-Latn-ME"/>
        </w:rPr>
        <w:t>Neinferiornost imunološkog odgovora u poređenju sa 7-valentnom vakcinom Prevenar</w:t>
      </w:r>
    </w:p>
    <w:p w14:paraId="1512D261" w14:textId="77777777" w:rsidR="00E40B0E" w:rsidRPr="00980785" w:rsidRDefault="00E40B0E">
      <w:pPr>
        <w:pStyle w:val="Header"/>
        <w:tabs>
          <w:tab w:val="left" w:pos="284"/>
        </w:tabs>
        <w:jc w:val="both"/>
        <w:rPr>
          <w:i/>
          <w:sz w:val="22"/>
          <w:szCs w:val="22"/>
          <w:u w:val="single"/>
          <w:lang w:val="sr-Latn-ME"/>
        </w:rPr>
      </w:pPr>
    </w:p>
    <w:p w14:paraId="0E1D8B10" w14:textId="77777777" w:rsidR="00E40B0E" w:rsidRPr="00980785" w:rsidRDefault="00E40B0E">
      <w:pPr>
        <w:pStyle w:val="Header"/>
        <w:tabs>
          <w:tab w:val="left" w:pos="284"/>
        </w:tabs>
        <w:jc w:val="both"/>
        <w:rPr>
          <w:sz w:val="22"/>
          <w:szCs w:val="22"/>
          <w:lang w:val="sr-Latn-ME"/>
        </w:rPr>
      </w:pPr>
      <w:r w:rsidRPr="00980785">
        <w:rPr>
          <w:sz w:val="22"/>
          <w:szCs w:val="22"/>
          <w:lang w:val="sr-Latn-ME"/>
        </w:rPr>
        <w:t xml:space="preserve">Po preporuci Svjetske zdravstvene organizacije, procjena potencijalne efikasnosti protiv IPB zasnivala se na poređenju imunog odgovora na sedam serotipova koji su zajednički za vakcinu </w:t>
      </w:r>
      <w:r w:rsidR="00677FAC" w:rsidRPr="00980785">
        <w:rPr>
          <w:sz w:val="22"/>
          <w:szCs w:val="22"/>
          <w:lang w:val="sr-Latn-ME"/>
        </w:rPr>
        <w:t>SYNFLORIX</w:t>
      </w:r>
      <w:r w:rsidRPr="00980785">
        <w:rPr>
          <w:sz w:val="22"/>
          <w:szCs w:val="22"/>
          <w:lang w:val="sr-Latn-ME"/>
        </w:rPr>
        <w:t xml:space="preserve"> i drugu pneumokoknu konjugovanu vakcinu, za koju je protektivna efikasnost ranije procijenjena (7-valentni Prevenar). Imuni odgovor na preostala tri serotipa u vakcini </w:t>
      </w:r>
      <w:r w:rsidR="00677FAC" w:rsidRPr="00980785">
        <w:rPr>
          <w:sz w:val="22"/>
          <w:szCs w:val="22"/>
          <w:lang w:val="sr-Latn-ME"/>
        </w:rPr>
        <w:t>SYNFLORIX</w:t>
      </w:r>
      <w:r w:rsidRPr="00980785">
        <w:rPr>
          <w:sz w:val="22"/>
          <w:szCs w:val="22"/>
          <w:lang w:val="sr-Latn-ME"/>
        </w:rPr>
        <w:t xml:space="preserve"> takođe je određen.</w:t>
      </w:r>
    </w:p>
    <w:p w14:paraId="48F56B37" w14:textId="1F37B8A9" w:rsidR="00E40B0E" w:rsidRPr="00980785" w:rsidRDefault="00E40B0E">
      <w:pPr>
        <w:pStyle w:val="Header"/>
        <w:tabs>
          <w:tab w:val="left" w:pos="284"/>
        </w:tabs>
        <w:jc w:val="both"/>
        <w:rPr>
          <w:sz w:val="22"/>
          <w:szCs w:val="22"/>
          <w:lang w:val="sr-Latn-ME"/>
        </w:rPr>
      </w:pPr>
      <w:r w:rsidRPr="00980785">
        <w:rPr>
          <w:sz w:val="22"/>
          <w:szCs w:val="22"/>
          <w:lang w:val="sr-Latn-ME"/>
        </w:rPr>
        <w:t xml:space="preserve">U direktnom komparativnom ispitivanju sa 7-valentnom vakcinom Prevenar, dokazano je da imuni odgovor na vakcinu </w:t>
      </w:r>
      <w:r w:rsidR="00677FAC" w:rsidRPr="00980785">
        <w:rPr>
          <w:sz w:val="22"/>
          <w:szCs w:val="22"/>
          <w:lang w:val="sr-Latn-ME"/>
        </w:rPr>
        <w:t>SYNFLORIX</w:t>
      </w:r>
      <w:r w:rsidRPr="00980785">
        <w:rPr>
          <w:sz w:val="22"/>
          <w:szCs w:val="22"/>
          <w:lang w:val="sr-Latn-ME"/>
        </w:rPr>
        <w:t xml:space="preserve"> mjeren ELISA metodom za sve serotipove nije inferioran, osim za 6B i 23F (gornja granica od 96,5% CI sa razlikom između grupa &gt;</w:t>
      </w:r>
      <w:r w:rsidR="00C942DC" w:rsidRPr="00980785">
        <w:rPr>
          <w:sz w:val="22"/>
          <w:szCs w:val="22"/>
          <w:lang w:val="sr-Latn-ME"/>
        </w:rPr>
        <w:t xml:space="preserve"> </w:t>
      </w:r>
      <w:r w:rsidRPr="00980785">
        <w:rPr>
          <w:sz w:val="22"/>
          <w:szCs w:val="22"/>
          <w:lang w:val="sr-Latn-ME"/>
        </w:rPr>
        <w:t xml:space="preserve">10%) (tabela </w:t>
      </w:r>
      <w:r w:rsidR="00C942DC" w:rsidRPr="00980785">
        <w:rPr>
          <w:sz w:val="22"/>
          <w:szCs w:val="22"/>
          <w:lang w:val="sr-Latn-ME"/>
        </w:rPr>
        <w:t>6</w:t>
      </w:r>
      <w:r w:rsidRPr="00980785">
        <w:rPr>
          <w:sz w:val="22"/>
          <w:szCs w:val="22"/>
          <w:lang w:val="sr-Latn-ME"/>
        </w:rPr>
        <w:t>). Za serotipove 6B i 23F, za svakog posebno, 65,9% i 81,4% vakcinisane odojčadi po šemi 2,</w:t>
      </w:r>
      <w:r w:rsidR="00C942DC" w:rsidRPr="00980785">
        <w:rPr>
          <w:sz w:val="22"/>
          <w:szCs w:val="22"/>
          <w:lang w:val="sr-Latn-ME"/>
        </w:rPr>
        <w:t xml:space="preserve"> </w:t>
      </w:r>
      <w:r w:rsidRPr="00980785">
        <w:rPr>
          <w:sz w:val="22"/>
          <w:szCs w:val="22"/>
          <w:lang w:val="sr-Latn-ME"/>
        </w:rPr>
        <w:t>3,</w:t>
      </w:r>
      <w:r w:rsidR="00C942DC" w:rsidRPr="00980785">
        <w:rPr>
          <w:sz w:val="22"/>
          <w:szCs w:val="22"/>
          <w:lang w:val="sr-Latn-ME"/>
        </w:rPr>
        <w:t xml:space="preserve"> i </w:t>
      </w:r>
      <w:r w:rsidRPr="00980785">
        <w:rPr>
          <w:sz w:val="22"/>
          <w:szCs w:val="22"/>
          <w:lang w:val="sr-Latn-ME"/>
        </w:rPr>
        <w:t xml:space="preserve">4. mjesec dostignut je prag za antitijela (odnosno 0,20 μg/ml) mjesec dana nakon primjene treće doze vakcine </w:t>
      </w:r>
      <w:r w:rsidR="00677FAC" w:rsidRPr="00980785">
        <w:rPr>
          <w:sz w:val="22"/>
          <w:szCs w:val="22"/>
          <w:lang w:val="sr-Latn-ME"/>
        </w:rPr>
        <w:t>SYNFLORIX</w:t>
      </w:r>
      <w:r w:rsidRPr="00980785">
        <w:rPr>
          <w:sz w:val="22"/>
          <w:szCs w:val="22"/>
          <w:lang w:val="sr-Latn-ME"/>
        </w:rPr>
        <w:t xml:space="preserve"> </w:t>
      </w:r>
      <w:r w:rsidRPr="00980785">
        <w:rPr>
          <w:sz w:val="22"/>
          <w:szCs w:val="22"/>
          <w:lang w:val="sr-Latn-ME"/>
        </w:rPr>
        <w:lastRenderedPageBreak/>
        <w:t xml:space="preserve">nasuprot 79,0% i 94,1% respektivno, nakon primjene tri doze 7-valentne vakcine Prevenar. Klinički značaj ovih razlika nije poznat, s obzirom na to da je utvrđena efikasnost vakcine protiv IPB izazvane serotipom 6B </w:t>
      </w:r>
      <w:r w:rsidR="006E74A0" w:rsidRPr="00980785">
        <w:rPr>
          <w:sz w:val="22"/>
          <w:szCs w:val="22"/>
          <w:lang w:val="sr-Latn-ME"/>
        </w:rPr>
        <w:t xml:space="preserve">u dvostruko slijepom klaster randomiziranom kliničkom ispitivanju  </w:t>
      </w:r>
      <w:r w:rsidRPr="00980785">
        <w:rPr>
          <w:sz w:val="22"/>
          <w:szCs w:val="22"/>
          <w:lang w:val="sr-Latn-ME"/>
        </w:rPr>
        <w:t>(vidjeti tabelu 1).</w:t>
      </w:r>
    </w:p>
    <w:p w14:paraId="0A1F00F0" w14:textId="77777777" w:rsidR="00E40B0E" w:rsidRPr="00980785" w:rsidRDefault="00E40B0E">
      <w:pPr>
        <w:pStyle w:val="Header"/>
        <w:tabs>
          <w:tab w:val="left" w:pos="284"/>
        </w:tabs>
        <w:jc w:val="both"/>
        <w:rPr>
          <w:sz w:val="22"/>
          <w:szCs w:val="22"/>
          <w:lang w:val="sr-Latn-ME"/>
        </w:rPr>
      </w:pPr>
    </w:p>
    <w:p w14:paraId="6273B680" w14:textId="77777777" w:rsidR="00E40B0E" w:rsidRPr="00980785" w:rsidRDefault="00E40B0E">
      <w:pPr>
        <w:pStyle w:val="Header"/>
        <w:tabs>
          <w:tab w:val="left" w:pos="284"/>
        </w:tabs>
        <w:jc w:val="both"/>
        <w:rPr>
          <w:sz w:val="22"/>
          <w:szCs w:val="22"/>
          <w:lang w:val="sr-Latn-ME"/>
        </w:rPr>
      </w:pPr>
      <w:r w:rsidRPr="00980785">
        <w:rPr>
          <w:sz w:val="22"/>
          <w:szCs w:val="22"/>
          <w:lang w:val="sr-Latn-ME"/>
        </w:rPr>
        <w:t xml:space="preserve">Procenat vakcinisanih koji je dostigao prag za preostala tri serotipa iz vakcine </w:t>
      </w:r>
      <w:r w:rsidR="00677FAC" w:rsidRPr="00980785">
        <w:rPr>
          <w:sz w:val="22"/>
          <w:szCs w:val="22"/>
          <w:lang w:val="sr-Latn-ME"/>
        </w:rPr>
        <w:t>SYNFLORIX</w:t>
      </w:r>
      <w:r w:rsidRPr="00980785">
        <w:rPr>
          <w:sz w:val="22"/>
          <w:szCs w:val="22"/>
          <w:lang w:val="sr-Latn-ME"/>
        </w:rPr>
        <w:t xml:space="preserve"> (1, 5 i 7F) bio je respektivno, 97,3%, 99,0% i 99,5% i bio je u najmanju ruku kao i zbirni odgovor na 7-valentnu vakcinu Prevenar protiv 7 serotipova (95,8%).</w:t>
      </w:r>
    </w:p>
    <w:p w14:paraId="0C2D3900" w14:textId="77777777" w:rsidR="00E40B0E" w:rsidRPr="00980785" w:rsidRDefault="00E40B0E">
      <w:pPr>
        <w:pStyle w:val="Header"/>
        <w:tabs>
          <w:tab w:val="left" w:pos="284"/>
        </w:tabs>
        <w:jc w:val="both"/>
        <w:rPr>
          <w:sz w:val="22"/>
          <w:szCs w:val="22"/>
          <w:lang w:val="sr-Latn-ME"/>
        </w:rPr>
      </w:pPr>
    </w:p>
    <w:p w14:paraId="3DF06913" w14:textId="77777777" w:rsidR="00E40B0E" w:rsidRPr="00980785" w:rsidRDefault="00E40B0E" w:rsidP="00290631">
      <w:pPr>
        <w:pStyle w:val="Header"/>
        <w:tabs>
          <w:tab w:val="left" w:pos="284"/>
        </w:tabs>
        <w:jc w:val="both"/>
        <w:rPr>
          <w:i/>
          <w:sz w:val="22"/>
          <w:szCs w:val="22"/>
          <w:u w:val="single"/>
          <w:lang w:val="sr-Latn-ME"/>
        </w:rPr>
      </w:pPr>
      <w:r w:rsidRPr="00980785">
        <w:rPr>
          <w:b/>
          <w:sz w:val="22"/>
          <w:szCs w:val="22"/>
          <w:lang w:val="sr-Latn-ME"/>
        </w:rPr>
        <w:t xml:space="preserve">Tabela 6: Komparativna analiza između 7-valentne vakcine Prevenar i vakcine </w:t>
      </w:r>
      <w:r w:rsidR="00677FAC" w:rsidRPr="00980785">
        <w:rPr>
          <w:b/>
          <w:sz w:val="22"/>
          <w:szCs w:val="22"/>
          <w:lang w:val="sr-Latn-ME"/>
        </w:rPr>
        <w:t>SYNFLORIX</w:t>
      </w:r>
      <w:r w:rsidRPr="00980785">
        <w:rPr>
          <w:b/>
          <w:sz w:val="22"/>
          <w:szCs w:val="22"/>
          <w:lang w:val="sr-Latn-ME"/>
        </w:rPr>
        <w:t xml:space="preserve"> u procentu osoba sa koncentracijom antitijela ≥ 0,20μg/ml mjesec dana nakon primjene 3. doze</w:t>
      </w:r>
    </w:p>
    <w:p w14:paraId="4AFBE0F5" w14:textId="77777777" w:rsidR="00E40B0E" w:rsidRPr="00980785" w:rsidRDefault="00E40B0E" w:rsidP="00290631">
      <w:pPr>
        <w:pStyle w:val="Header"/>
        <w:tabs>
          <w:tab w:val="left" w:pos="284"/>
        </w:tabs>
        <w:jc w:val="both"/>
        <w:rPr>
          <w:i/>
          <w:sz w:val="22"/>
          <w:szCs w:val="22"/>
          <w:u w:val="single"/>
          <w:lang w:val="sr-Latn-ME"/>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7"/>
        <w:gridCol w:w="1080"/>
        <w:gridCol w:w="1081"/>
        <w:gridCol w:w="1081"/>
        <w:gridCol w:w="1081"/>
        <w:gridCol w:w="1441"/>
        <w:gridCol w:w="1292"/>
        <w:gridCol w:w="1143"/>
      </w:tblGrid>
      <w:tr w:rsidR="00E40B0E" w:rsidRPr="00980785" w14:paraId="10DB541F" w14:textId="77777777" w:rsidTr="00046B01">
        <w:trPr>
          <w:trHeight w:val="1048"/>
          <w:jc w:val="center"/>
        </w:trPr>
        <w:tc>
          <w:tcPr>
            <w:tcW w:w="1327" w:type="dxa"/>
            <w:vMerge w:val="restart"/>
            <w:tcBorders>
              <w:top w:val="single" w:sz="4" w:space="0" w:color="auto"/>
              <w:left w:val="single" w:sz="4" w:space="0" w:color="auto"/>
              <w:bottom w:val="single" w:sz="4" w:space="0" w:color="auto"/>
              <w:right w:val="single" w:sz="4" w:space="0" w:color="auto"/>
            </w:tcBorders>
            <w:vAlign w:val="center"/>
          </w:tcPr>
          <w:p w14:paraId="3BF1F5CA" w14:textId="77777777" w:rsidR="00E40B0E" w:rsidRPr="00980785" w:rsidRDefault="00E40B0E" w:rsidP="00290631">
            <w:pPr>
              <w:pStyle w:val="Header"/>
              <w:tabs>
                <w:tab w:val="left" w:pos="284"/>
              </w:tabs>
              <w:jc w:val="both"/>
              <w:rPr>
                <w:noProof/>
                <w:sz w:val="22"/>
                <w:szCs w:val="22"/>
                <w:u w:val="single"/>
                <w:lang w:val="sr-Latn-ME"/>
              </w:rPr>
            </w:pPr>
          </w:p>
          <w:p w14:paraId="4C6F179B" w14:textId="77777777" w:rsidR="00E40B0E" w:rsidRPr="00980785" w:rsidRDefault="00E40B0E" w:rsidP="00290631">
            <w:pPr>
              <w:pStyle w:val="Header"/>
              <w:tabs>
                <w:tab w:val="left" w:pos="284"/>
              </w:tabs>
              <w:jc w:val="both"/>
              <w:rPr>
                <w:noProof/>
                <w:sz w:val="22"/>
                <w:szCs w:val="22"/>
                <w:u w:val="single"/>
                <w:lang w:val="sr-Latn-ME"/>
              </w:rPr>
            </w:pPr>
          </w:p>
          <w:p w14:paraId="5CE96B40" w14:textId="77777777" w:rsidR="00E40B0E" w:rsidRPr="00980785" w:rsidRDefault="00E40B0E" w:rsidP="00290631">
            <w:pPr>
              <w:pStyle w:val="Header"/>
              <w:tabs>
                <w:tab w:val="left" w:pos="284"/>
              </w:tabs>
              <w:jc w:val="both"/>
              <w:rPr>
                <w:b/>
                <w:noProof/>
                <w:sz w:val="22"/>
                <w:szCs w:val="22"/>
                <w:lang w:val="sr-Latn-ME"/>
              </w:rPr>
            </w:pPr>
            <w:r w:rsidRPr="00980785">
              <w:rPr>
                <w:b/>
                <w:noProof/>
                <w:sz w:val="22"/>
                <w:szCs w:val="22"/>
                <w:lang w:val="sr-Latn-ME"/>
              </w:rPr>
              <w:t>Antitijelo</w:t>
            </w:r>
          </w:p>
        </w:tc>
        <w:tc>
          <w:tcPr>
            <w:tcW w:w="2161" w:type="dxa"/>
            <w:gridSpan w:val="2"/>
            <w:tcBorders>
              <w:top w:val="single" w:sz="4" w:space="0" w:color="auto"/>
              <w:left w:val="single" w:sz="4" w:space="0" w:color="auto"/>
              <w:bottom w:val="single" w:sz="4" w:space="0" w:color="auto"/>
              <w:right w:val="single" w:sz="4" w:space="0" w:color="auto"/>
            </w:tcBorders>
            <w:vAlign w:val="center"/>
          </w:tcPr>
          <w:p w14:paraId="01C45D35" w14:textId="77777777" w:rsidR="00E40B0E" w:rsidRPr="00980785" w:rsidRDefault="00E40B0E" w:rsidP="00290631">
            <w:pPr>
              <w:pStyle w:val="Header"/>
              <w:tabs>
                <w:tab w:val="left" w:pos="284"/>
              </w:tabs>
              <w:jc w:val="both"/>
              <w:rPr>
                <w:noProof/>
                <w:sz w:val="22"/>
                <w:szCs w:val="22"/>
                <w:u w:val="single"/>
                <w:lang w:val="sr-Latn-ME"/>
              </w:rPr>
            </w:pPr>
          </w:p>
          <w:p w14:paraId="65385D65" w14:textId="77777777" w:rsidR="00E40B0E" w:rsidRPr="00980785" w:rsidRDefault="00E40B0E" w:rsidP="00290631">
            <w:pPr>
              <w:pStyle w:val="Header"/>
              <w:tabs>
                <w:tab w:val="left" w:pos="284"/>
              </w:tabs>
              <w:jc w:val="both"/>
              <w:rPr>
                <w:noProof/>
                <w:sz w:val="22"/>
                <w:szCs w:val="22"/>
                <w:u w:val="single"/>
                <w:lang w:val="sr-Latn-ME"/>
              </w:rPr>
            </w:pPr>
          </w:p>
          <w:p w14:paraId="3E63CCCD" w14:textId="77777777" w:rsidR="00E40B0E" w:rsidRPr="00980785" w:rsidRDefault="00677FAC" w:rsidP="00290631">
            <w:pPr>
              <w:pStyle w:val="Header"/>
              <w:tabs>
                <w:tab w:val="left" w:pos="284"/>
              </w:tabs>
              <w:jc w:val="both"/>
              <w:rPr>
                <w:b/>
                <w:noProof/>
                <w:sz w:val="22"/>
                <w:szCs w:val="22"/>
                <w:lang w:val="sr-Latn-ME"/>
              </w:rPr>
            </w:pPr>
            <w:r w:rsidRPr="00980785">
              <w:rPr>
                <w:b/>
                <w:noProof/>
                <w:sz w:val="22"/>
                <w:szCs w:val="22"/>
                <w:lang w:val="sr-Latn-ME"/>
              </w:rPr>
              <w:t>SYNFLORIX</w:t>
            </w:r>
          </w:p>
        </w:tc>
        <w:tc>
          <w:tcPr>
            <w:tcW w:w="2162" w:type="dxa"/>
            <w:gridSpan w:val="2"/>
            <w:tcBorders>
              <w:top w:val="single" w:sz="4" w:space="0" w:color="auto"/>
              <w:left w:val="single" w:sz="4" w:space="0" w:color="auto"/>
              <w:bottom w:val="single" w:sz="4" w:space="0" w:color="auto"/>
              <w:right w:val="single" w:sz="4" w:space="0" w:color="auto"/>
            </w:tcBorders>
            <w:vAlign w:val="center"/>
          </w:tcPr>
          <w:p w14:paraId="15B4AE8A" w14:textId="77777777" w:rsidR="00E40B0E" w:rsidRPr="00980785" w:rsidRDefault="00E40B0E" w:rsidP="00290631">
            <w:pPr>
              <w:pStyle w:val="Header"/>
              <w:tabs>
                <w:tab w:val="left" w:pos="284"/>
              </w:tabs>
              <w:jc w:val="both"/>
              <w:rPr>
                <w:noProof/>
                <w:sz w:val="22"/>
                <w:szCs w:val="22"/>
                <w:u w:val="single"/>
                <w:lang w:val="sr-Latn-ME"/>
              </w:rPr>
            </w:pPr>
          </w:p>
          <w:p w14:paraId="4F98A459" w14:textId="77777777" w:rsidR="00E40B0E" w:rsidRPr="00980785" w:rsidRDefault="00E40B0E" w:rsidP="00290631">
            <w:pPr>
              <w:pStyle w:val="Header"/>
              <w:tabs>
                <w:tab w:val="left" w:pos="284"/>
              </w:tabs>
              <w:jc w:val="both"/>
              <w:rPr>
                <w:b/>
                <w:noProof/>
                <w:sz w:val="22"/>
                <w:szCs w:val="22"/>
                <w:lang w:val="sr-Latn-ME"/>
              </w:rPr>
            </w:pPr>
            <w:r w:rsidRPr="00980785">
              <w:rPr>
                <w:b/>
                <w:noProof/>
                <w:sz w:val="22"/>
                <w:szCs w:val="22"/>
                <w:lang w:val="sr-Latn-ME"/>
              </w:rPr>
              <w:t>7-valentni</w:t>
            </w:r>
          </w:p>
          <w:p w14:paraId="2DE5B75C" w14:textId="77777777" w:rsidR="00E40B0E" w:rsidRPr="00980785" w:rsidRDefault="00E40B0E" w:rsidP="00290631">
            <w:pPr>
              <w:pStyle w:val="Header"/>
              <w:tabs>
                <w:tab w:val="left" w:pos="284"/>
              </w:tabs>
              <w:jc w:val="both"/>
              <w:rPr>
                <w:noProof/>
                <w:sz w:val="22"/>
                <w:szCs w:val="22"/>
                <w:lang w:val="sr-Latn-ME"/>
              </w:rPr>
            </w:pPr>
            <w:r w:rsidRPr="00980785">
              <w:rPr>
                <w:b/>
                <w:noProof/>
                <w:sz w:val="22"/>
                <w:szCs w:val="22"/>
                <w:lang w:val="sr-Latn-ME"/>
              </w:rPr>
              <w:t>Prevenar</w:t>
            </w:r>
          </w:p>
        </w:tc>
        <w:tc>
          <w:tcPr>
            <w:tcW w:w="3876" w:type="dxa"/>
            <w:gridSpan w:val="3"/>
            <w:tcBorders>
              <w:top w:val="single" w:sz="4" w:space="0" w:color="auto"/>
              <w:left w:val="single" w:sz="4" w:space="0" w:color="auto"/>
              <w:bottom w:val="single" w:sz="4" w:space="0" w:color="auto"/>
              <w:right w:val="single" w:sz="4" w:space="0" w:color="auto"/>
            </w:tcBorders>
            <w:vAlign w:val="center"/>
            <w:hideMark/>
          </w:tcPr>
          <w:p w14:paraId="60B813C5" w14:textId="77777777" w:rsidR="00E40B0E" w:rsidRPr="00980785" w:rsidRDefault="00E40B0E" w:rsidP="00290631">
            <w:pPr>
              <w:pStyle w:val="Header"/>
              <w:tabs>
                <w:tab w:val="left" w:pos="284"/>
              </w:tabs>
              <w:jc w:val="both"/>
              <w:rPr>
                <w:b/>
                <w:noProof/>
                <w:sz w:val="22"/>
                <w:szCs w:val="22"/>
                <w:lang w:val="sr-Latn-ME"/>
              </w:rPr>
            </w:pPr>
            <w:r w:rsidRPr="00980785">
              <w:rPr>
                <w:b/>
                <w:noProof/>
                <w:sz w:val="22"/>
                <w:szCs w:val="22"/>
                <w:lang w:val="sr-Latn-ME"/>
              </w:rPr>
              <w:t xml:space="preserve">Razlika u % ≥ 0, 20 μg/ml (7-valentni Prevenar minus </w:t>
            </w:r>
            <w:r w:rsidR="00677FAC" w:rsidRPr="00980785">
              <w:rPr>
                <w:b/>
                <w:noProof/>
                <w:sz w:val="22"/>
                <w:szCs w:val="22"/>
                <w:lang w:val="sr-Latn-ME"/>
              </w:rPr>
              <w:t>SYNFLORIX</w:t>
            </w:r>
            <w:r w:rsidRPr="00980785">
              <w:rPr>
                <w:b/>
                <w:noProof/>
                <w:sz w:val="22"/>
                <w:szCs w:val="22"/>
                <w:lang w:val="sr-Latn-ME"/>
              </w:rPr>
              <w:t>)</w:t>
            </w:r>
          </w:p>
        </w:tc>
      </w:tr>
      <w:tr w:rsidR="00E40B0E" w:rsidRPr="00980785" w14:paraId="07EA10D6" w14:textId="77777777" w:rsidTr="00046B01">
        <w:trPr>
          <w:trHeight w:val="364"/>
          <w:jc w:val="center"/>
        </w:trPr>
        <w:tc>
          <w:tcPr>
            <w:tcW w:w="1327" w:type="dxa"/>
            <w:vMerge/>
            <w:tcBorders>
              <w:top w:val="single" w:sz="4" w:space="0" w:color="auto"/>
              <w:left w:val="single" w:sz="4" w:space="0" w:color="auto"/>
              <w:bottom w:val="single" w:sz="4" w:space="0" w:color="auto"/>
              <w:right w:val="single" w:sz="4" w:space="0" w:color="auto"/>
            </w:tcBorders>
            <w:vAlign w:val="center"/>
            <w:hideMark/>
          </w:tcPr>
          <w:p w14:paraId="4936DDC9" w14:textId="77777777" w:rsidR="00E40B0E" w:rsidRPr="00980785" w:rsidRDefault="00E40B0E" w:rsidP="00290631">
            <w:pPr>
              <w:jc w:val="both"/>
              <w:rPr>
                <w:b/>
                <w:noProof/>
                <w:sz w:val="22"/>
                <w:szCs w:val="22"/>
                <w:lang w:val="sr-Latn-ME" w:eastAsia="x-none"/>
              </w:rPr>
            </w:pPr>
          </w:p>
        </w:tc>
        <w:tc>
          <w:tcPr>
            <w:tcW w:w="1080" w:type="dxa"/>
            <w:tcBorders>
              <w:top w:val="single" w:sz="4" w:space="0" w:color="auto"/>
              <w:left w:val="single" w:sz="4" w:space="0" w:color="auto"/>
              <w:bottom w:val="single" w:sz="4" w:space="0" w:color="auto"/>
              <w:right w:val="single" w:sz="4" w:space="0" w:color="auto"/>
            </w:tcBorders>
            <w:hideMark/>
          </w:tcPr>
          <w:p w14:paraId="58E74E85" w14:textId="77777777" w:rsidR="00E40B0E" w:rsidRPr="00980785" w:rsidRDefault="00E40B0E" w:rsidP="00290631">
            <w:pPr>
              <w:pStyle w:val="Header"/>
              <w:tabs>
                <w:tab w:val="left" w:pos="284"/>
              </w:tabs>
              <w:jc w:val="both"/>
              <w:rPr>
                <w:b/>
                <w:noProof/>
                <w:sz w:val="22"/>
                <w:szCs w:val="22"/>
                <w:lang w:val="sr-Latn-ME"/>
              </w:rPr>
            </w:pPr>
            <w:r w:rsidRPr="00980785">
              <w:rPr>
                <w:b/>
                <w:noProof/>
                <w:sz w:val="22"/>
                <w:szCs w:val="22"/>
                <w:lang w:val="sr-Latn-ME"/>
              </w:rPr>
              <w:t xml:space="preserve">    N</w:t>
            </w:r>
          </w:p>
        </w:tc>
        <w:tc>
          <w:tcPr>
            <w:tcW w:w="1081" w:type="dxa"/>
            <w:tcBorders>
              <w:top w:val="single" w:sz="4" w:space="0" w:color="auto"/>
              <w:left w:val="single" w:sz="4" w:space="0" w:color="auto"/>
              <w:bottom w:val="single" w:sz="4" w:space="0" w:color="auto"/>
              <w:right w:val="single" w:sz="4" w:space="0" w:color="auto"/>
            </w:tcBorders>
            <w:hideMark/>
          </w:tcPr>
          <w:p w14:paraId="3CBC30BD"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w:t>
            </w:r>
          </w:p>
        </w:tc>
        <w:tc>
          <w:tcPr>
            <w:tcW w:w="1081" w:type="dxa"/>
            <w:tcBorders>
              <w:top w:val="single" w:sz="4" w:space="0" w:color="auto"/>
              <w:left w:val="single" w:sz="4" w:space="0" w:color="auto"/>
              <w:bottom w:val="single" w:sz="4" w:space="0" w:color="auto"/>
              <w:right w:val="single" w:sz="4" w:space="0" w:color="auto"/>
            </w:tcBorders>
            <w:hideMark/>
          </w:tcPr>
          <w:p w14:paraId="1AA69622" w14:textId="77777777" w:rsidR="00E40B0E" w:rsidRPr="00980785" w:rsidRDefault="00E40B0E" w:rsidP="00290631">
            <w:pPr>
              <w:pStyle w:val="Header"/>
              <w:tabs>
                <w:tab w:val="left" w:pos="284"/>
              </w:tabs>
              <w:jc w:val="both"/>
              <w:rPr>
                <w:b/>
                <w:noProof/>
                <w:sz w:val="22"/>
                <w:szCs w:val="22"/>
                <w:lang w:val="sr-Latn-ME"/>
              </w:rPr>
            </w:pPr>
            <w:r w:rsidRPr="00980785">
              <w:rPr>
                <w:b/>
                <w:noProof/>
                <w:sz w:val="22"/>
                <w:szCs w:val="22"/>
                <w:lang w:val="sr-Latn-ME"/>
              </w:rPr>
              <w:t xml:space="preserve">     N</w:t>
            </w:r>
          </w:p>
        </w:tc>
        <w:tc>
          <w:tcPr>
            <w:tcW w:w="1081" w:type="dxa"/>
            <w:tcBorders>
              <w:top w:val="single" w:sz="4" w:space="0" w:color="auto"/>
              <w:left w:val="single" w:sz="4" w:space="0" w:color="auto"/>
              <w:bottom w:val="single" w:sz="4" w:space="0" w:color="auto"/>
              <w:right w:val="single" w:sz="4" w:space="0" w:color="auto"/>
            </w:tcBorders>
            <w:hideMark/>
          </w:tcPr>
          <w:p w14:paraId="03DA572B"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w:t>
            </w:r>
          </w:p>
        </w:tc>
        <w:tc>
          <w:tcPr>
            <w:tcW w:w="1441" w:type="dxa"/>
            <w:tcBorders>
              <w:top w:val="single" w:sz="4" w:space="0" w:color="auto"/>
              <w:left w:val="single" w:sz="4" w:space="0" w:color="auto"/>
              <w:bottom w:val="single" w:sz="4" w:space="0" w:color="auto"/>
              <w:right w:val="single" w:sz="4" w:space="0" w:color="auto"/>
            </w:tcBorders>
            <w:hideMark/>
          </w:tcPr>
          <w:p w14:paraId="6A4EC4AA"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w:t>
            </w:r>
          </w:p>
        </w:tc>
        <w:tc>
          <w:tcPr>
            <w:tcW w:w="2435" w:type="dxa"/>
            <w:gridSpan w:val="2"/>
            <w:tcBorders>
              <w:top w:val="single" w:sz="4" w:space="0" w:color="auto"/>
              <w:left w:val="single" w:sz="4" w:space="0" w:color="auto"/>
              <w:bottom w:val="single" w:sz="4" w:space="0" w:color="auto"/>
              <w:right w:val="single" w:sz="4" w:space="0" w:color="auto"/>
            </w:tcBorders>
            <w:hideMark/>
          </w:tcPr>
          <w:p w14:paraId="6ADBA8DD" w14:textId="77777777" w:rsidR="00E40B0E" w:rsidRPr="00980785" w:rsidRDefault="00E40B0E" w:rsidP="00290631">
            <w:pPr>
              <w:pStyle w:val="Header"/>
              <w:tabs>
                <w:tab w:val="left" w:pos="284"/>
              </w:tabs>
              <w:jc w:val="both"/>
              <w:rPr>
                <w:b/>
                <w:noProof/>
                <w:sz w:val="22"/>
                <w:szCs w:val="22"/>
                <w:lang w:val="sr-Latn-ME"/>
              </w:rPr>
            </w:pPr>
            <w:r w:rsidRPr="00980785">
              <w:rPr>
                <w:b/>
                <w:noProof/>
                <w:sz w:val="22"/>
                <w:szCs w:val="22"/>
                <w:lang w:val="sr-Latn-ME"/>
              </w:rPr>
              <w:t xml:space="preserve">            96, 5%IP</w:t>
            </w:r>
          </w:p>
        </w:tc>
      </w:tr>
      <w:tr w:rsidR="00E40B0E" w:rsidRPr="00980785" w14:paraId="22044DEA" w14:textId="77777777" w:rsidTr="00046B01">
        <w:trPr>
          <w:trHeight w:val="364"/>
          <w:jc w:val="center"/>
        </w:trPr>
        <w:tc>
          <w:tcPr>
            <w:tcW w:w="1327" w:type="dxa"/>
            <w:tcBorders>
              <w:top w:val="single" w:sz="4" w:space="0" w:color="auto"/>
              <w:left w:val="single" w:sz="4" w:space="0" w:color="auto"/>
              <w:bottom w:val="single" w:sz="4" w:space="0" w:color="auto"/>
              <w:right w:val="single" w:sz="4" w:space="0" w:color="auto"/>
            </w:tcBorders>
            <w:hideMark/>
          </w:tcPr>
          <w:p w14:paraId="3994A09C"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Anti-4</w:t>
            </w:r>
          </w:p>
        </w:tc>
        <w:tc>
          <w:tcPr>
            <w:tcW w:w="1080" w:type="dxa"/>
            <w:tcBorders>
              <w:top w:val="single" w:sz="4" w:space="0" w:color="auto"/>
              <w:left w:val="single" w:sz="4" w:space="0" w:color="auto"/>
              <w:bottom w:val="single" w:sz="4" w:space="0" w:color="auto"/>
              <w:right w:val="single" w:sz="4" w:space="0" w:color="auto"/>
            </w:tcBorders>
            <w:hideMark/>
          </w:tcPr>
          <w:p w14:paraId="15E2435C"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1106</w:t>
            </w:r>
          </w:p>
        </w:tc>
        <w:tc>
          <w:tcPr>
            <w:tcW w:w="1081" w:type="dxa"/>
            <w:tcBorders>
              <w:top w:val="single" w:sz="4" w:space="0" w:color="auto"/>
              <w:left w:val="single" w:sz="4" w:space="0" w:color="auto"/>
              <w:bottom w:val="single" w:sz="4" w:space="0" w:color="auto"/>
              <w:right w:val="single" w:sz="4" w:space="0" w:color="auto"/>
            </w:tcBorders>
            <w:hideMark/>
          </w:tcPr>
          <w:p w14:paraId="243EED3A"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97, 1</w:t>
            </w:r>
          </w:p>
        </w:tc>
        <w:tc>
          <w:tcPr>
            <w:tcW w:w="1081" w:type="dxa"/>
            <w:tcBorders>
              <w:top w:val="single" w:sz="4" w:space="0" w:color="auto"/>
              <w:left w:val="single" w:sz="4" w:space="0" w:color="auto"/>
              <w:bottom w:val="single" w:sz="4" w:space="0" w:color="auto"/>
              <w:right w:val="single" w:sz="4" w:space="0" w:color="auto"/>
            </w:tcBorders>
            <w:hideMark/>
          </w:tcPr>
          <w:p w14:paraId="1D1F8484"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373</w:t>
            </w:r>
          </w:p>
        </w:tc>
        <w:tc>
          <w:tcPr>
            <w:tcW w:w="1081" w:type="dxa"/>
            <w:tcBorders>
              <w:top w:val="single" w:sz="4" w:space="0" w:color="auto"/>
              <w:left w:val="single" w:sz="4" w:space="0" w:color="auto"/>
              <w:bottom w:val="single" w:sz="4" w:space="0" w:color="auto"/>
              <w:right w:val="single" w:sz="4" w:space="0" w:color="auto"/>
            </w:tcBorders>
            <w:hideMark/>
          </w:tcPr>
          <w:p w14:paraId="5D2B8981"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100</w:t>
            </w:r>
          </w:p>
        </w:tc>
        <w:tc>
          <w:tcPr>
            <w:tcW w:w="1441" w:type="dxa"/>
            <w:tcBorders>
              <w:top w:val="single" w:sz="4" w:space="0" w:color="auto"/>
              <w:left w:val="single" w:sz="4" w:space="0" w:color="auto"/>
              <w:bottom w:val="single" w:sz="4" w:space="0" w:color="auto"/>
              <w:right w:val="single" w:sz="4" w:space="0" w:color="auto"/>
            </w:tcBorders>
            <w:hideMark/>
          </w:tcPr>
          <w:p w14:paraId="6A46F3A0"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2, 89</w:t>
            </w:r>
          </w:p>
        </w:tc>
        <w:tc>
          <w:tcPr>
            <w:tcW w:w="1292" w:type="dxa"/>
            <w:tcBorders>
              <w:top w:val="single" w:sz="4" w:space="0" w:color="auto"/>
              <w:left w:val="single" w:sz="4" w:space="0" w:color="auto"/>
              <w:bottom w:val="single" w:sz="4" w:space="0" w:color="auto"/>
              <w:right w:val="single" w:sz="4" w:space="0" w:color="auto"/>
            </w:tcBorders>
            <w:hideMark/>
          </w:tcPr>
          <w:p w14:paraId="3EFD3231"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1, 71</w:t>
            </w:r>
          </w:p>
        </w:tc>
        <w:tc>
          <w:tcPr>
            <w:tcW w:w="1143" w:type="dxa"/>
            <w:tcBorders>
              <w:top w:val="single" w:sz="4" w:space="0" w:color="auto"/>
              <w:left w:val="single" w:sz="4" w:space="0" w:color="auto"/>
              <w:bottom w:val="single" w:sz="4" w:space="0" w:color="auto"/>
              <w:right w:val="single" w:sz="4" w:space="0" w:color="auto"/>
            </w:tcBorders>
            <w:hideMark/>
          </w:tcPr>
          <w:p w14:paraId="127B5F50"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4, 16</w:t>
            </w:r>
          </w:p>
        </w:tc>
      </w:tr>
      <w:tr w:rsidR="00E40B0E" w:rsidRPr="00980785" w14:paraId="2F6C9668" w14:textId="77777777" w:rsidTr="00046B01">
        <w:trPr>
          <w:trHeight w:val="346"/>
          <w:jc w:val="center"/>
        </w:trPr>
        <w:tc>
          <w:tcPr>
            <w:tcW w:w="1327" w:type="dxa"/>
            <w:tcBorders>
              <w:top w:val="single" w:sz="4" w:space="0" w:color="auto"/>
              <w:left w:val="single" w:sz="4" w:space="0" w:color="auto"/>
              <w:bottom w:val="single" w:sz="4" w:space="0" w:color="auto"/>
              <w:right w:val="single" w:sz="4" w:space="0" w:color="auto"/>
            </w:tcBorders>
            <w:hideMark/>
          </w:tcPr>
          <w:p w14:paraId="1A2DD949"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Anti-6B</w:t>
            </w:r>
          </w:p>
        </w:tc>
        <w:tc>
          <w:tcPr>
            <w:tcW w:w="1080" w:type="dxa"/>
            <w:tcBorders>
              <w:top w:val="single" w:sz="4" w:space="0" w:color="auto"/>
              <w:left w:val="single" w:sz="4" w:space="0" w:color="auto"/>
              <w:bottom w:val="single" w:sz="4" w:space="0" w:color="auto"/>
              <w:right w:val="single" w:sz="4" w:space="0" w:color="auto"/>
            </w:tcBorders>
            <w:hideMark/>
          </w:tcPr>
          <w:p w14:paraId="6BF57FBD"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1100</w:t>
            </w:r>
          </w:p>
        </w:tc>
        <w:tc>
          <w:tcPr>
            <w:tcW w:w="1081" w:type="dxa"/>
            <w:tcBorders>
              <w:top w:val="single" w:sz="4" w:space="0" w:color="auto"/>
              <w:left w:val="single" w:sz="4" w:space="0" w:color="auto"/>
              <w:bottom w:val="single" w:sz="4" w:space="0" w:color="auto"/>
              <w:right w:val="single" w:sz="4" w:space="0" w:color="auto"/>
            </w:tcBorders>
            <w:hideMark/>
          </w:tcPr>
          <w:p w14:paraId="443254AB"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65, 9</w:t>
            </w:r>
          </w:p>
        </w:tc>
        <w:tc>
          <w:tcPr>
            <w:tcW w:w="1081" w:type="dxa"/>
            <w:tcBorders>
              <w:top w:val="single" w:sz="4" w:space="0" w:color="auto"/>
              <w:left w:val="single" w:sz="4" w:space="0" w:color="auto"/>
              <w:bottom w:val="single" w:sz="4" w:space="0" w:color="auto"/>
              <w:right w:val="single" w:sz="4" w:space="0" w:color="auto"/>
            </w:tcBorders>
            <w:hideMark/>
          </w:tcPr>
          <w:p w14:paraId="59E70A3F"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372</w:t>
            </w:r>
          </w:p>
        </w:tc>
        <w:tc>
          <w:tcPr>
            <w:tcW w:w="1081" w:type="dxa"/>
            <w:tcBorders>
              <w:top w:val="single" w:sz="4" w:space="0" w:color="auto"/>
              <w:left w:val="single" w:sz="4" w:space="0" w:color="auto"/>
              <w:bottom w:val="single" w:sz="4" w:space="0" w:color="auto"/>
              <w:right w:val="single" w:sz="4" w:space="0" w:color="auto"/>
            </w:tcBorders>
            <w:hideMark/>
          </w:tcPr>
          <w:p w14:paraId="0F8102D5"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79, 0</w:t>
            </w:r>
          </w:p>
        </w:tc>
        <w:tc>
          <w:tcPr>
            <w:tcW w:w="1441" w:type="dxa"/>
            <w:tcBorders>
              <w:top w:val="single" w:sz="4" w:space="0" w:color="auto"/>
              <w:left w:val="single" w:sz="4" w:space="0" w:color="auto"/>
              <w:bottom w:val="single" w:sz="4" w:space="0" w:color="auto"/>
              <w:right w:val="single" w:sz="4" w:space="0" w:color="auto"/>
            </w:tcBorders>
            <w:hideMark/>
          </w:tcPr>
          <w:p w14:paraId="63566717"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13, 12</w:t>
            </w:r>
          </w:p>
        </w:tc>
        <w:tc>
          <w:tcPr>
            <w:tcW w:w="1292" w:type="dxa"/>
            <w:tcBorders>
              <w:top w:val="single" w:sz="4" w:space="0" w:color="auto"/>
              <w:left w:val="single" w:sz="4" w:space="0" w:color="auto"/>
              <w:bottom w:val="single" w:sz="4" w:space="0" w:color="auto"/>
              <w:right w:val="single" w:sz="4" w:space="0" w:color="auto"/>
            </w:tcBorders>
            <w:hideMark/>
          </w:tcPr>
          <w:p w14:paraId="04BDC2AA"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7, 53</w:t>
            </w:r>
          </w:p>
        </w:tc>
        <w:tc>
          <w:tcPr>
            <w:tcW w:w="1143" w:type="dxa"/>
            <w:tcBorders>
              <w:top w:val="single" w:sz="4" w:space="0" w:color="auto"/>
              <w:left w:val="single" w:sz="4" w:space="0" w:color="auto"/>
              <w:bottom w:val="single" w:sz="4" w:space="0" w:color="auto"/>
              <w:right w:val="single" w:sz="4" w:space="0" w:color="auto"/>
            </w:tcBorders>
            <w:hideMark/>
          </w:tcPr>
          <w:p w14:paraId="7EE1970C"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18, 28</w:t>
            </w:r>
          </w:p>
        </w:tc>
      </w:tr>
      <w:tr w:rsidR="00E40B0E" w:rsidRPr="00980785" w14:paraId="2B26234D" w14:textId="77777777" w:rsidTr="00046B01">
        <w:trPr>
          <w:trHeight w:val="346"/>
          <w:jc w:val="center"/>
        </w:trPr>
        <w:tc>
          <w:tcPr>
            <w:tcW w:w="1327" w:type="dxa"/>
            <w:tcBorders>
              <w:top w:val="single" w:sz="4" w:space="0" w:color="auto"/>
              <w:left w:val="single" w:sz="4" w:space="0" w:color="auto"/>
              <w:bottom w:val="single" w:sz="4" w:space="0" w:color="auto"/>
              <w:right w:val="single" w:sz="4" w:space="0" w:color="auto"/>
            </w:tcBorders>
            <w:hideMark/>
          </w:tcPr>
          <w:p w14:paraId="73D2CEBF"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Anti-9V</w:t>
            </w:r>
          </w:p>
        </w:tc>
        <w:tc>
          <w:tcPr>
            <w:tcW w:w="1080" w:type="dxa"/>
            <w:tcBorders>
              <w:top w:val="single" w:sz="4" w:space="0" w:color="auto"/>
              <w:left w:val="single" w:sz="4" w:space="0" w:color="auto"/>
              <w:bottom w:val="single" w:sz="4" w:space="0" w:color="auto"/>
              <w:right w:val="single" w:sz="4" w:space="0" w:color="auto"/>
            </w:tcBorders>
            <w:hideMark/>
          </w:tcPr>
          <w:p w14:paraId="795273B6"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1103</w:t>
            </w:r>
          </w:p>
        </w:tc>
        <w:tc>
          <w:tcPr>
            <w:tcW w:w="1081" w:type="dxa"/>
            <w:tcBorders>
              <w:top w:val="single" w:sz="4" w:space="0" w:color="auto"/>
              <w:left w:val="single" w:sz="4" w:space="0" w:color="auto"/>
              <w:bottom w:val="single" w:sz="4" w:space="0" w:color="auto"/>
              <w:right w:val="single" w:sz="4" w:space="0" w:color="auto"/>
            </w:tcBorders>
            <w:hideMark/>
          </w:tcPr>
          <w:p w14:paraId="6B2E16E8"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98, 1</w:t>
            </w:r>
          </w:p>
        </w:tc>
        <w:tc>
          <w:tcPr>
            <w:tcW w:w="1081" w:type="dxa"/>
            <w:tcBorders>
              <w:top w:val="single" w:sz="4" w:space="0" w:color="auto"/>
              <w:left w:val="single" w:sz="4" w:space="0" w:color="auto"/>
              <w:bottom w:val="single" w:sz="4" w:space="0" w:color="auto"/>
              <w:right w:val="single" w:sz="4" w:space="0" w:color="auto"/>
            </w:tcBorders>
            <w:hideMark/>
          </w:tcPr>
          <w:p w14:paraId="6231C3FB"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374 </w:t>
            </w:r>
          </w:p>
        </w:tc>
        <w:tc>
          <w:tcPr>
            <w:tcW w:w="1081" w:type="dxa"/>
            <w:tcBorders>
              <w:top w:val="single" w:sz="4" w:space="0" w:color="auto"/>
              <w:left w:val="single" w:sz="4" w:space="0" w:color="auto"/>
              <w:bottom w:val="single" w:sz="4" w:space="0" w:color="auto"/>
              <w:right w:val="single" w:sz="4" w:space="0" w:color="auto"/>
            </w:tcBorders>
            <w:hideMark/>
          </w:tcPr>
          <w:p w14:paraId="2A385E35"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99, 5</w:t>
            </w:r>
          </w:p>
        </w:tc>
        <w:tc>
          <w:tcPr>
            <w:tcW w:w="1441" w:type="dxa"/>
            <w:tcBorders>
              <w:top w:val="single" w:sz="4" w:space="0" w:color="auto"/>
              <w:left w:val="single" w:sz="4" w:space="0" w:color="auto"/>
              <w:bottom w:val="single" w:sz="4" w:space="0" w:color="auto"/>
              <w:right w:val="single" w:sz="4" w:space="0" w:color="auto"/>
            </w:tcBorders>
            <w:hideMark/>
          </w:tcPr>
          <w:p w14:paraId="4F82F1EB"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1, 37</w:t>
            </w:r>
          </w:p>
        </w:tc>
        <w:tc>
          <w:tcPr>
            <w:tcW w:w="1292" w:type="dxa"/>
            <w:tcBorders>
              <w:top w:val="single" w:sz="4" w:space="0" w:color="auto"/>
              <w:left w:val="single" w:sz="4" w:space="0" w:color="auto"/>
              <w:bottom w:val="single" w:sz="4" w:space="0" w:color="auto"/>
              <w:right w:val="single" w:sz="4" w:space="0" w:color="auto"/>
            </w:tcBorders>
            <w:hideMark/>
          </w:tcPr>
          <w:p w14:paraId="6D8795F7"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-0, 28 </w:t>
            </w:r>
          </w:p>
        </w:tc>
        <w:tc>
          <w:tcPr>
            <w:tcW w:w="1143" w:type="dxa"/>
            <w:tcBorders>
              <w:top w:val="single" w:sz="4" w:space="0" w:color="auto"/>
              <w:left w:val="single" w:sz="4" w:space="0" w:color="auto"/>
              <w:bottom w:val="single" w:sz="4" w:space="0" w:color="auto"/>
              <w:right w:val="single" w:sz="4" w:space="0" w:color="auto"/>
            </w:tcBorders>
            <w:hideMark/>
          </w:tcPr>
          <w:p w14:paraId="05911D85"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2, 56</w:t>
            </w:r>
          </w:p>
        </w:tc>
      </w:tr>
      <w:tr w:rsidR="00E40B0E" w:rsidRPr="00980785" w14:paraId="045BA26A" w14:textId="77777777" w:rsidTr="00046B01">
        <w:trPr>
          <w:trHeight w:val="346"/>
          <w:jc w:val="center"/>
        </w:trPr>
        <w:tc>
          <w:tcPr>
            <w:tcW w:w="1327" w:type="dxa"/>
            <w:tcBorders>
              <w:top w:val="single" w:sz="4" w:space="0" w:color="auto"/>
              <w:left w:val="single" w:sz="4" w:space="0" w:color="auto"/>
              <w:bottom w:val="single" w:sz="4" w:space="0" w:color="auto"/>
              <w:right w:val="single" w:sz="4" w:space="0" w:color="auto"/>
            </w:tcBorders>
            <w:hideMark/>
          </w:tcPr>
          <w:p w14:paraId="71250C59"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Anti-14</w:t>
            </w:r>
          </w:p>
        </w:tc>
        <w:tc>
          <w:tcPr>
            <w:tcW w:w="1080" w:type="dxa"/>
            <w:tcBorders>
              <w:top w:val="single" w:sz="4" w:space="0" w:color="auto"/>
              <w:left w:val="single" w:sz="4" w:space="0" w:color="auto"/>
              <w:bottom w:val="single" w:sz="4" w:space="0" w:color="auto"/>
              <w:right w:val="single" w:sz="4" w:space="0" w:color="auto"/>
            </w:tcBorders>
            <w:hideMark/>
          </w:tcPr>
          <w:p w14:paraId="3557A832"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1100</w:t>
            </w:r>
          </w:p>
        </w:tc>
        <w:tc>
          <w:tcPr>
            <w:tcW w:w="1081" w:type="dxa"/>
            <w:tcBorders>
              <w:top w:val="single" w:sz="4" w:space="0" w:color="auto"/>
              <w:left w:val="single" w:sz="4" w:space="0" w:color="auto"/>
              <w:bottom w:val="single" w:sz="4" w:space="0" w:color="auto"/>
              <w:right w:val="single" w:sz="4" w:space="0" w:color="auto"/>
            </w:tcBorders>
            <w:hideMark/>
          </w:tcPr>
          <w:p w14:paraId="7EDC555C"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99, 5</w:t>
            </w:r>
          </w:p>
        </w:tc>
        <w:tc>
          <w:tcPr>
            <w:tcW w:w="1081" w:type="dxa"/>
            <w:tcBorders>
              <w:top w:val="single" w:sz="4" w:space="0" w:color="auto"/>
              <w:left w:val="single" w:sz="4" w:space="0" w:color="auto"/>
              <w:bottom w:val="single" w:sz="4" w:space="0" w:color="auto"/>
              <w:right w:val="single" w:sz="4" w:space="0" w:color="auto"/>
            </w:tcBorders>
            <w:hideMark/>
          </w:tcPr>
          <w:p w14:paraId="65C3AA66"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374</w:t>
            </w:r>
          </w:p>
        </w:tc>
        <w:tc>
          <w:tcPr>
            <w:tcW w:w="1081" w:type="dxa"/>
            <w:tcBorders>
              <w:top w:val="single" w:sz="4" w:space="0" w:color="auto"/>
              <w:left w:val="single" w:sz="4" w:space="0" w:color="auto"/>
              <w:bottom w:val="single" w:sz="4" w:space="0" w:color="auto"/>
              <w:right w:val="single" w:sz="4" w:space="0" w:color="auto"/>
            </w:tcBorders>
            <w:hideMark/>
          </w:tcPr>
          <w:p w14:paraId="1E6CEE30"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99, 5</w:t>
            </w:r>
          </w:p>
        </w:tc>
        <w:tc>
          <w:tcPr>
            <w:tcW w:w="1441" w:type="dxa"/>
            <w:tcBorders>
              <w:top w:val="single" w:sz="4" w:space="0" w:color="auto"/>
              <w:left w:val="single" w:sz="4" w:space="0" w:color="auto"/>
              <w:bottom w:val="single" w:sz="4" w:space="0" w:color="auto"/>
              <w:right w:val="single" w:sz="4" w:space="0" w:color="auto"/>
            </w:tcBorders>
            <w:hideMark/>
          </w:tcPr>
          <w:p w14:paraId="53FA66D3"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-0, 08</w:t>
            </w:r>
          </w:p>
        </w:tc>
        <w:tc>
          <w:tcPr>
            <w:tcW w:w="1292" w:type="dxa"/>
            <w:tcBorders>
              <w:top w:val="single" w:sz="4" w:space="0" w:color="auto"/>
              <w:left w:val="single" w:sz="4" w:space="0" w:color="auto"/>
              <w:bottom w:val="single" w:sz="4" w:space="0" w:color="auto"/>
              <w:right w:val="single" w:sz="4" w:space="0" w:color="auto"/>
            </w:tcBorders>
            <w:hideMark/>
          </w:tcPr>
          <w:p w14:paraId="4847A01E"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-1, 66</w:t>
            </w:r>
          </w:p>
        </w:tc>
        <w:tc>
          <w:tcPr>
            <w:tcW w:w="1143" w:type="dxa"/>
            <w:tcBorders>
              <w:top w:val="single" w:sz="4" w:space="0" w:color="auto"/>
              <w:left w:val="single" w:sz="4" w:space="0" w:color="auto"/>
              <w:bottom w:val="single" w:sz="4" w:space="0" w:color="auto"/>
              <w:right w:val="single" w:sz="4" w:space="0" w:color="auto"/>
            </w:tcBorders>
            <w:hideMark/>
          </w:tcPr>
          <w:p w14:paraId="7ED67536"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0, 71</w:t>
            </w:r>
          </w:p>
        </w:tc>
      </w:tr>
      <w:tr w:rsidR="00E40B0E" w:rsidRPr="00980785" w14:paraId="285DC5DE" w14:textId="77777777" w:rsidTr="00046B01">
        <w:trPr>
          <w:trHeight w:val="364"/>
          <w:jc w:val="center"/>
        </w:trPr>
        <w:tc>
          <w:tcPr>
            <w:tcW w:w="1327" w:type="dxa"/>
            <w:tcBorders>
              <w:top w:val="single" w:sz="4" w:space="0" w:color="auto"/>
              <w:left w:val="single" w:sz="4" w:space="0" w:color="auto"/>
              <w:bottom w:val="single" w:sz="4" w:space="0" w:color="auto"/>
              <w:right w:val="single" w:sz="4" w:space="0" w:color="auto"/>
            </w:tcBorders>
            <w:hideMark/>
          </w:tcPr>
          <w:p w14:paraId="4A72717B"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Anti-18C</w:t>
            </w:r>
          </w:p>
        </w:tc>
        <w:tc>
          <w:tcPr>
            <w:tcW w:w="1080" w:type="dxa"/>
            <w:tcBorders>
              <w:top w:val="single" w:sz="4" w:space="0" w:color="auto"/>
              <w:left w:val="single" w:sz="4" w:space="0" w:color="auto"/>
              <w:bottom w:val="single" w:sz="4" w:space="0" w:color="auto"/>
              <w:right w:val="single" w:sz="4" w:space="0" w:color="auto"/>
            </w:tcBorders>
            <w:hideMark/>
          </w:tcPr>
          <w:p w14:paraId="237865A2"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1102</w:t>
            </w:r>
          </w:p>
        </w:tc>
        <w:tc>
          <w:tcPr>
            <w:tcW w:w="1081" w:type="dxa"/>
            <w:tcBorders>
              <w:top w:val="single" w:sz="4" w:space="0" w:color="auto"/>
              <w:left w:val="single" w:sz="4" w:space="0" w:color="auto"/>
              <w:bottom w:val="single" w:sz="4" w:space="0" w:color="auto"/>
              <w:right w:val="single" w:sz="4" w:space="0" w:color="auto"/>
            </w:tcBorders>
            <w:hideMark/>
          </w:tcPr>
          <w:p w14:paraId="5CDFCB8C"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96, 0</w:t>
            </w:r>
          </w:p>
        </w:tc>
        <w:tc>
          <w:tcPr>
            <w:tcW w:w="1081" w:type="dxa"/>
            <w:tcBorders>
              <w:top w:val="single" w:sz="4" w:space="0" w:color="auto"/>
              <w:left w:val="single" w:sz="4" w:space="0" w:color="auto"/>
              <w:bottom w:val="single" w:sz="4" w:space="0" w:color="auto"/>
              <w:right w:val="single" w:sz="4" w:space="0" w:color="auto"/>
            </w:tcBorders>
            <w:hideMark/>
          </w:tcPr>
          <w:p w14:paraId="10908F95"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374</w:t>
            </w:r>
          </w:p>
        </w:tc>
        <w:tc>
          <w:tcPr>
            <w:tcW w:w="1081" w:type="dxa"/>
            <w:tcBorders>
              <w:top w:val="single" w:sz="4" w:space="0" w:color="auto"/>
              <w:left w:val="single" w:sz="4" w:space="0" w:color="auto"/>
              <w:bottom w:val="single" w:sz="4" w:space="0" w:color="auto"/>
              <w:right w:val="single" w:sz="4" w:space="0" w:color="auto"/>
            </w:tcBorders>
            <w:hideMark/>
          </w:tcPr>
          <w:p w14:paraId="14E0F2D1"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98, 9</w:t>
            </w:r>
          </w:p>
        </w:tc>
        <w:tc>
          <w:tcPr>
            <w:tcW w:w="1441" w:type="dxa"/>
            <w:tcBorders>
              <w:top w:val="single" w:sz="4" w:space="0" w:color="auto"/>
              <w:left w:val="single" w:sz="4" w:space="0" w:color="auto"/>
              <w:bottom w:val="single" w:sz="4" w:space="0" w:color="auto"/>
              <w:right w:val="single" w:sz="4" w:space="0" w:color="auto"/>
            </w:tcBorders>
            <w:hideMark/>
          </w:tcPr>
          <w:p w14:paraId="14CFEB6F"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2, 92</w:t>
            </w:r>
          </w:p>
        </w:tc>
        <w:tc>
          <w:tcPr>
            <w:tcW w:w="1292" w:type="dxa"/>
            <w:tcBorders>
              <w:top w:val="single" w:sz="4" w:space="0" w:color="auto"/>
              <w:left w:val="single" w:sz="4" w:space="0" w:color="auto"/>
              <w:bottom w:val="single" w:sz="4" w:space="0" w:color="auto"/>
              <w:right w:val="single" w:sz="4" w:space="0" w:color="auto"/>
            </w:tcBorders>
            <w:hideMark/>
          </w:tcPr>
          <w:p w14:paraId="0787BAF3"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0, 88</w:t>
            </w:r>
          </w:p>
        </w:tc>
        <w:tc>
          <w:tcPr>
            <w:tcW w:w="1143" w:type="dxa"/>
            <w:tcBorders>
              <w:top w:val="single" w:sz="4" w:space="0" w:color="auto"/>
              <w:left w:val="single" w:sz="4" w:space="0" w:color="auto"/>
              <w:bottom w:val="single" w:sz="4" w:space="0" w:color="auto"/>
              <w:right w:val="single" w:sz="4" w:space="0" w:color="auto"/>
            </w:tcBorders>
            <w:hideMark/>
          </w:tcPr>
          <w:p w14:paraId="7D1BA389"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4, 57</w:t>
            </w:r>
          </w:p>
        </w:tc>
      </w:tr>
      <w:tr w:rsidR="00E40B0E" w:rsidRPr="00980785" w14:paraId="6918ADA9" w14:textId="77777777" w:rsidTr="00046B01">
        <w:trPr>
          <w:trHeight w:val="346"/>
          <w:jc w:val="center"/>
        </w:trPr>
        <w:tc>
          <w:tcPr>
            <w:tcW w:w="1327" w:type="dxa"/>
            <w:tcBorders>
              <w:top w:val="single" w:sz="4" w:space="0" w:color="auto"/>
              <w:left w:val="single" w:sz="4" w:space="0" w:color="auto"/>
              <w:bottom w:val="single" w:sz="4" w:space="0" w:color="auto"/>
              <w:right w:val="single" w:sz="4" w:space="0" w:color="auto"/>
            </w:tcBorders>
            <w:hideMark/>
          </w:tcPr>
          <w:p w14:paraId="307C9C4F"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Anti-19F</w:t>
            </w:r>
          </w:p>
        </w:tc>
        <w:tc>
          <w:tcPr>
            <w:tcW w:w="1080" w:type="dxa"/>
            <w:tcBorders>
              <w:top w:val="single" w:sz="4" w:space="0" w:color="auto"/>
              <w:left w:val="single" w:sz="4" w:space="0" w:color="auto"/>
              <w:bottom w:val="single" w:sz="4" w:space="0" w:color="auto"/>
              <w:right w:val="single" w:sz="4" w:space="0" w:color="auto"/>
            </w:tcBorders>
            <w:hideMark/>
          </w:tcPr>
          <w:p w14:paraId="37854131"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1104</w:t>
            </w:r>
          </w:p>
        </w:tc>
        <w:tc>
          <w:tcPr>
            <w:tcW w:w="1081" w:type="dxa"/>
            <w:tcBorders>
              <w:top w:val="single" w:sz="4" w:space="0" w:color="auto"/>
              <w:left w:val="single" w:sz="4" w:space="0" w:color="auto"/>
              <w:bottom w:val="single" w:sz="4" w:space="0" w:color="auto"/>
              <w:right w:val="single" w:sz="4" w:space="0" w:color="auto"/>
            </w:tcBorders>
            <w:hideMark/>
          </w:tcPr>
          <w:p w14:paraId="0E22BB03"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95, 4</w:t>
            </w:r>
          </w:p>
        </w:tc>
        <w:tc>
          <w:tcPr>
            <w:tcW w:w="1081" w:type="dxa"/>
            <w:tcBorders>
              <w:top w:val="single" w:sz="4" w:space="0" w:color="auto"/>
              <w:left w:val="single" w:sz="4" w:space="0" w:color="auto"/>
              <w:bottom w:val="single" w:sz="4" w:space="0" w:color="auto"/>
              <w:right w:val="single" w:sz="4" w:space="0" w:color="auto"/>
            </w:tcBorders>
            <w:hideMark/>
          </w:tcPr>
          <w:p w14:paraId="656D1D22"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375</w:t>
            </w:r>
          </w:p>
        </w:tc>
        <w:tc>
          <w:tcPr>
            <w:tcW w:w="1081" w:type="dxa"/>
            <w:tcBorders>
              <w:top w:val="single" w:sz="4" w:space="0" w:color="auto"/>
              <w:left w:val="single" w:sz="4" w:space="0" w:color="auto"/>
              <w:bottom w:val="single" w:sz="4" w:space="0" w:color="auto"/>
              <w:right w:val="single" w:sz="4" w:space="0" w:color="auto"/>
            </w:tcBorders>
            <w:hideMark/>
          </w:tcPr>
          <w:p w14:paraId="2603804A"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99, 2</w:t>
            </w:r>
          </w:p>
        </w:tc>
        <w:tc>
          <w:tcPr>
            <w:tcW w:w="1441" w:type="dxa"/>
            <w:tcBorders>
              <w:top w:val="single" w:sz="4" w:space="0" w:color="auto"/>
              <w:left w:val="single" w:sz="4" w:space="0" w:color="auto"/>
              <w:bottom w:val="single" w:sz="4" w:space="0" w:color="auto"/>
              <w:right w:val="single" w:sz="4" w:space="0" w:color="auto"/>
            </w:tcBorders>
            <w:hideMark/>
          </w:tcPr>
          <w:p w14:paraId="6F5D4FAD"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3, 83</w:t>
            </w:r>
          </w:p>
        </w:tc>
        <w:tc>
          <w:tcPr>
            <w:tcW w:w="1292" w:type="dxa"/>
            <w:tcBorders>
              <w:top w:val="single" w:sz="4" w:space="0" w:color="auto"/>
              <w:left w:val="single" w:sz="4" w:space="0" w:color="auto"/>
              <w:bottom w:val="single" w:sz="4" w:space="0" w:color="auto"/>
              <w:right w:val="single" w:sz="4" w:space="0" w:color="auto"/>
            </w:tcBorders>
            <w:hideMark/>
          </w:tcPr>
          <w:p w14:paraId="69C693E9"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1, 87</w:t>
            </w:r>
          </w:p>
        </w:tc>
        <w:tc>
          <w:tcPr>
            <w:tcW w:w="1143" w:type="dxa"/>
            <w:tcBorders>
              <w:top w:val="single" w:sz="4" w:space="0" w:color="auto"/>
              <w:left w:val="single" w:sz="4" w:space="0" w:color="auto"/>
              <w:bottom w:val="single" w:sz="4" w:space="0" w:color="auto"/>
              <w:right w:val="single" w:sz="4" w:space="0" w:color="auto"/>
            </w:tcBorders>
            <w:hideMark/>
          </w:tcPr>
          <w:p w14:paraId="0225396D"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5, 50</w:t>
            </w:r>
          </w:p>
        </w:tc>
      </w:tr>
      <w:tr w:rsidR="00E40B0E" w:rsidRPr="00980785" w14:paraId="44FFB9A9" w14:textId="77777777" w:rsidTr="00046B01">
        <w:trPr>
          <w:trHeight w:val="346"/>
          <w:jc w:val="center"/>
        </w:trPr>
        <w:tc>
          <w:tcPr>
            <w:tcW w:w="1327" w:type="dxa"/>
            <w:tcBorders>
              <w:top w:val="single" w:sz="4" w:space="0" w:color="auto"/>
              <w:left w:val="single" w:sz="4" w:space="0" w:color="auto"/>
              <w:bottom w:val="single" w:sz="4" w:space="0" w:color="auto"/>
              <w:right w:val="single" w:sz="4" w:space="0" w:color="auto"/>
            </w:tcBorders>
            <w:hideMark/>
          </w:tcPr>
          <w:p w14:paraId="72CB2CE5"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Anti-23F</w:t>
            </w:r>
          </w:p>
        </w:tc>
        <w:tc>
          <w:tcPr>
            <w:tcW w:w="1080" w:type="dxa"/>
            <w:tcBorders>
              <w:top w:val="single" w:sz="4" w:space="0" w:color="auto"/>
              <w:left w:val="single" w:sz="4" w:space="0" w:color="auto"/>
              <w:bottom w:val="single" w:sz="4" w:space="0" w:color="auto"/>
              <w:right w:val="single" w:sz="4" w:space="0" w:color="auto"/>
            </w:tcBorders>
            <w:hideMark/>
          </w:tcPr>
          <w:p w14:paraId="778651BD"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1102</w:t>
            </w:r>
          </w:p>
        </w:tc>
        <w:tc>
          <w:tcPr>
            <w:tcW w:w="1081" w:type="dxa"/>
            <w:tcBorders>
              <w:top w:val="single" w:sz="4" w:space="0" w:color="auto"/>
              <w:left w:val="single" w:sz="4" w:space="0" w:color="auto"/>
              <w:bottom w:val="single" w:sz="4" w:space="0" w:color="auto"/>
              <w:right w:val="single" w:sz="4" w:space="0" w:color="auto"/>
            </w:tcBorders>
            <w:hideMark/>
          </w:tcPr>
          <w:p w14:paraId="76FAA5EF"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81, 4</w:t>
            </w:r>
          </w:p>
        </w:tc>
        <w:tc>
          <w:tcPr>
            <w:tcW w:w="1081" w:type="dxa"/>
            <w:tcBorders>
              <w:top w:val="single" w:sz="4" w:space="0" w:color="auto"/>
              <w:left w:val="single" w:sz="4" w:space="0" w:color="auto"/>
              <w:bottom w:val="single" w:sz="4" w:space="0" w:color="auto"/>
              <w:right w:val="single" w:sz="4" w:space="0" w:color="auto"/>
            </w:tcBorders>
            <w:hideMark/>
          </w:tcPr>
          <w:p w14:paraId="08BCBFC8"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374</w:t>
            </w:r>
          </w:p>
        </w:tc>
        <w:tc>
          <w:tcPr>
            <w:tcW w:w="1081" w:type="dxa"/>
            <w:tcBorders>
              <w:top w:val="single" w:sz="4" w:space="0" w:color="auto"/>
              <w:left w:val="single" w:sz="4" w:space="0" w:color="auto"/>
              <w:bottom w:val="single" w:sz="4" w:space="0" w:color="auto"/>
              <w:right w:val="single" w:sz="4" w:space="0" w:color="auto"/>
            </w:tcBorders>
            <w:hideMark/>
          </w:tcPr>
          <w:p w14:paraId="4C161C2B"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94, 1</w:t>
            </w:r>
          </w:p>
        </w:tc>
        <w:tc>
          <w:tcPr>
            <w:tcW w:w="1441" w:type="dxa"/>
            <w:tcBorders>
              <w:top w:val="single" w:sz="4" w:space="0" w:color="auto"/>
              <w:left w:val="single" w:sz="4" w:space="0" w:color="auto"/>
              <w:bottom w:val="single" w:sz="4" w:space="0" w:color="auto"/>
              <w:right w:val="single" w:sz="4" w:space="0" w:color="auto"/>
            </w:tcBorders>
            <w:hideMark/>
          </w:tcPr>
          <w:p w14:paraId="07438686"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12, 72</w:t>
            </w:r>
          </w:p>
        </w:tc>
        <w:tc>
          <w:tcPr>
            <w:tcW w:w="1292" w:type="dxa"/>
            <w:tcBorders>
              <w:top w:val="single" w:sz="4" w:space="0" w:color="auto"/>
              <w:left w:val="single" w:sz="4" w:space="0" w:color="auto"/>
              <w:bottom w:val="single" w:sz="4" w:space="0" w:color="auto"/>
              <w:right w:val="single" w:sz="4" w:space="0" w:color="auto"/>
            </w:tcBorders>
            <w:hideMark/>
          </w:tcPr>
          <w:p w14:paraId="448C818B" w14:textId="0D10CFAA"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8, 89</w:t>
            </w:r>
          </w:p>
        </w:tc>
        <w:tc>
          <w:tcPr>
            <w:tcW w:w="1143" w:type="dxa"/>
            <w:tcBorders>
              <w:top w:val="single" w:sz="4" w:space="0" w:color="auto"/>
              <w:left w:val="single" w:sz="4" w:space="0" w:color="auto"/>
              <w:bottom w:val="single" w:sz="4" w:space="0" w:color="auto"/>
              <w:right w:val="single" w:sz="4" w:space="0" w:color="auto"/>
            </w:tcBorders>
            <w:hideMark/>
          </w:tcPr>
          <w:p w14:paraId="5D529A8B"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 xml:space="preserve">       16, 13</w:t>
            </w:r>
          </w:p>
        </w:tc>
      </w:tr>
    </w:tbl>
    <w:p w14:paraId="21826934" w14:textId="77777777" w:rsidR="00E40B0E" w:rsidRPr="00980785" w:rsidRDefault="00E40B0E" w:rsidP="00290631">
      <w:pPr>
        <w:pStyle w:val="Header"/>
        <w:tabs>
          <w:tab w:val="left" w:pos="284"/>
        </w:tabs>
        <w:jc w:val="both"/>
        <w:rPr>
          <w:i/>
          <w:sz w:val="22"/>
          <w:szCs w:val="22"/>
          <w:u w:val="single"/>
          <w:lang w:val="sr-Latn-ME" w:eastAsia="x-none"/>
        </w:rPr>
      </w:pPr>
    </w:p>
    <w:p w14:paraId="230ABD72" w14:textId="77777777" w:rsidR="00E40B0E" w:rsidRPr="00980785" w:rsidRDefault="00E40B0E">
      <w:pPr>
        <w:pStyle w:val="Header"/>
        <w:tabs>
          <w:tab w:val="left" w:pos="284"/>
        </w:tabs>
        <w:jc w:val="both"/>
        <w:rPr>
          <w:sz w:val="22"/>
          <w:szCs w:val="22"/>
          <w:lang w:val="sr-Latn-ME"/>
        </w:rPr>
      </w:pPr>
      <w:r w:rsidRPr="00980785">
        <w:rPr>
          <w:sz w:val="22"/>
          <w:szCs w:val="22"/>
          <w:lang w:val="sr-Latn-ME"/>
        </w:rPr>
        <w:t xml:space="preserve">Geometrijske srednje koncentracije antitijela (GMC) po kompletiranju primarne vakcinacije indukovane vakcinom </w:t>
      </w:r>
      <w:r w:rsidR="00677FAC" w:rsidRPr="00980785">
        <w:rPr>
          <w:sz w:val="22"/>
          <w:szCs w:val="22"/>
          <w:lang w:val="sr-Latn-ME"/>
        </w:rPr>
        <w:t>SYNFLORIX</w:t>
      </w:r>
      <w:r w:rsidRPr="00980785">
        <w:rPr>
          <w:sz w:val="22"/>
          <w:szCs w:val="22"/>
          <w:lang w:val="sr-Latn-ME"/>
        </w:rPr>
        <w:t xml:space="preserve"> protiv sedam zajedničkih serotipova, bile su niže od onih indukovanih 7-valentnom vakcinom Prevenar. GMC prije primjene buster doze (8 do 12 mjeseci po završetku primarne imunizacije) bile su uglavnom slične kod obije vakcine. Nakon primjene buster doze GMC indukovane vakcinom </w:t>
      </w:r>
      <w:r w:rsidR="00677FAC" w:rsidRPr="00980785">
        <w:rPr>
          <w:sz w:val="22"/>
          <w:szCs w:val="22"/>
          <w:lang w:val="sr-Latn-ME"/>
        </w:rPr>
        <w:t>SYNFLORIX</w:t>
      </w:r>
      <w:r w:rsidRPr="00980785">
        <w:rPr>
          <w:sz w:val="22"/>
          <w:szCs w:val="22"/>
          <w:lang w:val="sr-Latn-ME"/>
        </w:rPr>
        <w:t xml:space="preserve"> bile su niže za većinu serotipova zajedničkih sa 7-valentnom vakcinom Prevenar.</w:t>
      </w:r>
    </w:p>
    <w:p w14:paraId="6E1271D0" w14:textId="77777777" w:rsidR="00E40B0E" w:rsidRPr="00980785" w:rsidRDefault="00E40B0E">
      <w:pPr>
        <w:pStyle w:val="Header"/>
        <w:tabs>
          <w:tab w:val="left" w:pos="284"/>
        </w:tabs>
        <w:jc w:val="both"/>
        <w:rPr>
          <w:sz w:val="22"/>
          <w:szCs w:val="22"/>
          <w:lang w:val="sr-Latn-ME"/>
        </w:rPr>
      </w:pPr>
    </w:p>
    <w:p w14:paraId="54A529A1" w14:textId="122016CD" w:rsidR="00E40B0E" w:rsidRPr="00980785" w:rsidRDefault="00E40B0E">
      <w:pPr>
        <w:pStyle w:val="Header"/>
        <w:tabs>
          <w:tab w:val="left" w:pos="284"/>
        </w:tabs>
        <w:jc w:val="both"/>
        <w:rPr>
          <w:sz w:val="22"/>
          <w:szCs w:val="22"/>
          <w:lang w:val="sr-Latn-ME"/>
        </w:rPr>
      </w:pPr>
      <w:r w:rsidRPr="00980785">
        <w:rPr>
          <w:sz w:val="22"/>
          <w:szCs w:val="22"/>
          <w:lang w:val="sr-Latn-ME"/>
        </w:rPr>
        <w:t xml:space="preserve">U istom kliničkom ispitivanju, dokazano je da vakcina </w:t>
      </w:r>
      <w:r w:rsidR="00677FAC" w:rsidRPr="00980785">
        <w:rPr>
          <w:sz w:val="22"/>
          <w:szCs w:val="22"/>
          <w:lang w:val="sr-Latn-ME"/>
        </w:rPr>
        <w:t>SYNFLORIX</w:t>
      </w:r>
      <w:r w:rsidRPr="00980785">
        <w:rPr>
          <w:sz w:val="22"/>
          <w:szCs w:val="22"/>
          <w:lang w:val="sr-Latn-ME"/>
        </w:rPr>
        <w:t xml:space="preserve"> indukuje pojavu funkcionalnih antitijela za sve serotipove iz vakcine. Za svaki od sedam zajedničkih serotipova, od 87,7% do 100% vakcinisanih vakcinom </w:t>
      </w:r>
      <w:r w:rsidR="00677FAC" w:rsidRPr="00980785">
        <w:rPr>
          <w:sz w:val="22"/>
          <w:szCs w:val="22"/>
          <w:lang w:val="sr-Latn-ME"/>
        </w:rPr>
        <w:t>SYNFLORIX</w:t>
      </w:r>
      <w:r w:rsidRPr="00980785">
        <w:rPr>
          <w:sz w:val="22"/>
          <w:szCs w:val="22"/>
          <w:lang w:val="sr-Latn-ME"/>
        </w:rPr>
        <w:t xml:space="preserve"> i od 92,1% do 100% vakcinisanih 7-valentnom vakcinom Prevenar dostignut je OPA titar ≥ 8</w:t>
      </w:r>
      <w:r w:rsidR="006E74A0" w:rsidRPr="00980785">
        <w:rPr>
          <w:sz w:val="22"/>
          <w:szCs w:val="22"/>
          <w:lang w:val="sr-Latn-ME"/>
        </w:rPr>
        <w:t>,</w:t>
      </w:r>
      <w:r w:rsidRPr="00980785">
        <w:rPr>
          <w:sz w:val="22"/>
          <w:szCs w:val="22"/>
          <w:lang w:val="sr-Latn-ME"/>
        </w:rPr>
        <w:t xml:space="preserve"> mjesec dana nakon primjene treće doze. Razlika između vakcina u odnosu na procenat osoba sa OPA titrom ≥</w:t>
      </w:r>
      <w:r w:rsidR="006E74A0" w:rsidRPr="00980785">
        <w:rPr>
          <w:sz w:val="22"/>
          <w:szCs w:val="22"/>
          <w:lang w:val="sr-Latn-ME"/>
        </w:rPr>
        <w:t xml:space="preserve"> </w:t>
      </w:r>
      <w:r w:rsidRPr="00980785">
        <w:rPr>
          <w:sz w:val="22"/>
          <w:szCs w:val="22"/>
          <w:lang w:val="sr-Latn-ME"/>
        </w:rPr>
        <w:t>8 bila je &lt;</w:t>
      </w:r>
      <w:r w:rsidR="006E74A0" w:rsidRPr="00980785">
        <w:rPr>
          <w:sz w:val="22"/>
          <w:szCs w:val="22"/>
          <w:lang w:val="sr-Latn-ME"/>
        </w:rPr>
        <w:t xml:space="preserve"> </w:t>
      </w:r>
      <w:r w:rsidRPr="00980785">
        <w:rPr>
          <w:sz w:val="22"/>
          <w:szCs w:val="22"/>
          <w:lang w:val="sr-Latn-ME"/>
        </w:rPr>
        <w:t xml:space="preserve">5% za sve zajedničke serotipove, uključujući 6B i 23F. Geometrijska srednja vrijednost (GMT) OPA titra antitijela nakon primarne imunizacije i nakon primjene buster doze bila je niža kod osoba vakcinisanih vakcinom </w:t>
      </w:r>
      <w:r w:rsidR="00677FAC" w:rsidRPr="00980785">
        <w:rPr>
          <w:sz w:val="22"/>
          <w:szCs w:val="22"/>
          <w:lang w:val="sr-Latn-ME"/>
        </w:rPr>
        <w:t>SYNFLORIX</w:t>
      </w:r>
      <w:r w:rsidRPr="00980785">
        <w:rPr>
          <w:sz w:val="22"/>
          <w:szCs w:val="22"/>
          <w:lang w:val="sr-Latn-ME"/>
        </w:rPr>
        <w:t xml:space="preserve"> u poređenju sa 7-valentnom vakcinom Prevenar za svih sedam zajedničkih serotipova, osim za serotip 19F.</w:t>
      </w:r>
    </w:p>
    <w:p w14:paraId="5F3AE312" w14:textId="77777777" w:rsidR="00E40B0E" w:rsidRPr="00980785" w:rsidRDefault="00E40B0E">
      <w:pPr>
        <w:pStyle w:val="Header"/>
        <w:tabs>
          <w:tab w:val="left" w:pos="284"/>
        </w:tabs>
        <w:jc w:val="both"/>
        <w:rPr>
          <w:sz w:val="22"/>
          <w:szCs w:val="22"/>
          <w:lang w:val="sr-Latn-ME"/>
        </w:rPr>
      </w:pPr>
    </w:p>
    <w:p w14:paraId="712624B8" w14:textId="344A7007" w:rsidR="00E40B0E" w:rsidRPr="00980785" w:rsidRDefault="00E40B0E">
      <w:pPr>
        <w:pStyle w:val="Header"/>
        <w:tabs>
          <w:tab w:val="left" w:pos="284"/>
        </w:tabs>
        <w:jc w:val="both"/>
        <w:rPr>
          <w:sz w:val="22"/>
          <w:szCs w:val="22"/>
          <w:lang w:val="sr-Latn-ME"/>
        </w:rPr>
      </w:pPr>
      <w:r w:rsidRPr="00980785">
        <w:rPr>
          <w:sz w:val="22"/>
          <w:szCs w:val="22"/>
          <w:lang w:val="sr-Latn-ME"/>
        </w:rPr>
        <w:t xml:space="preserve">Za serotipove 1, 5 i 7F, procenat osoba kod kojih je primijenjena vakcina </w:t>
      </w:r>
      <w:r w:rsidR="00677FAC" w:rsidRPr="00980785">
        <w:rPr>
          <w:sz w:val="22"/>
          <w:szCs w:val="22"/>
          <w:lang w:val="sr-Latn-ME"/>
        </w:rPr>
        <w:t>SYNFLORIX</w:t>
      </w:r>
      <w:r w:rsidRPr="00980785">
        <w:rPr>
          <w:sz w:val="22"/>
          <w:szCs w:val="22"/>
          <w:lang w:val="sr-Latn-ME"/>
        </w:rPr>
        <w:t xml:space="preserve"> koje su postigle OPA titar ≥ 8 bio je respektivno, 65,7%, 90,9% i 99,6% nakon primarne imunizacije i 91,0%, 96,3% i 100% nakon primjene buster doze. OPA odgovor za serotipove 1 i 5 bio je nižeg intenziteta nego odgovor na svaki od ostalih serotipova. Implikacije ovog nalaza na protektivnu efikasnost nijesu poznate. Odgovor na serotip 7F bio je u istom opsegu kao i za sedam serotipova koji su zajednički za obje vakcine.</w:t>
      </w:r>
    </w:p>
    <w:p w14:paraId="5F5B985C" w14:textId="77777777" w:rsidR="00E40B0E" w:rsidRPr="00980785" w:rsidRDefault="00E40B0E">
      <w:pPr>
        <w:pStyle w:val="Header"/>
        <w:tabs>
          <w:tab w:val="left" w:pos="284"/>
        </w:tabs>
        <w:jc w:val="both"/>
        <w:rPr>
          <w:sz w:val="22"/>
          <w:szCs w:val="22"/>
          <w:lang w:val="sr-Latn-ME"/>
        </w:rPr>
      </w:pPr>
    </w:p>
    <w:p w14:paraId="08F7BFCD" w14:textId="77777777" w:rsidR="006E74A0" w:rsidRPr="00980785" w:rsidRDefault="00E40B0E">
      <w:pPr>
        <w:pStyle w:val="Header"/>
        <w:tabs>
          <w:tab w:val="left" w:pos="284"/>
        </w:tabs>
        <w:jc w:val="both"/>
        <w:rPr>
          <w:sz w:val="22"/>
          <w:szCs w:val="22"/>
          <w:lang w:val="sr-Latn-ME"/>
        </w:rPr>
      </w:pPr>
      <w:r w:rsidRPr="00980785">
        <w:rPr>
          <w:sz w:val="22"/>
          <w:szCs w:val="22"/>
          <w:lang w:val="sr-Latn-ME"/>
        </w:rPr>
        <w:t xml:space="preserve">Takođe je dokazano da vakcina </w:t>
      </w:r>
      <w:r w:rsidR="00677FAC" w:rsidRPr="00980785">
        <w:rPr>
          <w:sz w:val="22"/>
          <w:szCs w:val="22"/>
          <w:lang w:val="sr-Latn-ME"/>
        </w:rPr>
        <w:t>SYNFLORIX</w:t>
      </w:r>
      <w:r w:rsidRPr="00980785">
        <w:rPr>
          <w:sz w:val="22"/>
          <w:szCs w:val="22"/>
          <w:lang w:val="sr-Latn-ME"/>
        </w:rPr>
        <w:t xml:space="preserve"> indukuje imuni odgovor na unakrsno reaktivni serotip 19A kod 48,8% (95% IP: 42,9;54,7) vakcinisanih dostižući OPA titar ≥ 8</w:t>
      </w:r>
      <w:r w:rsidR="006E74A0" w:rsidRPr="00980785">
        <w:rPr>
          <w:sz w:val="22"/>
          <w:szCs w:val="22"/>
          <w:lang w:val="sr-Latn-ME"/>
        </w:rPr>
        <w:t>,</w:t>
      </w:r>
      <w:r w:rsidRPr="00980785">
        <w:rPr>
          <w:sz w:val="22"/>
          <w:szCs w:val="22"/>
          <w:lang w:val="sr-Latn-ME"/>
        </w:rPr>
        <w:t xml:space="preserve"> mjesec dana nakon </w:t>
      </w:r>
      <w:r w:rsidR="006E74A0" w:rsidRPr="00980785">
        <w:rPr>
          <w:sz w:val="22"/>
          <w:szCs w:val="22"/>
          <w:lang w:val="sr-Latn-ME"/>
        </w:rPr>
        <w:t xml:space="preserve">primjene </w:t>
      </w:r>
      <w:r w:rsidRPr="00980785">
        <w:rPr>
          <w:sz w:val="22"/>
          <w:szCs w:val="22"/>
          <w:lang w:val="sr-Latn-ME"/>
        </w:rPr>
        <w:t>buster doze.</w:t>
      </w:r>
      <w:r w:rsidR="006E74A0" w:rsidRPr="00980785">
        <w:rPr>
          <w:sz w:val="22"/>
          <w:szCs w:val="22"/>
          <w:lang w:val="sr-Latn-ME"/>
        </w:rPr>
        <w:t xml:space="preserve"> </w:t>
      </w:r>
    </w:p>
    <w:p w14:paraId="57F0E274" w14:textId="53088589" w:rsidR="00E40B0E" w:rsidRPr="00980785" w:rsidRDefault="00E40B0E">
      <w:pPr>
        <w:pStyle w:val="Header"/>
        <w:tabs>
          <w:tab w:val="left" w:pos="284"/>
        </w:tabs>
        <w:jc w:val="both"/>
        <w:rPr>
          <w:sz w:val="22"/>
          <w:szCs w:val="22"/>
          <w:lang w:val="sr-Latn-ME"/>
        </w:rPr>
      </w:pPr>
      <w:r w:rsidRPr="00980785">
        <w:rPr>
          <w:sz w:val="22"/>
          <w:szCs w:val="22"/>
          <w:lang w:val="sr-Latn-ME"/>
        </w:rPr>
        <w:t xml:space="preserve">Primjena četvrte doze (buster doza) u drugoj godini života indukovala je anamnestički odgovor antitijela, određivan ELISA i OPA metodama, za serotipove koji se nalaze u vakcini i unakrsno reaktivni serotip 19A, ukazujući tako na indukciju imunološke memorije nakon primarne imunizacije po šemi od tri doze. </w:t>
      </w:r>
    </w:p>
    <w:p w14:paraId="4F2C5E99" w14:textId="77777777" w:rsidR="00E40B0E" w:rsidRPr="00980785" w:rsidRDefault="00E40B0E">
      <w:pPr>
        <w:pStyle w:val="Header"/>
        <w:tabs>
          <w:tab w:val="left" w:pos="284"/>
        </w:tabs>
        <w:jc w:val="both"/>
        <w:rPr>
          <w:sz w:val="22"/>
          <w:szCs w:val="22"/>
          <w:lang w:val="sr-Latn-ME"/>
        </w:rPr>
      </w:pPr>
    </w:p>
    <w:p w14:paraId="7435E0FB" w14:textId="1B65B645" w:rsidR="00E40B0E" w:rsidRPr="00980785" w:rsidRDefault="00E40B0E">
      <w:pPr>
        <w:pStyle w:val="Header"/>
        <w:tabs>
          <w:tab w:val="left" w:pos="284"/>
        </w:tabs>
        <w:jc w:val="both"/>
        <w:rPr>
          <w:b/>
          <w:sz w:val="22"/>
          <w:szCs w:val="22"/>
          <w:u w:val="single"/>
          <w:lang w:val="sr-Latn-ME"/>
        </w:rPr>
      </w:pPr>
      <w:r w:rsidRPr="00980785">
        <w:rPr>
          <w:i/>
          <w:sz w:val="22"/>
          <w:szCs w:val="22"/>
          <w:u w:val="single"/>
          <w:lang w:val="sr-Latn-ME"/>
        </w:rPr>
        <w:lastRenderedPageBreak/>
        <w:t>Dodatni podaci o imunogenosti</w:t>
      </w:r>
    </w:p>
    <w:p w14:paraId="5204EF60" w14:textId="77777777" w:rsidR="00E40B0E" w:rsidRPr="00980785" w:rsidRDefault="00E40B0E">
      <w:pPr>
        <w:pStyle w:val="Header"/>
        <w:tabs>
          <w:tab w:val="left" w:pos="284"/>
        </w:tabs>
        <w:jc w:val="both"/>
        <w:rPr>
          <w:i/>
          <w:sz w:val="22"/>
          <w:szCs w:val="22"/>
          <w:u w:val="single"/>
          <w:lang w:val="sr-Latn-ME"/>
        </w:rPr>
      </w:pPr>
    </w:p>
    <w:p w14:paraId="226008D3" w14:textId="77777777" w:rsidR="00E40B0E" w:rsidRPr="00980785" w:rsidRDefault="00E40B0E">
      <w:pPr>
        <w:pStyle w:val="Header"/>
        <w:tabs>
          <w:tab w:val="left" w:pos="284"/>
        </w:tabs>
        <w:jc w:val="both"/>
        <w:rPr>
          <w:i/>
          <w:sz w:val="22"/>
          <w:szCs w:val="22"/>
          <w:lang w:val="sr-Latn-ME"/>
        </w:rPr>
      </w:pPr>
      <w:r w:rsidRPr="00980785">
        <w:rPr>
          <w:i/>
          <w:sz w:val="22"/>
          <w:szCs w:val="22"/>
          <w:lang w:val="sr-Latn-ME"/>
        </w:rPr>
        <w:t>Odojčad od 6 nedjelja do 6 mjeseci života</w:t>
      </w:r>
    </w:p>
    <w:p w14:paraId="593F3D0D" w14:textId="77777777" w:rsidR="00E40B0E" w:rsidRPr="00980785" w:rsidRDefault="00E40B0E">
      <w:pPr>
        <w:pStyle w:val="Header"/>
        <w:tabs>
          <w:tab w:val="left" w:pos="284"/>
        </w:tabs>
        <w:jc w:val="both"/>
        <w:rPr>
          <w:i/>
          <w:sz w:val="22"/>
          <w:szCs w:val="22"/>
          <w:u w:val="single"/>
          <w:lang w:val="sr-Latn-ME"/>
        </w:rPr>
      </w:pPr>
    </w:p>
    <w:p w14:paraId="6A15F09D" w14:textId="77777777" w:rsidR="00E40B0E" w:rsidRPr="00980785" w:rsidRDefault="00E40B0E">
      <w:pPr>
        <w:pStyle w:val="Header"/>
        <w:tabs>
          <w:tab w:val="left" w:pos="284"/>
        </w:tabs>
        <w:jc w:val="both"/>
        <w:rPr>
          <w:i/>
          <w:sz w:val="22"/>
          <w:szCs w:val="22"/>
          <w:lang w:val="sr-Latn-ME"/>
        </w:rPr>
      </w:pPr>
      <w:r w:rsidRPr="00980785">
        <w:rPr>
          <w:i/>
          <w:sz w:val="22"/>
          <w:szCs w:val="22"/>
          <w:lang w:val="sr-Latn-ME"/>
        </w:rPr>
        <w:t>Primarna imunizacija po šemi od 3 doze</w:t>
      </w:r>
    </w:p>
    <w:p w14:paraId="66BCAF85" w14:textId="77777777" w:rsidR="00E40B0E" w:rsidRPr="00980785" w:rsidRDefault="00E40B0E">
      <w:pPr>
        <w:pStyle w:val="Header"/>
        <w:tabs>
          <w:tab w:val="left" w:pos="284"/>
        </w:tabs>
        <w:jc w:val="both"/>
        <w:rPr>
          <w:sz w:val="22"/>
          <w:szCs w:val="22"/>
          <w:lang w:val="sr-Latn-ME"/>
        </w:rPr>
      </w:pPr>
    </w:p>
    <w:p w14:paraId="6FA65E26" w14:textId="3184349B" w:rsidR="00E40B0E" w:rsidRPr="00980785" w:rsidRDefault="00E40B0E">
      <w:pPr>
        <w:pStyle w:val="Header"/>
        <w:tabs>
          <w:tab w:val="left" w:pos="284"/>
        </w:tabs>
        <w:jc w:val="both"/>
        <w:rPr>
          <w:sz w:val="22"/>
          <w:szCs w:val="22"/>
          <w:lang w:val="sr-Latn-ME"/>
        </w:rPr>
      </w:pPr>
      <w:r w:rsidRPr="00980785">
        <w:rPr>
          <w:sz w:val="22"/>
          <w:szCs w:val="22"/>
          <w:lang w:val="sr-Latn-ME"/>
        </w:rPr>
        <w:t xml:space="preserve">Tokom kliničkih studija procjenjivana je imunogenost vakcine </w:t>
      </w:r>
      <w:r w:rsidR="00677FAC" w:rsidRPr="00980785">
        <w:rPr>
          <w:sz w:val="22"/>
          <w:szCs w:val="22"/>
          <w:lang w:val="sr-Latn-ME"/>
        </w:rPr>
        <w:t>SYNFLORIX</w:t>
      </w:r>
      <w:r w:rsidRPr="00980785">
        <w:rPr>
          <w:sz w:val="22"/>
          <w:szCs w:val="22"/>
          <w:lang w:val="sr-Latn-ME"/>
        </w:rPr>
        <w:t xml:space="preserve"> nakon primarne imunizacije po šemi od 3 doze (6491 ispitanika), primjenom različitih protokola (uključujući 6-10-14 nedjelja, 2-3-4, 3-4-5 ili 2-4-6 mjeseci života) i nakon četvrte (buster) doze (5645 ispitanika) koja je primijenjena najkasnije 6 mjeseci nakon posljednje primarne doze i od uzrasta 9 mjeseci života pa nadalje. Generalno, uočeni su slični odgovori na vakcinu primjenom različitih protokola, iako su donekle jači imuni odgovori uočeni kod protokola 2-4-6 mjeseci.</w:t>
      </w:r>
    </w:p>
    <w:p w14:paraId="5C76DA07" w14:textId="77777777" w:rsidR="00E40B0E" w:rsidRPr="00980785" w:rsidRDefault="00E40B0E">
      <w:pPr>
        <w:pStyle w:val="Header"/>
        <w:tabs>
          <w:tab w:val="left" w:pos="284"/>
        </w:tabs>
        <w:jc w:val="both"/>
        <w:rPr>
          <w:sz w:val="22"/>
          <w:szCs w:val="22"/>
          <w:lang w:val="sr-Latn-ME"/>
        </w:rPr>
      </w:pPr>
    </w:p>
    <w:p w14:paraId="5697330E" w14:textId="77777777" w:rsidR="00E40B0E" w:rsidRPr="00980785" w:rsidRDefault="00E40B0E">
      <w:pPr>
        <w:pStyle w:val="Header"/>
        <w:tabs>
          <w:tab w:val="left" w:pos="284"/>
        </w:tabs>
        <w:jc w:val="both"/>
        <w:rPr>
          <w:i/>
          <w:sz w:val="22"/>
          <w:szCs w:val="22"/>
          <w:lang w:val="sr-Latn-ME"/>
        </w:rPr>
      </w:pPr>
      <w:r w:rsidRPr="00980785">
        <w:rPr>
          <w:i/>
          <w:sz w:val="22"/>
          <w:szCs w:val="22"/>
          <w:lang w:val="sr-Latn-ME"/>
        </w:rPr>
        <w:t>Primarna imunizacija po šemi od 2 doze</w:t>
      </w:r>
    </w:p>
    <w:p w14:paraId="018E8B3D" w14:textId="77777777" w:rsidR="00E40B0E" w:rsidRPr="00980785" w:rsidRDefault="00E40B0E">
      <w:pPr>
        <w:pStyle w:val="Header"/>
        <w:tabs>
          <w:tab w:val="left" w:pos="284"/>
        </w:tabs>
        <w:jc w:val="both"/>
        <w:rPr>
          <w:sz w:val="22"/>
          <w:szCs w:val="22"/>
          <w:lang w:val="sr-Latn-ME"/>
        </w:rPr>
      </w:pPr>
    </w:p>
    <w:p w14:paraId="54804CE5" w14:textId="77777777" w:rsidR="00E40B0E" w:rsidRPr="00980785" w:rsidRDefault="00E40B0E" w:rsidP="00290631">
      <w:pPr>
        <w:pStyle w:val="Header"/>
        <w:tabs>
          <w:tab w:val="left" w:pos="284"/>
        </w:tabs>
        <w:jc w:val="both"/>
        <w:rPr>
          <w:sz w:val="22"/>
          <w:szCs w:val="22"/>
          <w:lang w:val="sr-Latn-ME"/>
        </w:rPr>
      </w:pPr>
      <w:r w:rsidRPr="00980785">
        <w:rPr>
          <w:sz w:val="22"/>
          <w:szCs w:val="22"/>
          <w:lang w:val="sr-Latn-ME"/>
        </w:rPr>
        <w:t xml:space="preserve">Imunogenost vakcine </w:t>
      </w:r>
      <w:r w:rsidR="00677FAC" w:rsidRPr="00980785">
        <w:rPr>
          <w:sz w:val="22"/>
          <w:szCs w:val="22"/>
          <w:lang w:val="sr-Latn-ME"/>
        </w:rPr>
        <w:t>SYNFLORIX</w:t>
      </w:r>
      <w:r w:rsidRPr="00980785">
        <w:rPr>
          <w:sz w:val="22"/>
          <w:szCs w:val="22"/>
          <w:lang w:val="sr-Latn-ME"/>
        </w:rPr>
        <w:t xml:space="preserve"> nakon primarne imunizacije po šemi od 2 doze je ispitivana u kliničkoj studiji (470 ispitanika) primjenom različitih protokola (uključujući 6-14 nedjelja, 2-4 nedjelje ili 3-5 mjeseci života) i nakon treće (buster) doze vakcine (470 ispitanika) primijenjene najkasnije 6 mjeseci nakon posljednje primarne doze i od uzrasta 9 mjeseci života pa nadalje. </w:t>
      </w:r>
    </w:p>
    <w:p w14:paraId="5912CDB3" w14:textId="77777777" w:rsidR="00E40B0E" w:rsidRPr="00980785" w:rsidRDefault="00E40B0E" w:rsidP="00290631">
      <w:pPr>
        <w:pStyle w:val="Header"/>
        <w:tabs>
          <w:tab w:val="left" w:pos="284"/>
        </w:tabs>
        <w:jc w:val="both"/>
        <w:rPr>
          <w:sz w:val="22"/>
          <w:szCs w:val="22"/>
          <w:lang w:val="sr-Latn-ME"/>
        </w:rPr>
      </w:pPr>
    </w:p>
    <w:p w14:paraId="416A2F88" w14:textId="2B6CFB5F" w:rsidR="00E40B0E" w:rsidRPr="00980785" w:rsidRDefault="00E40B0E">
      <w:pPr>
        <w:pStyle w:val="Header"/>
        <w:tabs>
          <w:tab w:val="left" w:pos="284"/>
        </w:tabs>
        <w:jc w:val="both"/>
        <w:rPr>
          <w:sz w:val="22"/>
          <w:szCs w:val="22"/>
          <w:lang w:val="sr-Latn-ME"/>
        </w:rPr>
      </w:pPr>
      <w:r w:rsidRPr="00980785">
        <w:rPr>
          <w:sz w:val="22"/>
          <w:szCs w:val="22"/>
          <w:lang w:val="sr-Latn-ME"/>
        </w:rPr>
        <w:t xml:space="preserve">Klinička studija je ispitivala imunogenost vakcine </w:t>
      </w:r>
      <w:r w:rsidR="00677FAC" w:rsidRPr="00980785">
        <w:rPr>
          <w:sz w:val="22"/>
          <w:szCs w:val="22"/>
          <w:lang w:val="sr-Latn-ME"/>
        </w:rPr>
        <w:t>SYNFLORIX</w:t>
      </w:r>
      <w:r w:rsidRPr="00980785">
        <w:rPr>
          <w:sz w:val="22"/>
          <w:szCs w:val="22"/>
          <w:lang w:val="sr-Latn-ME"/>
        </w:rPr>
        <w:t xml:space="preserve"> po šemi od 2 doze ili 3 doze primarne imunizacije kod ispitanika u četiri zemlje Evrope. Iako nije bilo značajne razlike u procentu osoba sa koncentracijom antitijela  </w:t>
      </w:r>
      <w:r w:rsidRPr="00980785">
        <w:rPr>
          <w:sz w:val="22"/>
          <w:szCs w:val="22"/>
          <w:lang w:val="sr-Latn-ME"/>
        </w:rPr>
        <w:sym w:font="Symbol" w:char="F0B3"/>
      </w:r>
      <w:r w:rsidR="00DB137A" w:rsidRPr="00980785">
        <w:rPr>
          <w:sz w:val="22"/>
          <w:szCs w:val="22"/>
          <w:lang w:val="sr-Latn-ME"/>
        </w:rPr>
        <w:t xml:space="preserve"> </w:t>
      </w:r>
      <w:r w:rsidRPr="00980785">
        <w:rPr>
          <w:sz w:val="22"/>
          <w:szCs w:val="22"/>
          <w:lang w:val="sr-Latn-ME"/>
        </w:rPr>
        <w:t>0,20μg/ml (ELISA) između navedene dvije grupe, zapažen je niži procenat osoba sa serotipom 6B i 23F, u odnosu na druge serotipove koji se nalaze u vakcini</w:t>
      </w:r>
      <w:r w:rsidR="00DB137A" w:rsidRPr="00980785">
        <w:rPr>
          <w:sz w:val="22"/>
          <w:szCs w:val="22"/>
          <w:lang w:val="sr-Latn-ME"/>
        </w:rPr>
        <w:t xml:space="preserve"> </w:t>
      </w:r>
      <w:r w:rsidRPr="00980785">
        <w:rPr>
          <w:sz w:val="22"/>
          <w:szCs w:val="22"/>
          <w:lang w:val="sr-Latn-ME"/>
        </w:rPr>
        <w:t>(tabela 7 i tabela 8). Procenat osoba sa OPA titrom ≥</w:t>
      </w:r>
      <w:r w:rsidR="00DB137A" w:rsidRPr="00980785">
        <w:rPr>
          <w:sz w:val="22"/>
          <w:szCs w:val="22"/>
          <w:lang w:val="sr-Latn-ME"/>
        </w:rPr>
        <w:t xml:space="preserve"> </w:t>
      </w:r>
      <w:r w:rsidRPr="00980785">
        <w:rPr>
          <w:sz w:val="22"/>
          <w:szCs w:val="22"/>
          <w:lang w:val="sr-Latn-ME"/>
        </w:rPr>
        <w:t>8 kod osoba kod kojih je primarna imunizacija kompletirana po šemi od dvije doze u poređenju sa osobama kod kojih je primarna imunizacija kompletirana po šemi od tri doze, bio je niži za serotipove 6B, 18C i 23F (74,4%, 82,8%, 86,3% redo</w:t>
      </w:r>
      <w:r w:rsidR="00DB137A" w:rsidRPr="00980785">
        <w:rPr>
          <w:sz w:val="22"/>
          <w:szCs w:val="22"/>
          <w:lang w:val="sr-Latn-ME"/>
        </w:rPr>
        <w:t>m</w:t>
      </w:r>
      <w:r w:rsidRPr="00980785">
        <w:rPr>
          <w:sz w:val="22"/>
          <w:szCs w:val="22"/>
          <w:lang w:val="sr-Latn-ME"/>
        </w:rPr>
        <w:t xml:space="preserve">, za imunizaciju po šemi od dvije doze i u 88,9%, 96,2%, 97,7% redno za imunizaciju po šemi od tri doze). Sveukupno, trajanje imunog odgovora do primjene buster doze kod uzrasta od 11 mjeseci bilo je niže kod osoba kod kojih je primarna imunizacija kompletirana po šemi od dvije doze. Kod obje šeme imunizacije, bio je zapažen odgovor na primjenu buster doze, za sve serotipove koji se nalaze u vakcini (tabela 7 i tabela 8). Nakon primjene buster doze, niži procenat osoba sa OPA titrom </w:t>
      </w:r>
      <w:r w:rsidRPr="00980785">
        <w:rPr>
          <w:sz w:val="22"/>
          <w:szCs w:val="22"/>
          <w:lang w:val="sr-Latn-ME"/>
        </w:rPr>
        <w:sym w:font="Symbol" w:char="F0B3"/>
      </w:r>
      <w:r w:rsidR="00DB137A" w:rsidRPr="00980785">
        <w:rPr>
          <w:sz w:val="22"/>
          <w:szCs w:val="22"/>
          <w:lang w:val="sr-Latn-ME"/>
        </w:rPr>
        <w:t xml:space="preserve"> </w:t>
      </w:r>
      <w:r w:rsidRPr="00980785">
        <w:rPr>
          <w:sz w:val="22"/>
          <w:szCs w:val="22"/>
          <w:lang w:val="sr-Latn-ME"/>
        </w:rPr>
        <w:t xml:space="preserve">8 zapažen je u grupi sa primarnom imunizacijom po šemi od dvije doze za serotip 5 (87,2% u odnosu na 97,5% za šemu od 3 doze primarne imunizacije) i 6B (81,1% u odnosu na 90,3%), ostali odgovori su bili slični u obje grupe. </w:t>
      </w:r>
    </w:p>
    <w:p w14:paraId="21AE56A4" w14:textId="77777777" w:rsidR="00E40B0E" w:rsidRPr="00980785" w:rsidRDefault="00E40B0E">
      <w:pPr>
        <w:pStyle w:val="Header"/>
        <w:tabs>
          <w:tab w:val="left" w:pos="284"/>
        </w:tabs>
        <w:jc w:val="both"/>
        <w:rPr>
          <w:sz w:val="22"/>
          <w:szCs w:val="22"/>
          <w:lang w:val="sr-Latn-ME"/>
        </w:rPr>
      </w:pPr>
    </w:p>
    <w:p w14:paraId="383E8A13" w14:textId="69B41584" w:rsidR="00E40B0E" w:rsidRPr="00980785" w:rsidRDefault="00E40B0E" w:rsidP="00290631">
      <w:pPr>
        <w:pStyle w:val="Header"/>
        <w:tabs>
          <w:tab w:val="left" w:pos="284"/>
        </w:tabs>
        <w:jc w:val="both"/>
        <w:rPr>
          <w:b/>
          <w:sz w:val="22"/>
          <w:szCs w:val="22"/>
          <w:lang w:val="sr-Latn-ME"/>
        </w:rPr>
      </w:pPr>
      <w:r w:rsidRPr="00980785">
        <w:rPr>
          <w:b/>
          <w:sz w:val="22"/>
          <w:szCs w:val="22"/>
          <w:lang w:val="sr-Latn-ME"/>
        </w:rPr>
        <w:t>Tabela</w:t>
      </w:r>
      <w:r w:rsidRPr="00980785">
        <w:rPr>
          <w:b/>
          <w:color w:val="FF0000"/>
          <w:sz w:val="22"/>
          <w:szCs w:val="22"/>
          <w:lang w:val="sr-Latn-ME"/>
        </w:rPr>
        <w:t xml:space="preserve"> </w:t>
      </w:r>
      <w:r w:rsidRPr="00980785">
        <w:rPr>
          <w:b/>
          <w:sz w:val="22"/>
          <w:szCs w:val="22"/>
          <w:lang w:val="sr-Latn-ME"/>
        </w:rPr>
        <w:t>7: Procenat osoba sa koncentr</w:t>
      </w:r>
      <w:r w:rsidR="00DB137A" w:rsidRPr="00980785">
        <w:rPr>
          <w:b/>
          <w:sz w:val="22"/>
          <w:szCs w:val="22"/>
          <w:lang w:val="sr-Latn-ME"/>
        </w:rPr>
        <w:t>a</w:t>
      </w:r>
      <w:r w:rsidRPr="00980785">
        <w:rPr>
          <w:b/>
          <w:sz w:val="22"/>
          <w:szCs w:val="22"/>
          <w:lang w:val="sr-Latn-ME"/>
        </w:rPr>
        <w:t xml:space="preserve">cijom antitijela </w:t>
      </w:r>
      <w:r w:rsidRPr="00980785">
        <w:rPr>
          <w:b/>
          <w:sz w:val="22"/>
          <w:szCs w:val="22"/>
          <w:lang w:val="sr-Latn-ME"/>
        </w:rPr>
        <w:sym w:font="Symbol" w:char="F0B3"/>
      </w:r>
      <w:r w:rsidR="00DB137A" w:rsidRPr="00980785">
        <w:rPr>
          <w:b/>
          <w:sz w:val="22"/>
          <w:szCs w:val="22"/>
          <w:lang w:val="sr-Latn-ME"/>
        </w:rPr>
        <w:t xml:space="preserve"> </w:t>
      </w:r>
      <w:r w:rsidRPr="00980785">
        <w:rPr>
          <w:b/>
          <w:sz w:val="22"/>
          <w:szCs w:val="22"/>
          <w:lang w:val="sr-Latn-ME"/>
        </w:rPr>
        <w:t xml:space="preserve">0,20μg/ml (ELISA) mjesec dana nakon primarne imunizacije i mjesec dana nakon buster doze po šemi primarne imunizacije od 2 doze  </w:t>
      </w:r>
    </w:p>
    <w:p w14:paraId="5243D318" w14:textId="77777777" w:rsidR="00E40B0E" w:rsidRPr="00980785" w:rsidRDefault="00E40B0E" w:rsidP="00290631">
      <w:pPr>
        <w:pStyle w:val="Header"/>
        <w:tabs>
          <w:tab w:val="left" w:pos="284"/>
        </w:tabs>
        <w:jc w:val="both"/>
        <w:rPr>
          <w:b/>
          <w:sz w:val="22"/>
          <w:szCs w:val="22"/>
          <w:lang w:val="sr-Latn-ME"/>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2"/>
        <w:gridCol w:w="1383"/>
        <w:gridCol w:w="1384"/>
        <w:gridCol w:w="1385"/>
        <w:gridCol w:w="1384"/>
        <w:gridCol w:w="1386"/>
        <w:gridCol w:w="763"/>
      </w:tblGrid>
      <w:tr w:rsidR="00E40B0E" w:rsidRPr="00980785" w14:paraId="67BFEED9" w14:textId="77777777" w:rsidTr="00290631">
        <w:trPr>
          <w:trHeight w:val="302"/>
        </w:trPr>
        <w:tc>
          <w:tcPr>
            <w:tcW w:w="1382" w:type="dxa"/>
            <w:vMerge w:val="restart"/>
            <w:tcBorders>
              <w:top w:val="single" w:sz="4" w:space="0" w:color="000000"/>
              <w:left w:val="single" w:sz="4" w:space="0" w:color="000000"/>
              <w:bottom w:val="single" w:sz="4" w:space="0" w:color="000000"/>
              <w:right w:val="single" w:sz="4" w:space="0" w:color="000000"/>
            </w:tcBorders>
            <w:vAlign w:val="center"/>
            <w:hideMark/>
          </w:tcPr>
          <w:p w14:paraId="0F06118B"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Antitijelo</w:t>
            </w:r>
          </w:p>
        </w:tc>
        <w:tc>
          <w:tcPr>
            <w:tcW w:w="7685" w:type="dxa"/>
            <w:gridSpan w:val="6"/>
            <w:tcBorders>
              <w:top w:val="single" w:sz="4" w:space="0" w:color="000000"/>
              <w:left w:val="single" w:sz="4" w:space="0" w:color="000000"/>
              <w:bottom w:val="single" w:sz="4" w:space="0" w:color="000000"/>
              <w:right w:val="single" w:sz="4" w:space="0" w:color="000000"/>
            </w:tcBorders>
            <w:hideMark/>
          </w:tcPr>
          <w:p w14:paraId="76DBC275" w14:textId="55CC9BDF" w:rsidR="00E40B0E" w:rsidRPr="00980785" w:rsidRDefault="00E40B0E" w:rsidP="00290631">
            <w:pPr>
              <w:pStyle w:val="Header"/>
              <w:tabs>
                <w:tab w:val="left" w:pos="284"/>
              </w:tabs>
              <w:jc w:val="center"/>
              <w:rPr>
                <w:noProof/>
                <w:sz w:val="22"/>
                <w:szCs w:val="22"/>
                <w:lang w:val="sr-Latn-ME"/>
              </w:rPr>
            </w:pPr>
            <w:r w:rsidRPr="00980785">
              <w:rPr>
                <w:noProof/>
                <w:sz w:val="22"/>
                <w:szCs w:val="22"/>
                <w:lang w:val="sr-Latn-ME"/>
              </w:rPr>
              <w:sym w:font="Symbol" w:char="F0B3"/>
            </w:r>
            <w:r w:rsidR="00DB137A" w:rsidRPr="00980785">
              <w:rPr>
                <w:noProof/>
                <w:sz w:val="22"/>
                <w:szCs w:val="22"/>
                <w:lang w:val="sr-Latn-ME"/>
              </w:rPr>
              <w:t xml:space="preserve"> </w:t>
            </w:r>
            <w:r w:rsidRPr="00980785">
              <w:rPr>
                <w:noProof/>
                <w:sz w:val="22"/>
                <w:szCs w:val="22"/>
                <w:lang w:val="sr-Latn-ME"/>
              </w:rPr>
              <w:t>0,20</w:t>
            </w:r>
            <w:r w:rsidRPr="00980785">
              <w:rPr>
                <w:noProof/>
                <w:sz w:val="22"/>
                <w:szCs w:val="22"/>
                <w:lang w:val="sr-Latn-ME"/>
              </w:rPr>
              <w:sym w:font="Symbol" w:char="F06D"/>
            </w:r>
            <w:r w:rsidRPr="00980785">
              <w:rPr>
                <w:noProof/>
                <w:sz w:val="22"/>
                <w:szCs w:val="22"/>
                <w:lang w:val="sr-Latn-ME"/>
              </w:rPr>
              <w:t>g/ml (ELISA)</w:t>
            </w:r>
          </w:p>
        </w:tc>
      </w:tr>
      <w:tr w:rsidR="00E40B0E" w:rsidRPr="00980785" w14:paraId="68670729" w14:textId="77777777" w:rsidTr="00290631">
        <w:trPr>
          <w:trHeight w:val="145"/>
        </w:trPr>
        <w:tc>
          <w:tcPr>
            <w:tcW w:w="1382" w:type="dxa"/>
            <w:vMerge/>
            <w:tcBorders>
              <w:top w:val="single" w:sz="4" w:space="0" w:color="000000"/>
              <w:left w:val="single" w:sz="4" w:space="0" w:color="000000"/>
              <w:bottom w:val="single" w:sz="4" w:space="0" w:color="000000"/>
              <w:right w:val="single" w:sz="4" w:space="0" w:color="000000"/>
            </w:tcBorders>
            <w:vAlign w:val="center"/>
            <w:hideMark/>
          </w:tcPr>
          <w:p w14:paraId="493AEDD9" w14:textId="77777777" w:rsidR="00E40B0E" w:rsidRPr="00980785" w:rsidRDefault="00E40B0E" w:rsidP="00290631">
            <w:pPr>
              <w:jc w:val="both"/>
              <w:rPr>
                <w:noProof/>
                <w:sz w:val="22"/>
                <w:szCs w:val="22"/>
                <w:lang w:val="sr-Latn-ME" w:eastAsia="x-none"/>
              </w:rPr>
            </w:pPr>
          </w:p>
        </w:tc>
        <w:tc>
          <w:tcPr>
            <w:tcW w:w="4152" w:type="dxa"/>
            <w:gridSpan w:val="3"/>
            <w:tcBorders>
              <w:top w:val="single" w:sz="4" w:space="0" w:color="000000"/>
              <w:left w:val="single" w:sz="4" w:space="0" w:color="000000"/>
              <w:bottom w:val="single" w:sz="4" w:space="0" w:color="000000"/>
              <w:right w:val="single" w:sz="4" w:space="0" w:color="000000"/>
            </w:tcBorders>
            <w:hideMark/>
          </w:tcPr>
          <w:p w14:paraId="74C370B3" w14:textId="77777777" w:rsidR="00E40B0E" w:rsidRPr="00980785" w:rsidRDefault="00E40B0E" w:rsidP="00290631">
            <w:pPr>
              <w:pStyle w:val="Header"/>
              <w:tabs>
                <w:tab w:val="left" w:pos="284"/>
              </w:tabs>
              <w:jc w:val="center"/>
              <w:rPr>
                <w:noProof/>
                <w:sz w:val="22"/>
                <w:szCs w:val="22"/>
                <w:lang w:val="sr-Latn-ME"/>
              </w:rPr>
            </w:pPr>
            <w:r w:rsidRPr="00980785">
              <w:rPr>
                <w:noProof/>
                <w:sz w:val="22"/>
                <w:szCs w:val="22"/>
                <w:lang w:val="sr-Latn-ME"/>
              </w:rPr>
              <w:t>Nakon primarne imunizacije</w:t>
            </w:r>
          </w:p>
        </w:tc>
        <w:tc>
          <w:tcPr>
            <w:tcW w:w="3533" w:type="dxa"/>
            <w:gridSpan w:val="3"/>
            <w:tcBorders>
              <w:top w:val="single" w:sz="4" w:space="0" w:color="000000"/>
              <w:left w:val="single" w:sz="4" w:space="0" w:color="000000"/>
              <w:bottom w:val="single" w:sz="4" w:space="0" w:color="000000"/>
              <w:right w:val="single" w:sz="4" w:space="0" w:color="000000"/>
            </w:tcBorders>
            <w:hideMark/>
          </w:tcPr>
          <w:p w14:paraId="08C77F30" w14:textId="77777777" w:rsidR="00E40B0E" w:rsidRPr="00980785" w:rsidRDefault="00E40B0E" w:rsidP="00290631">
            <w:pPr>
              <w:pStyle w:val="Header"/>
              <w:tabs>
                <w:tab w:val="left" w:pos="284"/>
              </w:tabs>
              <w:jc w:val="center"/>
              <w:rPr>
                <w:noProof/>
                <w:sz w:val="22"/>
                <w:szCs w:val="22"/>
                <w:lang w:val="sr-Latn-ME"/>
              </w:rPr>
            </w:pPr>
            <w:r w:rsidRPr="00980785">
              <w:rPr>
                <w:noProof/>
                <w:sz w:val="22"/>
                <w:szCs w:val="22"/>
                <w:lang w:val="sr-Latn-ME"/>
              </w:rPr>
              <w:t>Nakon buster doze</w:t>
            </w:r>
          </w:p>
        </w:tc>
      </w:tr>
      <w:tr w:rsidR="00E40B0E" w:rsidRPr="00980785" w14:paraId="5A136C8D" w14:textId="77777777" w:rsidTr="00290631">
        <w:trPr>
          <w:trHeight w:val="145"/>
        </w:trPr>
        <w:tc>
          <w:tcPr>
            <w:tcW w:w="1382" w:type="dxa"/>
            <w:vMerge/>
            <w:tcBorders>
              <w:top w:val="single" w:sz="4" w:space="0" w:color="000000"/>
              <w:left w:val="single" w:sz="4" w:space="0" w:color="000000"/>
              <w:bottom w:val="single" w:sz="4" w:space="0" w:color="000000"/>
              <w:right w:val="single" w:sz="4" w:space="0" w:color="000000"/>
            </w:tcBorders>
            <w:vAlign w:val="center"/>
            <w:hideMark/>
          </w:tcPr>
          <w:p w14:paraId="538AAEF9" w14:textId="77777777" w:rsidR="00E40B0E" w:rsidRPr="00980785" w:rsidRDefault="00E40B0E" w:rsidP="00290631">
            <w:pPr>
              <w:jc w:val="both"/>
              <w:rPr>
                <w:noProof/>
                <w:sz w:val="22"/>
                <w:szCs w:val="22"/>
                <w:lang w:val="sr-Latn-ME" w:eastAsia="x-none"/>
              </w:rPr>
            </w:pPr>
          </w:p>
        </w:tc>
        <w:tc>
          <w:tcPr>
            <w:tcW w:w="1383" w:type="dxa"/>
            <w:tcBorders>
              <w:top w:val="single" w:sz="4" w:space="0" w:color="000000"/>
              <w:left w:val="single" w:sz="4" w:space="0" w:color="000000"/>
              <w:bottom w:val="single" w:sz="4" w:space="0" w:color="000000"/>
              <w:right w:val="single" w:sz="4" w:space="0" w:color="000000"/>
            </w:tcBorders>
            <w:hideMark/>
          </w:tcPr>
          <w:p w14:paraId="0A6762B3"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w:t>
            </w:r>
          </w:p>
        </w:tc>
        <w:tc>
          <w:tcPr>
            <w:tcW w:w="2769" w:type="dxa"/>
            <w:gridSpan w:val="2"/>
            <w:tcBorders>
              <w:top w:val="single" w:sz="4" w:space="0" w:color="000000"/>
              <w:left w:val="single" w:sz="4" w:space="0" w:color="000000"/>
              <w:bottom w:val="single" w:sz="4" w:space="0" w:color="000000"/>
              <w:right w:val="single" w:sz="4" w:space="0" w:color="000000"/>
            </w:tcBorders>
            <w:hideMark/>
          </w:tcPr>
          <w:p w14:paraId="3B421125"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95% IP</w:t>
            </w:r>
          </w:p>
        </w:tc>
        <w:tc>
          <w:tcPr>
            <w:tcW w:w="1384" w:type="dxa"/>
            <w:tcBorders>
              <w:top w:val="single" w:sz="4" w:space="0" w:color="000000"/>
              <w:left w:val="single" w:sz="4" w:space="0" w:color="000000"/>
              <w:bottom w:val="single" w:sz="4" w:space="0" w:color="000000"/>
              <w:right w:val="single" w:sz="4" w:space="0" w:color="000000"/>
            </w:tcBorders>
            <w:hideMark/>
          </w:tcPr>
          <w:p w14:paraId="7098810B"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w:t>
            </w:r>
          </w:p>
        </w:tc>
        <w:tc>
          <w:tcPr>
            <w:tcW w:w="2149" w:type="dxa"/>
            <w:gridSpan w:val="2"/>
            <w:tcBorders>
              <w:top w:val="single" w:sz="4" w:space="0" w:color="000000"/>
              <w:left w:val="single" w:sz="4" w:space="0" w:color="000000"/>
              <w:bottom w:val="single" w:sz="4" w:space="0" w:color="000000"/>
              <w:right w:val="single" w:sz="4" w:space="0" w:color="000000"/>
            </w:tcBorders>
            <w:hideMark/>
          </w:tcPr>
          <w:p w14:paraId="259B8393"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95% IP</w:t>
            </w:r>
          </w:p>
        </w:tc>
      </w:tr>
      <w:tr w:rsidR="00E40B0E" w:rsidRPr="00980785" w14:paraId="553C7EBC" w14:textId="77777777" w:rsidTr="00290631">
        <w:trPr>
          <w:trHeight w:val="272"/>
        </w:trPr>
        <w:tc>
          <w:tcPr>
            <w:tcW w:w="1382" w:type="dxa"/>
            <w:tcBorders>
              <w:top w:val="single" w:sz="4" w:space="0" w:color="000000"/>
              <w:left w:val="single" w:sz="4" w:space="0" w:color="000000"/>
              <w:bottom w:val="single" w:sz="4" w:space="0" w:color="000000"/>
              <w:right w:val="single" w:sz="4" w:space="0" w:color="000000"/>
            </w:tcBorders>
            <w:vAlign w:val="center"/>
            <w:hideMark/>
          </w:tcPr>
          <w:p w14:paraId="3638485F"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Anti-1</w:t>
            </w:r>
          </w:p>
        </w:tc>
        <w:tc>
          <w:tcPr>
            <w:tcW w:w="1383" w:type="dxa"/>
            <w:tcBorders>
              <w:top w:val="single" w:sz="4" w:space="0" w:color="000000"/>
              <w:left w:val="single" w:sz="4" w:space="0" w:color="000000"/>
              <w:bottom w:val="single" w:sz="4" w:space="0" w:color="000000"/>
              <w:right w:val="single" w:sz="4" w:space="0" w:color="000000"/>
            </w:tcBorders>
            <w:vAlign w:val="center"/>
            <w:hideMark/>
          </w:tcPr>
          <w:p w14:paraId="283D349D"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97,4</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4F18252E"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93,4</w:t>
            </w:r>
          </w:p>
        </w:tc>
        <w:tc>
          <w:tcPr>
            <w:tcW w:w="1385" w:type="dxa"/>
            <w:tcBorders>
              <w:top w:val="single" w:sz="4" w:space="0" w:color="000000"/>
              <w:left w:val="single" w:sz="4" w:space="0" w:color="000000"/>
              <w:bottom w:val="single" w:sz="4" w:space="0" w:color="000000"/>
              <w:right w:val="single" w:sz="4" w:space="0" w:color="000000"/>
            </w:tcBorders>
            <w:vAlign w:val="center"/>
            <w:hideMark/>
          </w:tcPr>
          <w:p w14:paraId="6C572DC0"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99,3</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678308FF"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99,4</w:t>
            </w:r>
          </w:p>
        </w:tc>
        <w:tc>
          <w:tcPr>
            <w:tcW w:w="1386" w:type="dxa"/>
            <w:tcBorders>
              <w:top w:val="single" w:sz="4" w:space="0" w:color="000000"/>
              <w:left w:val="single" w:sz="4" w:space="0" w:color="000000"/>
              <w:bottom w:val="single" w:sz="4" w:space="0" w:color="000000"/>
              <w:right w:val="single" w:sz="4" w:space="0" w:color="000000"/>
            </w:tcBorders>
            <w:vAlign w:val="center"/>
            <w:hideMark/>
          </w:tcPr>
          <w:p w14:paraId="28FD0E5B"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96,5</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0F1C8C3B"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r>
      <w:tr w:rsidR="00E40B0E" w:rsidRPr="00980785" w14:paraId="414288AB" w14:textId="77777777" w:rsidTr="00290631">
        <w:trPr>
          <w:trHeight w:val="272"/>
        </w:trPr>
        <w:tc>
          <w:tcPr>
            <w:tcW w:w="1382" w:type="dxa"/>
            <w:tcBorders>
              <w:top w:val="single" w:sz="4" w:space="0" w:color="000000"/>
              <w:left w:val="single" w:sz="4" w:space="0" w:color="000000"/>
              <w:bottom w:val="single" w:sz="4" w:space="0" w:color="000000"/>
              <w:right w:val="single" w:sz="4" w:space="0" w:color="000000"/>
            </w:tcBorders>
            <w:vAlign w:val="center"/>
            <w:hideMark/>
          </w:tcPr>
          <w:p w14:paraId="0CD6E132"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Anti-4</w:t>
            </w:r>
          </w:p>
        </w:tc>
        <w:tc>
          <w:tcPr>
            <w:tcW w:w="1383" w:type="dxa"/>
            <w:tcBorders>
              <w:top w:val="single" w:sz="4" w:space="0" w:color="000000"/>
              <w:left w:val="single" w:sz="4" w:space="0" w:color="000000"/>
              <w:bottom w:val="single" w:sz="4" w:space="0" w:color="000000"/>
              <w:right w:val="single" w:sz="4" w:space="0" w:color="000000"/>
            </w:tcBorders>
            <w:vAlign w:val="center"/>
            <w:hideMark/>
          </w:tcPr>
          <w:p w14:paraId="2A89E80C"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98,0</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0797E6A2"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94,4</w:t>
            </w:r>
          </w:p>
        </w:tc>
        <w:tc>
          <w:tcPr>
            <w:tcW w:w="1385" w:type="dxa"/>
            <w:tcBorders>
              <w:top w:val="single" w:sz="4" w:space="0" w:color="000000"/>
              <w:left w:val="single" w:sz="4" w:space="0" w:color="000000"/>
              <w:bottom w:val="single" w:sz="4" w:space="0" w:color="000000"/>
              <w:right w:val="single" w:sz="4" w:space="0" w:color="000000"/>
            </w:tcBorders>
            <w:vAlign w:val="center"/>
            <w:hideMark/>
          </w:tcPr>
          <w:p w14:paraId="69779942"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99,6</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2C3F72F6"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c>
          <w:tcPr>
            <w:tcW w:w="1386" w:type="dxa"/>
            <w:tcBorders>
              <w:top w:val="single" w:sz="4" w:space="0" w:color="000000"/>
              <w:left w:val="single" w:sz="4" w:space="0" w:color="000000"/>
              <w:bottom w:val="single" w:sz="4" w:space="0" w:color="000000"/>
              <w:right w:val="single" w:sz="4" w:space="0" w:color="000000"/>
            </w:tcBorders>
            <w:vAlign w:val="center"/>
            <w:hideMark/>
          </w:tcPr>
          <w:p w14:paraId="192A161F"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97,6</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7E9F5310"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r>
      <w:tr w:rsidR="00E40B0E" w:rsidRPr="00980785" w14:paraId="5CCC9EFD" w14:textId="77777777" w:rsidTr="00290631">
        <w:trPr>
          <w:trHeight w:val="287"/>
        </w:trPr>
        <w:tc>
          <w:tcPr>
            <w:tcW w:w="1382" w:type="dxa"/>
            <w:tcBorders>
              <w:top w:val="single" w:sz="4" w:space="0" w:color="000000"/>
              <w:left w:val="single" w:sz="4" w:space="0" w:color="000000"/>
              <w:bottom w:val="single" w:sz="4" w:space="0" w:color="000000"/>
              <w:right w:val="single" w:sz="4" w:space="0" w:color="000000"/>
            </w:tcBorders>
            <w:vAlign w:val="center"/>
            <w:hideMark/>
          </w:tcPr>
          <w:p w14:paraId="3081EBB4"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Anti-5</w:t>
            </w:r>
          </w:p>
        </w:tc>
        <w:tc>
          <w:tcPr>
            <w:tcW w:w="1383" w:type="dxa"/>
            <w:tcBorders>
              <w:top w:val="single" w:sz="4" w:space="0" w:color="000000"/>
              <w:left w:val="single" w:sz="4" w:space="0" w:color="000000"/>
              <w:bottom w:val="single" w:sz="4" w:space="0" w:color="000000"/>
              <w:right w:val="single" w:sz="4" w:space="0" w:color="000000"/>
            </w:tcBorders>
            <w:vAlign w:val="center"/>
            <w:hideMark/>
          </w:tcPr>
          <w:p w14:paraId="033C1B3B"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96,1</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33ED5ACF"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91,6</w:t>
            </w:r>
          </w:p>
        </w:tc>
        <w:tc>
          <w:tcPr>
            <w:tcW w:w="1385" w:type="dxa"/>
            <w:tcBorders>
              <w:top w:val="single" w:sz="4" w:space="0" w:color="000000"/>
              <w:left w:val="single" w:sz="4" w:space="0" w:color="000000"/>
              <w:bottom w:val="single" w:sz="4" w:space="0" w:color="000000"/>
              <w:right w:val="single" w:sz="4" w:space="0" w:color="000000"/>
            </w:tcBorders>
            <w:vAlign w:val="center"/>
            <w:hideMark/>
          </w:tcPr>
          <w:p w14:paraId="33C18FC5"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98,5</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23B53782"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c>
          <w:tcPr>
            <w:tcW w:w="1386" w:type="dxa"/>
            <w:tcBorders>
              <w:top w:val="single" w:sz="4" w:space="0" w:color="000000"/>
              <w:left w:val="single" w:sz="4" w:space="0" w:color="000000"/>
              <w:bottom w:val="single" w:sz="4" w:space="0" w:color="000000"/>
              <w:right w:val="single" w:sz="4" w:space="0" w:color="000000"/>
            </w:tcBorders>
            <w:vAlign w:val="center"/>
            <w:hideMark/>
          </w:tcPr>
          <w:p w14:paraId="7A1F3FE1"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97,6</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1BE289C9"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r>
      <w:tr w:rsidR="00E40B0E" w:rsidRPr="00980785" w14:paraId="7AF9F713" w14:textId="77777777" w:rsidTr="00290631">
        <w:trPr>
          <w:trHeight w:val="272"/>
        </w:trPr>
        <w:tc>
          <w:tcPr>
            <w:tcW w:w="1382" w:type="dxa"/>
            <w:tcBorders>
              <w:top w:val="single" w:sz="4" w:space="0" w:color="000000"/>
              <w:left w:val="single" w:sz="4" w:space="0" w:color="000000"/>
              <w:bottom w:val="single" w:sz="4" w:space="0" w:color="000000"/>
              <w:right w:val="single" w:sz="4" w:space="0" w:color="000000"/>
            </w:tcBorders>
            <w:vAlign w:val="center"/>
            <w:hideMark/>
          </w:tcPr>
          <w:p w14:paraId="30FC27E1"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Anti-6B</w:t>
            </w:r>
          </w:p>
        </w:tc>
        <w:tc>
          <w:tcPr>
            <w:tcW w:w="1383" w:type="dxa"/>
            <w:tcBorders>
              <w:top w:val="single" w:sz="4" w:space="0" w:color="000000"/>
              <w:left w:val="single" w:sz="4" w:space="0" w:color="000000"/>
              <w:bottom w:val="single" w:sz="4" w:space="0" w:color="000000"/>
              <w:right w:val="single" w:sz="4" w:space="0" w:color="000000"/>
            </w:tcBorders>
            <w:vAlign w:val="center"/>
            <w:hideMark/>
          </w:tcPr>
          <w:p w14:paraId="54929FA7"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55,7</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1803BD5C"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47,3</w:t>
            </w:r>
          </w:p>
        </w:tc>
        <w:tc>
          <w:tcPr>
            <w:tcW w:w="1385" w:type="dxa"/>
            <w:tcBorders>
              <w:top w:val="single" w:sz="4" w:space="0" w:color="000000"/>
              <w:left w:val="single" w:sz="4" w:space="0" w:color="000000"/>
              <w:bottom w:val="single" w:sz="4" w:space="0" w:color="000000"/>
              <w:right w:val="single" w:sz="4" w:space="0" w:color="000000"/>
            </w:tcBorders>
            <w:vAlign w:val="center"/>
            <w:hideMark/>
          </w:tcPr>
          <w:p w14:paraId="62843747"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63,8</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05499C3A"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88,5</w:t>
            </w:r>
          </w:p>
        </w:tc>
        <w:tc>
          <w:tcPr>
            <w:tcW w:w="1386" w:type="dxa"/>
            <w:tcBorders>
              <w:top w:val="single" w:sz="4" w:space="0" w:color="000000"/>
              <w:left w:val="single" w:sz="4" w:space="0" w:color="000000"/>
              <w:bottom w:val="single" w:sz="4" w:space="0" w:color="000000"/>
              <w:right w:val="single" w:sz="4" w:space="0" w:color="000000"/>
            </w:tcBorders>
            <w:vAlign w:val="center"/>
            <w:hideMark/>
          </w:tcPr>
          <w:p w14:paraId="73FB1317"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82,4</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02185823"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93,0</w:t>
            </w:r>
          </w:p>
        </w:tc>
      </w:tr>
      <w:tr w:rsidR="00E40B0E" w:rsidRPr="00980785" w14:paraId="703DD9E8" w14:textId="77777777" w:rsidTr="00290631">
        <w:trPr>
          <w:trHeight w:val="272"/>
        </w:trPr>
        <w:tc>
          <w:tcPr>
            <w:tcW w:w="1382" w:type="dxa"/>
            <w:tcBorders>
              <w:top w:val="single" w:sz="4" w:space="0" w:color="000000"/>
              <w:left w:val="single" w:sz="4" w:space="0" w:color="000000"/>
              <w:bottom w:val="single" w:sz="4" w:space="0" w:color="000000"/>
              <w:right w:val="single" w:sz="4" w:space="0" w:color="000000"/>
            </w:tcBorders>
            <w:vAlign w:val="center"/>
            <w:hideMark/>
          </w:tcPr>
          <w:p w14:paraId="6288953B"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Anti-7F</w:t>
            </w:r>
          </w:p>
        </w:tc>
        <w:tc>
          <w:tcPr>
            <w:tcW w:w="1383" w:type="dxa"/>
            <w:tcBorders>
              <w:top w:val="single" w:sz="4" w:space="0" w:color="000000"/>
              <w:left w:val="single" w:sz="4" w:space="0" w:color="000000"/>
              <w:bottom w:val="single" w:sz="4" w:space="0" w:color="000000"/>
              <w:right w:val="single" w:sz="4" w:space="0" w:color="000000"/>
            </w:tcBorders>
            <w:vAlign w:val="center"/>
            <w:hideMark/>
          </w:tcPr>
          <w:p w14:paraId="2CD1D69F"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96,7</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0923519B"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92,5</w:t>
            </w:r>
          </w:p>
        </w:tc>
        <w:tc>
          <w:tcPr>
            <w:tcW w:w="1385" w:type="dxa"/>
            <w:tcBorders>
              <w:top w:val="single" w:sz="4" w:space="0" w:color="000000"/>
              <w:left w:val="single" w:sz="4" w:space="0" w:color="000000"/>
              <w:bottom w:val="single" w:sz="4" w:space="0" w:color="000000"/>
              <w:right w:val="single" w:sz="4" w:space="0" w:color="000000"/>
            </w:tcBorders>
            <w:vAlign w:val="center"/>
            <w:hideMark/>
          </w:tcPr>
          <w:p w14:paraId="2AFE517F"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98,9</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798932B9"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c>
          <w:tcPr>
            <w:tcW w:w="1386" w:type="dxa"/>
            <w:tcBorders>
              <w:top w:val="single" w:sz="4" w:space="0" w:color="000000"/>
              <w:left w:val="single" w:sz="4" w:space="0" w:color="000000"/>
              <w:bottom w:val="single" w:sz="4" w:space="0" w:color="000000"/>
              <w:right w:val="single" w:sz="4" w:space="0" w:color="000000"/>
            </w:tcBorders>
            <w:vAlign w:val="center"/>
            <w:hideMark/>
          </w:tcPr>
          <w:p w14:paraId="1F6BEF40"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97,7</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0AC63076"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r>
      <w:tr w:rsidR="00E40B0E" w:rsidRPr="00980785" w14:paraId="0EB9B782" w14:textId="77777777" w:rsidTr="00290631">
        <w:trPr>
          <w:trHeight w:val="272"/>
        </w:trPr>
        <w:tc>
          <w:tcPr>
            <w:tcW w:w="1382" w:type="dxa"/>
            <w:tcBorders>
              <w:top w:val="single" w:sz="4" w:space="0" w:color="000000"/>
              <w:left w:val="single" w:sz="4" w:space="0" w:color="000000"/>
              <w:bottom w:val="single" w:sz="4" w:space="0" w:color="000000"/>
              <w:right w:val="single" w:sz="4" w:space="0" w:color="000000"/>
            </w:tcBorders>
            <w:vAlign w:val="center"/>
            <w:hideMark/>
          </w:tcPr>
          <w:p w14:paraId="0FDD9E95"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Anti-9V</w:t>
            </w:r>
          </w:p>
        </w:tc>
        <w:tc>
          <w:tcPr>
            <w:tcW w:w="1383" w:type="dxa"/>
            <w:tcBorders>
              <w:top w:val="single" w:sz="4" w:space="0" w:color="000000"/>
              <w:left w:val="single" w:sz="4" w:space="0" w:color="000000"/>
              <w:bottom w:val="single" w:sz="4" w:space="0" w:color="000000"/>
              <w:right w:val="single" w:sz="4" w:space="0" w:color="000000"/>
            </w:tcBorders>
            <w:vAlign w:val="center"/>
            <w:hideMark/>
          </w:tcPr>
          <w:p w14:paraId="44197300"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93,4</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1F5D9BAC"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88,2</w:t>
            </w:r>
          </w:p>
        </w:tc>
        <w:tc>
          <w:tcPr>
            <w:tcW w:w="1385" w:type="dxa"/>
            <w:tcBorders>
              <w:top w:val="single" w:sz="4" w:space="0" w:color="000000"/>
              <w:left w:val="single" w:sz="4" w:space="0" w:color="000000"/>
              <w:bottom w:val="single" w:sz="4" w:space="0" w:color="000000"/>
              <w:right w:val="single" w:sz="4" w:space="0" w:color="000000"/>
            </w:tcBorders>
            <w:vAlign w:val="center"/>
            <w:hideMark/>
          </w:tcPr>
          <w:p w14:paraId="6529D2B3"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96,8</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1085063B"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99,4</w:t>
            </w:r>
          </w:p>
        </w:tc>
        <w:tc>
          <w:tcPr>
            <w:tcW w:w="1386" w:type="dxa"/>
            <w:tcBorders>
              <w:top w:val="single" w:sz="4" w:space="0" w:color="000000"/>
              <w:left w:val="single" w:sz="4" w:space="0" w:color="000000"/>
              <w:bottom w:val="single" w:sz="4" w:space="0" w:color="000000"/>
              <w:right w:val="single" w:sz="4" w:space="0" w:color="000000"/>
            </w:tcBorders>
            <w:vAlign w:val="center"/>
            <w:hideMark/>
          </w:tcPr>
          <w:p w14:paraId="5A4CB9CF"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96,5</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4C8112C4"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r>
      <w:tr w:rsidR="00E40B0E" w:rsidRPr="00980785" w14:paraId="76A22836" w14:textId="77777777" w:rsidTr="00290631">
        <w:trPr>
          <w:trHeight w:val="287"/>
        </w:trPr>
        <w:tc>
          <w:tcPr>
            <w:tcW w:w="1382" w:type="dxa"/>
            <w:tcBorders>
              <w:top w:val="single" w:sz="4" w:space="0" w:color="000000"/>
              <w:left w:val="single" w:sz="4" w:space="0" w:color="000000"/>
              <w:bottom w:val="single" w:sz="4" w:space="0" w:color="000000"/>
              <w:right w:val="single" w:sz="4" w:space="0" w:color="000000"/>
            </w:tcBorders>
            <w:vAlign w:val="center"/>
            <w:hideMark/>
          </w:tcPr>
          <w:p w14:paraId="05C1A297"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Anti-14</w:t>
            </w:r>
          </w:p>
        </w:tc>
        <w:tc>
          <w:tcPr>
            <w:tcW w:w="1383" w:type="dxa"/>
            <w:tcBorders>
              <w:top w:val="single" w:sz="4" w:space="0" w:color="000000"/>
              <w:left w:val="single" w:sz="4" w:space="0" w:color="000000"/>
              <w:bottom w:val="single" w:sz="4" w:space="0" w:color="000000"/>
              <w:right w:val="single" w:sz="4" w:space="0" w:color="000000"/>
            </w:tcBorders>
            <w:vAlign w:val="center"/>
            <w:hideMark/>
          </w:tcPr>
          <w:p w14:paraId="70871C59"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96,1</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0A576398"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91,6</w:t>
            </w:r>
          </w:p>
        </w:tc>
        <w:tc>
          <w:tcPr>
            <w:tcW w:w="1385" w:type="dxa"/>
            <w:tcBorders>
              <w:top w:val="single" w:sz="4" w:space="0" w:color="000000"/>
              <w:left w:val="single" w:sz="4" w:space="0" w:color="000000"/>
              <w:bottom w:val="single" w:sz="4" w:space="0" w:color="000000"/>
              <w:right w:val="single" w:sz="4" w:space="0" w:color="000000"/>
            </w:tcBorders>
            <w:vAlign w:val="center"/>
            <w:hideMark/>
          </w:tcPr>
          <w:p w14:paraId="55946900"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98,5</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398D1A57"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99,4</w:t>
            </w:r>
          </w:p>
        </w:tc>
        <w:tc>
          <w:tcPr>
            <w:tcW w:w="1386" w:type="dxa"/>
            <w:tcBorders>
              <w:top w:val="single" w:sz="4" w:space="0" w:color="000000"/>
              <w:left w:val="single" w:sz="4" w:space="0" w:color="000000"/>
              <w:bottom w:val="single" w:sz="4" w:space="0" w:color="000000"/>
              <w:right w:val="single" w:sz="4" w:space="0" w:color="000000"/>
            </w:tcBorders>
            <w:vAlign w:val="center"/>
            <w:hideMark/>
          </w:tcPr>
          <w:p w14:paraId="75384050"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96,5</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0A082C8F"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r>
      <w:tr w:rsidR="00E40B0E" w:rsidRPr="00980785" w14:paraId="6B23012B" w14:textId="77777777" w:rsidTr="00290631">
        <w:trPr>
          <w:trHeight w:val="272"/>
        </w:trPr>
        <w:tc>
          <w:tcPr>
            <w:tcW w:w="1382" w:type="dxa"/>
            <w:tcBorders>
              <w:top w:val="single" w:sz="4" w:space="0" w:color="000000"/>
              <w:left w:val="single" w:sz="4" w:space="0" w:color="000000"/>
              <w:bottom w:val="single" w:sz="4" w:space="0" w:color="000000"/>
              <w:right w:val="single" w:sz="4" w:space="0" w:color="000000"/>
            </w:tcBorders>
            <w:vAlign w:val="center"/>
            <w:hideMark/>
          </w:tcPr>
          <w:p w14:paraId="45ED9DA6"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Anti-18C</w:t>
            </w:r>
          </w:p>
        </w:tc>
        <w:tc>
          <w:tcPr>
            <w:tcW w:w="1383" w:type="dxa"/>
            <w:tcBorders>
              <w:top w:val="single" w:sz="4" w:space="0" w:color="000000"/>
              <w:left w:val="single" w:sz="4" w:space="0" w:color="000000"/>
              <w:bottom w:val="single" w:sz="4" w:space="0" w:color="000000"/>
              <w:right w:val="single" w:sz="4" w:space="0" w:color="000000"/>
            </w:tcBorders>
            <w:vAlign w:val="center"/>
            <w:hideMark/>
          </w:tcPr>
          <w:p w14:paraId="47C5B0DC"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96,1</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061ED3AC"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91,6</w:t>
            </w:r>
          </w:p>
        </w:tc>
        <w:tc>
          <w:tcPr>
            <w:tcW w:w="1385" w:type="dxa"/>
            <w:tcBorders>
              <w:top w:val="single" w:sz="4" w:space="0" w:color="000000"/>
              <w:left w:val="single" w:sz="4" w:space="0" w:color="000000"/>
              <w:bottom w:val="single" w:sz="4" w:space="0" w:color="000000"/>
              <w:right w:val="single" w:sz="4" w:space="0" w:color="000000"/>
            </w:tcBorders>
            <w:vAlign w:val="center"/>
            <w:hideMark/>
          </w:tcPr>
          <w:p w14:paraId="67AB289A"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98,5</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2C4181D9"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c>
          <w:tcPr>
            <w:tcW w:w="1386" w:type="dxa"/>
            <w:tcBorders>
              <w:top w:val="single" w:sz="4" w:space="0" w:color="000000"/>
              <w:left w:val="single" w:sz="4" w:space="0" w:color="000000"/>
              <w:bottom w:val="single" w:sz="4" w:space="0" w:color="000000"/>
              <w:right w:val="single" w:sz="4" w:space="0" w:color="000000"/>
            </w:tcBorders>
            <w:vAlign w:val="center"/>
            <w:hideMark/>
          </w:tcPr>
          <w:p w14:paraId="681F3CDE"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97,7</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116F0517"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r>
      <w:tr w:rsidR="00E40B0E" w:rsidRPr="00980785" w14:paraId="7DFF5292" w14:textId="77777777" w:rsidTr="00290631">
        <w:trPr>
          <w:trHeight w:val="272"/>
        </w:trPr>
        <w:tc>
          <w:tcPr>
            <w:tcW w:w="1382" w:type="dxa"/>
            <w:tcBorders>
              <w:top w:val="single" w:sz="4" w:space="0" w:color="000000"/>
              <w:left w:val="single" w:sz="4" w:space="0" w:color="000000"/>
              <w:bottom w:val="single" w:sz="4" w:space="0" w:color="000000"/>
              <w:right w:val="single" w:sz="4" w:space="0" w:color="000000"/>
            </w:tcBorders>
            <w:vAlign w:val="center"/>
            <w:hideMark/>
          </w:tcPr>
          <w:p w14:paraId="38F0C934"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Anti-19F</w:t>
            </w:r>
          </w:p>
        </w:tc>
        <w:tc>
          <w:tcPr>
            <w:tcW w:w="1383" w:type="dxa"/>
            <w:tcBorders>
              <w:top w:val="single" w:sz="4" w:space="0" w:color="000000"/>
              <w:left w:val="single" w:sz="4" w:space="0" w:color="000000"/>
              <w:bottom w:val="single" w:sz="4" w:space="0" w:color="000000"/>
              <w:right w:val="single" w:sz="4" w:space="0" w:color="000000"/>
            </w:tcBorders>
            <w:vAlign w:val="center"/>
            <w:hideMark/>
          </w:tcPr>
          <w:p w14:paraId="0863B007"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92,8</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7364B1BD"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87,4</w:t>
            </w:r>
          </w:p>
        </w:tc>
        <w:tc>
          <w:tcPr>
            <w:tcW w:w="1385" w:type="dxa"/>
            <w:tcBorders>
              <w:top w:val="single" w:sz="4" w:space="0" w:color="000000"/>
              <w:left w:val="single" w:sz="4" w:space="0" w:color="000000"/>
              <w:bottom w:val="single" w:sz="4" w:space="0" w:color="000000"/>
              <w:right w:val="single" w:sz="4" w:space="0" w:color="000000"/>
            </w:tcBorders>
            <w:vAlign w:val="center"/>
            <w:hideMark/>
          </w:tcPr>
          <w:p w14:paraId="79039E83"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96,3</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1AE4F55D"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96,2</w:t>
            </w:r>
          </w:p>
        </w:tc>
        <w:tc>
          <w:tcPr>
            <w:tcW w:w="1386" w:type="dxa"/>
            <w:tcBorders>
              <w:top w:val="single" w:sz="4" w:space="0" w:color="000000"/>
              <w:left w:val="single" w:sz="4" w:space="0" w:color="000000"/>
              <w:bottom w:val="single" w:sz="4" w:space="0" w:color="000000"/>
              <w:right w:val="single" w:sz="4" w:space="0" w:color="000000"/>
            </w:tcBorders>
            <w:vAlign w:val="center"/>
            <w:hideMark/>
          </w:tcPr>
          <w:p w14:paraId="5CA5A84E"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91,8</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5A36A907"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98,6</w:t>
            </w:r>
          </w:p>
        </w:tc>
      </w:tr>
      <w:tr w:rsidR="00E40B0E" w:rsidRPr="00980785" w14:paraId="3F4589F5" w14:textId="77777777" w:rsidTr="00290631">
        <w:trPr>
          <w:trHeight w:val="287"/>
        </w:trPr>
        <w:tc>
          <w:tcPr>
            <w:tcW w:w="1382" w:type="dxa"/>
            <w:tcBorders>
              <w:top w:val="single" w:sz="4" w:space="0" w:color="000000"/>
              <w:left w:val="single" w:sz="4" w:space="0" w:color="000000"/>
              <w:bottom w:val="single" w:sz="4" w:space="0" w:color="000000"/>
              <w:right w:val="single" w:sz="4" w:space="0" w:color="000000"/>
            </w:tcBorders>
            <w:vAlign w:val="center"/>
            <w:hideMark/>
          </w:tcPr>
          <w:p w14:paraId="470FB3DC"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Anti-23F</w:t>
            </w:r>
          </w:p>
        </w:tc>
        <w:tc>
          <w:tcPr>
            <w:tcW w:w="1383" w:type="dxa"/>
            <w:tcBorders>
              <w:top w:val="single" w:sz="4" w:space="0" w:color="000000"/>
              <w:left w:val="single" w:sz="4" w:space="0" w:color="000000"/>
              <w:bottom w:val="single" w:sz="4" w:space="0" w:color="000000"/>
              <w:right w:val="single" w:sz="4" w:space="0" w:color="000000"/>
            </w:tcBorders>
            <w:vAlign w:val="center"/>
            <w:hideMark/>
          </w:tcPr>
          <w:p w14:paraId="4073CC79"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69,3</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357817B9"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61,3</w:t>
            </w:r>
          </w:p>
        </w:tc>
        <w:tc>
          <w:tcPr>
            <w:tcW w:w="1385" w:type="dxa"/>
            <w:tcBorders>
              <w:top w:val="single" w:sz="4" w:space="0" w:color="000000"/>
              <w:left w:val="single" w:sz="4" w:space="0" w:color="000000"/>
              <w:bottom w:val="single" w:sz="4" w:space="0" w:color="000000"/>
              <w:right w:val="single" w:sz="4" w:space="0" w:color="000000"/>
            </w:tcBorders>
            <w:vAlign w:val="center"/>
            <w:hideMark/>
          </w:tcPr>
          <w:p w14:paraId="5B32DEE9"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76,5</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499E6E28"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96,1</w:t>
            </w:r>
          </w:p>
        </w:tc>
        <w:tc>
          <w:tcPr>
            <w:tcW w:w="1386" w:type="dxa"/>
            <w:tcBorders>
              <w:top w:val="single" w:sz="4" w:space="0" w:color="000000"/>
              <w:left w:val="single" w:sz="4" w:space="0" w:color="000000"/>
              <w:bottom w:val="single" w:sz="4" w:space="0" w:color="000000"/>
              <w:right w:val="single" w:sz="4" w:space="0" w:color="000000"/>
            </w:tcBorders>
            <w:vAlign w:val="center"/>
            <w:hideMark/>
          </w:tcPr>
          <w:p w14:paraId="5DF4C261"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91,7</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11D1F8E1"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98,6</w:t>
            </w:r>
          </w:p>
        </w:tc>
      </w:tr>
    </w:tbl>
    <w:p w14:paraId="69CA5B03" w14:textId="77777777" w:rsidR="00E40B0E" w:rsidRPr="00980785" w:rsidRDefault="00E40B0E" w:rsidP="00290631">
      <w:pPr>
        <w:pStyle w:val="Header"/>
        <w:tabs>
          <w:tab w:val="left" w:pos="284"/>
        </w:tabs>
        <w:jc w:val="both"/>
        <w:rPr>
          <w:sz w:val="22"/>
          <w:szCs w:val="22"/>
          <w:lang w:val="sr-Latn-ME" w:eastAsia="x-none"/>
        </w:rPr>
      </w:pPr>
    </w:p>
    <w:p w14:paraId="13126838" w14:textId="19EB1CE2" w:rsidR="00E40B0E" w:rsidRPr="00980785" w:rsidRDefault="00E40B0E" w:rsidP="00290631">
      <w:pPr>
        <w:pStyle w:val="Header"/>
        <w:tabs>
          <w:tab w:val="left" w:pos="284"/>
        </w:tabs>
        <w:jc w:val="both"/>
        <w:rPr>
          <w:b/>
          <w:sz w:val="22"/>
          <w:szCs w:val="22"/>
          <w:lang w:val="sr-Latn-ME"/>
        </w:rPr>
      </w:pPr>
      <w:r w:rsidRPr="00980785">
        <w:rPr>
          <w:b/>
          <w:sz w:val="22"/>
          <w:szCs w:val="22"/>
          <w:lang w:val="sr-Latn-ME"/>
        </w:rPr>
        <w:t xml:space="preserve">Tabela 8: Procenat osoba sa koncentarcijom antitijela </w:t>
      </w:r>
      <w:r w:rsidRPr="00980785">
        <w:rPr>
          <w:b/>
          <w:sz w:val="22"/>
          <w:szCs w:val="22"/>
          <w:lang w:val="sr-Latn-ME"/>
        </w:rPr>
        <w:sym w:font="Symbol" w:char="F0B3"/>
      </w:r>
      <w:r w:rsidR="00DB137A" w:rsidRPr="00980785">
        <w:rPr>
          <w:b/>
          <w:sz w:val="22"/>
          <w:szCs w:val="22"/>
          <w:lang w:val="sr-Latn-ME"/>
        </w:rPr>
        <w:t xml:space="preserve"> </w:t>
      </w:r>
      <w:r w:rsidRPr="00980785">
        <w:rPr>
          <w:b/>
          <w:sz w:val="22"/>
          <w:szCs w:val="22"/>
          <w:lang w:val="sr-Latn-ME"/>
        </w:rPr>
        <w:t xml:space="preserve">0,20μg/ml (ELISA) mjesec dana nakon primarne imunizacije i mjesec dana nakon buster doze po šemi primarne imunizacije od 3 doze  </w:t>
      </w:r>
    </w:p>
    <w:p w14:paraId="4434F5EC" w14:textId="77777777" w:rsidR="00E40B0E" w:rsidRPr="00980785" w:rsidRDefault="00E40B0E" w:rsidP="00290631">
      <w:pPr>
        <w:pStyle w:val="Header"/>
        <w:tabs>
          <w:tab w:val="left" w:pos="284"/>
        </w:tabs>
        <w:jc w:val="both"/>
        <w:rPr>
          <w:b/>
          <w:sz w:val="22"/>
          <w:szCs w:val="22"/>
          <w:lang w:val="sr-Latn-ME"/>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91"/>
        <w:gridCol w:w="1392"/>
        <w:gridCol w:w="1393"/>
        <w:gridCol w:w="1393"/>
        <w:gridCol w:w="1393"/>
        <w:gridCol w:w="1394"/>
        <w:gridCol w:w="711"/>
      </w:tblGrid>
      <w:tr w:rsidR="00E40B0E" w:rsidRPr="00980785" w14:paraId="19181685" w14:textId="77777777" w:rsidTr="00290631">
        <w:trPr>
          <w:trHeight w:val="312"/>
        </w:trPr>
        <w:tc>
          <w:tcPr>
            <w:tcW w:w="1391" w:type="dxa"/>
            <w:vMerge w:val="restart"/>
            <w:tcBorders>
              <w:top w:val="single" w:sz="4" w:space="0" w:color="000000"/>
              <w:left w:val="single" w:sz="4" w:space="0" w:color="000000"/>
              <w:bottom w:val="single" w:sz="4" w:space="0" w:color="000000"/>
              <w:right w:val="single" w:sz="4" w:space="0" w:color="000000"/>
            </w:tcBorders>
            <w:vAlign w:val="center"/>
            <w:hideMark/>
          </w:tcPr>
          <w:p w14:paraId="3ECB46CF"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lastRenderedPageBreak/>
              <w:t>Antitijelo</w:t>
            </w:r>
          </w:p>
        </w:tc>
        <w:tc>
          <w:tcPr>
            <w:tcW w:w="7676" w:type="dxa"/>
            <w:gridSpan w:val="6"/>
            <w:tcBorders>
              <w:top w:val="single" w:sz="4" w:space="0" w:color="000000"/>
              <w:left w:val="single" w:sz="4" w:space="0" w:color="000000"/>
              <w:bottom w:val="single" w:sz="4" w:space="0" w:color="000000"/>
              <w:right w:val="single" w:sz="4" w:space="0" w:color="000000"/>
            </w:tcBorders>
            <w:hideMark/>
          </w:tcPr>
          <w:p w14:paraId="17685881" w14:textId="7C8C0CB1" w:rsidR="00E40B0E" w:rsidRPr="00980785" w:rsidRDefault="00E40B0E" w:rsidP="00290631">
            <w:pPr>
              <w:pStyle w:val="Header"/>
              <w:tabs>
                <w:tab w:val="left" w:pos="284"/>
              </w:tabs>
              <w:jc w:val="center"/>
              <w:rPr>
                <w:noProof/>
                <w:sz w:val="22"/>
                <w:szCs w:val="22"/>
                <w:lang w:val="sr-Latn-ME"/>
              </w:rPr>
            </w:pPr>
            <w:r w:rsidRPr="00980785">
              <w:rPr>
                <w:noProof/>
                <w:sz w:val="22"/>
                <w:szCs w:val="22"/>
                <w:lang w:val="sr-Latn-ME"/>
              </w:rPr>
              <w:sym w:font="Symbol" w:char="F0B3"/>
            </w:r>
            <w:r w:rsidR="00DB137A" w:rsidRPr="00980785">
              <w:rPr>
                <w:noProof/>
                <w:sz w:val="22"/>
                <w:szCs w:val="22"/>
                <w:lang w:val="sr-Latn-ME"/>
              </w:rPr>
              <w:t xml:space="preserve"> </w:t>
            </w:r>
            <w:r w:rsidRPr="00980785">
              <w:rPr>
                <w:noProof/>
                <w:sz w:val="22"/>
                <w:szCs w:val="22"/>
                <w:lang w:val="sr-Latn-ME"/>
              </w:rPr>
              <w:t>0,20</w:t>
            </w:r>
            <w:r w:rsidRPr="00980785">
              <w:rPr>
                <w:noProof/>
                <w:sz w:val="22"/>
                <w:szCs w:val="22"/>
                <w:lang w:val="sr-Latn-ME"/>
              </w:rPr>
              <w:sym w:font="Symbol" w:char="F06D"/>
            </w:r>
            <w:r w:rsidRPr="00980785">
              <w:rPr>
                <w:noProof/>
                <w:sz w:val="22"/>
                <w:szCs w:val="22"/>
                <w:lang w:val="sr-Latn-ME"/>
              </w:rPr>
              <w:t>g/ml(ELISA)</w:t>
            </w:r>
          </w:p>
        </w:tc>
      </w:tr>
      <w:tr w:rsidR="00E40B0E" w:rsidRPr="00980785" w14:paraId="4D689BF3" w14:textId="77777777" w:rsidTr="00290631">
        <w:trPr>
          <w:trHeight w:val="150"/>
        </w:trPr>
        <w:tc>
          <w:tcPr>
            <w:tcW w:w="1391" w:type="dxa"/>
            <w:vMerge/>
            <w:tcBorders>
              <w:top w:val="single" w:sz="4" w:space="0" w:color="000000"/>
              <w:left w:val="single" w:sz="4" w:space="0" w:color="000000"/>
              <w:bottom w:val="single" w:sz="4" w:space="0" w:color="000000"/>
              <w:right w:val="single" w:sz="4" w:space="0" w:color="000000"/>
            </w:tcBorders>
            <w:vAlign w:val="center"/>
            <w:hideMark/>
          </w:tcPr>
          <w:p w14:paraId="4C24B4FF" w14:textId="77777777" w:rsidR="00E40B0E" w:rsidRPr="00980785" w:rsidRDefault="00E40B0E" w:rsidP="00290631">
            <w:pPr>
              <w:jc w:val="both"/>
              <w:rPr>
                <w:noProof/>
                <w:sz w:val="22"/>
                <w:szCs w:val="22"/>
                <w:lang w:val="sr-Latn-ME" w:eastAsia="x-none"/>
              </w:rPr>
            </w:pPr>
          </w:p>
        </w:tc>
        <w:tc>
          <w:tcPr>
            <w:tcW w:w="4178" w:type="dxa"/>
            <w:gridSpan w:val="3"/>
            <w:tcBorders>
              <w:top w:val="single" w:sz="4" w:space="0" w:color="000000"/>
              <w:left w:val="single" w:sz="4" w:space="0" w:color="000000"/>
              <w:bottom w:val="single" w:sz="4" w:space="0" w:color="000000"/>
              <w:right w:val="single" w:sz="4" w:space="0" w:color="000000"/>
            </w:tcBorders>
            <w:hideMark/>
          </w:tcPr>
          <w:p w14:paraId="37407BD2" w14:textId="77777777" w:rsidR="00E40B0E" w:rsidRPr="00980785" w:rsidRDefault="00E40B0E" w:rsidP="00290631">
            <w:pPr>
              <w:pStyle w:val="Header"/>
              <w:tabs>
                <w:tab w:val="left" w:pos="284"/>
              </w:tabs>
              <w:jc w:val="center"/>
              <w:rPr>
                <w:noProof/>
                <w:sz w:val="22"/>
                <w:szCs w:val="22"/>
                <w:lang w:val="sr-Latn-ME"/>
              </w:rPr>
            </w:pPr>
            <w:r w:rsidRPr="00980785">
              <w:rPr>
                <w:noProof/>
                <w:sz w:val="22"/>
                <w:szCs w:val="22"/>
                <w:lang w:val="sr-Latn-ME"/>
              </w:rPr>
              <w:t>Nakon primarne imunizacije</w:t>
            </w:r>
          </w:p>
        </w:tc>
        <w:tc>
          <w:tcPr>
            <w:tcW w:w="3498" w:type="dxa"/>
            <w:gridSpan w:val="3"/>
            <w:tcBorders>
              <w:top w:val="single" w:sz="4" w:space="0" w:color="000000"/>
              <w:left w:val="single" w:sz="4" w:space="0" w:color="000000"/>
              <w:bottom w:val="single" w:sz="4" w:space="0" w:color="000000"/>
              <w:right w:val="single" w:sz="4" w:space="0" w:color="000000"/>
            </w:tcBorders>
            <w:hideMark/>
          </w:tcPr>
          <w:p w14:paraId="3FDAF152" w14:textId="77777777" w:rsidR="00E40B0E" w:rsidRPr="00980785" w:rsidRDefault="00E40B0E" w:rsidP="00290631">
            <w:pPr>
              <w:pStyle w:val="Header"/>
              <w:tabs>
                <w:tab w:val="left" w:pos="284"/>
              </w:tabs>
              <w:jc w:val="center"/>
              <w:rPr>
                <w:noProof/>
                <w:sz w:val="22"/>
                <w:szCs w:val="22"/>
                <w:lang w:val="sr-Latn-ME"/>
              </w:rPr>
            </w:pPr>
            <w:r w:rsidRPr="00980785">
              <w:rPr>
                <w:noProof/>
                <w:sz w:val="22"/>
                <w:szCs w:val="22"/>
                <w:lang w:val="sr-Latn-ME"/>
              </w:rPr>
              <w:t>Nakon buster doze</w:t>
            </w:r>
          </w:p>
        </w:tc>
      </w:tr>
      <w:tr w:rsidR="00E40B0E" w:rsidRPr="00980785" w14:paraId="27D4ED57" w14:textId="77777777" w:rsidTr="00290631">
        <w:trPr>
          <w:trHeight w:val="150"/>
        </w:trPr>
        <w:tc>
          <w:tcPr>
            <w:tcW w:w="1391" w:type="dxa"/>
            <w:vMerge/>
            <w:tcBorders>
              <w:top w:val="single" w:sz="4" w:space="0" w:color="000000"/>
              <w:left w:val="single" w:sz="4" w:space="0" w:color="000000"/>
              <w:bottom w:val="single" w:sz="4" w:space="0" w:color="000000"/>
              <w:right w:val="single" w:sz="4" w:space="0" w:color="000000"/>
            </w:tcBorders>
            <w:vAlign w:val="center"/>
            <w:hideMark/>
          </w:tcPr>
          <w:p w14:paraId="413385DB" w14:textId="77777777" w:rsidR="00E40B0E" w:rsidRPr="00980785" w:rsidRDefault="00E40B0E" w:rsidP="00290631">
            <w:pPr>
              <w:jc w:val="both"/>
              <w:rPr>
                <w:noProof/>
                <w:sz w:val="22"/>
                <w:szCs w:val="22"/>
                <w:lang w:val="sr-Latn-ME" w:eastAsia="x-none"/>
              </w:rPr>
            </w:pPr>
          </w:p>
        </w:tc>
        <w:tc>
          <w:tcPr>
            <w:tcW w:w="1392" w:type="dxa"/>
            <w:tcBorders>
              <w:top w:val="single" w:sz="4" w:space="0" w:color="000000"/>
              <w:left w:val="single" w:sz="4" w:space="0" w:color="000000"/>
              <w:bottom w:val="single" w:sz="4" w:space="0" w:color="000000"/>
              <w:right w:val="single" w:sz="4" w:space="0" w:color="000000"/>
            </w:tcBorders>
            <w:hideMark/>
          </w:tcPr>
          <w:p w14:paraId="70A2EE75"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w:t>
            </w:r>
          </w:p>
        </w:tc>
        <w:tc>
          <w:tcPr>
            <w:tcW w:w="2786" w:type="dxa"/>
            <w:gridSpan w:val="2"/>
            <w:tcBorders>
              <w:top w:val="single" w:sz="4" w:space="0" w:color="000000"/>
              <w:left w:val="single" w:sz="4" w:space="0" w:color="000000"/>
              <w:bottom w:val="single" w:sz="4" w:space="0" w:color="000000"/>
              <w:right w:val="single" w:sz="4" w:space="0" w:color="000000"/>
            </w:tcBorders>
            <w:hideMark/>
          </w:tcPr>
          <w:p w14:paraId="35A2FEC8"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95% IP</w:t>
            </w:r>
          </w:p>
        </w:tc>
        <w:tc>
          <w:tcPr>
            <w:tcW w:w="1393" w:type="dxa"/>
            <w:tcBorders>
              <w:top w:val="single" w:sz="4" w:space="0" w:color="000000"/>
              <w:left w:val="single" w:sz="4" w:space="0" w:color="000000"/>
              <w:bottom w:val="single" w:sz="4" w:space="0" w:color="000000"/>
              <w:right w:val="single" w:sz="4" w:space="0" w:color="000000"/>
            </w:tcBorders>
            <w:hideMark/>
          </w:tcPr>
          <w:p w14:paraId="4915174C"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w:t>
            </w:r>
          </w:p>
        </w:tc>
        <w:tc>
          <w:tcPr>
            <w:tcW w:w="2105" w:type="dxa"/>
            <w:gridSpan w:val="2"/>
            <w:tcBorders>
              <w:top w:val="single" w:sz="4" w:space="0" w:color="000000"/>
              <w:left w:val="single" w:sz="4" w:space="0" w:color="000000"/>
              <w:bottom w:val="single" w:sz="4" w:space="0" w:color="000000"/>
              <w:right w:val="single" w:sz="4" w:space="0" w:color="000000"/>
            </w:tcBorders>
            <w:hideMark/>
          </w:tcPr>
          <w:p w14:paraId="492B93E1"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95% IP</w:t>
            </w:r>
          </w:p>
        </w:tc>
      </w:tr>
      <w:tr w:rsidR="00E40B0E" w:rsidRPr="00980785" w14:paraId="3DBD53D4" w14:textId="77777777" w:rsidTr="00290631">
        <w:trPr>
          <w:trHeight w:val="281"/>
        </w:trPr>
        <w:tc>
          <w:tcPr>
            <w:tcW w:w="1391" w:type="dxa"/>
            <w:tcBorders>
              <w:top w:val="single" w:sz="4" w:space="0" w:color="000000"/>
              <w:left w:val="single" w:sz="4" w:space="0" w:color="000000"/>
              <w:bottom w:val="single" w:sz="4" w:space="0" w:color="000000"/>
              <w:right w:val="single" w:sz="4" w:space="0" w:color="000000"/>
            </w:tcBorders>
            <w:vAlign w:val="center"/>
            <w:hideMark/>
          </w:tcPr>
          <w:p w14:paraId="2EA1EAD6"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Anti-1</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14BAF17B"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98,7</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62CEB813"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95,3</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2F789A2E"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99,8</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40BF920E"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c>
          <w:tcPr>
            <w:tcW w:w="1394" w:type="dxa"/>
            <w:tcBorders>
              <w:top w:val="single" w:sz="4" w:space="0" w:color="000000"/>
              <w:left w:val="single" w:sz="4" w:space="0" w:color="000000"/>
              <w:bottom w:val="single" w:sz="4" w:space="0" w:color="000000"/>
              <w:right w:val="single" w:sz="4" w:space="0" w:color="000000"/>
            </w:tcBorders>
            <w:vAlign w:val="center"/>
            <w:hideMark/>
          </w:tcPr>
          <w:p w14:paraId="1052F789"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97,5</w:t>
            </w:r>
          </w:p>
        </w:tc>
        <w:tc>
          <w:tcPr>
            <w:tcW w:w="711" w:type="dxa"/>
            <w:tcBorders>
              <w:top w:val="single" w:sz="4" w:space="0" w:color="000000"/>
              <w:left w:val="single" w:sz="4" w:space="0" w:color="000000"/>
              <w:bottom w:val="single" w:sz="4" w:space="0" w:color="000000"/>
              <w:right w:val="single" w:sz="4" w:space="0" w:color="000000"/>
            </w:tcBorders>
            <w:vAlign w:val="center"/>
            <w:hideMark/>
          </w:tcPr>
          <w:p w14:paraId="59EEEB14"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r>
      <w:tr w:rsidR="00E40B0E" w:rsidRPr="00980785" w14:paraId="6608F6C0" w14:textId="77777777" w:rsidTr="00290631">
        <w:trPr>
          <w:trHeight w:val="296"/>
        </w:trPr>
        <w:tc>
          <w:tcPr>
            <w:tcW w:w="1391" w:type="dxa"/>
            <w:tcBorders>
              <w:top w:val="single" w:sz="4" w:space="0" w:color="000000"/>
              <w:left w:val="single" w:sz="4" w:space="0" w:color="000000"/>
              <w:bottom w:val="single" w:sz="4" w:space="0" w:color="000000"/>
              <w:right w:val="single" w:sz="4" w:space="0" w:color="000000"/>
            </w:tcBorders>
            <w:vAlign w:val="center"/>
            <w:hideMark/>
          </w:tcPr>
          <w:p w14:paraId="2345C5A2"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Anti-4</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46BB949E"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99,3</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25415727"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96,4</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56B94045"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1BE36D63"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c>
          <w:tcPr>
            <w:tcW w:w="1394" w:type="dxa"/>
            <w:tcBorders>
              <w:top w:val="single" w:sz="4" w:space="0" w:color="000000"/>
              <w:left w:val="single" w:sz="4" w:space="0" w:color="000000"/>
              <w:bottom w:val="single" w:sz="4" w:space="0" w:color="000000"/>
              <w:right w:val="single" w:sz="4" w:space="0" w:color="000000"/>
            </w:tcBorders>
            <w:vAlign w:val="center"/>
            <w:hideMark/>
          </w:tcPr>
          <w:p w14:paraId="7EE82C07"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97,5</w:t>
            </w:r>
          </w:p>
        </w:tc>
        <w:tc>
          <w:tcPr>
            <w:tcW w:w="711" w:type="dxa"/>
            <w:tcBorders>
              <w:top w:val="single" w:sz="4" w:space="0" w:color="000000"/>
              <w:left w:val="single" w:sz="4" w:space="0" w:color="000000"/>
              <w:bottom w:val="single" w:sz="4" w:space="0" w:color="000000"/>
              <w:right w:val="single" w:sz="4" w:space="0" w:color="000000"/>
            </w:tcBorders>
            <w:vAlign w:val="center"/>
            <w:hideMark/>
          </w:tcPr>
          <w:p w14:paraId="2BEE0A2C"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r>
      <w:tr w:rsidR="00E40B0E" w:rsidRPr="00980785" w14:paraId="43CA8964" w14:textId="77777777" w:rsidTr="00290631">
        <w:trPr>
          <w:trHeight w:val="281"/>
        </w:trPr>
        <w:tc>
          <w:tcPr>
            <w:tcW w:w="1391" w:type="dxa"/>
            <w:tcBorders>
              <w:top w:val="single" w:sz="4" w:space="0" w:color="000000"/>
              <w:left w:val="single" w:sz="4" w:space="0" w:color="000000"/>
              <w:bottom w:val="single" w:sz="4" w:space="0" w:color="000000"/>
              <w:right w:val="single" w:sz="4" w:space="0" w:color="000000"/>
            </w:tcBorders>
            <w:vAlign w:val="center"/>
            <w:hideMark/>
          </w:tcPr>
          <w:p w14:paraId="00EF0982"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Anti-5</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6D4C66F6"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2716E80D"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97,6</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34D10354"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517987BB"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c>
          <w:tcPr>
            <w:tcW w:w="1394" w:type="dxa"/>
            <w:tcBorders>
              <w:top w:val="single" w:sz="4" w:space="0" w:color="000000"/>
              <w:left w:val="single" w:sz="4" w:space="0" w:color="000000"/>
              <w:bottom w:val="single" w:sz="4" w:space="0" w:color="000000"/>
              <w:right w:val="single" w:sz="4" w:space="0" w:color="000000"/>
            </w:tcBorders>
            <w:vAlign w:val="center"/>
            <w:hideMark/>
          </w:tcPr>
          <w:p w14:paraId="3E58DF16"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97,5</w:t>
            </w:r>
          </w:p>
        </w:tc>
        <w:tc>
          <w:tcPr>
            <w:tcW w:w="711" w:type="dxa"/>
            <w:tcBorders>
              <w:top w:val="single" w:sz="4" w:space="0" w:color="000000"/>
              <w:left w:val="single" w:sz="4" w:space="0" w:color="000000"/>
              <w:bottom w:val="single" w:sz="4" w:space="0" w:color="000000"/>
              <w:right w:val="single" w:sz="4" w:space="0" w:color="000000"/>
            </w:tcBorders>
            <w:vAlign w:val="center"/>
            <w:hideMark/>
          </w:tcPr>
          <w:p w14:paraId="727313C6"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r>
      <w:tr w:rsidR="00E40B0E" w:rsidRPr="00980785" w14:paraId="2D4AF804" w14:textId="77777777" w:rsidTr="00290631">
        <w:trPr>
          <w:trHeight w:val="281"/>
        </w:trPr>
        <w:tc>
          <w:tcPr>
            <w:tcW w:w="1391" w:type="dxa"/>
            <w:tcBorders>
              <w:top w:val="single" w:sz="4" w:space="0" w:color="000000"/>
              <w:left w:val="single" w:sz="4" w:space="0" w:color="000000"/>
              <w:bottom w:val="single" w:sz="4" w:space="0" w:color="000000"/>
              <w:right w:val="single" w:sz="4" w:space="0" w:color="000000"/>
            </w:tcBorders>
            <w:vAlign w:val="center"/>
            <w:hideMark/>
          </w:tcPr>
          <w:p w14:paraId="4C05A1E9"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Anti-6B</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0F2146A8"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63,1</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0AA05ACC"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54,8</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44C80DB0"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70,8</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49C20103"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96,6</w:t>
            </w:r>
          </w:p>
        </w:tc>
        <w:tc>
          <w:tcPr>
            <w:tcW w:w="1394" w:type="dxa"/>
            <w:tcBorders>
              <w:top w:val="single" w:sz="4" w:space="0" w:color="000000"/>
              <w:left w:val="single" w:sz="4" w:space="0" w:color="000000"/>
              <w:bottom w:val="single" w:sz="4" w:space="0" w:color="000000"/>
              <w:right w:val="single" w:sz="4" w:space="0" w:color="000000"/>
            </w:tcBorders>
            <w:vAlign w:val="center"/>
            <w:hideMark/>
          </w:tcPr>
          <w:p w14:paraId="32ADB565"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92,2</w:t>
            </w:r>
          </w:p>
        </w:tc>
        <w:tc>
          <w:tcPr>
            <w:tcW w:w="711" w:type="dxa"/>
            <w:tcBorders>
              <w:top w:val="single" w:sz="4" w:space="0" w:color="000000"/>
              <w:left w:val="single" w:sz="4" w:space="0" w:color="000000"/>
              <w:bottom w:val="single" w:sz="4" w:space="0" w:color="000000"/>
              <w:right w:val="single" w:sz="4" w:space="0" w:color="000000"/>
            </w:tcBorders>
            <w:vAlign w:val="center"/>
            <w:hideMark/>
          </w:tcPr>
          <w:p w14:paraId="4D14AD58"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98,9</w:t>
            </w:r>
          </w:p>
        </w:tc>
      </w:tr>
      <w:tr w:rsidR="00E40B0E" w:rsidRPr="00980785" w14:paraId="732B1964" w14:textId="77777777" w:rsidTr="00290631">
        <w:trPr>
          <w:trHeight w:val="281"/>
        </w:trPr>
        <w:tc>
          <w:tcPr>
            <w:tcW w:w="1391" w:type="dxa"/>
            <w:tcBorders>
              <w:top w:val="single" w:sz="4" w:space="0" w:color="000000"/>
              <w:left w:val="single" w:sz="4" w:space="0" w:color="000000"/>
              <w:bottom w:val="single" w:sz="4" w:space="0" w:color="000000"/>
              <w:right w:val="single" w:sz="4" w:space="0" w:color="000000"/>
            </w:tcBorders>
            <w:vAlign w:val="center"/>
            <w:hideMark/>
          </w:tcPr>
          <w:p w14:paraId="30196C46"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Anti-7F</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5A5B8375"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99,3</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03CF0B08"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96,4</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38E6D81F"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0AFDE92B"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c>
          <w:tcPr>
            <w:tcW w:w="1394" w:type="dxa"/>
            <w:tcBorders>
              <w:top w:val="single" w:sz="4" w:space="0" w:color="000000"/>
              <w:left w:val="single" w:sz="4" w:space="0" w:color="000000"/>
              <w:bottom w:val="single" w:sz="4" w:space="0" w:color="000000"/>
              <w:right w:val="single" w:sz="4" w:space="0" w:color="000000"/>
            </w:tcBorders>
            <w:vAlign w:val="center"/>
            <w:hideMark/>
          </w:tcPr>
          <w:p w14:paraId="49E6CA2C"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97,5</w:t>
            </w:r>
          </w:p>
        </w:tc>
        <w:tc>
          <w:tcPr>
            <w:tcW w:w="711" w:type="dxa"/>
            <w:tcBorders>
              <w:top w:val="single" w:sz="4" w:space="0" w:color="000000"/>
              <w:left w:val="single" w:sz="4" w:space="0" w:color="000000"/>
              <w:bottom w:val="single" w:sz="4" w:space="0" w:color="000000"/>
              <w:right w:val="single" w:sz="4" w:space="0" w:color="000000"/>
            </w:tcBorders>
            <w:vAlign w:val="center"/>
            <w:hideMark/>
          </w:tcPr>
          <w:p w14:paraId="35E6D2A0"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r>
      <w:tr w:rsidR="00E40B0E" w:rsidRPr="00980785" w14:paraId="3E44E31F" w14:textId="77777777" w:rsidTr="00290631">
        <w:trPr>
          <w:trHeight w:val="281"/>
        </w:trPr>
        <w:tc>
          <w:tcPr>
            <w:tcW w:w="1391" w:type="dxa"/>
            <w:tcBorders>
              <w:top w:val="single" w:sz="4" w:space="0" w:color="000000"/>
              <w:left w:val="single" w:sz="4" w:space="0" w:color="000000"/>
              <w:bottom w:val="single" w:sz="4" w:space="0" w:color="000000"/>
              <w:right w:val="single" w:sz="4" w:space="0" w:color="000000"/>
            </w:tcBorders>
            <w:vAlign w:val="center"/>
            <w:hideMark/>
          </w:tcPr>
          <w:p w14:paraId="577A064A"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Anti-9V</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7F50338C"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99,3</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42D68CED"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96,4</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3BE93EBC"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7E187594"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c>
          <w:tcPr>
            <w:tcW w:w="1394" w:type="dxa"/>
            <w:tcBorders>
              <w:top w:val="single" w:sz="4" w:space="0" w:color="000000"/>
              <w:left w:val="single" w:sz="4" w:space="0" w:color="000000"/>
              <w:bottom w:val="single" w:sz="4" w:space="0" w:color="000000"/>
              <w:right w:val="single" w:sz="4" w:space="0" w:color="000000"/>
            </w:tcBorders>
            <w:vAlign w:val="center"/>
            <w:hideMark/>
          </w:tcPr>
          <w:p w14:paraId="0B63B351"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97,5</w:t>
            </w:r>
          </w:p>
        </w:tc>
        <w:tc>
          <w:tcPr>
            <w:tcW w:w="711" w:type="dxa"/>
            <w:tcBorders>
              <w:top w:val="single" w:sz="4" w:space="0" w:color="000000"/>
              <w:left w:val="single" w:sz="4" w:space="0" w:color="000000"/>
              <w:bottom w:val="single" w:sz="4" w:space="0" w:color="000000"/>
              <w:right w:val="single" w:sz="4" w:space="0" w:color="000000"/>
            </w:tcBorders>
            <w:vAlign w:val="center"/>
            <w:hideMark/>
          </w:tcPr>
          <w:p w14:paraId="0AE2EA58"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r>
      <w:tr w:rsidR="00E40B0E" w:rsidRPr="00980785" w14:paraId="5E04FD7F" w14:textId="77777777" w:rsidTr="00290631">
        <w:trPr>
          <w:trHeight w:val="296"/>
        </w:trPr>
        <w:tc>
          <w:tcPr>
            <w:tcW w:w="1391" w:type="dxa"/>
            <w:tcBorders>
              <w:top w:val="single" w:sz="4" w:space="0" w:color="000000"/>
              <w:left w:val="single" w:sz="4" w:space="0" w:color="000000"/>
              <w:bottom w:val="single" w:sz="4" w:space="0" w:color="000000"/>
              <w:right w:val="single" w:sz="4" w:space="0" w:color="000000"/>
            </w:tcBorders>
            <w:vAlign w:val="center"/>
            <w:hideMark/>
          </w:tcPr>
          <w:p w14:paraId="73C9FC18"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Anti-14</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26D90AC6"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6F7F10B0"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97,6</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78B02A11"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194AD161"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98,6</w:t>
            </w:r>
          </w:p>
        </w:tc>
        <w:tc>
          <w:tcPr>
            <w:tcW w:w="1394" w:type="dxa"/>
            <w:tcBorders>
              <w:top w:val="single" w:sz="4" w:space="0" w:color="000000"/>
              <w:left w:val="single" w:sz="4" w:space="0" w:color="000000"/>
              <w:bottom w:val="single" w:sz="4" w:space="0" w:color="000000"/>
              <w:right w:val="single" w:sz="4" w:space="0" w:color="000000"/>
            </w:tcBorders>
            <w:vAlign w:val="center"/>
            <w:hideMark/>
          </w:tcPr>
          <w:p w14:paraId="664F2BCF"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95,2</w:t>
            </w:r>
          </w:p>
        </w:tc>
        <w:tc>
          <w:tcPr>
            <w:tcW w:w="711" w:type="dxa"/>
            <w:tcBorders>
              <w:top w:val="single" w:sz="4" w:space="0" w:color="000000"/>
              <w:left w:val="single" w:sz="4" w:space="0" w:color="000000"/>
              <w:bottom w:val="single" w:sz="4" w:space="0" w:color="000000"/>
              <w:right w:val="single" w:sz="4" w:space="0" w:color="000000"/>
            </w:tcBorders>
            <w:vAlign w:val="center"/>
            <w:hideMark/>
          </w:tcPr>
          <w:p w14:paraId="06509F89"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99,8</w:t>
            </w:r>
          </w:p>
        </w:tc>
      </w:tr>
      <w:tr w:rsidR="00E40B0E" w:rsidRPr="00980785" w14:paraId="454E20FC" w14:textId="77777777" w:rsidTr="00290631">
        <w:trPr>
          <w:trHeight w:val="281"/>
        </w:trPr>
        <w:tc>
          <w:tcPr>
            <w:tcW w:w="1391" w:type="dxa"/>
            <w:tcBorders>
              <w:top w:val="single" w:sz="4" w:space="0" w:color="000000"/>
              <w:left w:val="single" w:sz="4" w:space="0" w:color="000000"/>
              <w:bottom w:val="single" w:sz="4" w:space="0" w:color="000000"/>
              <w:right w:val="single" w:sz="4" w:space="0" w:color="000000"/>
            </w:tcBorders>
            <w:vAlign w:val="center"/>
            <w:hideMark/>
          </w:tcPr>
          <w:p w14:paraId="007DC9DB"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Anti-18C</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74B58C6E"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99,3</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73D948CD"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96,4</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71CADAFA"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0E3FA86D"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99,3</w:t>
            </w:r>
          </w:p>
        </w:tc>
        <w:tc>
          <w:tcPr>
            <w:tcW w:w="1394" w:type="dxa"/>
            <w:tcBorders>
              <w:top w:val="single" w:sz="4" w:space="0" w:color="000000"/>
              <w:left w:val="single" w:sz="4" w:space="0" w:color="000000"/>
              <w:bottom w:val="single" w:sz="4" w:space="0" w:color="000000"/>
              <w:right w:val="single" w:sz="4" w:space="0" w:color="000000"/>
            </w:tcBorders>
            <w:vAlign w:val="center"/>
            <w:hideMark/>
          </w:tcPr>
          <w:p w14:paraId="3B2D1DF6"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96,3</w:t>
            </w:r>
          </w:p>
        </w:tc>
        <w:tc>
          <w:tcPr>
            <w:tcW w:w="711" w:type="dxa"/>
            <w:tcBorders>
              <w:top w:val="single" w:sz="4" w:space="0" w:color="000000"/>
              <w:left w:val="single" w:sz="4" w:space="0" w:color="000000"/>
              <w:bottom w:val="single" w:sz="4" w:space="0" w:color="000000"/>
              <w:right w:val="single" w:sz="4" w:space="0" w:color="000000"/>
            </w:tcBorders>
            <w:vAlign w:val="center"/>
            <w:hideMark/>
          </w:tcPr>
          <w:p w14:paraId="4CE34154"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100</w:t>
            </w:r>
          </w:p>
        </w:tc>
      </w:tr>
      <w:tr w:rsidR="00E40B0E" w:rsidRPr="00980785" w14:paraId="055DD06E" w14:textId="77777777" w:rsidTr="00290631">
        <w:trPr>
          <w:trHeight w:val="281"/>
        </w:trPr>
        <w:tc>
          <w:tcPr>
            <w:tcW w:w="1391" w:type="dxa"/>
            <w:tcBorders>
              <w:top w:val="single" w:sz="4" w:space="0" w:color="000000"/>
              <w:left w:val="single" w:sz="4" w:space="0" w:color="000000"/>
              <w:bottom w:val="single" w:sz="4" w:space="0" w:color="000000"/>
              <w:right w:val="single" w:sz="4" w:space="0" w:color="000000"/>
            </w:tcBorders>
            <w:vAlign w:val="center"/>
            <w:hideMark/>
          </w:tcPr>
          <w:p w14:paraId="61544BD8"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Anti-19F</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79EE97AC"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96,1</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513DAB80"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91,6</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45E93DD1"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98,5</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1FF55F7B"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98,0</w:t>
            </w:r>
          </w:p>
        </w:tc>
        <w:tc>
          <w:tcPr>
            <w:tcW w:w="1394" w:type="dxa"/>
            <w:tcBorders>
              <w:top w:val="single" w:sz="4" w:space="0" w:color="000000"/>
              <w:left w:val="single" w:sz="4" w:space="0" w:color="000000"/>
              <w:bottom w:val="single" w:sz="4" w:space="0" w:color="000000"/>
              <w:right w:val="single" w:sz="4" w:space="0" w:color="000000"/>
            </w:tcBorders>
            <w:vAlign w:val="center"/>
            <w:hideMark/>
          </w:tcPr>
          <w:p w14:paraId="235CC262"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94,2</w:t>
            </w:r>
          </w:p>
        </w:tc>
        <w:tc>
          <w:tcPr>
            <w:tcW w:w="711" w:type="dxa"/>
            <w:tcBorders>
              <w:top w:val="single" w:sz="4" w:space="0" w:color="000000"/>
              <w:left w:val="single" w:sz="4" w:space="0" w:color="000000"/>
              <w:bottom w:val="single" w:sz="4" w:space="0" w:color="000000"/>
              <w:right w:val="single" w:sz="4" w:space="0" w:color="000000"/>
            </w:tcBorders>
            <w:vAlign w:val="center"/>
            <w:hideMark/>
          </w:tcPr>
          <w:p w14:paraId="3899F521"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99,6</w:t>
            </w:r>
          </w:p>
        </w:tc>
      </w:tr>
      <w:tr w:rsidR="00E40B0E" w:rsidRPr="00980785" w14:paraId="3501A653" w14:textId="77777777" w:rsidTr="00290631">
        <w:trPr>
          <w:trHeight w:val="281"/>
        </w:trPr>
        <w:tc>
          <w:tcPr>
            <w:tcW w:w="1391" w:type="dxa"/>
            <w:tcBorders>
              <w:top w:val="single" w:sz="4" w:space="0" w:color="000000"/>
              <w:left w:val="single" w:sz="4" w:space="0" w:color="000000"/>
              <w:bottom w:val="single" w:sz="4" w:space="0" w:color="000000"/>
              <w:right w:val="single" w:sz="4" w:space="0" w:color="000000"/>
            </w:tcBorders>
            <w:vAlign w:val="center"/>
            <w:hideMark/>
          </w:tcPr>
          <w:p w14:paraId="7B11AC7A"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Anti-23F</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7012BE14"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77,6</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1A12E58D"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70,2</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61FD156E"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84,0</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452C1A8A"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95,9</w:t>
            </w:r>
          </w:p>
        </w:tc>
        <w:tc>
          <w:tcPr>
            <w:tcW w:w="1394" w:type="dxa"/>
            <w:tcBorders>
              <w:top w:val="single" w:sz="4" w:space="0" w:color="000000"/>
              <w:left w:val="single" w:sz="4" w:space="0" w:color="000000"/>
              <w:bottom w:val="single" w:sz="4" w:space="0" w:color="000000"/>
              <w:right w:val="single" w:sz="4" w:space="0" w:color="000000"/>
            </w:tcBorders>
            <w:vAlign w:val="center"/>
            <w:hideMark/>
          </w:tcPr>
          <w:p w14:paraId="48030A75"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91,3</w:t>
            </w:r>
          </w:p>
        </w:tc>
        <w:tc>
          <w:tcPr>
            <w:tcW w:w="711" w:type="dxa"/>
            <w:tcBorders>
              <w:top w:val="single" w:sz="4" w:space="0" w:color="000000"/>
              <w:left w:val="single" w:sz="4" w:space="0" w:color="000000"/>
              <w:bottom w:val="single" w:sz="4" w:space="0" w:color="000000"/>
              <w:right w:val="single" w:sz="4" w:space="0" w:color="000000"/>
            </w:tcBorders>
            <w:vAlign w:val="center"/>
            <w:hideMark/>
          </w:tcPr>
          <w:p w14:paraId="37B4FAAE" w14:textId="77777777" w:rsidR="00E40B0E" w:rsidRPr="00980785" w:rsidRDefault="00E40B0E" w:rsidP="00290631">
            <w:pPr>
              <w:pStyle w:val="Header"/>
              <w:tabs>
                <w:tab w:val="left" w:pos="284"/>
              </w:tabs>
              <w:jc w:val="both"/>
              <w:rPr>
                <w:noProof/>
                <w:sz w:val="22"/>
                <w:szCs w:val="22"/>
                <w:lang w:val="sr-Latn-ME"/>
              </w:rPr>
            </w:pPr>
            <w:r w:rsidRPr="00980785">
              <w:rPr>
                <w:noProof/>
                <w:sz w:val="22"/>
                <w:szCs w:val="22"/>
                <w:lang w:val="sr-Latn-ME"/>
              </w:rPr>
              <w:t>98,5</w:t>
            </w:r>
          </w:p>
        </w:tc>
      </w:tr>
    </w:tbl>
    <w:p w14:paraId="1B569213" w14:textId="77777777" w:rsidR="00E40B0E" w:rsidRPr="00980785" w:rsidRDefault="00E40B0E">
      <w:pPr>
        <w:pStyle w:val="Header"/>
        <w:tabs>
          <w:tab w:val="left" w:pos="284"/>
        </w:tabs>
        <w:ind w:left="284"/>
        <w:jc w:val="both"/>
        <w:rPr>
          <w:i/>
          <w:sz w:val="22"/>
          <w:szCs w:val="22"/>
          <w:lang w:val="sr-Latn-ME" w:eastAsia="x-none"/>
        </w:rPr>
      </w:pPr>
    </w:p>
    <w:p w14:paraId="632EA729" w14:textId="67759265" w:rsidR="00E40B0E" w:rsidRPr="00980785" w:rsidRDefault="00E40B0E" w:rsidP="00290631">
      <w:pPr>
        <w:pStyle w:val="Header"/>
        <w:tabs>
          <w:tab w:val="left" w:pos="284"/>
        </w:tabs>
        <w:jc w:val="both"/>
        <w:rPr>
          <w:sz w:val="22"/>
          <w:szCs w:val="22"/>
          <w:lang w:val="sr-Latn-ME"/>
        </w:rPr>
      </w:pPr>
      <w:r w:rsidRPr="00980785">
        <w:rPr>
          <w:sz w:val="22"/>
          <w:szCs w:val="22"/>
          <w:lang w:val="sr-Latn-ME"/>
        </w:rPr>
        <w:t xml:space="preserve">Za ukršteno reaktivni serotip 19A zabilježene su slične geometrijske srednje koncentracije (GMC) antitijela (ELISA) poslije primarne imunizacije i poslije buster doze u šemi od dvije doze </w:t>
      </w:r>
      <w:r w:rsidR="00167570" w:rsidRPr="00980785">
        <w:rPr>
          <w:sz w:val="22"/>
          <w:szCs w:val="22"/>
          <w:lang w:val="sr-Latn-ME"/>
        </w:rPr>
        <w:t xml:space="preserve"> [</w:t>
      </w:r>
      <w:r w:rsidRPr="00980785">
        <w:rPr>
          <w:sz w:val="22"/>
          <w:szCs w:val="22"/>
          <w:lang w:val="sr-Latn-ME"/>
        </w:rPr>
        <w:t>0,14 µg/ml (95% IP: 0,12;</w:t>
      </w:r>
      <w:r w:rsidR="00DB137A" w:rsidRPr="00980785">
        <w:rPr>
          <w:sz w:val="22"/>
          <w:szCs w:val="22"/>
          <w:lang w:val="sr-Latn-ME"/>
        </w:rPr>
        <w:t xml:space="preserve"> </w:t>
      </w:r>
      <w:r w:rsidRPr="00980785">
        <w:rPr>
          <w:sz w:val="22"/>
          <w:szCs w:val="22"/>
          <w:lang w:val="sr-Latn-ME"/>
        </w:rPr>
        <w:t>0,17) i 0,73 µg/ml (95% IP: 0,58;</w:t>
      </w:r>
      <w:r w:rsidR="00DB137A" w:rsidRPr="00980785">
        <w:rPr>
          <w:sz w:val="22"/>
          <w:szCs w:val="22"/>
          <w:lang w:val="sr-Latn-ME"/>
        </w:rPr>
        <w:t xml:space="preserve"> </w:t>
      </w:r>
      <w:r w:rsidRPr="00980785">
        <w:rPr>
          <w:sz w:val="22"/>
          <w:szCs w:val="22"/>
          <w:lang w:val="sr-Latn-ME"/>
        </w:rPr>
        <w:t>0,92)</w:t>
      </w:r>
      <w:r w:rsidR="00167570" w:rsidRPr="00980785">
        <w:rPr>
          <w:sz w:val="22"/>
          <w:szCs w:val="22"/>
          <w:lang w:val="sr-Latn-ME"/>
        </w:rPr>
        <w:t xml:space="preserve">] </w:t>
      </w:r>
      <w:r w:rsidRPr="00980785">
        <w:rPr>
          <w:sz w:val="22"/>
          <w:szCs w:val="22"/>
          <w:lang w:val="sr-Latn-ME"/>
        </w:rPr>
        <w:t xml:space="preserve">i šemi od tri doze </w:t>
      </w:r>
      <w:r w:rsidR="002E74B2" w:rsidRPr="00980785">
        <w:rPr>
          <w:sz w:val="22"/>
          <w:szCs w:val="22"/>
          <w:lang w:val="sr-Latn-ME"/>
        </w:rPr>
        <w:t>[</w:t>
      </w:r>
      <w:r w:rsidRPr="00980785">
        <w:rPr>
          <w:sz w:val="22"/>
          <w:szCs w:val="22"/>
          <w:lang w:val="sr-Latn-ME"/>
        </w:rPr>
        <w:t>0,19 µg/ml (95% IP: 0,16;</w:t>
      </w:r>
      <w:r w:rsidR="00DB137A" w:rsidRPr="00980785">
        <w:rPr>
          <w:sz w:val="22"/>
          <w:szCs w:val="22"/>
          <w:lang w:val="sr-Latn-ME"/>
        </w:rPr>
        <w:t xml:space="preserve"> </w:t>
      </w:r>
      <w:r w:rsidRPr="00980785">
        <w:rPr>
          <w:sz w:val="22"/>
          <w:szCs w:val="22"/>
          <w:lang w:val="sr-Latn-ME"/>
        </w:rPr>
        <w:t>0,24) i 0,87 µg/ml (95% IP: 0,69;</w:t>
      </w:r>
      <w:r w:rsidR="00DB137A" w:rsidRPr="00980785">
        <w:rPr>
          <w:sz w:val="22"/>
          <w:szCs w:val="22"/>
          <w:lang w:val="sr-Latn-ME"/>
        </w:rPr>
        <w:t xml:space="preserve"> </w:t>
      </w:r>
      <w:r w:rsidRPr="00980785">
        <w:rPr>
          <w:sz w:val="22"/>
          <w:szCs w:val="22"/>
          <w:lang w:val="sr-Latn-ME"/>
        </w:rPr>
        <w:t>1,11)</w:t>
      </w:r>
      <w:r w:rsidR="002E74B2" w:rsidRPr="00980785">
        <w:rPr>
          <w:sz w:val="22"/>
          <w:szCs w:val="22"/>
          <w:lang w:val="sr-Latn-ME"/>
        </w:rPr>
        <w:t xml:space="preserve"> ]</w:t>
      </w:r>
      <w:r w:rsidRPr="00980785">
        <w:rPr>
          <w:sz w:val="22"/>
          <w:szCs w:val="22"/>
          <w:lang w:val="sr-Latn-ME"/>
        </w:rPr>
        <w:t>. Procenat subjekata sa OPA titrom ≥</w:t>
      </w:r>
      <w:r w:rsidR="00DB137A" w:rsidRPr="00980785">
        <w:rPr>
          <w:sz w:val="22"/>
          <w:szCs w:val="22"/>
          <w:lang w:val="sr-Latn-ME"/>
        </w:rPr>
        <w:t xml:space="preserve"> </w:t>
      </w:r>
      <w:r w:rsidRPr="00980785">
        <w:rPr>
          <w:sz w:val="22"/>
          <w:szCs w:val="22"/>
          <w:lang w:val="sr-Latn-ME"/>
        </w:rPr>
        <w:t xml:space="preserve">8 i GMT uočenim poslije primarne imunizacije i poslije buster doze je bio niži kod šeme od dvije doze u poređenju sa šemom od tri doze. U obje šeme je uočen odgovor na buster indikativan za primarnu imunizaciju. </w:t>
      </w:r>
    </w:p>
    <w:p w14:paraId="2F69E38B" w14:textId="77777777" w:rsidR="00E40B0E" w:rsidRPr="00980785" w:rsidRDefault="00E40B0E" w:rsidP="00290631">
      <w:pPr>
        <w:pStyle w:val="Header"/>
        <w:tabs>
          <w:tab w:val="left" w:pos="284"/>
        </w:tabs>
        <w:jc w:val="both"/>
        <w:rPr>
          <w:sz w:val="22"/>
          <w:szCs w:val="22"/>
          <w:lang w:val="sr-Latn-ME"/>
        </w:rPr>
      </w:pPr>
    </w:p>
    <w:p w14:paraId="0C4B20EB" w14:textId="77777777" w:rsidR="00E40B0E" w:rsidRPr="00980785" w:rsidRDefault="00E40B0E">
      <w:pPr>
        <w:pStyle w:val="Header"/>
        <w:tabs>
          <w:tab w:val="left" w:pos="0"/>
        </w:tabs>
        <w:ind w:left="284" w:hanging="284"/>
        <w:jc w:val="both"/>
        <w:rPr>
          <w:sz w:val="22"/>
          <w:szCs w:val="22"/>
          <w:lang w:val="sr-Latn-ME"/>
        </w:rPr>
      </w:pPr>
      <w:r w:rsidRPr="00980785">
        <w:rPr>
          <w:sz w:val="22"/>
          <w:szCs w:val="22"/>
          <w:lang w:val="sr-Latn-ME"/>
        </w:rPr>
        <w:t>Klinički značaj smanjenog imunološkog odgovora nakon primovakcinacije kao i nakon dodatne doze</w:t>
      </w:r>
    </w:p>
    <w:p w14:paraId="393A8D8C" w14:textId="77777777" w:rsidR="00E40B0E" w:rsidRPr="00980785" w:rsidRDefault="00E40B0E">
      <w:pPr>
        <w:pStyle w:val="Header"/>
        <w:tabs>
          <w:tab w:val="left" w:pos="0"/>
        </w:tabs>
        <w:ind w:left="284" w:hanging="284"/>
        <w:jc w:val="both"/>
        <w:rPr>
          <w:sz w:val="22"/>
          <w:szCs w:val="22"/>
          <w:lang w:val="sr-Latn-ME"/>
        </w:rPr>
      </w:pPr>
      <w:r w:rsidRPr="00980785">
        <w:rPr>
          <w:sz w:val="22"/>
          <w:szCs w:val="22"/>
          <w:lang w:val="sr-Latn-ME"/>
        </w:rPr>
        <w:t>primijećenog nakon protokola primarne vakcinacije sa 2 doze nije poznat.</w:t>
      </w:r>
    </w:p>
    <w:p w14:paraId="1654F3DA" w14:textId="77777777" w:rsidR="00E40B0E" w:rsidRPr="00980785" w:rsidRDefault="00E40B0E" w:rsidP="00290631">
      <w:pPr>
        <w:pStyle w:val="Header"/>
        <w:tabs>
          <w:tab w:val="left" w:pos="284"/>
        </w:tabs>
        <w:jc w:val="both"/>
        <w:rPr>
          <w:b/>
          <w:i/>
          <w:sz w:val="22"/>
          <w:szCs w:val="22"/>
          <w:u w:val="single"/>
          <w:lang w:val="sr-Latn-ME"/>
        </w:rPr>
      </w:pPr>
    </w:p>
    <w:p w14:paraId="541BAA51" w14:textId="40181201" w:rsidR="00E40B0E" w:rsidRPr="00980785" w:rsidRDefault="00E40B0E" w:rsidP="00290631">
      <w:pPr>
        <w:pStyle w:val="Header"/>
        <w:tabs>
          <w:tab w:val="left" w:pos="284"/>
        </w:tabs>
        <w:jc w:val="both"/>
        <w:rPr>
          <w:sz w:val="22"/>
          <w:szCs w:val="22"/>
          <w:lang w:val="sr-Latn-ME"/>
        </w:rPr>
      </w:pPr>
      <w:r w:rsidRPr="00980785">
        <w:rPr>
          <w:sz w:val="22"/>
          <w:szCs w:val="22"/>
          <w:lang w:val="sr-Latn-ME"/>
        </w:rPr>
        <w:t xml:space="preserve">Imunogenost vakcine </w:t>
      </w:r>
      <w:r w:rsidR="00677FAC" w:rsidRPr="00980785">
        <w:rPr>
          <w:sz w:val="22"/>
          <w:szCs w:val="22"/>
          <w:lang w:val="sr-Latn-ME"/>
        </w:rPr>
        <w:t>SYNFLORIX</w:t>
      </w:r>
      <w:r w:rsidRPr="00980785">
        <w:rPr>
          <w:sz w:val="22"/>
          <w:szCs w:val="22"/>
          <w:lang w:val="sr-Latn-ME"/>
        </w:rPr>
        <w:t xml:space="preserve"> je procjenjivana u kliničkom ispitivanju sprovedenom u Južnoj Africi nakon primarne imunizacije po šemi od 3 doze (6-10-14 nedjelja života) ili 2 doze (6-14 nedjelja života) praćene buster dozom vakcine sa 9-10 mjeseci života. Nakon primarne vakcinacije, procenat ispitanika za serotipe vakcine, koji dostižu graničnu vrijednost antitijela i sa OPA titrom ≥ 8 je bio sličan nakon šeme imunizacije sa 2 doze u poređenju sa 3 doze izuzev nižeg procenta OPA za serotip 14. Antitijela GMCs i OPA GMTs su bila niža nakon primarne imunizacije po šemi od 2 doze za većinu serotipova vakcine.</w:t>
      </w:r>
    </w:p>
    <w:p w14:paraId="76779105" w14:textId="77777777" w:rsidR="00DB137A" w:rsidRPr="00980785" w:rsidRDefault="00DB137A" w:rsidP="00290631">
      <w:pPr>
        <w:pStyle w:val="Header"/>
        <w:tabs>
          <w:tab w:val="left" w:pos="284"/>
        </w:tabs>
        <w:jc w:val="both"/>
        <w:rPr>
          <w:sz w:val="22"/>
          <w:szCs w:val="22"/>
          <w:lang w:val="sr-Latn-ME"/>
        </w:rPr>
      </w:pPr>
    </w:p>
    <w:p w14:paraId="4461C123" w14:textId="2A034684" w:rsidR="00E40B0E" w:rsidRPr="00980785" w:rsidRDefault="00E40B0E" w:rsidP="00290631">
      <w:pPr>
        <w:pStyle w:val="Header"/>
        <w:tabs>
          <w:tab w:val="left" w:pos="284"/>
        </w:tabs>
        <w:jc w:val="both"/>
        <w:rPr>
          <w:sz w:val="22"/>
          <w:szCs w:val="22"/>
          <w:lang w:val="sr-Latn-ME"/>
        </w:rPr>
      </w:pPr>
      <w:r w:rsidRPr="00980785">
        <w:rPr>
          <w:sz w:val="22"/>
          <w:szCs w:val="22"/>
          <w:lang w:val="sr-Latn-ME"/>
        </w:rPr>
        <w:t>Primijećeni su slični procenti ispitanika koji dostižu graničnu vrijednost antitijela i OPA titar ≥</w:t>
      </w:r>
      <w:r w:rsidR="00DB137A" w:rsidRPr="00980785">
        <w:rPr>
          <w:sz w:val="22"/>
          <w:szCs w:val="22"/>
          <w:lang w:val="sr-Latn-ME"/>
        </w:rPr>
        <w:t xml:space="preserve"> </w:t>
      </w:r>
      <w:r w:rsidRPr="00980785">
        <w:rPr>
          <w:sz w:val="22"/>
          <w:szCs w:val="22"/>
          <w:lang w:val="sr-Latn-ME"/>
        </w:rPr>
        <w:t>8 i primijećena su slična antitijela GMC i OPA GMT post-primarno u obje grupe za unakrsno-reaktivni serotip 19A. Generalno, prisustvo imunog odgovora prije buster doze je slabije u grupi sa primarnom imunizacijom po šemi od 2 doze u poređenju sa grupom sa 3 doze za većinu serotipova vakcine, i bilo je slično za serotip 19A.</w:t>
      </w:r>
    </w:p>
    <w:p w14:paraId="753B4224" w14:textId="77777777" w:rsidR="00E40B0E" w:rsidRPr="00980785" w:rsidRDefault="00E40B0E" w:rsidP="00290631">
      <w:pPr>
        <w:pStyle w:val="Header"/>
        <w:tabs>
          <w:tab w:val="left" w:pos="284"/>
        </w:tabs>
        <w:jc w:val="both"/>
        <w:rPr>
          <w:sz w:val="22"/>
          <w:szCs w:val="22"/>
          <w:lang w:val="sr-Latn-ME"/>
        </w:rPr>
      </w:pPr>
    </w:p>
    <w:p w14:paraId="7D654487" w14:textId="77777777" w:rsidR="00E40B0E" w:rsidRPr="00980785" w:rsidRDefault="00E40B0E" w:rsidP="00290631">
      <w:pPr>
        <w:pStyle w:val="Header"/>
        <w:tabs>
          <w:tab w:val="left" w:pos="284"/>
        </w:tabs>
        <w:jc w:val="both"/>
        <w:rPr>
          <w:i/>
          <w:sz w:val="22"/>
          <w:szCs w:val="22"/>
          <w:lang w:val="sr-Latn-ME"/>
        </w:rPr>
      </w:pPr>
      <w:r w:rsidRPr="00980785">
        <w:rPr>
          <w:i/>
          <w:sz w:val="22"/>
          <w:szCs w:val="22"/>
          <w:lang w:val="sr-Latn-ME"/>
        </w:rPr>
        <w:t>Buster doza vakcine sa 9-10 mjeseci života</w:t>
      </w:r>
    </w:p>
    <w:p w14:paraId="3102ED26" w14:textId="77777777" w:rsidR="00E40B0E" w:rsidRPr="00980785" w:rsidRDefault="00E40B0E" w:rsidP="00290631">
      <w:pPr>
        <w:pStyle w:val="Header"/>
        <w:tabs>
          <w:tab w:val="left" w:pos="284"/>
        </w:tabs>
        <w:jc w:val="both"/>
        <w:rPr>
          <w:sz w:val="22"/>
          <w:szCs w:val="22"/>
          <w:lang w:val="sr-Latn-ME"/>
        </w:rPr>
      </w:pPr>
    </w:p>
    <w:p w14:paraId="58509941" w14:textId="2E4F2319" w:rsidR="00E40B0E" w:rsidRPr="00980785" w:rsidRDefault="00E40B0E" w:rsidP="00290631">
      <w:pPr>
        <w:pStyle w:val="Header"/>
        <w:tabs>
          <w:tab w:val="left" w:pos="284"/>
        </w:tabs>
        <w:jc w:val="both"/>
        <w:rPr>
          <w:sz w:val="22"/>
          <w:szCs w:val="22"/>
          <w:lang w:val="sr-Latn-ME"/>
        </w:rPr>
      </w:pPr>
      <w:r w:rsidRPr="00980785">
        <w:rPr>
          <w:sz w:val="22"/>
          <w:szCs w:val="22"/>
          <w:lang w:val="sr-Latn-ME"/>
        </w:rPr>
        <w:t xml:space="preserve">U kliničkom ispitivanju sprovedenom u Južnoj Africi, buster doza vakcine primijenjena sa 9-10 mjeseci života je izazvala značajna povećanja GMCs i OPA GMTs antitijela za svaki serotip vakcine i serotip 19A u obje grupe sa šemama primarne imunizacije od 2 i 3 doze ukazujući na imunološki odgovor. </w:t>
      </w:r>
    </w:p>
    <w:p w14:paraId="27143346" w14:textId="77777777" w:rsidR="00E40B0E" w:rsidRPr="00980785" w:rsidRDefault="00E40B0E" w:rsidP="00290631">
      <w:pPr>
        <w:pStyle w:val="Header"/>
        <w:tabs>
          <w:tab w:val="left" w:pos="284"/>
        </w:tabs>
        <w:jc w:val="both"/>
        <w:rPr>
          <w:sz w:val="22"/>
          <w:szCs w:val="22"/>
          <w:lang w:val="sr-Latn-ME"/>
        </w:rPr>
      </w:pPr>
    </w:p>
    <w:p w14:paraId="4CFFC40B" w14:textId="77777777" w:rsidR="00E40B0E" w:rsidRPr="00980785" w:rsidRDefault="00E40B0E" w:rsidP="00290631">
      <w:pPr>
        <w:pStyle w:val="Header"/>
        <w:tabs>
          <w:tab w:val="left" w:pos="284"/>
        </w:tabs>
        <w:jc w:val="both"/>
        <w:rPr>
          <w:i/>
          <w:sz w:val="22"/>
          <w:szCs w:val="22"/>
          <w:lang w:val="sr-Latn-ME"/>
        </w:rPr>
      </w:pPr>
      <w:r w:rsidRPr="00980785">
        <w:rPr>
          <w:i/>
          <w:sz w:val="22"/>
          <w:szCs w:val="22"/>
          <w:lang w:val="sr-Latn-ME"/>
        </w:rPr>
        <w:t>Buster doza vakcine sa 9-12 mjeseci života u poređenju sa 15-18 mjeseci života</w:t>
      </w:r>
    </w:p>
    <w:p w14:paraId="0B10BC01" w14:textId="77777777" w:rsidR="00E40B0E" w:rsidRPr="00980785" w:rsidRDefault="00E40B0E" w:rsidP="00290631">
      <w:pPr>
        <w:pStyle w:val="Header"/>
        <w:tabs>
          <w:tab w:val="left" w:pos="284"/>
        </w:tabs>
        <w:jc w:val="both"/>
        <w:rPr>
          <w:sz w:val="22"/>
          <w:szCs w:val="22"/>
          <w:lang w:val="sr-Latn-ME"/>
        </w:rPr>
      </w:pPr>
    </w:p>
    <w:p w14:paraId="1C093C52" w14:textId="52A2E99A" w:rsidR="00E40B0E" w:rsidRPr="00980785" w:rsidRDefault="00E40B0E" w:rsidP="00290631">
      <w:pPr>
        <w:pStyle w:val="Header"/>
        <w:tabs>
          <w:tab w:val="left" w:pos="284"/>
        </w:tabs>
        <w:jc w:val="both"/>
        <w:rPr>
          <w:sz w:val="22"/>
          <w:szCs w:val="22"/>
          <w:lang w:val="sr-Latn-ME"/>
        </w:rPr>
      </w:pPr>
      <w:r w:rsidRPr="00980785">
        <w:rPr>
          <w:sz w:val="22"/>
          <w:szCs w:val="22"/>
          <w:lang w:val="sr-Latn-ME"/>
        </w:rPr>
        <w:t>U kliničkom ispitivanju sprovedenom u Indiji, procenjivana buster doza vakcine primenjena sa 9-12 ili 15-18 mjeseci života kod 66 i 71 djece, respektivno, nakon primarne imunizacije sa 6,</w:t>
      </w:r>
      <w:r w:rsidR="00DB137A" w:rsidRPr="00980785">
        <w:rPr>
          <w:sz w:val="22"/>
          <w:szCs w:val="22"/>
          <w:lang w:val="sr-Latn-ME"/>
        </w:rPr>
        <w:t xml:space="preserve"> </w:t>
      </w:r>
      <w:r w:rsidRPr="00980785">
        <w:rPr>
          <w:sz w:val="22"/>
          <w:szCs w:val="22"/>
          <w:lang w:val="sr-Latn-ME"/>
        </w:rPr>
        <w:t>10 i 14 nedjelja života, nije ukazala na razlike između grupa u pogledu antitijela GMCs. Primijećen je viši nivo OPA GMTs u grupi koja je primila buster dozu sa 15-18 mjeseci života za većinu serotipova vakcine i serotip 19A. Međutim, klinički značaj navedene opservacije nije poznat.</w:t>
      </w:r>
    </w:p>
    <w:p w14:paraId="295BD3FB" w14:textId="77777777" w:rsidR="00E40B0E" w:rsidRPr="00980785" w:rsidRDefault="00E40B0E" w:rsidP="00290631">
      <w:pPr>
        <w:pStyle w:val="Header"/>
        <w:tabs>
          <w:tab w:val="left" w:pos="284"/>
        </w:tabs>
        <w:jc w:val="both"/>
        <w:rPr>
          <w:b/>
          <w:i/>
          <w:sz w:val="22"/>
          <w:szCs w:val="22"/>
          <w:u w:val="single"/>
          <w:lang w:val="sr-Latn-ME"/>
        </w:rPr>
      </w:pPr>
    </w:p>
    <w:p w14:paraId="42E014E2" w14:textId="77777777" w:rsidR="00E40B0E" w:rsidRPr="00980785" w:rsidRDefault="00E40B0E" w:rsidP="00290631">
      <w:pPr>
        <w:pStyle w:val="Header"/>
        <w:tabs>
          <w:tab w:val="left" w:pos="284"/>
        </w:tabs>
        <w:jc w:val="both"/>
        <w:rPr>
          <w:i/>
          <w:sz w:val="22"/>
          <w:szCs w:val="22"/>
          <w:lang w:val="sr-Latn-ME"/>
        </w:rPr>
      </w:pPr>
      <w:r w:rsidRPr="00980785">
        <w:rPr>
          <w:i/>
          <w:sz w:val="22"/>
          <w:szCs w:val="22"/>
          <w:lang w:val="sr-Latn-ME"/>
        </w:rPr>
        <w:t xml:space="preserve">Imunološka memorija </w:t>
      </w:r>
    </w:p>
    <w:p w14:paraId="298DEDA2" w14:textId="77777777" w:rsidR="00E40B0E" w:rsidRPr="00980785" w:rsidRDefault="00E40B0E" w:rsidP="00290631">
      <w:pPr>
        <w:pStyle w:val="Header"/>
        <w:tabs>
          <w:tab w:val="left" w:pos="284"/>
        </w:tabs>
        <w:jc w:val="both"/>
        <w:rPr>
          <w:sz w:val="22"/>
          <w:szCs w:val="22"/>
          <w:lang w:val="sr-Latn-ME"/>
        </w:rPr>
      </w:pPr>
    </w:p>
    <w:p w14:paraId="44E216ED" w14:textId="5BA31ACA" w:rsidR="00E40B0E" w:rsidRPr="00980785" w:rsidRDefault="00E40B0E" w:rsidP="00290631">
      <w:pPr>
        <w:pStyle w:val="Header"/>
        <w:tabs>
          <w:tab w:val="left" w:pos="284"/>
        </w:tabs>
        <w:jc w:val="both"/>
        <w:rPr>
          <w:sz w:val="22"/>
          <w:szCs w:val="22"/>
          <w:lang w:val="sr-Latn-ME"/>
        </w:rPr>
      </w:pPr>
      <w:r w:rsidRPr="00980785">
        <w:rPr>
          <w:sz w:val="22"/>
          <w:szCs w:val="22"/>
          <w:lang w:val="sr-Latn-ME"/>
        </w:rPr>
        <w:t xml:space="preserve">Tokom praćenja evropskog kliničkog ispitivanja tokom koga se procjenjivala šema primarne vakcinacije od dvije doze i od tri doze, dokazana je postojanost antitijela kod osoba </w:t>
      </w:r>
      <w:r w:rsidR="00DB137A" w:rsidRPr="00980785">
        <w:rPr>
          <w:sz w:val="22"/>
          <w:szCs w:val="22"/>
          <w:lang w:val="sr-Latn-ME"/>
        </w:rPr>
        <w:t xml:space="preserve">uzrasta </w:t>
      </w:r>
      <w:r w:rsidRPr="00980785">
        <w:rPr>
          <w:sz w:val="22"/>
          <w:szCs w:val="22"/>
          <w:lang w:val="sr-Latn-ME"/>
        </w:rPr>
        <w:t>od 36</w:t>
      </w:r>
      <w:r w:rsidR="00DB137A" w:rsidRPr="00980785">
        <w:rPr>
          <w:sz w:val="22"/>
          <w:szCs w:val="22"/>
          <w:lang w:val="sr-Latn-ME"/>
        </w:rPr>
        <w:t xml:space="preserve"> do </w:t>
      </w:r>
      <w:r w:rsidRPr="00980785">
        <w:rPr>
          <w:sz w:val="22"/>
          <w:szCs w:val="22"/>
          <w:lang w:val="sr-Latn-ME"/>
        </w:rPr>
        <w:t xml:space="preserve">46 mjeseci </w:t>
      </w:r>
      <w:r w:rsidRPr="00980785">
        <w:rPr>
          <w:sz w:val="22"/>
          <w:szCs w:val="22"/>
          <w:lang w:val="sr-Latn-ME"/>
        </w:rPr>
        <w:lastRenderedPageBreak/>
        <w:t xml:space="preserve">života kod kojih je primarna imunizacija kompletirana po šemi od dvije doze i koji su primili buster dozu. Najmanje 83,7% osoba je bilo seropozitivno za serotipove koji se nalaze u vakcini i za unakrsno reaktivni serotip 19A. Kod osoba kod kojih je primarna imunizacija kompletirana po šemi od tri doze i koji su primili buster dozu, najmanje 96,5% osoba je bilo seropozitivno za serotipove koji se nalaze u vakcini i 86,4% za unakrsno reaktivni serotip 19A. Nakon pojedinačne doze vakcine </w:t>
      </w:r>
      <w:r w:rsidR="00677FAC" w:rsidRPr="00980785">
        <w:rPr>
          <w:sz w:val="22"/>
          <w:szCs w:val="22"/>
          <w:lang w:val="sr-Latn-ME"/>
        </w:rPr>
        <w:t>SYNFLORIX</w:t>
      </w:r>
      <w:r w:rsidRPr="00980785">
        <w:rPr>
          <w:sz w:val="22"/>
          <w:szCs w:val="22"/>
          <w:lang w:val="sr-Latn-ME"/>
        </w:rPr>
        <w:t>, primijenjene tokom četvrte godine života kao eksperimentalna doza, višestruko povećanje GMC antitijela  (ELISA) i OPA GMT, prije i nakon vakcinacije bilo je slično kod osoba kod kojih je primarna imunizacija kompletirana po šemi od 2 doze i osoba kod kojih je primarna imunizacija kompletirana po šemi od 3 doze. Navedeni rezultati pokazuju postojanje imunološke memorije nakon primarne imunizacije osoba za sve serotipove vakcine i unakrsno reaktivni serotip 19A.</w:t>
      </w:r>
    </w:p>
    <w:p w14:paraId="309648FB" w14:textId="77777777" w:rsidR="00E40B0E" w:rsidRPr="00980785" w:rsidRDefault="00E40B0E">
      <w:pPr>
        <w:pStyle w:val="Header"/>
        <w:tabs>
          <w:tab w:val="left" w:pos="284"/>
        </w:tabs>
        <w:jc w:val="both"/>
        <w:rPr>
          <w:sz w:val="22"/>
          <w:szCs w:val="22"/>
          <w:u w:val="single"/>
          <w:lang w:val="sr-Latn-ME"/>
        </w:rPr>
      </w:pPr>
    </w:p>
    <w:p w14:paraId="107A9895" w14:textId="79E18812" w:rsidR="00E40B0E" w:rsidRPr="00980785" w:rsidRDefault="00E40B0E">
      <w:pPr>
        <w:pStyle w:val="Header"/>
        <w:tabs>
          <w:tab w:val="left" w:pos="284"/>
        </w:tabs>
        <w:jc w:val="both"/>
        <w:rPr>
          <w:i/>
          <w:sz w:val="22"/>
          <w:szCs w:val="22"/>
          <w:lang w:val="sr-Latn-ME"/>
        </w:rPr>
      </w:pPr>
      <w:r w:rsidRPr="00980785">
        <w:rPr>
          <w:i/>
          <w:sz w:val="22"/>
          <w:szCs w:val="22"/>
          <w:lang w:val="sr-Latn-ME"/>
        </w:rPr>
        <w:t xml:space="preserve">Odojčad koja nijesu prethodno vakcinisana i djeca </w:t>
      </w:r>
      <w:r w:rsidR="00817840" w:rsidRPr="00980785">
        <w:rPr>
          <w:i/>
          <w:sz w:val="22"/>
          <w:szCs w:val="22"/>
          <w:lang w:val="sr-Latn-ME"/>
        </w:rPr>
        <w:t xml:space="preserve">uzrasta ≥ </w:t>
      </w:r>
      <w:r w:rsidRPr="00980785">
        <w:rPr>
          <w:i/>
          <w:sz w:val="22"/>
          <w:szCs w:val="22"/>
          <w:lang w:val="sr-Latn-ME"/>
        </w:rPr>
        <w:t>7 mjeseci</w:t>
      </w:r>
    </w:p>
    <w:p w14:paraId="4A3C45F9" w14:textId="77777777" w:rsidR="00E40B0E" w:rsidRPr="00980785" w:rsidRDefault="00E40B0E">
      <w:pPr>
        <w:pStyle w:val="Header"/>
        <w:tabs>
          <w:tab w:val="left" w:pos="284"/>
        </w:tabs>
        <w:jc w:val="both"/>
        <w:rPr>
          <w:sz w:val="22"/>
          <w:szCs w:val="22"/>
          <w:lang w:val="sr-Latn-ME"/>
        </w:rPr>
      </w:pPr>
    </w:p>
    <w:p w14:paraId="055543FE" w14:textId="77777777" w:rsidR="00E40B0E" w:rsidRPr="00980785" w:rsidRDefault="00E40B0E">
      <w:pPr>
        <w:pStyle w:val="Header"/>
        <w:tabs>
          <w:tab w:val="left" w:pos="284"/>
        </w:tabs>
        <w:jc w:val="both"/>
        <w:rPr>
          <w:sz w:val="22"/>
          <w:szCs w:val="22"/>
          <w:lang w:val="sr-Latn-ME"/>
        </w:rPr>
      </w:pPr>
      <w:r w:rsidRPr="00980785">
        <w:rPr>
          <w:sz w:val="22"/>
          <w:szCs w:val="22"/>
          <w:lang w:val="sr-Latn-ME"/>
        </w:rPr>
        <w:t xml:space="preserve">Imuni odgovor indukovan vakcinom </w:t>
      </w:r>
      <w:r w:rsidR="00677FAC" w:rsidRPr="00980785">
        <w:rPr>
          <w:sz w:val="22"/>
          <w:szCs w:val="22"/>
          <w:lang w:val="sr-Latn-ME"/>
        </w:rPr>
        <w:t>SYNFLORIX</w:t>
      </w:r>
      <w:r w:rsidRPr="00980785">
        <w:rPr>
          <w:sz w:val="22"/>
          <w:szCs w:val="22"/>
          <w:lang w:val="sr-Latn-ME"/>
        </w:rPr>
        <w:t xml:space="preserve"> kod starije djece koja prethodno nijesu vakcinisana procjenjivan je u dva klinička ispitivanja.</w:t>
      </w:r>
    </w:p>
    <w:p w14:paraId="331E1548" w14:textId="77777777" w:rsidR="00E40B0E" w:rsidRPr="00980785" w:rsidRDefault="00E40B0E">
      <w:pPr>
        <w:pStyle w:val="Header"/>
        <w:tabs>
          <w:tab w:val="left" w:pos="284"/>
        </w:tabs>
        <w:jc w:val="both"/>
        <w:rPr>
          <w:sz w:val="22"/>
          <w:szCs w:val="22"/>
          <w:lang w:val="sr-Latn-ME"/>
        </w:rPr>
      </w:pPr>
    </w:p>
    <w:p w14:paraId="242332DD" w14:textId="372C57E8" w:rsidR="00E40B0E" w:rsidRPr="00980785" w:rsidRDefault="00E40B0E">
      <w:pPr>
        <w:pStyle w:val="Header"/>
        <w:tabs>
          <w:tab w:val="left" w:pos="284"/>
        </w:tabs>
        <w:jc w:val="both"/>
        <w:rPr>
          <w:sz w:val="22"/>
          <w:szCs w:val="22"/>
          <w:lang w:val="sr-Latn-ME"/>
        </w:rPr>
      </w:pPr>
      <w:r w:rsidRPr="00980785">
        <w:rPr>
          <w:sz w:val="22"/>
          <w:szCs w:val="22"/>
          <w:lang w:val="sr-Latn-ME"/>
        </w:rPr>
        <w:t xml:space="preserve">U prvom kliničkom ispitivanju procjenjivan je imunološki odgovor na serotipove koji se nalaze u vakcini i unakrsno reaktivni serotip 19A kod djece uzrasta od </w:t>
      </w:r>
      <w:r w:rsidR="0056068B" w:rsidRPr="00980785">
        <w:rPr>
          <w:snapToGrid w:val="0"/>
          <w:sz w:val="22"/>
          <w:szCs w:val="22"/>
          <w:lang w:val="sr-Latn-ME"/>
        </w:rPr>
        <w:t>7</w:t>
      </w:r>
      <w:bookmarkStart w:id="0" w:name="_Hlk32927248"/>
      <w:r w:rsidR="00817840" w:rsidRPr="00980785">
        <w:rPr>
          <w:snapToGrid w:val="0"/>
          <w:sz w:val="22"/>
          <w:szCs w:val="22"/>
          <w:lang w:val="sr-Latn-ME"/>
        </w:rPr>
        <w:t xml:space="preserve"> do </w:t>
      </w:r>
      <w:bookmarkEnd w:id="0"/>
      <w:r w:rsidR="0056068B" w:rsidRPr="00980785">
        <w:rPr>
          <w:snapToGrid w:val="0"/>
          <w:sz w:val="22"/>
          <w:szCs w:val="22"/>
          <w:lang w:val="sr-Latn-ME"/>
        </w:rPr>
        <w:t xml:space="preserve">11 </w:t>
      </w:r>
      <w:r w:rsidRPr="00980785">
        <w:rPr>
          <w:sz w:val="22"/>
          <w:szCs w:val="22"/>
          <w:lang w:val="sr-Latn-ME"/>
        </w:rPr>
        <w:t>mjeseci, od 12</w:t>
      </w:r>
      <w:r w:rsidR="00817840" w:rsidRPr="00980785">
        <w:rPr>
          <w:snapToGrid w:val="0"/>
          <w:sz w:val="22"/>
          <w:szCs w:val="22"/>
          <w:lang w:val="sr-Latn-ME"/>
        </w:rPr>
        <w:t xml:space="preserve"> do </w:t>
      </w:r>
      <w:r w:rsidRPr="00980785">
        <w:rPr>
          <w:sz w:val="22"/>
          <w:szCs w:val="22"/>
          <w:lang w:val="sr-Latn-ME"/>
        </w:rPr>
        <w:t>23 mjeseca i od 2 do 5 godina.</w:t>
      </w:r>
    </w:p>
    <w:p w14:paraId="75631B9A" w14:textId="77777777" w:rsidR="00E40B0E" w:rsidRPr="00980785" w:rsidRDefault="00E40B0E">
      <w:pPr>
        <w:pStyle w:val="Header"/>
        <w:tabs>
          <w:tab w:val="left" w:pos="284"/>
        </w:tabs>
        <w:jc w:val="both"/>
        <w:rPr>
          <w:sz w:val="22"/>
          <w:szCs w:val="22"/>
          <w:lang w:val="sr-Latn-ME"/>
        </w:rPr>
      </w:pPr>
    </w:p>
    <w:p w14:paraId="7626E28C" w14:textId="3B30809F" w:rsidR="00E40B0E" w:rsidRPr="00980785" w:rsidRDefault="00E40B0E">
      <w:pPr>
        <w:numPr>
          <w:ilvl w:val="0"/>
          <w:numId w:val="16"/>
        </w:numPr>
        <w:tabs>
          <w:tab w:val="left" w:pos="567"/>
        </w:tabs>
        <w:ind w:left="1134" w:hanging="425"/>
        <w:jc w:val="both"/>
        <w:rPr>
          <w:snapToGrid w:val="0"/>
          <w:sz w:val="22"/>
          <w:szCs w:val="22"/>
          <w:lang w:val="sr-Latn-ME"/>
        </w:rPr>
      </w:pPr>
      <w:r w:rsidRPr="00980785">
        <w:rPr>
          <w:snapToGrid w:val="0"/>
          <w:sz w:val="22"/>
          <w:szCs w:val="22"/>
          <w:lang w:val="sr-Latn-ME"/>
        </w:rPr>
        <w:t>Djeca uzrasta od 7</w:t>
      </w:r>
      <w:r w:rsidR="00817840" w:rsidRPr="00980785">
        <w:rPr>
          <w:snapToGrid w:val="0"/>
          <w:sz w:val="22"/>
          <w:szCs w:val="22"/>
          <w:lang w:val="sr-Latn-ME"/>
        </w:rPr>
        <w:t xml:space="preserve"> do </w:t>
      </w:r>
      <w:r w:rsidRPr="00980785">
        <w:rPr>
          <w:snapToGrid w:val="0"/>
          <w:sz w:val="22"/>
          <w:szCs w:val="22"/>
          <w:lang w:val="sr-Latn-ME"/>
        </w:rPr>
        <w:t xml:space="preserve">11 mjeseci, primarna imunizacija je završena po šemi od 2 doze nakon čega je slijedila dodatna doza u drugoj godini života. Imunološki odgovor nakon dodatne doze </w:t>
      </w:r>
      <w:r w:rsidRPr="00980785">
        <w:rPr>
          <w:sz w:val="22"/>
          <w:szCs w:val="22"/>
          <w:lang w:val="sr-Latn-ME"/>
        </w:rPr>
        <w:t>u ovoj starosnoj grupi bio je opšte sličan onom primijećenom nakon dodatne doze</w:t>
      </w:r>
      <w:r w:rsidRPr="00980785">
        <w:rPr>
          <w:snapToGrid w:val="0"/>
          <w:sz w:val="22"/>
          <w:szCs w:val="22"/>
          <w:lang w:val="sr-Latn-ME"/>
        </w:rPr>
        <w:t xml:space="preserve"> kod odojčadi mlađe od 6 mjeseci koja su primila 3 primarne doze vakcine. </w:t>
      </w:r>
    </w:p>
    <w:p w14:paraId="4CCDFB96" w14:textId="33B7D6A3" w:rsidR="00E40B0E" w:rsidRPr="00980785" w:rsidRDefault="00E40B0E">
      <w:pPr>
        <w:numPr>
          <w:ilvl w:val="0"/>
          <w:numId w:val="16"/>
        </w:numPr>
        <w:tabs>
          <w:tab w:val="left" w:pos="567"/>
        </w:tabs>
        <w:ind w:left="1134" w:hanging="425"/>
        <w:jc w:val="both"/>
        <w:rPr>
          <w:snapToGrid w:val="0"/>
          <w:sz w:val="22"/>
          <w:szCs w:val="22"/>
          <w:lang w:val="sr-Latn-ME"/>
        </w:rPr>
      </w:pPr>
      <w:r w:rsidRPr="00980785">
        <w:rPr>
          <w:snapToGrid w:val="0"/>
          <w:sz w:val="22"/>
          <w:szCs w:val="22"/>
          <w:lang w:val="sr-Latn-ME"/>
        </w:rPr>
        <w:t>Kod djece uzrasta 12</w:t>
      </w:r>
      <w:r w:rsidR="0056068B" w:rsidRPr="00980785">
        <w:rPr>
          <w:snapToGrid w:val="0"/>
          <w:sz w:val="22"/>
          <w:szCs w:val="22"/>
          <w:lang w:val="sr-Latn-ME"/>
        </w:rPr>
        <w:t>–</w:t>
      </w:r>
      <w:r w:rsidRPr="00980785">
        <w:rPr>
          <w:snapToGrid w:val="0"/>
          <w:sz w:val="22"/>
          <w:szCs w:val="22"/>
          <w:lang w:val="sr-Latn-ME"/>
        </w:rPr>
        <w:t>23 mjeseca, imunološki odgovori postignuti nakon primarne imunizacije po šemi od dvije doze bili su uporedivi s</w:t>
      </w:r>
      <w:r w:rsidR="00817840" w:rsidRPr="00980785">
        <w:rPr>
          <w:snapToGrid w:val="0"/>
          <w:sz w:val="22"/>
          <w:szCs w:val="22"/>
          <w:lang w:val="sr-Latn-ME"/>
        </w:rPr>
        <w:t>a</w:t>
      </w:r>
      <w:r w:rsidRPr="00980785">
        <w:rPr>
          <w:snapToGrid w:val="0"/>
          <w:sz w:val="22"/>
          <w:szCs w:val="22"/>
          <w:lang w:val="sr-Latn-ME"/>
        </w:rPr>
        <w:t xml:space="preserve"> odgovorima nastalima nakon tri doze kod odojčadi mlađe od 6 mjeseci, osim za 18C i 19F </w:t>
      </w:r>
      <w:r w:rsidR="00817840" w:rsidRPr="00980785">
        <w:rPr>
          <w:snapToGrid w:val="0"/>
          <w:sz w:val="22"/>
          <w:szCs w:val="22"/>
          <w:lang w:val="sr-Latn-ME"/>
        </w:rPr>
        <w:t xml:space="preserve">kao i za serotip 19A </w:t>
      </w:r>
      <w:r w:rsidRPr="00980785">
        <w:rPr>
          <w:snapToGrid w:val="0"/>
          <w:sz w:val="22"/>
          <w:szCs w:val="22"/>
          <w:lang w:val="sr-Latn-ME"/>
        </w:rPr>
        <w:t>za koje su odgovori bili veći kod djece uzrasta od 12</w:t>
      </w:r>
      <w:r w:rsidR="00817840" w:rsidRPr="00980785">
        <w:rPr>
          <w:snapToGrid w:val="0"/>
          <w:sz w:val="22"/>
          <w:szCs w:val="22"/>
          <w:lang w:val="sr-Latn-ME"/>
        </w:rPr>
        <w:t xml:space="preserve"> do </w:t>
      </w:r>
      <w:r w:rsidRPr="00980785">
        <w:rPr>
          <w:snapToGrid w:val="0"/>
          <w:sz w:val="22"/>
          <w:szCs w:val="22"/>
          <w:lang w:val="sr-Latn-ME"/>
        </w:rPr>
        <w:t>23 mjeseci.</w:t>
      </w:r>
    </w:p>
    <w:p w14:paraId="15398488" w14:textId="77777777" w:rsidR="00E40B0E" w:rsidRPr="00980785" w:rsidRDefault="00E40B0E">
      <w:pPr>
        <w:numPr>
          <w:ilvl w:val="0"/>
          <w:numId w:val="16"/>
        </w:numPr>
        <w:tabs>
          <w:tab w:val="left" w:pos="567"/>
        </w:tabs>
        <w:ind w:left="1134" w:hanging="425"/>
        <w:jc w:val="both"/>
        <w:rPr>
          <w:bCs/>
          <w:sz w:val="22"/>
          <w:szCs w:val="22"/>
          <w:lang w:val="sr-Latn-ME"/>
        </w:rPr>
      </w:pPr>
      <w:r w:rsidRPr="00980785">
        <w:rPr>
          <w:bCs/>
          <w:sz w:val="22"/>
          <w:szCs w:val="22"/>
          <w:lang w:val="sr-Latn-ME"/>
        </w:rPr>
        <w:t>Kod djece uzrasta od 2 do 5 godina koja su primila 1 dozu, vrijednosti ELISA GMC antitijela za 6, kao i za serotip 19A, bile su slične koncentracijama dobijenim nakon vakcinacije odojčadi mlađe od 6 mjeseci po šemi od 3 doze, dok su za 4 od 10 serotipova sadržanih u vakcini (serotipovi 1, 5, 14 i 23F) bile niže nego koncentracije postignute nakon šeme vakcinacije odojčadi mlađe od 6 mjeseci sa 3 doze. OPA GMT su bili jednaki ili viši nakon jedne doze nego nakon primarne imunizacije odojčadi mlađe od 6 mjeseci s tri doze, osim za serotip 5.</w:t>
      </w:r>
    </w:p>
    <w:p w14:paraId="5A9E237B" w14:textId="77777777" w:rsidR="00E40B0E" w:rsidRPr="00980785" w:rsidRDefault="00E40B0E" w:rsidP="00290631">
      <w:pPr>
        <w:pStyle w:val="Header"/>
        <w:tabs>
          <w:tab w:val="left" w:pos="284"/>
        </w:tabs>
        <w:jc w:val="both"/>
        <w:rPr>
          <w:sz w:val="22"/>
          <w:szCs w:val="22"/>
          <w:lang w:val="sr-Latn-ME"/>
        </w:rPr>
      </w:pPr>
    </w:p>
    <w:p w14:paraId="7FC409DC" w14:textId="10E63100" w:rsidR="00E40B0E" w:rsidRPr="00980785" w:rsidRDefault="00E40B0E">
      <w:pPr>
        <w:jc w:val="both"/>
        <w:rPr>
          <w:bCs/>
          <w:sz w:val="22"/>
          <w:szCs w:val="22"/>
          <w:lang w:val="sr-Latn-ME"/>
        </w:rPr>
      </w:pPr>
      <w:r w:rsidRPr="00980785">
        <w:rPr>
          <w:bCs/>
          <w:sz w:val="22"/>
          <w:szCs w:val="22"/>
          <w:lang w:val="sr-Latn-ME"/>
        </w:rPr>
        <w:t>U drugom kliničkom ispitivanju, jedna doza primljena četiri mjeseca nakon dvije doze u sklopu naknadnog sprovođenja propuštene ili odložene uobičajene imunizacije kod uzrasta od 12</w:t>
      </w:r>
      <w:r w:rsidR="0056068B" w:rsidRPr="00980785">
        <w:rPr>
          <w:snapToGrid w:val="0"/>
          <w:sz w:val="22"/>
          <w:szCs w:val="22"/>
          <w:lang w:val="sr-Latn-ME"/>
        </w:rPr>
        <w:t>–</w:t>
      </w:r>
      <w:r w:rsidRPr="00980785">
        <w:rPr>
          <w:bCs/>
          <w:sz w:val="22"/>
          <w:szCs w:val="22"/>
          <w:lang w:val="sr-Latn-ME"/>
        </w:rPr>
        <w:t>20 mjeseci, dovela je do primjetnog povećanja ELISA GMC</w:t>
      </w:r>
      <w:r w:rsidRPr="00980785">
        <w:rPr>
          <w:bCs/>
          <w:sz w:val="22"/>
          <w:szCs w:val="22"/>
          <w:lang w:val="sr-Latn-ME"/>
        </w:rPr>
        <w:noBreakHyphen/>
        <w:t>a i OPA GMT</w:t>
      </w:r>
      <w:r w:rsidRPr="00980785">
        <w:rPr>
          <w:bCs/>
          <w:sz w:val="22"/>
          <w:szCs w:val="22"/>
          <w:lang w:val="sr-Latn-ME"/>
        </w:rPr>
        <w:noBreakHyphen/>
        <w:t>a (poređenjem odgovora prije i nakon posljednje doze), što pokazuje da dvije doze u sklopu naknadnog sprovođenja propuštene ili od</w:t>
      </w:r>
      <w:r w:rsidR="00817840" w:rsidRPr="00980785">
        <w:rPr>
          <w:bCs/>
          <w:sz w:val="22"/>
          <w:szCs w:val="22"/>
          <w:lang w:val="sr-Latn-ME"/>
        </w:rPr>
        <w:t>ložen</w:t>
      </w:r>
      <w:r w:rsidRPr="00980785">
        <w:rPr>
          <w:bCs/>
          <w:sz w:val="22"/>
          <w:szCs w:val="22"/>
          <w:lang w:val="sr-Latn-ME"/>
        </w:rPr>
        <w:t>e uobičajene imunizacije omogućavaju adekvatnu primarnu imunizaciju.</w:t>
      </w:r>
    </w:p>
    <w:p w14:paraId="1EBB3782" w14:textId="77777777" w:rsidR="00E40B0E" w:rsidRPr="00980785" w:rsidRDefault="00E40B0E">
      <w:pPr>
        <w:jc w:val="both"/>
        <w:rPr>
          <w:bCs/>
          <w:sz w:val="22"/>
          <w:szCs w:val="22"/>
          <w:lang w:val="sr-Latn-ME"/>
        </w:rPr>
      </w:pPr>
    </w:p>
    <w:p w14:paraId="0F4D3000" w14:textId="2D6BAA6B" w:rsidR="00E40B0E" w:rsidRPr="00980785" w:rsidRDefault="00E40B0E">
      <w:pPr>
        <w:jc w:val="both"/>
        <w:rPr>
          <w:bCs/>
          <w:sz w:val="22"/>
          <w:szCs w:val="22"/>
          <w:lang w:val="sr-Latn-ME"/>
        </w:rPr>
      </w:pPr>
      <w:r w:rsidRPr="00980785">
        <w:rPr>
          <w:bCs/>
          <w:sz w:val="22"/>
          <w:szCs w:val="22"/>
          <w:lang w:val="sr-Latn-ME"/>
        </w:rPr>
        <w:t>Treće kliničko ispitivanje je pokazalo da primjena 2 doze vakcine u razmaku od 2 mjeseca, a koja se započinje kod uzrasta od 36</w:t>
      </w:r>
      <w:r w:rsidR="00817840" w:rsidRPr="00980785">
        <w:rPr>
          <w:snapToGrid w:val="0"/>
          <w:sz w:val="22"/>
          <w:szCs w:val="22"/>
          <w:lang w:val="sr-Latn-ME"/>
        </w:rPr>
        <w:t xml:space="preserve"> do </w:t>
      </w:r>
      <w:r w:rsidRPr="00980785">
        <w:rPr>
          <w:bCs/>
          <w:sz w:val="22"/>
          <w:szCs w:val="22"/>
          <w:lang w:val="sr-Latn-ME"/>
        </w:rPr>
        <w:t>46 mjeseci, dovodi do viših vrijednosti ELISA GMC antitijela, kao i OPA GMT za svaki serotip sadržan u vakcini i unakrsno reaktivni serotip 19A, u odnosu na vrijednosti primijećene jedan mjesec nakon primarne imunizacije sa tri doze. Udio ispitanika s ELISA izmjerenom koncentracijom antitijela ≥</w:t>
      </w:r>
      <w:r w:rsidR="00817840" w:rsidRPr="00980785">
        <w:rPr>
          <w:bCs/>
          <w:sz w:val="22"/>
          <w:szCs w:val="22"/>
          <w:lang w:val="sr-Latn-ME"/>
        </w:rPr>
        <w:t xml:space="preserve"> </w:t>
      </w:r>
      <w:r w:rsidRPr="00980785">
        <w:rPr>
          <w:bCs/>
          <w:sz w:val="22"/>
          <w:szCs w:val="22"/>
          <w:lang w:val="sr-Latn-ME"/>
        </w:rPr>
        <w:t>0,20 µg/ml ili OPA titrom ≥</w:t>
      </w:r>
      <w:r w:rsidR="00817840" w:rsidRPr="00980785">
        <w:rPr>
          <w:bCs/>
          <w:sz w:val="22"/>
          <w:szCs w:val="22"/>
          <w:lang w:val="sr-Latn-ME"/>
        </w:rPr>
        <w:t xml:space="preserve"> </w:t>
      </w:r>
      <w:r w:rsidRPr="00980785">
        <w:rPr>
          <w:bCs/>
          <w:sz w:val="22"/>
          <w:szCs w:val="22"/>
          <w:lang w:val="sr-Latn-ME"/>
        </w:rPr>
        <w:t>8 za svaki serotip iz vakcine bio je sličan ili viši u grupi koja se vakcinisala nakon naknadnog sprovođenja propuštene ili odložene uobičajene imunizacije nego kod odojčadi primarno vakcinisanih sa tri doze.</w:t>
      </w:r>
    </w:p>
    <w:p w14:paraId="1F372534" w14:textId="77777777" w:rsidR="00E40B0E" w:rsidRPr="00980785" w:rsidRDefault="00E40B0E">
      <w:pPr>
        <w:pStyle w:val="Header"/>
        <w:tabs>
          <w:tab w:val="left" w:pos="284"/>
        </w:tabs>
        <w:jc w:val="both"/>
        <w:rPr>
          <w:sz w:val="22"/>
          <w:szCs w:val="22"/>
          <w:lang w:val="sr-Latn-ME"/>
        </w:rPr>
      </w:pPr>
    </w:p>
    <w:p w14:paraId="219AEE05" w14:textId="77777777" w:rsidR="00E40B0E" w:rsidRPr="00980785" w:rsidRDefault="00E40B0E">
      <w:pPr>
        <w:pStyle w:val="Header"/>
        <w:tabs>
          <w:tab w:val="left" w:pos="284"/>
        </w:tabs>
        <w:jc w:val="both"/>
        <w:rPr>
          <w:sz w:val="22"/>
          <w:szCs w:val="22"/>
          <w:lang w:val="sr-Latn-ME"/>
        </w:rPr>
      </w:pPr>
      <w:r w:rsidRPr="00980785">
        <w:rPr>
          <w:sz w:val="22"/>
          <w:szCs w:val="22"/>
          <w:lang w:val="sr-Latn-ME"/>
        </w:rPr>
        <w:t>Dugotrajno prisustvo antitijela nije ispitivano nakon primarne imunizacije kod odojčadi kod koje je primijenjena i buster doza ili nakon primarne vakcinacije po šemi od 2 doze kod starije djece.</w:t>
      </w:r>
    </w:p>
    <w:p w14:paraId="476171A5" w14:textId="77777777" w:rsidR="00E40B0E" w:rsidRPr="00980785" w:rsidRDefault="00E40B0E">
      <w:pPr>
        <w:tabs>
          <w:tab w:val="left" w:pos="540"/>
          <w:tab w:val="left" w:pos="569"/>
        </w:tabs>
        <w:jc w:val="both"/>
        <w:rPr>
          <w:sz w:val="22"/>
          <w:szCs w:val="22"/>
          <w:lang w:val="sr-Latn-ME"/>
        </w:rPr>
      </w:pPr>
    </w:p>
    <w:p w14:paraId="0051B4CA" w14:textId="77777777" w:rsidR="00E40B0E" w:rsidRPr="00980785" w:rsidRDefault="00E40B0E">
      <w:pPr>
        <w:tabs>
          <w:tab w:val="left" w:pos="540"/>
          <w:tab w:val="left" w:pos="569"/>
        </w:tabs>
        <w:jc w:val="both"/>
        <w:rPr>
          <w:sz w:val="22"/>
          <w:szCs w:val="22"/>
          <w:lang w:val="sr-Latn-ME"/>
        </w:rPr>
      </w:pPr>
      <w:r w:rsidRPr="00980785">
        <w:rPr>
          <w:sz w:val="22"/>
          <w:szCs w:val="22"/>
          <w:lang w:val="sr-Latn-ME"/>
        </w:rPr>
        <w:t xml:space="preserve">U jednoj kliničkoj studiji je dokazano da se vakcina </w:t>
      </w:r>
      <w:r w:rsidR="00677FAC" w:rsidRPr="00980785">
        <w:rPr>
          <w:sz w:val="22"/>
          <w:szCs w:val="22"/>
          <w:lang w:val="sr-Latn-ME"/>
        </w:rPr>
        <w:t>SYNFLORIX</w:t>
      </w:r>
      <w:r w:rsidRPr="00980785">
        <w:rPr>
          <w:sz w:val="22"/>
          <w:szCs w:val="22"/>
          <w:lang w:val="sr-Latn-ME"/>
        </w:rPr>
        <w:t xml:space="preserve"> može bezbjedno primijeniti kao buster doza u drugoj godini života kod djece kod koje je primarna vakcinacija kompletirana po šemi od 3 doze sa vakcinom Prevenar. Ovim ispitivanjem je dokazano da je imuni odgovor za 7 zajedničkih serotipova bio komparabilan sa onima dobijenim nakon primjene buster doze sedmovalentne vakcine </w:t>
      </w:r>
      <w:r w:rsidRPr="00980785">
        <w:rPr>
          <w:sz w:val="22"/>
          <w:szCs w:val="22"/>
          <w:lang w:val="sr-Latn-ME"/>
        </w:rPr>
        <w:lastRenderedPageBreak/>
        <w:t xml:space="preserve">Prevenar. Međutim, djeca kod koje je primarna vakcinacija kompletirana vakcinom Prevenar neće biti zaštićena od dodatnih serotipova koje sadrži vakcina </w:t>
      </w:r>
      <w:r w:rsidR="00677FAC" w:rsidRPr="00980785">
        <w:rPr>
          <w:sz w:val="22"/>
          <w:szCs w:val="22"/>
          <w:lang w:val="sr-Latn-ME"/>
        </w:rPr>
        <w:t>SYNFLORIX</w:t>
      </w:r>
      <w:r w:rsidRPr="00980785">
        <w:rPr>
          <w:sz w:val="22"/>
          <w:szCs w:val="22"/>
          <w:lang w:val="sr-Latn-ME"/>
        </w:rPr>
        <w:t xml:space="preserve"> (1, 5, 7F). Stoga se ne može predvidjeti stepen i trajanje zaštite protiv invazivnog pneumokoknog oboljenja i otitis media čiji su izazivači navedena tri serotipa, kod djece ove starosne grupe, nakon primjene jedne doze vakcine </w:t>
      </w:r>
      <w:r w:rsidR="00677FAC" w:rsidRPr="00980785">
        <w:rPr>
          <w:sz w:val="22"/>
          <w:szCs w:val="22"/>
          <w:lang w:val="sr-Latn-ME"/>
        </w:rPr>
        <w:t>SYNFLORIX</w:t>
      </w:r>
      <w:r w:rsidRPr="00980785">
        <w:rPr>
          <w:sz w:val="22"/>
          <w:szCs w:val="22"/>
          <w:lang w:val="sr-Latn-ME"/>
        </w:rPr>
        <w:t>.</w:t>
      </w:r>
    </w:p>
    <w:p w14:paraId="599167CC" w14:textId="77777777" w:rsidR="00E40B0E" w:rsidRPr="00980785" w:rsidRDefault="00E40B0E">
      <w:pPr>
        <w:tabs>
          <w:tab w:val="left" w:pos="540"/>
          <w:tab w:val="left" w:pos="569"/>
        </w:tabs>
        <w:jc w:val="both"/>
        <w:rPr>
          <w:sz w:val="22"/>
          <w:szCs w:val="22"/>
          <w:lang w:val="sr-Latn-ME"/>
        </w:rPr>
      </w:pPr>
    </w:p>
    <w:p w14:paraId="3A47E2B7" w14:textId="13CA5E33" w:rsidR="00E40B0E" w:rsidRPr="00980785" w:rsidRDefault="00E40B0E">
      <w:pPr>
        <w:pStyle w:val="Header"/>
        <w:tabs>
          <w:tab w:val="left" w:pos="284"/>
        </w:tabs>
        <w:jc w:val="both"/>
        <w:rPr>
          <w:i/>
          <w:sz w:val="22"/>
          <w:szCs w:val="22"/>
          <w:u w:val="single"/>
          <w:lang w:val="sr-Latn-ME"/>
        </w:rPr>
      </w:pPr>
      <w:r w:rsidRPr="00980785">
        <w:rPr>
          <w:i/>
          <w:sz w:val="22"/>
          <w:szCs w:val="22"/>
          <w:u w:val="single"/>
          <w:lang w:val="sr-Latn-ME"/>
        </w:rPr>
        <w:t xml:space="preserve">Podaci o imunogenosti kod prijevremeno </w:t>
      </w:r>
      <w:r w:rsidR="00817840" w:rsidRPr="00980785">
        <w:rPr>
          <w:i/>
          <w:sz w:val="22"/>
          <w:szCs w:val="22"/>
          <w:u w:val="single"/>
          <w:lang w:val="sr-Latn-ME"/>
        </w:rPr>
        <w:t>rođene odojčadi</w:t>
      </w:r>
    </w:p>
    <w:p w14:paraId="72D15407" w14:textId="77777777" w:rsidR="00E40B0E" w:rsidRPr="00980785" w:rsidRDefault="00E40B0E">
      <w:pPr>
        <w:pStyle w:val="Header"/>
        <w:tabs>
          <w:tab w:val="left" w:pos="284"/>
        </w:tabs>
        <w:jc w:val="both"/>
        <w:rPr>
          <w:b/>
          <w:i/>
          <w:sz w:val="22"/>
          <w:szCs w:val="22"/>
          <w:u w:val="single"/>
          <w:lang w:val="sr-Latn-ME"/>
        </w:rPr>
      </w:pPr>
    </w:p>
    <w:p w14:paraId="639190AB" w14:textId="477A63BD" w:rsidR="00E40B0E" w:rsidRPr="00980785" w:rsidRDefault="00E40B0E">
      <w:pPr>
        <w:pStyle w:val="Header"/>
        <w:tabs>
          <w:tab w:val="left" w:pos="284"/>
        </w:tabs>
        <w:jc w:val="both"/>
        <w:rPr>
          <w:sz w:val="22"/>
          <w:szCs w:val="22"/>
          <w:lang w:val="sr-Latn-ME"/>
        </w:rPr>
      </w:pPr>
      <w:r w:rsidRPr="00980785">
        <w:rPr>
          <w:sz w:val="22"/>
          <w:szCs w:val="22"/>
          <w:lang w:val="sr-Latn-ME"/>
        </w:rPr>
        <w:t xml:space="preserve">Imunogenost vakcine </w:t>
      </w:r>
      <w:r w:rsidR="00677FAC" w:rsidRPr="00980785">
        <w:rPr>
          <w:sz w:val="22"/>
          <w:szCs w:val="22"/>
          <w:lang w:val="sr-Latn-ME"/>
        </w:rPr>
        <w:t>SYNFLORIX</w:t>
      </w:r>
      <w:r w:rsidRPr="00980785">
        <w:rPr>
          <w:sz w:val="22"/>
          <w:szCs w:val="22"/>
          <w:lang w:val="sr-Latn-ME"/>
        </w:rPr>
        <w:t>, kod</w:t>
      </w:r>
      <w:r w:rsidR="00F5753E" w:rsidRPr="00980785">
        <w:rPr>
          <w:sz w:val="22"/>
          <w:szCs w:val="22"/>
          <w:lang w:val="sr-Latn-ME"/>
        </w:rPr>
        <w:t xml:space="preserve"> znatno</w:t>
      </w:r>
      <w:r w:rsidRPr="00980785">
        <w:rPr>
          <w:sz w:val="22"/>
          <w:szCs w:val="22"/>
          <w:lang w:val="sr-Latn-ME"/>
        </w:rPr>
        <w:t xml:space="preserve"> prijevremeno rođen</w:t>
      </w:r>
      <w:r w:rsidR="00817840" w:rsidRPr="00980785">
        <w:rPr>
          <w:sz w:val="22"/>
          <w:szCs w:val="22"/>
          <w:lang w:val="sr-Latn-ME"/>
        </w:rPr>
        <w:t>e odojčadi</w:t>
      </w:r>
      <w:r w:rsidRPr="00980785">
        <w:rPr>
          <w:sz w:val="22"/>
          <w:szCs w:val="22"/>
          <w:lang w:val="sr-Latn-ME"/>
        </w:rPr>
        <w:t xml:space="preserve"> (rođen</w:t>
      </w:r>
      <w:r w:rsidR="00817840" w:rsidRPr="00980785">
        <w:rPr>
          <w:sz w:val="22"/>
          <w:szCs w:val="22"/>
          <w:lang w:val="sr-Latn-ME"/>
        </w:rPr>
        <w:t>e</w:t>
      </w:r>
      <w:r w:rsidRPr="00980785">
        <w:rPr>
          <w:sz w:val="22"/>
          <w:szCs w:val="22"/>
          <w:lang w:val="sr-Latn-ME"/>
        </w:rPr>
        <w:t xml:space="preserve"> između 27</w:t>
      </w:r>
      <w:r w:rsidR="00817840" w:rsidRPr="00980785">
        <w:rPr>
          <w:sz w:val="22"/>
          <w:szCs w:val="22"/>
          <w:lang w:val="sr-Latn-ME"/>
        </w:rPr>
        <w:t>.</w:t>
      </w:r>
      <w:r w:rsidRPr="00980785">
        <w:rPr>
          <w:sz w:val="22"/>
          <w:szCs w:val="22"/>
          <w:lang w:val="sr-Latn-ME"/>
        </w:rPr>
        <w:t xml:space="preserve"> i 30</w:t>
      </w:r>
      <w:r w:rsidR="00817840" w:rsidRPr="00980785">
        <w:rPr>
          <w:sz w:val="22"/>
          <w:szCs w:val="22"/>
          <w:lang w:val="sr-Latn-ME"/>
        </w:rPr>
        <w:t>.</w:t>
      </w:r>
      <w:r w:rsidRPr="00980785">
        <w:rPr>
          <w:sz w:val="22"/>
          <w:szCs w:val="22"/>
          <w:lang w:val="sr-Latn-ME"/>
        </w:rPr>
        <w:t xml:space="preserve"> gestacion</w:t>
      </w:r>
      <w:r w:rsidR="00817840" w:rsidRPr="00980785">
        <w:rPr>
          <w:sz w:val="22"/>
          <w:szCs w:val="22"/>
          <w:lang w:val="sr-Latn-ME"/>
        </w:rPr>
        <w:t>e</w:t>
      </w:r>
      <w:r w:rsidRPr="00980785">
        <w:rPr>
          <w:sz w:val="22"/>
          <w:szCs w:val="22"/>
          <w:lang w:val="sr-Latn-ME"/>
        </w:rPr>
        <w:t xml:space="preserve"> nedjelj</w:t>
      </w:r>
      <w:r w:rsidR="00817840" w:rsidRPr="00980785">
        <w:rPr>
          <w:sz w:val="22"/>
          <w:szCs w:val="22"/>
          <w:lang w:val="sr-Latn-ME"/>
        </w:rPr>
        <w:t>e</w:t>
      </w:r>
      <w:r w:rsidRPr="00980785">
        <w:rPr>
          <w:sz w:val="22"/>
          <w:szCs w:val="22"/>
          <w:lang w:val="sr-Latn-ME"/>
        </w:rPr>
        <w:t>) (N=42), prijevremeno rođen</w:t>
      </w:r>
      <w:r w:rsidR="00817840" w:rsidRPr="00980785">
        <w:rPr>
          <w:sz w:val="22"/>
          <w:szCs w:val="22"/>
          <w:lang w:val="sr-Latn-ME"/>
        </w:rPr>
        <w:t>e odojčadi</w:t>
      </w:r>
      <w:r w:rsidRPr="00980785">
        <w:rPr>
          <w:sz w:val="22"/>
          <w:szCs w:val="22"/>
          <w:lang w:val="sr-Latn-ME"/>
        </w:rPr>
        <w:t xml:space="preserve"> (rođen</w:t>
      </w:r>
      <w:r w:rsidR="00817840" w:rsidRPr="00980785">
        <w:rPr>
          <w:sz w:val="22"/>
          <w:szCs w:val="22"/>
          <w:lang w:val="sr-Latn-ME"/>
        </w:rPr>
        <w:t>e</w:t>
      </w:r>
      <w:r w:rsidRPr="00980785">
        <w:rPr>
          <w:sz w:val="22"/>
          <w:szCs w:val="22"/>
          <w:lang w:val="sr-Latn-ME"/>
        </w:rPr>
        <w:t xml:space="preserve"> između 31</w:t>
      </w:r>
      <w:r w:rsidR="00817840" w:rsidRPr="00980785">
        <w:rPr>
          <w:sz w:val="22"/>
          <w:szCs w:val="22"/>
          <w:lang w:val="sr-Latn-ME"/>
        </w:rPr>
        <w:t>.</w:t>
      </w:r>
      <w:r w:rsidRPr="00980785">
        <w:rPr>
          <w:sz w:val="22"/>
          <w:szCs w:val="22"/>
          <w:lang w:val="sr-Latn-ME"/>
        </w:rPr>
        <w:t xml:space="preserve"> i 36</w:t>
      </w:r>
      <w:r w:rsidR="00817840" w:rsidRPr="00980785">
        <w:rPr>
          <w:sz w:val="22"/>
          <w:szCs w:val="22"/>
          <w:lang w:val="sr-Latn-ME"/>
        </w:rPr>
        <w:t>.</w:t>
      </w:r>
      <w:r w:rsidRPr="00980785">
        <w:rPr>
          <w:sz w:val="22"/>
          <w:szCs w:val="22"/>
          <w:lang w:val="sr-Latn-ME"/>
        </w:rPr>
        <w:t xml:space="preserve"> gestacion</w:t>
      </w:r>
      <w:r w:rsidR="00817840" w:rsidRPr="00980785">
        <w:rPr>
          <w:sz w:val="22"/>
          <w:szCs w:val="22"/>
          <w:lang w:val="sr-Latn-ME"/>
        </w:rPr>
        <w:t>e</w:t>
      </w:r>
      <w:r w:rsidRPr="00980785">
        <w:rPr>
          <w:sz w:val="22"/>
          <w:szCs w:val="22"/>
          <w:lang w:val="sr-Latn-ME"/>
        </w:rPr>
        <w:t xml:space="preserve"> nedjelj</w:t>
      </w:r>
      <w:r w:rsidR="00817840" w:rsidRPr="00980785">
        <w:rPr>
          <w:sz w:val="22"/>
          <w:szCs w:val="22"/>
          <w:lang w:val="sr-Latn-ME"/>
        </w:rPr>
        <w:t>e</w:t>
      </w:r>
      <w:r w:rsidRPr="00980785">
        <w:rPr>
          <w:sz w:val="22"/>
          <w:szCs w:val="22"/>
          <w:lang w:val="sr-Latn-ME"/>
        </w:rPr>
        <w:t xml:space="preserve">) (N=82) i </w:t>
      </w:r>
      <w:r w:rsidR="00817840" w:rsidRPr="00980785">
        <w:rPr>
          <w:sz w:val="22"/>
          <w:szCs w:val="22"/>
          <w:lang w:val="sr-Latn-ME"/>
        </w:rPr>
        <w:t>odojčadi</w:t>
      </w:r>
      <w:r w:rsidRPr="00980785">
        <w:rPr>
          <w:sz w:val="22"/>
          <w:szCs w:val="22"/>
          <w:lang w:val="sr-Latn-ME"/>
        </w:rPr>
        <w:t xml:space="preserve"> rođen</w:t>
      </w:r>
      <w:r w:rsidR="00817840" w:rsidRPr="00980785">
        <w:rPr>
          <w:sz w:val="22"/>
          <w:szCs w:val="22"/>
          <w:lang w:val="sr-Latn-ME"/>
        </w:rPr>
        <w:t>e</w:t>
      </w:r>
      <w:r w:rsidRPr="00980785">
        <w:rPr>
          <w:sz w:val="22"/>
          <w:szCs w:val="22"/>
          <w:lang w:val="sr-Latn-ME"/>
        </w:rPr>
        <w:t xml:space="preserve"> u terminu (rođen</w:t>
      </w:r>
      <w:r w:rsidR="00817840" w:rsidRPr="00980785">
        <w:rPr>
          <w:sz w:val="22"/>
          <w:szCs w:val="22"/>
          <w:lang w:val="sr-Latn-ME"/>
        </w:rPr>
        <w:t>e</w:t>
      </w:r>
      <w:r w:rsidRPr="00980785">
        <w:rPr>
          <w:sz w:val="22"/>
          <w:szCs w:val="22"/>
          <w:lang w:val="sr-Latn-ME"/>
        </w:rPr>
        <w:t xml:space="preserve"> poslije 36</w:t>
      </w:r>
      <w:r w:rsidR="00817840" w:rsidRPr="00980785">
        <w:rPr>
          <w:sz w:val="22"/>
          <w:szCs w:val="22"/>
          <w:lang w:val="sr-Latn-ME"/>
        </w:rPr>
        <w:t>.</w:t>
      </w:r>
      <w:r w:rsidRPr="00980785">
        <w:rPr>
          <w:sz w:val="22"/>
          <w:szCs w:val="22"/>
          <w:lang w:val="sr-Latn-ME"/>
        </w:rPr>
        <w:t xml:space="preserve"> gestacion</w:t>
      </w:r>
      <w:r w:rsidR="00817840" w:rsidRPr="00980785">
        <w:rPr>
          <w:sz w:val="22"/>
          <w:szCs w:val="22"/>
          <w:lang w:val="sr-Latn-ME"/>
        </w:rPr>
        <w:t>e</w:t>
      </w:r>
      <w:r w:rsidRPr="00980785">
        <w:rPr>
          <w:sz w:val="22"/>
          <w:szCs w:val="22"/>
          <w:lang w:val="sr-Latn-ME"/>
        </w:rPr>
        <w:t xml:space="preserve"> nedjelj</w:t>
      </w:r>
      <w:r w:rsidR="00817840" w:rsidRPr="00980785">
        <w:rPr>
          <w:sz w:val="22"/>
          <w:szCs w:val="22"/>
          <w:lang w:val="sr-Latn-ME"/>
        </w:rPr>
        <w:t>e</w:t>
      </w:r>
      <w:r w:rsidRPr="00980785">
        <w:rPr>
          <w:sz w:val="22"/>
          <w:szCs w:val="22"/>
          <w:lang w:val="sr-Latn-ME"/>
        </w:rPr>
        <w:t xml:space="preserve">) (N=132), procjenjivana je po završetku primarne imunizacije po šemi od tri doze, primijenjene sa 2, 4 i 6 mjeseci života. Imunogenost je procjenjivana kod 44 </w:t>
      </w:r>
      <w:r w:rsidR="00F5753E" w:rsidRPr="00980785">
        <w:rPr>
          <w:sz w:val="22"/>
          <w:szCs w:val="22"/>
          <w:lang w:val="sr-Latn-ME"/>
        </w:rPr>
        <w:t xml:space="preserve">znatno </w:t>
      </w:r>
      <w:r w:rsidRPr="00980785">
        <w:rPr>
          <w:sz w:val="22"/>
          <w:szCs w:val="22"/>
          <w:lang w:val="sr-Latn-ME"/>
        </w:rPr>
        <w:t>prijevremeno rođen</w:t>
      </w:r>
      <w:r w:rsidR="00817840" w:rsidRPr="00980785">
        <w:rPr>
          <w:sz w:val="22"/>
          <w:szCs w:val="22"/>
          <w:lang w:val="sr-Latn-ME"/>
        </w:rPr>
        <w:t>a odojčeta</w:t>
      </w:r>
      <w:r w:rsidRPr="00980785">
        <w:rPr>
          <w:sz w:val="22"/>
          <w:szCs w:val="22"/>
          <w:lang w:val="sr-Latn-ME"/>
        </w:rPr>
        <w:t>, 69 prijevremeno rođen</w:t>
      </w:r>
      <w:r w:rsidR="00F5753E" w:rsidRPr="00980785">
        <w:rPr>
          <w:sz w:val="22"/>
          <w:szCs w:val="22"/>
          <w:lang w:val="sr-Latn-ME"/>
        </w:rPr>
        <w:t>a odojčet</w:t>
      </w:r>
      <w:r w:rsidRPr="00980785">
        <w:rPr>
          <w:sz w:val="22"/>
          <w:szCs w:val="22"/>
          <w:lang w:val="sr-Latn-ME"/>
        </w:rPr>
        <w:t xml:space="preserve">a i 127 </w:t>
      </w:r>
      <w:r w:rsidR="00F5753E" w:rsidRPr="00980785">
        <w:rPr>
          <w:sz w:val="22"/>
          <w:szCs w:val="22"/>
          <w:lang w:val="sr-Latn-ME"/>
        </w:rPr>
        <w:t>odojčadi</w:t>
      </w:r>
      <w:r w:rsidRPr="00980785">
        <w:rPr>
          <w:sz w:val="22"/>
          <w:szCs w:val="22"/>
          <w:lang w:val="sr-Latn-ME"/>
        </w:rPr>
        <w:t xml:space="preserve"> rođenih u terminu nakon primjene četvrte doze (buster doza) između 15 i 18 mjeseci života.</w:t>
      </w:r>
    </w:p>
    <w:p w14:paraId="6267E156" w14:textId="77777777" w:rsidR="00E40B0E" w:rsidRPr="00980785" w:rsidRDefault="00E40B0E">
      <w:pPr>
        <w:pStyle w:val="Header"/>
        <w:tabs>
          <w:tab w:val="left" w:pos="284"/>
        </w:tabs>
        <w:jc w:val="both"/>
        <w:rPr>
          <w:sz w:val="22"/>
          <w:szCs w:val="22"/>
          <w:lang w:val="sr-Latn-ME"/>
        </w:rPr>
      </w:pPr>
    </w:p>
    <w:p w14:paraId="463C8BB0" w14:textId="24E94E38" w:rsidR="00E40B0E" w:rsidRPr="00980785" w:rsidRDefault="00E40B0E">
      <w:pPr>
        <w:pStyle w:val="Header"/>
        <w:tabs>
          <w:tab w:val="left" w:pos="284"/>
        </w:tabs>
        <w:jc w:val="both"/>
        <w:rPr>
          <w:sz w:val="22"/>
          <w:szCs w:val="22"/>
          <w:lang w:val="sr-Latn-ME"/>
        </w:rPr>
      </w:pPr>
      <w:r w:rsidRPr="00980785">
        <w:rPr>
          <w:sz w:val="22"/>
          <w:szCs w:val="22"/>
          <w:lang w:val="sr-Latn-ME"/>
        </w:rPr>
        <w:t>Mjesec dana po kompletiranju primarne imunizacije (nakon 3. doze) za svaki serotip koji se nalazi u vakcini, kod najmanje 92.7% osoba postignuta je koncentracija antitijela ≥</w:t>
      </w:r>
      <w:r w:rsidR="00F5753E" w:rsidRPr="00980785">
        <w:rPr>
          <w:sz w:val="22"/>
          <w:szCs w:val="22"/>
          <w:lang w:val="sr-Latn-ME"/>
        </w:rPr>
        <w:t xml:space="preserve"> </w:t>
      </w:r>
      <w:r w:rsidRPr="00980785">
        <w:rPr>
          <w:sz w:val="22"/>
          <w:szCs w:val="22"/>
          <w:lang w:val="sr-Latn-ME"/>
        </w:rPr>
        <w:t>0,20µg/ml (ELISA) i najmanje 81,7%  je dostiglo OPA titar ≥</w:t>
      </w:r>
      <w:r w:rsidR="00F5753E" w:rsidRPr="00980785">
        <w:rPr>
          <w:sz w:val="22"/>
          <w:szCs w:val="22"/>
          <w:lang w:val="sr-Latn-ME"/>
        </w:rPr>
        <w:t xml:space="preserve"> </w:t>
      </w:r>
      <w:r w:rsidRPr="00980785">
        <w:rPr>
          <w:sz w:val="22"/>
          <w:szCs w:val="22"/>
          <w:lang w:val="sr-Latn-ME"/>
        </w:rPr>
        <w:t xml:space="preserve">8, osim </w:t>
      </w:r>
      <w:r w:rsidR="00F5753E" w:rsidRPr="00980785">
        <w:rPr>
          <w:sz w:val="22"/>
          <w:szCs w:val="22"/>
          <w:lang w:val="sr-Latn-ME"/>
        </w:rPr>
        <w:t xml:space="preserve">za </w:t>
      </w:r>
      <w:r w:rsidRPr="00980785">
        <w:rPr>
          <w:sz w:val="22"/>
          <w:szCs w:val="22"/>
          <w:lang w:val="sr-Latn-ME"/>
        </w:rPr>
        <w:t>serotip 1 (najmanje 58,8% sa OPA titrom ≥</w:t>
      </w:r>
      <w:r w:rsidR="00F5753E" w:rsidRPr="00980785">
        <w:rPr>
          <w:sz w:val="22"/>
          <w:szCs w:val="22"/>
          <w:lang w:val="sr-Latn-ME"/>
        </w:rPr>
        <w:t xml:space="preserve"> </w:t>
      </w:r>
      <w:r w:rsidRPr="00980785">
        <w:rPr>
          <w:sz w:val="22"/>
          <w:szCs w:val="22"/>
          <w:lang w:val="sr-Latn-ME"/>
        </w:rPr>
        <w:t xml:space="preserve">8). Slične GMC antitijela i OPA GMT su zapažene kod svih beba, osim niže GMC antitijela za serotipove 4, 5, 9V i unakrsno reaktivni serotip 19A kod </w:t>
      </w:r>
      <w:r w:rsidR="00F5753E" w:rsidRPr="00980785">
        <w:rPr>
          <w:sz w:val="22"/>
          <w:szCs w:val="22"/>
          <w:lang w:val="sr-Latn-ME"/>
        </w:rPr>
        <w:t xml:space="preserve">znatno </w:t>
      </w:r>
      <w:r w:rsidRPr="00980785">
        <w:rPr>
          <w:sz w:val="22"/>
          <w:szCs w:val="22"/>
          <w:lang w:val="sr-Latn-ME"/>
        </w:rPr>
        <w:t>prijevremeno rođenih beba (rođenih između 27</w:t>
      </w:r>
      <w:r w:rsidR="00F5753E" w:rsidRPr="00980785">
        <w:rPr>
          <w:sz w:val="22"/>
          <w:szCs w:val="22"/>
          <w:lang w:val="sr-Latn-ME"/>
        </w:rPr>
        <w:t>.</w:t>
      </w:r>
      <w:r w:rsidRPr="00980785">
        <w:rPr>
          <w:sz w:val="22"/>
          <w:szCs w:val="22"/>
          <w:lang w:val="sr-Latn-ME"/>
        </w:rPr>
        <w:t xml:space="preserve"> i 30</w:t>
      </w:r>
      <w:r w:rsidR="00F5753E" w:rsidRPr="00980785">
        <w:rPr>
          <w:sz w:val="22"/>
          <w:szCs w:val="22"/>
          <w:lang w:val="sr-Latn-ME"/>
        </w:rPr>
        <w:t>.</w:t>
      </w:r>
      <w:r w:rsidRPr="00980785">
        <w:rPr>
          <w:sz w:val="22"/>
          <w:szCs w:val="22"/>
          <w:lang w:val="sr-Latn-ME"/>
        </w:rPr>
        <w:t xml:space="preserve"> gestacion</w:t>
      </w:r>
      <w:r w:rsidR="00F5753E" w:rsidRPr="00980785">
        <w:rPr>
          <w:sz w:val="22"/>
          <w:szCs w:val="22"/>
          <w:lang w:val="sr-Latn-ME"/>
        </w:rPr>
        <w:t>e</w:t>
      </w:r>
      <w:r w:rsidRPr="00980785">
        <w:rPr>
          <w:sz w:val="22"/>
          <w:szCs w:val="22"/>
          <w:lang w:val="sr-Latn-ME"/>
        </w:rPr>
        <w:t xml:space="preserve"> nedjelj</w:t>
      </w:r>
      <w:r w:rsidR="00F5753E" w:rsidRPr="00980785">
        <w:rPr>
          <w:sz w:val="22"/>
          <w:szCs w:val="22"/>
          <w:lang w:val="sr-Latn-ME"/>
        </w:rPr>
        <w:t>e</w:t>
      </w:r>
      <w:r w:rsidRPr="00980785">
        <w:rPr>
          <w:sz w:val="22"/>
          <w:szCs w:val="22"/>
          <w:lang w:val="sr-Latn-ME"/>
        </w:rPr>
        <w:t>) i serotip 9V kod prijevremeno rođenih beba i niži OPA GMT za serotip 5 kod prijevremeno rođenih beba (rođenih između 27</w:t>
      </w:r>
      <w:r w:rsidR="00F5753E" w:rsidRPr="00980785">
        <w:rPr>
          <w:sz w:val="22"/>
          <w:szCs w:val="22"/>
          <w:lang w:val="sr-Latn-ME"/>
        </w:rPr>
        <w:t>.</w:t>
      </w:r>
      <w:r w:rsidRPr="00980785">
        <w:rPr>
          <w:sz w:val="22"/>
          <w:szCs w:val="22"/>
          <w:lang w:val="sr-Latn-ME"/>
        </w:rPr>
        <w:t xml:space="preserve"> i 30</w:t>
      </w:r>
      <w:r w:rsidR="00F5753E" w:rsidRPr="00980785">
        <w:rPr>
          <w:sz w:val="22"/>
          <w:szCs w:val="22"/>
          <w:lang w:val="sr-Latn-ME"/>
        </w:rPr>
        <w:t>.</w:t>
      </w:r>
      <w:r w:rsidRPr="00980785">
        <w:rPr>
          <w:sz w:val="22"/>
          <w:szCs w:val="22"/>
          <w:lang w:val="sr-Latn-ME"/>
        </w:rPr>
        <w:t xml:space="preserve"> gestacion</w:t>
      </w:r>
      <w:r w:rsidR="00F5753E" w:rsidRPr="00980785">
        <w:rPr>
          <w:sz w:val="22"/>
          <w:szCs w:val="22"/>
          <w:lang w:val="sr-Latn-ME"/>
        </w:rPr>
        <w:t>e</w:t>
      </w:r>
      <w:r w:rsidRPr="00980785">
        <w:rPr>
          <w:sz w:val="22"/>
          <w:szCs w:val="22"/>
          <w:lang w:val="sr-Latn-ME"/>
        </w:rPr>
        <w:t xml:space="preserve"> nedjelj</w:t>
      </w:r>
      <w:r w:rsidR="00F5753E" w:rsidRPr="00980785">
        <w:rPr>
          <w:sz w:val="22"/>
          <w:szCs w:val="22"/>
          <w:lang w:val="sr-Latn-ME"/>
        </w:rPr>
        <w:t>e</w:t>
      </w:r>
      <w:r w:rsidRPr="00980785">
        <w:rPr>
          <w:sz w:val="22"/>
          <w:szCs w:val="22"/>
          <w:lang w:val="sr-Latn-ME"/>
        </w:rPr>
        <w:t>). Klinički značaj navedenih razlika nije poznat.</w:t>
      </w:r>
    </w:p>
    <w:p w14:paraId="1BC7CAE9" w14:textId="77777777" w:rsidR="00E40B0E" w:rsidRPr="00980785" w:rsidRDefault="00E40B0E">
      <w:pPr>
        <w:pStyle w:val="Header"/>
        <w:tabs>
          <w:tab w:val="left" w:pos="284"/>
        </w:tabs>
        <w:jc w:val="both"/>
        <w:rPr>
          <w:sz w:val="22"/>
          <w:szCs w:val="22"/>
          <w:lang w:val="sr-Latn-ME"/>
        </w:rPr>
      </w:pPr>
    </w:p>
    <w:p w14:paraId="1718A5AA" w14:textId="0814DD4D" w:rsidR="00E40B0E" w:rsidRPr="00980785" w:rsidRDefault="00E40B0E">
      <w:pPr>
        <w:pStyle w:val="Header"/>
        <w:tabs>
          <w:tab w:val="left" w:pos="284"/>
        </w:tabs>
        <w:jc w:val="both"/>
        <w:rPr>
          <w:sz w:val="22"/>
          <w:szCs w:val="22"/>
          <w:lang w:val="sr-Latn-ME"/>
        </w:rPr>
      </w:pPr>
      <w:r w:rsidRPr="00980785">
        <w:rPr>
          <w:sz w:val="22"/>
          <w:szCs w:val="22"/>
          <w:lang w:val="sr-Latn-ME"/>
        </w:rPr>
        <w:t>Povećanje GMC antitijela (ELISA) i OPA GMT primijećeno je za svaki serotip</w:t>
      </w:r>
      <w:r w:rsidR="00F5753E" w:rsidRPr="00980785">
        <w:rPr>
          <w:sz w:val="22"/>
          <w:szCs w:val="22"/>
          <w:lang w:val="sr-Latn-ME"/>
        </w:rPr>
        <w:t xml:space="preserve"> </w:t>
      </w:r>
      <w:r w:rsidRPr="00980785">
        <w:rPr>
          <w:sz w:val="22"/>
          <w:szCs w:val="22"/>
          <w:lang w:val="sr-Latn-ME"/>
        </w:rPr>
        <w:t>koji se nalazi u vakcini i unakrsno reaktivni serotip 19A mjesec dana nakon primjene buster doze, što ukazuje na imunološku memoriju. Slične GMC antitijela (ELISA) i OPA GMT zabilježen</w:t>
      </w:r>
      <w:r w:rsidR="00F5753E" w:rsidRPr="00980785">
        <w:rPr>
          <w:sz w:val="22"/>
          <w:szCs w:val="22"/>
          <w:lang w:val="sr-Latn-ME"/>
        </w:rPr>
        <w:t>i</w:t>
      </w:r>
      <w:r w:rsidRPr="00980785">
        <w:rPr>
          <w:sz w:val="22"/>
          <w:szCs w:val="22"/>
          <w:lang w:val="sr-Latn-ME"/>
        </w:rPr>
        <w:t xml:space="preserve"> su kod svih odojčadi osim nižeg OPA GMT za serotip 5 kod </w:t>
      </w:r>
      <w:r w:rsidR="00F5753E" w:rsidRPr="00980785">
        <w:rPr>
          <w:sz w:val="22"/>
          <w:szCs w:val="22"/>
          <w:lang w:val="sr-Latn-ME"/>
        </w:rPr>
        <w:t xml:space="preserve">znatno </w:t>
      </w:r>
      <w:r w:rsidRPr="00980785">
        <w:rPr>
          <w:sz w:val="22"/>
          <w:szCs w:val="22"/>
          <w:lang w:val="sr-Latn-ME"/>
        </w:rPr>
        <w:t>prijevremeno rođenih beba. Sveukupno, za svaki serotip koji se nalazi u vakcini, kod  najmanje 97,6% svih odojčadi postignuta je koncentracija antitijela ≥</w:t>
      </w:r>
      <w:r w:rsidR="00F5753E" w:rsidRPr="00980785">
        <w:rPr>
          <w:sz w:val="22"/>
          <w:szCs w:val="22"/>
          <w:lang w:val="sr-Latn-ME"/>
        </w:rPr>
        <w:t xml:space="preserve"> </w:t>
      </w:r>
      <w:r w:rsidRPr="00980785">
        <w:rPr>
          <w:sz w:val="22"/>
          <w:szCs w:val="22"/>
          <w:lang w:val="sr-Latn-ME"/>
        </w:rPr>
        <w:t>0,20µg/ml (ELISA) i kod najmanje 91,9% postignut je OPA  titar ≥</w:t>
      </w:r>
      <w:r w:rsidR="00F5753E" w:rsidRPr="00980785">
        <w:rPr>
          <w:sz w:val="22"/>
          <w:szCs w:val="22"/>
          <w:lang w:val="sr-Latn-ME"/>
        </w:rPr>
        <w:t xml:space="preserve"> </w:t>
      </w:r>
      <w:r w:rsidRPr="00980785">
        <w:rPr>
          <w:sz w:val="22"/>
          <w:szCs w:val="22"/>
          <w:lang w:val="sr-Latn-ME"/>
        </w:rPr>
        <w:t>8.</w:t>
      </w:r>
    </w:p>
    <w:p w14:paraId="2798208F" w14:textId="77777777" w:rsidR="00E40B0E" w:rsidRPr="00980785" w:rsidRDefault="00E40B0E" w:rsidP="00290631">
      <w:pPr>
        <w:pStyle w:val="Header"/>
        <w:tabs>
          <w:tab w:val="left" w:pos="284"/>
        </w:tabs>
        <w:jc w:val="both"/>
        <w:rPr>
          <w:b/>
          <w:sz w:val="22"/>
          <w:szCs w:val="22"/>
          <w:lang w:val="sr-Latn-ME"/>
        </w:rPr>
      </w:pPr>
    </w:p>
    <w:p w14:paraId="1225D176" w14:textId="5C0EFE16" w:rsidR="00E40B0E" w:rsidRPr="00980785" w:rsidRDefault="00E40B0E" w:rsidP="00290631">
      <w:pPr>
        <w:pStyle w:val="Header"/>
        <w:tabs>
          <w:tab w:val="left" w:pos="284"/>
        </w:tabs>
        <w:jc w:val="both"/>
        <w:rPr>
          <w:b/>
          <w:sz w:val="22"/>
          <w:szCs w:val="22"/>
          <w:u w:val="single"/>
          <w:lang w:val="sr-Latn-ME"/>
        </w:rPr>
      </w:pPr>
      <w:r w:rsidRPr="00980785">
        <w:rPr>
          <w:i/>
          <w:sz w:val="22"/>
          <w:szCs w:val="22"/>
          <w:u w:val="single"/>
          <w:lang w:val="sr-Latn-ME"/>
        </w:rPr>
        <w:t>Imunogenost kod posebnih populacija</w:t>
      </w:r>
    </w:p>
    <w:p w14:paraId="4FE16898" w14:textId="77777777" w:rsidR="00E40B0E" w:rsidRPr="00980785" w:rsidRDefault="00E40B0E" w:rsidP="00290631">
      <w:pPr>
        <w:pStyle w:val="Header"/>
        <w:tabs>
          <w:tab w:val="left" w:pos="284"/>
        </w:tabs>
        <w:jc w:val="both"/>
        <w:rPr>
          <w:sz w:val="22"/>
          <w:szCs w:val="22"/>
          <w:lang w:val="sr-Latn-ME"/>
        </w:rPr>
      </w:pPr>
    </w:p>
    <w:p w14:paraId="15766910" w14:textId="77777777" w:rsidR="00E40B0E" w:rsidRPr="00980785" w:rsidRDefault="00E40B0E" w:rsidP="00290631">
      <w:pPr>
        <w:pStyle w:val="Header"/>
        <w:tabs>
          <w:tab w:val="left" w:pos="284"/>
        </w:tabs>
        <w:jc w:val="both"/>
        <w:rPr>
          <w:i/>
          <w:sz w:val="22"/>
          <w:szCs w:val="22"/>
          <w:lang w:val="sr-Latn-ME"/>
        </w:rPr>
      </w:pPr>
      <w:r w:rsidRPr="00980785">
        <w:rPr>
          <w:i/>
          <w:sz w:val="22"/>
          <w:szCs w:val="22"/>
          <w:lang w:val="sr-Latn-ME"/>
        </w:rPr>
        <w:t>HIV pozitivne (HIV +/+) bebe i HIV negativne bebe koje su rodile HIV pozitivne majke (HIV +/-)</w:t>
      </w:r>
    </w:p>
    <w:p w14:paraId="7AA9361E" w14:textId="77777777" w:rsidR="00E40B0E" w:rsidRPr="00980785" w:rsidRDefault="00E40B0E" w:rsidP="00290631">
      <w:pPr>
        <w:pStyle w:val="Header"/>
        <w:tabs>
          <w:tab w:val="left" w:pos="284"/>
        </w:tabs>
        <w:jc w:val="both"/>
        <w:rPr>
          <w:sz w:val="22"/>
          <w:szCs w:val="22"/>
          <w:lang w:val="sr-Latn-ME"/>
        </w:rPr>
      </w:pPr>
    </w:p>
    <w:p w14:paraId="488E1CA7" w14:textId="77777777" w:rsidR="00E40B0E" w:rsidRPr="00980785" w:rsidRDefault="00E40B0E" w:rsidP="00290631">
      <w:pPr>
        <w:pStyle w:val="Header"/>
        <w:tabs>
          <w:tab w:val="left" w:pos="284"/>
        </w:tabs>
        <w:jc w:val="both"/>
        <w:rPr>
          <w:sz w:val="22"/>
          <w:szCs w:val="22"/>
          <w:lang w:val="sr-Latn-ME"/>
        </w:rPr>
      </w:pPr>
      <w:r w:rsidRPr="00980785">
        <w:rPr>
          <w:sz w:val="22"/>
          <w:szCs w:val="22"/>
          <w:lang w:val="sr-Latn-ME"/>
        </w:rPr>
        <w:t xml:space="preserve">U kliničkom ispitivanju sprovedenom u Južnoj Africi, procjenjivana je imunogenost vakcine </w:t>
      </w:r>
      <w:r w:rsidR="00677FAC" w:rsidRPr="00980785">
        <w:rPr>
          <w:sz w:val="22"/>
          <w:szCs w:val="22"/>
          <w:lang w:val="sr-Latn-ME"/>
        </w:rPr>
        <w:t>SYNFLORIX</w:t>
      </w:r>
      <w:r w:rsidRPr="00980785">
        <w:rPr>
          <w:sz w:val="22"/>
          <w:szCs w:val="22"/>
          <w:lang w:val="sr-Latn-ME"/>
        </w:rPr>
        <w:t xml:space="preserve"> primijenjene u okviru primarne imunizacije po šemi od 3 doze (sa 6,10 i 14 nedjelja života) praćeno buster dozom (sa 9-10 mjeseci života) kod 70 HIV pozitivnih beba (HIV +/+), 91 HIV negativnih beba koje su rodile HIV pozitivne majke (HIV+/-) i 93 HIV negativne bebe koje su rodile HIV negativne majke (HIV-/-). Uključene su jedino HIV +/+ bebe sa stadijumom 1 (asimptomatski) ili 2 (blagi simptomi) prema SZO klasifikaciji.</w:t>
      </w:r>
    </w:p>
    <w:p w14:paraId="0EEE00F9" w14:textId="77777777" w:rsidR="00E40B0E" w:rsidRPr="00980785" w:rsidRDefault="00E40B0E" w:rsidP="00290631">
      <w:pPr>
        <w:pStyle w:val="Header"/>
        <w:tabs>
          <w:tab w:val="left" w:pos="284"/>
        </w:tabs>
        <w:jc w:val="both"/>
        <w:rPr>
          <w:sz w:val="22"/>
          <w:szCs w:val="22"/>
          <w:lang w:val="sr-Latn-ME"/>
        </w:rPr>
      </w:pPr>
    </w:p>
    <w:p w14:paraId="5BA7FCD0" w14:textId="7CCA20FF" w:rsidR="00E40B0E" w:rsidRPr="00980785" w:rsidRDefault="00E40B0E" w:rsidP="00290631">
      <w:pPr>
        <w:pStyle w:val="Header"/>
        <w:tabs>
          <w:tab w:val="left" w:pos="284"/>
        </w:tabs>
        <w:jc w:val="both"/>
        <w:rPr>
          <w:sz w:val="22"/>
          <w:szCs w:val="22"/>
          <w:lang w:val="sr-Latn-ME"/>
        </w:rPr>
      </w:pPr>
      <w:r w:rsidRPr="00980785">
        <w:rPr>
          <w:sz w:val="22"/>
          <w:szCs w:val="22"/>
          <w:lang w:val="sr-Latn-ME"/>
        </w:rPr>
        <w:t>Za većinu serotipova vakcina, grupna poređenja ni</w:t>
      </w:r>
      <w:r w:rsidR="00F5753E" w:rsidRPr="00980785">
        <w:rPr>
          <w:sz w:val="22"/>
          <w:szCs w:val="22"/>
          <w:lang w:val="sr-Latn-ME"/>
        </w:rPr>
        <w:t>je</w:t>
      </w:r>
      <w:r w:rsidRPr="00980785">
        <w:rPr>
          <w:sz w:val="22"/>
          <w:szCs w:val="22"/>
          <w:lang w:val="sr-Latn-ME"/>
        </w:rPr>
        <w:t>su ukazivala na neke razlike u post-primarnim imun</w:t>
      </w:r>
      <w:r w:rsidR="00F5753E" w:rsidRPr="00980785">
        <w:rPr>
          <w:sz w:val="22"/>
          <w:szCs w:val="22"/>
          <w:lang w:val="sr-Latn-ME"/>
        </w:rPr>
        <w:t>i</w:t>
      </w:r>
      <w:r w:rsidRPr="00980785">
        <w:rPr>
          <w:sz w:val="22"/>
          <w:szCs w:val="22"/>
          <w:lang w:val="sr-Latn-ME"/>
        </w:rPr>
        <w:t>m odgovorima između HIV +/+ i HIV -/- grupa, ili HIV +/- i HIV -/- grupa, izuzev za trend prema nižem procentu ispitanika koji dostižu OPA titar ≥</w:t>
      </w:r>
      <w:r w:rsidR="00F5753E" w:rsidRPr="00980785">
        <w:rPr>
          <w:sz w:val="22"/>
          <w:szCs w:val="22"/>
          <w:lang w:val="sr-Latn-ME"/>
        </w:rPr>
        <w:t xml:space="preserve"> </w:t>
      </w:r>
      <w:r w:rsidRPr="00980785">
        <w:rPr>
          <w:sz w:val="22"/>
          <w:szCs w:val="22"/>
          <w:lang w:val="sr-Latn-ME"/>
        </w:rPr>
        <w:t>8 i niži nivo OPA GMTs u HIV +/</w:t>
      </w:r>
      <w:r w:rsidR="00F5753E" w:rsidRPr="00980785">
        <w:rPr>
          <w:sz w:val="22"/>
          <w:szCs w:val="22"/>
          <w:lang w:val="sr-Latn-ME"/>
        </w:rPr>
        <w:t>+</w:t>
      </w:r>
      <w:r w:rsidRPr="00980785">
        <w:rPr>
          <w:sz w:val="22"/>
          <w:szCs w:val="22"/>
          <w:lang w:val="sr-Latn-ME"/>
        </w:rPr>
        <w:t xml:space="preserve"> grupi. Klinički značaj navedenog nižeg post-primarnog OPA odgovora nije poznat. Rezultati ni</w:t>
      </w:r>
      <w:r w:rsidR="00F5753E" w:rsidRPr="00980785">
        <w:rPr>
          <w:sz w:val="22"/>
          <w:szCs w:val="22"/>
          <w:lang w:val="sr-Latn-ME"/>
        </w:rPr>
        <w:t>je</w:t>
      </w:r>
      <w:r w:rsidRPr="00980785">
        <w:rPr>
          <w:sz w:val="22"/>
          <w:szCs w:val="22"/>
          <w:lang w:val="sr-Latn-ME"/>
        </w:rPr>
        <w:t>su ukazivali na neku razliku u ELISA GMC</w:t>
      </w:r>
      <w:r w:rsidR="00F5753E" w:rsidRPr="00980785">
        <w:rPr>
          <w:sz w:val="22"/>
          <w:szCs w:val="22"/>
          <w:lang w:val="sr-Latn-ME"/>
        </w:rPr>
        <w:t xml:space="preserve"> antitijela</w:t>
      </w:r>
      <w:r w:rsidRPr="00980785">
        <w:rPr>
          <w:sz w:val="22"/>
          <w:szCs w:val="22"/>
          <w:lang w:val="sr-Latn-ME"/>
        </w:rPr>
        <w:t xml:space="preserve"> i OPA GMT između grupa za unakrsno-reaktivni serotip 19A.</w:t>
      </w:r>
    </w:p>
    <w:p w14:paraId="569AA5C8" w14:textId="77777777" w:rsidR="00E40B0E" w:rsidRPr="00980785" w:rsidRDefault="00E40B0E" w:rsidP="00290631">
      <w:pPr>
        <w:pStyle w:val="Header"/>
        <w:tabs>
          <w:tab w:val="left" w:pos="284"/>
        </w:tabs>
        <w:jc w:val="both"/>
        <w:rPr>
          <w:sz w:val="22"/>
          <w:szCs w:val="22"/>
          <w:lang w:val="sr-Latn-ME"/>
        </w:rPr>
      </w:pPr>
    </w:p>
    <w:p w14:paraId="05D6CAEB" w14:textId="69D36F9D" w:rsidR="00E40B0E" w:rsidRPr="00980785" w:rsidRDefault="00E40B0E" w:rsidP="00290631">
      <w:pPr>
        <w:pStyle w:val="Header"/>
        <w:tabs>
          <w:tab w:val="left" w:pos="284"/>
        </w:tabs>
        <w:jc w:val="both"/>
        <w:rPr>
          <w:sz w:val="22"/>
          <w:szCs w:val="22"/>
          <w:lang w:val="sr-Latn-ME"/>
        </w:rPr>
      </w:pPr>
      <w:r w:rsidRPr="00980785">
        <w:rPr>
          <w:sz w:val="22"/>
          <w:szCs w:val="22"/>
          <w:lang w:val="sr-Latn-ME"/>
        </w:rPr>
        <w:t xml:space="preserve">Buster doza vakcine </w:t>
      </w:r>
      <w:r w:rsidR="00677FAC" w:rsidRPr="00980785">
        <w:rPr>
          <w:sz w:val="22"/>
          <w:szCs w:val="22"/>
          <w:lang w:val="sr-Latn-ME"/>
        </w:rPr>
        <w:t>SYNFLORIX</w:t>
      </w:r>
      <w:r w:rsidRPr="00980785">
        <w:rPr>
          <w:sz w:val="22"/>
          <w:szCs w:val="22"/>
          <w:lang w:val="sr-Latn-ME"/>
        </w:rPr>
        <w:t xml:space="preserve"> kod HIV+/+ i HIV +/- beba pokazuje robusno povećanje ELISA GMC </w:t>
      </w:r>
      <w:r w:rsidR="00F5753E" w:rsidRPr="00980785">
        <w:rPr>
          <w:sz w:val="22"/>
          <w:szCs w:val="22"/>
          <w:lang w:val="sr-Latn-ME"/>
        </w:rPr>
        <w:t xml:space="preserve">antitijela </w:t>
      </w:r>
      <w:r w:rsidRPr="00980785">
        <w:rPr>
          <w:sz w:val="22"/>
          <w:szCs w:val="22"/>
          <w:lang w:val="sr-Latn-ME"/>
        </w:rPr>
        <w:t xml:space="preserve">i OPA GMT za svaki serotip vakcine i serotip 19A </w:t>
      </w:r>
      <w:r w:rsidR="00F5753E" w:rsidRPr="00980785">
        <w:rPr>
          <w:sz w:val="22"/>
          <w:szCs w:val="22"/>
          <w:lang w:val="sr-Latn-ME"/>
        </w:rPr>
        <w:t xml:space="preserve">što ukazuje na primarni </w:t>
      </w:r>
      <w:r w:rsidRPr="00980785">
        <w:rPr>
          <w:sz w:val="22"/>
          <w:szCs w:val="22"/>
          <w:lang w:val="sr-Latn-ME"/>
        </w:rPr>
        <w:t>imunološki odgovor. Za većinu serotipova vakcine i serotip 19A, poređenja između grupa ni</w:t>
      </w:r>
      <w:r w:rsidR="00F5753E" w:rsidRPr="00980785">
        <w:rPr>
          <w:sz w:val="22"/>
          <w:szCs w:val="22"/>
          <w:lang w:val="sr-Latn-ME"/>
        </w:rPr>
        <w:t>je</w:t>
      </w:r>
      <w:r w:rsidRPr="00980785">
        <w:rPr>
          <w:sz w:val="22"/>
          <w:szCs w:val="22"/>
          <w:lang w:val="sr-Latn-ME"/>
        </w:rPr>
        <w:t>su ukazala na neku razliku ELISA GMC</w:t>
      </w:r>
      <w:r w:rsidR="00F5753E" w:rsidRPr="00980785">
        <w:rPr>
          <w:sz w:val="22"/>
          <w:szCs w:val="22"/>
          <w:lang w:val="sr-Latn-ME"/>
        </w:rPr>
        <w:t xml:space="preserve"> a</w:t>
      </w:r>
      <w:r w:rsidR="001B71C8" w:rsidRPr="00980785">
        <w:rPr>
          <w:sz w:val="22"/>
          <w:szCs w:val="22"/>
          <w:lang w:val="sr-Latn-ME"/>
        </w:rPr>
        <w:t xml:space="preserve">ntitijela </w:t>
      </w:r>
      <w:r w:rsidRPr="00980785">
        <w:rPr>
          <w:sz w:val="22"/>
          <w:szCs w:val="22"/>
          <w:lang w:val="sr-Latn-ME"/>
        </w:rPr>
        <w:t>i OPA GMT u post-buster dozi između HIV+/+ i HIV-/- grupa, ili HIV+/- i HIV -/- grupa.</w:t>
      </w:r>
    </w:p>
    <w:p w14:paraId="1C334402" w14:textId="77777777" w:rsidR="00E40B0E" w:rsidRPr="00980785" w:rsidRDefault="00E40B0E" w:rsidP="00290631">
      <w:pPr>
        <w:pStyle w:val="Header"/>
        <w:tabs>
          <w:tab w:val="left" w:pos="284"/>
        </w:tabs>
        <w:jc w:val="both"/>
        <w:rPr>
          <w:sz w:val="22"/>
          <w:szCs w:val="22"/>
          <w:lang w:val="sr-Latn-ME"/>
        </w:rPr>
      </w:pPr>
    </w:p>
    <w:p w14:paraId="75C4C1C3" w14:textId="77777777" w:rsidR="00E40B0E" w:rsidRPr="00980785" w:rsidRDefault="00E40B0E" w:rsidP="00290631">
      <w:pPr>
        <w:pStyle w:val="Header"/>
        <w:tabs>
          <w:tab w:val="left" w:pos="284"/>
        </w:tabs>
        <w:jc w:val="both"/>
        <w:rPr>
          <w:sz w:val="22"/>
          <w:szCs w:val="22"/>
          <w:lang w:val="sr-Latn-ME"/>
        </w:rPr>
      </w:pPr>
      <w:r w:rsidRPr="00980785">
        <w:rPr>
          <w:sz w:val="22"/>
          <w:szCs w:val="22"/>
          <w:lang w:val="sr-Latn-ME"/>
        </w:rPr>
        <w:t>Rezultati za protein D su ukazivali na uporedive post-primarne i post-buster imune odgovore između grupa.</w:t>
      </w:r>
    </w:p>
    <w:p w14:paraId="184A4928" w14:textId="77777777" w:rsidR="00E40B0E" w:rsidRPr="00980785" w:rsidRDefault="00E40B0E" w:rsidP="00290631">
      <w:pPr>
        <w:pStyle w:val="Header"/>
        <w:tabs>
          <w:tab w:val="left" w:pos="284"/>
        </w:tabs>
        <w:jc w:val="both"/>
        <w:rPr>
          <w:sz w:val="22"/>
          <w:szCs w:val="22"/>
          <w:lang w:val="sr-Latn-ME"/>
        </w:rPr>
      </w:pPr>
    </w:p>
    <w:p w14:paraId="74E54BFC" w14:textId="6877F1FB" w:rsidR="00E40B0E" w:rsidRPr="00980785" w:rsidRDefault="00E40B0E" w:rsidP="00290631">
      <w:pPr>
        <w:pStyle w:val="Header"/>
        <w:tabs>
          <w:tab w:val="left" w:pos="284"/>
        </w:tabs>
        <w:jc w:val="both"/>
        <w:rPr>
          <w:sz w:val="22"/>
          <w:szCs w:val="22"/>
          <w:lang w:val="sr-Latn-ME"/>
        </w:rPr>
      </w:pPr>
      <w:r w:rsidRPr="00980785">
        <w:rPr>
          <w:sz w:val="22"/>
          <w:szCs w:val="22"/>
          <w:lang w:val="sr-Latn-ME"/>
        </w:rPr>
        <w:lastRenderedPageBreak/>
        <w:t>U svakoj grupi, održivost imun</w:t>
      </w:r>
      <w:r w:rsidR="00F5753E" w:rsidRPr="00980785">
        <w:rPr>
          <w:sz w:val="22"/>
          <w:szCs w:val="22"/>
          <w:lang w:val="sr-Latn-ME"/>
        </w:rPr>
        <w:t>o</w:t>
      </w:r>
      <w:r w:rsidRPr="00980785">
        <w:rPr>
          <w:sz w:val="22"/>
          <w:szCs w:val="22"/>
          <w:lang w:val="sr-Latn-ME"/>
        </w:rPr>
        <w:t>g odgovora je posmatrana na 24-27 mjeseci života, tj. na do 15 mjeseci nakon imunizacije buster dozom.</w:t>
      </w:r>
    </w:p>
    <w:p w14:paraId="1BA0F531" w14:textId="77777777" w:rsidR="00E40B0E" w:rsidRPr="00980785" w:rsidRDefault="00E40B0E" w:rsidP="00290631">
      <w:pPr>
        <w:pStyle w:val="Header"/>
        <w:tabs>
          <w:tab w:val="left" w:pos="284"/>
        </w:tabs>
        <w:jc w:val="both"/>
        <w:rPr>
          <w:sz w:val="22"/>
          <w:szCs w:val="22"/>
          <w:lang w:val="sr-Latn-ME"/>
        </w:rPr>
      </w:pPr>
    </w:p>
    <w:p w14:paraId="08EB08FC" w14:textId="77777777" w:rsidR="00E40B0E" w:rsidRPr="00980785" w:rsidRDefault="00E40B0E" w:rsidP="00290631">
      <w:pPr>
        <w:pStyle w:val="Header"/>
        <w:tabs>
          <w:tab w:val="left" w:pos="284"/>
        </w:tabs>
        <w:jc w:val="both"/>
        <w:rPr>
          <w:i/>
          <w:sz w:val="22"/>
          <w:szCs w:val="22"/>
          <w:lang w:val="sr-Latn-ME"/>
        </w:rPr>
      </w:pPr>
      <w:r w:rsidRPr="00980785">
        <w:rPr>
          <w:i/>
          <w:sz w:val="22"/>
          <w:szCs w:val="22"/>
          <w:lang w:val="sr-Latn-ME"/>
        </w:rPr>
        <w:t>Djeca sa anemijom srpastih ćelija</w:t>
      </w:r>
    </w:p>
    <w:p w14:paraId="3BC45728" w14:textId="77777777" w:rsidR="00E40B0E" w:rsidRPr="00980785" w:rsidRDefault="00E40B0E" w:rsidP="00290631">
      <w:pPr>
        <w:pStyle w:val="Header"/>
        <w:tabs>
          <w:tab w:val="left" w:pos="284"/>
        </w:tabs>
        <w:jc w:val="both"/>
        <w:rPr>
          <w:sz w:val="22"/>
          <w:szCs w:val="22"/>
          <w:lang w:val="sr-Latn-ME"/>
        </w:rPr>
      </w:pPr>
    </w:p>
    <w:p w14:paraId="7650686E" w14:textId="1CA47E61" w:rsidR="00E40B0E" w:rsidRPr="00980785" w:rsidRDefault="00E40B0E" w:rsidP="00290631">
      <w:pPr>
        <w:pStyle w:val="Header"/>
        <w:tabs>
          <w:tab w:val="left" w:pos="284"/>
        </w:tabs>
        <w:jc w:val="both"/>
        <w:rPr>
          <w:bCs/>
          <w:sz w:val="22"/>
          <w:szCs w:val="22"/>
          <w:lang w:val="sr-Latn-ME"/>
        </w:rPr>
      </w:pPr>
      <w:r w:rsidRPr="00980785">
        <w:rPr>
          <w:sz w:val="22"/>
          <w:szCs w:val="22"/>
          <w:lang w:val="sr-Latn-ME"/>
        </w:rPr>
        <w:t xml:space="preserve">U kliničkom ispitivanju sprovedenom u </w:t>
      </w:r>
      <w:r w:rsidRPr="00980785">
        <w:rPr>
          <w:bCs/>
          <w:sz w:val="22"/>
          <w:szCs w:val="22"/>
          <w:lang w:val="sr-Latn-ME"/>
        </w:rPr>
        <w:t>Burkin</w:t>
      </w:r>
      <w:r w:rsidR="00F5753E" w:rsidRPr="00980785">
        <w:rPr>
          <w:bCs/>
          <w:sz w:val="22"/>
          <w:szCs w:val="22"/>
          <w:lang w:val="sr-Latn-ME"/>
        </w:rPr>
        <w:t>i</w:t>
      </w:r>
      <w:r w:rsidRPr="00980785">
        <w:rPr>
          <w:bCs/>
          <w:sz w:val="22"/>
          <w:szCs w:val="22"/>
          <w:lang w:val="sr-Latn-ME"/>
        </w:rPr>
        <w:t xml:space="preserve"> Faso, procjenjivana je imunogenost vakcine </w:t>
      </w:r>
      <w:r w:rsidR="00677FAC" w:rsidRPr="00980785">
        <w:rPr>
          <w:bCs/>
          <w:sz w:val="22"/>
          <w:szCs w:val="22"/>
          <w:lang w:val="sr-Latn-ME"/>
        </w:rPr>
        <w:t>SYNFLORIX</w:t>
      </w:r>
      <w:r w:rsidRPr="00980785">
        <w:rPr>
          <w:bCs/>
          <w:sz w:val="22"/>
          <w:szCs w:val="22"/>
          <w:lang w:val="sr-Latn-ME"/>
        </w:rPr>
        <w:t xml:space="preserve"> primijenjene na 146 djece sa SCD (hemoglobin SS oboljenjem, hemoglobin SC oboljenjem ili sa β talasemijom) u poređenju sa 143 djece bez SCD istog uzrasta. Među djecom sa SCD, 48 djece mlađe od 6 mjeseci života je primilo vakcinu sa 8,</w:t>
      </w:r>
      <w:r w:rsidR="00F5753E" w:rsidRPr="00980785">
        <w:rPr>
          <w:bCs/>
          <w:sz w:val="22"/>
          <w:szCs w:val="22"/>
          <w:lang w:val="sr-Latn-ME"/>
        </w:rPr>
        <w:t xml:space="preserve"> </w:t>
      </w:r>
      <w:r w:rsidRPr="00980785">
        <w:rPr>
          <w:bCs/>
          <w:sz w:val="22"/>
          <w:szCs w:val="22"/>
          <w:lang w:val="sr-Latn-ME"/>
        </w:rPr>
        <w:t xml:space="preserve">12 i 16 nedjelja života, praćeno buster dozom sa 9-10 mjeseci života, 50 djece uzrasta 7-11 mjeseci i 48 djece uzrasta 12-23 mjeseci počeli su vakcinaciju u skladu sa svojim godinama. Nije pokazano da je imuni odgovor na vakcinu </w:t>
      </w:r>
      <w:r w:rsidR="00677FAC" w:rsidRPr="00980785">
        <w:rPr>
          <w:bCs/>
          <w:sz w:val="22"/>
          <w:szCs w:val="22"/>
          <w:lang w:val="sr-Latn-ME"/>
        </w:rPr>
        <w:t>SYNFLORIX</w:t>
      </w:r>
      <w:r w:rsidRPr="00980785">
        <w:rPr>
          <w:bCs/>
          <w:sz w:val="22"/>
          <w:szCs w:val="22"/>
          <w:lang w:val="sr-Latn-ME"/>
        </w:rPr>
        <w:t xml:space="preserve"> za svaki od serotipova vakcine i serotip 19A, kao i za protein D uzrokovan SCD-om.</w:t>
      </w:r>
    </w:p>
    <w:p w14:paraId="05C32812" w14:textId="77777777" w:rsidR="00E40B0E" w:rsidRPr="00980785" w:rsidRDefault="00E40B0E" w:rsidP="00290631">
      <w:pPr>
        <w:pStyle w:val="Header"/>
        <w:tabs>
          <w:tab w:val="left" w:pos="284"/>
        </w:tabs>
        <w:jc w:val="both"/>
        <w:rPr>
          <w:bCs/>
          <w:sz w:val="22"/>
          <w:szCs w:val="22"/>
          <w:lang w:val="sr-Latn-ME"/>
        </w:rPr>
      </w:pPr>
    </w:p>
    <w:p w14:paraId="2AE4E16E" w14:textId="4686530E" w:rsidR="00F64B3A" w:rsidRPr="00980785" w:rsidRDefault="00F64B3A" w:rsidP="00290631">
      <w:pPr>
        <w:tabs>
          <w:tab w:val="left" w:pos="567"/>
        </w:tabs>
        <w:jc w:val="both"/>
        <w:rPr>
          <w:bCs/>
          <w:i/>
          <w:iCs/>
          <w:sz w:val="22"/>
          <w:szCs w:val="22"/>
          <w:lang w:val="sr-Latn-ME"/>
        </w:rPr>
      </w:pPr>
      <w:r w:rsidRPr="00980785">
        <w:rPr>
          <w:bCs/>
          <w:i/>
          <w:iCs/>
          <w:sz w:val="22"/>
          <w:szCs w:val="22"/>
          <w:lang w:val="sr-Latn-ME"/>
        </w:rPr>
        <w:t>Djeca s</w:t>
      </w:r>
      <w:r w:rsidR="00115628" w:rsidRPr="00980785">
        <w:rPr>
          <w:bCs/>
          <w:i/>
          <w:iCs/>
          <w:sz w:val="22"/>
          <w:szCs w:val="22"/>
          <w:lang w:val="sr-Latn-ME"/>
        </w:rPr>
        <w:t xml:space="preserve">a disfunkcijom </w:t>
      </w:r>
      <w:r w:rsidRPr="00980785">
        <w:rPr>
          <w:bCs/>
          <w:i/>
          <w:iCs/>
          <w:sz w:val="22"/>
          <w:szCs w:val="22"/>
          <w:lang w:val="sr-Latn-ME"/>
        </w:rPr>
        <w:t>slez</w:t>
      </w:r>
      <w:r w:rsidR="00961133" w:rsidRPr="00980785">
        <w:rPr>
          <w:bCs/>
          <w:i/>
          <w:iCs/>
          <w:sz w:val="22"/>
          <w:szCs w:val="22"/>
          <w:lang w:val="sr-Latn-ME"/>
        </w:rPr>
        <w:t>i</w:t>
      </w:r>
      <w:r w:rsidRPr="00980785">
        <w:rPr>
          <w:bCs/>
          <w:i/>
          <w:iCs/>
          <w:sz w:val="22"/>
          <w:szCs w:val="22"/>
          <w:lang w:val="sr-Latn-ME"/>
        </w:rPr>
        <w:t>ne</w:t>
      </w:r>
    </w:p>
    <w:p w14:paraId="29A8F6DA" w14:textId="77777777" w:rsidR="00F64B3A" w:rsidRPr="00980785" w:rsidRDefault="00F64B3A" w:rsidP="00290631">
      <w:pPr>
        <w:tabs>
          <w:tab w:val="left" w:pos="567"/>
        </w:tabs>
        <w:jc w:val="both"/>
        <w:rPr>
          <w:bCs/>
          <w:iCs/>
          <w:sz w:val="22"/>
          <w:szCs w:val="22"/>
          <w:u w:val="single"/>
          <w:lang w:val="sr-Latn-ME"/>
        </w:rPr>
      </w:pPr>
    </w:p>
    <w:p w14:paraId="5212E462" w14:textId="291CEA61" w:rsidR="00F64B3A" w:rsidRPr="00980785" w:rsidRDefault="00F64B3A" w:rsidP="00290631">
      <w:pPr>
        <w:keepNext/>
        <w:tabs>
          <w:tab w:val="left" w:pos="567"/>
        </w:tabs>
        <w:jc w:val="both"/>
        <w:rPr>
          <w:sz w:val="22"/>
          <w:szCs w:val="22"/>
          <w:lang w:val="sr-Latn-ME"/>
        </w:rPr>
      </w:pPr>
      <w:r w:rsidRPr="00980785">
        <w:rPr>
          <w:sz w:val="22"/>
          <w:szCs w:val="22"/>
          <w:lang w:val="sr-Latn-ME"/>
        </w:rPr>
        <w:t>Imunogenost i bezbjednost primjene vakcine S</w:t>
      </w:r>
      <w:r w:rsidR="000E539A" w:rsidRPr="00980785">
        <w:rPr>
          <w:sz w:val="22"/>
          <w:szCs w:val="22"/>
          <w:lang w:val="sr-Latn-ME"/>
        </w:rPr>
        <w:t>YNFLORIX</w:t>
      </w:r>
      <w:r w:rsidRPr="00980785">
        <w:rPr>
          <w:sz w:val="22"/>
          <w:szCs w:val="22"/>
          <w:lang w:val="sr-Latn-ME"/>
        </w:rPr>
        <w:t xml:space="preserve"> procijenjeni su </w:t>
      </w:r>
      <w:r w:rsidR="00961133" w:rsidRPr="00980785">
        <w:rPr>
          <w:sz w:val="22"/>
          <w:szCs w:val="22"/>
          <w:lang w:val="sr-Latn-ME"/>
        </w:rPr>
        <w:t>kod</w:t>
      </w:r>
      <w:r w:rsidRPr="00980785">
        <w:rPr>
          <w:sz w:val="22"/>
          <w:szCs w:val="22"/>
          <w:lang w:val="sr-Latn-ME"/>
        </w:rPr>
        <w:t xml:space="preserve"> ograničeno</w:t>
      </w:r>
      <w:r w:rsidR="00961133" w:rsidRPr="00980785">
        <w:rPr>
          <w:sz w:val="22"/>
          <w:szCs w:val="22"/>
          <w:lang w:val="sr-Latn-ME"/>
        </w:rPr>
        <w:t>g</w:t>
      </w:r>
      <w:r w:rsidRPr="00980785">
        <w:rPr>
          <w:sz w:val="22"/>
          <w:szCs w:val="22"/>
          <w:lang w:val="sr-Latn-ME"/>
        </w:rPr>
        <w:t xml:space="preserve"> broj</w:t>
      </w:r>
      <w:r w:rsidR="00961133" w:rsidRPr="00980785">
        <w:rPr>
          <w:sz w:val="22"/>
          <w:szCs w:val="22"/>
          <w:lang w:val="sr-Latn-ME"/>
        </w:rPr>
        <w:t>a</w:t>
      </w:r>
      <w:r w:rsidRPr="00980785">
        <w:rPr>
          <w:sz w:val="22"/>
          <w:szCs w:val="22"/>
          <w:lang w:val="sr-Latn-ME"/>
        </w:rPr>
        <w:t xml:space="preserve"> </w:t>
      </w:r>
      <w:r w:rsidR="00B7068B" w:rsidRPr="00980785">
        <w:rPr>
          <w:sz w:val="22"/>
          <w:szCs w:val="22"/>
          <w:lang w:val="sr-Latn-ME"/>
        </w:rPr>
        <w:t xml:space="preserve">ispitanika, </w:t>
      </w:r>
      <w:r w:rsidRPr="00980785">
        <w:rPr>
          <w:sz w:val="22"/>
          <w:szCs w:val="22"/>
          <w:lang w:val="sr-Latn-ME"/>
        </w:rPr>
        <w:t>primarno vakcinisanih</w:t>
      </w:r>
      <w:r w:rsidR="00B7068B" w:rsidRPr="00980785">
        <w:rPr>
          <w:sz w:val="22"/>
          <w:szCs w:val="22"/>
          <w:lang w:val="sr-Latn-ME"/>
        </w:rPr>
        <w:t xml:space="preserve"> ili ne,</w:t>
      </w:r>
      <w:r w:rsidRPr="00980785">
        <w:rPr>
          <w:sz w:val="22"/>
          <w:szCs w:val="22"/>
          <w:lang w:val="sr-Latn-ME"/>
        </w:rPr>
        <w:t xml:space="preserve"> </w:t>
      </w:r>
      <w:r w:rsidR="00714947" w:rsidRPr="00980785">
        <w:rPr>
          <w:sz w:val="22"/>
          <w:szCs w:val="22"/>
          <w:lang w:val="sr-Latn-ME"/>
        </w:rPr>
        <w:t>sa urođenom ili stečenom asplenijom, disfunkcijom slez</w:t>
      </w:r>
      <w:r w:rsidR="00961133" w:rsidRPr="00980785">
        <w:rPr>
          <w:sz w:val="22"/>
          <w:szCs w:val="22"/>
          <w:lang w:val="sr-Latn-ME"/>
        </w:rPr>
        <w:t>i</w:t>
      </w:r>
      <w:r w:rsidR="00714947" w:rsidRPr="00980785">
        <w:rPr>
          <w:sz w:val="22"/>
          <w:szCs w:val="22"/>
          <w:lang w:val="sr-Latn-ME"/>
        </w:rPr>
        <w:t xml:space="preserve">ne ili sa pridruženim defektima: 6 ispitanika </w:t>
      </w:r>
      <w:r w:rsidR="00961133" w:rsidRPr="00980785">
        <w:rPr>
          <w:sz w:val="22"/>
          <w:szCs w:val="22"/>
          <w:lang w:val="sr-Latn-ME"/>
        </w:rPr>
        <w:t>uzrasta</w:t>
      </w:r>
      <w:r w:rsidR="00714947" w:rsidRPr="00980785">
        <w:rPr>
          <w:sz w:val="22"/>
          <w:szCs w:val="22"/>
          <w:lang w:val="sr-Latn-ME"/>
        </w:rPr>
        <w:t xml:space="preserve"> od 2 do 5 godina života i 40 ispitanika </w:t>
      </w:r>
      <w:r w:rsidR="00961133" w:rsidRPr="00980785">
        <w:rPr>
          <w:sz w:val="22"/>
          <w:szCs w:val="22"/>
          <w:lang w:val="sr-Latn-ME"/>
        </w:rPr>
        <w:t>uzrasta</w:t>
      </w:r>
      <w:r w:rsidR="00714947" w:rsidRPr="00980785">
        <w:rPr>
          <w:sz w:val="22"/>
          <w:szCs w:val="22"/>
          <w:lang w:val="sr-Latn-ME"/>
        </w:rPr>
        <w:t xml:space="preserve"> od 6 do 17 godina života (</w:t>
      </w:r>
      <w:r w:rsidR="00961133" w:rsidRPr="00980785">
        <w:rPr>
          <w:sz w:val="22"/>
          <w:szCs w:val="22"/>
          <w:lang w:val="sr-Latn-ME"/>
        </w:rPr>
        <w:t xml:space="preserve">vakcina </w:t>
      </w:r>
      <w:r w:rsidR="00714947" w:rsidRPr="00980785">
        <w:rPr>
          <w:sz w:val="22"/>
          <w:szCs w:val="22"/>
          <w:lang w:val="sr-Latn-ME"/>
        </w:rPr>
        <w:t>SYNFLORIX je indikovan</w:t>
      </w:r>
      <w:r w:rsidR="00961133" w:rsidRPr="00980785">
        <w:rPr>
          <w:sz w:val="22"/>
          <w:szCs w:val="22"/>
          <w:lang w:val="sr-Latn-ME"/>
        </w:rPr>
        <w:t>a</w:t>
      </w:r>
      <w:r w:rsidR="00714947" w:rsidRPr="00980785">
        <w:rPr>
          <w:sz w:val="22"/>
          <w:szCs w:val="22"/>
          <w:lang w:val="sr-Latn-ME"/>
        </w:rPr>
        <w:t xml:space="preserve"> do 5 godine života). Ovo</w:t>
      </w:r>
      <w:r w:rsidR="00961133" w:rsidRPr="00980785">
        <w:rPr>
          <w:sz w:val="22"/>
          <w:szCs w:val="22"/>
          <w:lang w:val="sr-Latn-ME"/>
        </w:rPr>
        <w:t>m</w:t>
      </w:r>
      <w:r w:rsidR="00714947" w:rsidRPr="00980785">
        <w:rPr>
          <w:sz w:val="22"/>
          <w:szCs w:val="22"/>
          <w:lang w:val="sr-Latn-ME"/>
        </w:rPr>
        <w:t xml:space="preserve"> studijom je pokazano da je vakcina SYNFLORIX imunogena i ni</w:t>
      </w:r>
      <w:r w:rsidR="00961133" w:rsidRPr="00980785">
        <w:rPr>
          <w:sz w:val="22"/>
          <w:szCs w:val="22"/>
          <w:lang w:val="sr-Latn-ME"/>
        </w:rPr>
        <w:t>je</w:t>
      </w:r>
      <w:r w:rsidR="00714947" w:rsidRPr="00980785">
        <w:rPr>
          <w:sz w:val="22"/>
          <w:szCs w:val="22"/>
          <w:lang w:val="sr-Latn-ME"/>
        </w:rPr>
        <w:t>su primijećeni novi bezbjednosni problemi.</w:t>
      </w:r>
    </w:p>
    <w:p w14:paraId="39D05F9D" w14:textId="77777777" w:rsidR="002E37A5" w:rsidRPr="00980785" w:rsidRDefault="002E37A5" w:rsidP="00290631">
      <w:pPr>
        <w:tabs>
          <w:tab w:val="left" w:pos="540"/>
          <w:tab w:val="left" w:pos="569"/>
        </w:tabs>
        <w:jc w:val="both"/>
        <w:rPr>
          <w:b/>
          <w:bCs/>
          <w:sz w:val="22"/>
          <w:szCs w:val="22"/>
          <w:lang w:val="sr-Latn-ME"/>
        </w:rPr>
      </w:pPr>
    </w:p>
    <w:p w14:paraId="09F0E5FA" w14:textId="1FB6F0D8" w:rsidR="0072020E" w:rsidRPr="00980785" w:rsidRDefault="0072020E" w:rsidP="00290631">
      <w:pPr>
        <w:tabs>
          <w:tab w:val="left" w:pos="540"/>
          <w:tab w:val="left" w:pos="569"/>
        </w:tabs>
        <w:jc w:val="both"/>
        <w:rPr>
          <w:b/>
          <w:bCs/>
          <w:sz w:val="22"/>
          <w:szCs w:val="22"/>
          <w:lang w:val="sr-Latn-ME"/>
        </w:rPr>
      </w:pPr>
      <w:r w:rsidRPr="00980785">
        <w:rPr>
          <w:b/>
          <w:bCs/>
          <w:sz w:val="22"/>
          <w:szCs w:val="22"/>
          <w:lang w:val="sr-Latn-ME"/>
        </w:rPr>
        <w:t xml:space="preserve">5.2. </w:t>
      </w:r>
      <w:r w:rsidR="00480FB1" w:rsidRPr="00980785">
        <w:rPr>
          <w:b/>
          <w:bCs/>
          <w:sz w:val="22"/>
          <w:szCs w:val="22"/>
          <w:lang w:val="sr-Latn-ME"/>
        </w:rPr>
        <w:tab/>
      </w:r>
      <w:r w:rsidRPr="00980785">
        <w:rPr>
          <w:b/>
          <w:bCs/>
          <w:sz w:val="22"/>
          <w:szCs w:val="22"/>
          <w:lang w:val="sr-Latn-ME"/>
        </w:rPr>
        <w:t>Farmakokinetički podaci</w:t>
      </w:r>
      <w:r w:rsidR="003A7059" w:rsidRPr="00980785">
        <w:rPr>
          <w:b/>
          <w:bCs/>
          <w:sz w:val="22"/>
          <w:szCs w:val="22"/>
          <w:lang w:val="sr-Latn-ME"/>
        </w:rPr>
        <w:t xml:space="preserve"> </w:t>
      </w:r>
    </w:p>
    <w:p w14:paraId="4842483D" w14:textId="77777777" w:rsidR="00F5753E" w:rsidRPr="00980785" w:rsidRDefault="00F5753E" w:rsidP="00290631">
      <w:pPr>
        <w:tabs>
          <w:tab w:val="left" w:pos="540"/>
          <w:tab w:val="left" w:pos="569"/>
        </w:tabs>
        <w:jc w:val="both"/>
        <w:rPr>
          <w:b/>
          <w:bCs/>
          <w:sz w:val="22"/>
          <w:szCs w:val="22"/>
          <w:lang w:val="sr-Latn-ME"/>
        </w:rPr>
      </w:pPr>
    </w:p>
    <w:p w14:paraId="44E89ED1" w14:textId="42026497" w:rsidR="00A06AF2" w:rsidRPr="00980785" w:rsidRDefault="00A06AF2" w:rsidP="00290631">
      <w:pPr>
        <w:tabs>
          <w:tab w:val="left" w:pos="0"/>
        </w:tabs>
        <w:jc w:val="both"/>
        <w:outlineLvl w:val="0"/>
        <w:rPr>
          <w:sz w:val="22"/>
          <w:szCs w:val="22"/>
          <w:lang w:val="sr-Latn-ME"/>
        </w:rPr>
      </w:pPr>
      <w:r w:rsidRPr="00980785">
        <w:rPr>
          <w:sz w:val="22"/>
          <w:szCs w:val="22"/>
          <w:lang w:val="sr-Latn-ME"/>
        </w:rPr>
        <w:t>Nije primenljivo.</w:t>
      </w:r>
    </w:p>
    <w:p w14:paraId="70D9C776" w14:textId="77777777" w:rsidR="002C166B" w:rsidRPr="00980785" w:rsidRDefault="002C166B" w:rsidP="00290631">
      <w:pPr>
        <w:tabs>
          <w:tab w:val="left" w:pos="0"/>
        </w:tabs>
        <w:jc w:val="both"/>
        <w:outlineLvl w:val="0"/>
        <w:rPr>
          <w:b/>
          <w:sz w:val="22"/>
          <w:szCs w:val="22"/>
          <w:lang w:val="sr-Latn-ME"/>
        </w:rPr>
      </w:pPr>
    </w:p>
    <w:p w14:paraId="67E174BA" w14:textId="66EB72B5" w:rsidR="0072020E" w:rsidRPr="00980785" w:rsidRDefault="0072020E" w:rsidP="00290631">
      <w:pPr>
        <w:tabs>
          <w:tab w:val="left" w:pos="540"/>
          <w:tab w:val="left" w:pos="569"/>
        </w:tabs>
        <w:jc w:val="both"/>
        <w:rPr>
          <w:b/>
          <w:bCs/>
          <w:sz w:val="22"/>
          <w:szCs w:val="22"/>
          <w:lang w:val="sr-Latn-ME"/>
        </w:rPr>
      </w:pPr>
      <w:r w:rsidRPr="00980785">
        <w:rPr>
          <w:b/>
          <w:bCs/>
          <w:sz w:val="22"/>
          <w:szCs w:val="22"/>
          <w:lang w:val="sr-Latn-ME"/>
        </w:rPr>
        <w:t xml:space="preserve">5.3. </w:t>
      </w:r>
      <w:r w:rsidR="00480FB1" w:rsidRPr="00980785">
        <w:rPr>
          <w:b/>
          <w:bCs/>
          <w:sz w:val="22"/>
          <w:szCs w:val="22"/>
          <w:lang w:val="sr-Latn-ME"/>
        </w:rPr>
        <w:tab/>
      </w:r>
      <w:r w:rsidRPr="00980785">
        <w:rPr>
          <w:b/>
          <w:bCs/>
          <w:sz w:val="22"/>
          <w:szCs w:val="22"/>
          <w:lang w:val="sr-Latn-ME"/>
        </w:rPr>
        <w:t xml:space="preserve">Pretklinički podaci o bezbjednosti </w:t>
      </w:r>
    </w:p>
    <w:p w14:paraId="719C853C" w14:textId="77777777" w:rsidR="00961133" w:rsidRPr="00980785" w:rsidRDefault="00961133" w:rsidP="00290631">
      <w:pPr>
        <w:tabs>
          <w:tab w:val="left" w:pos="540"/>
          <w:tab w:val="left" w:pos="569"/>
        </w:tabs>
        <w:jc w:val="both"/>
        <w:rPr>
          <w:b/>
          <w:bCs/>
          <w:sz w:val="22"/>
          <w:szCs w:val="22"/>
          <w:lang w:val="sr-Latn-ME"/>
        </w:rPr>
      </w:pPr>
    </w:p>
    <w:p w14:paraId="4F47E6DA" w14:textId="77777777" w:rsidR="009E1C57" w:rsidRPr="00980785" w:rsidRDefault="009E1C57">
      <w:pPr>
        <w:tabs>
          <w:tab w:val="left" w:pos="540"/>
          <w:tab w:val="left" w:pos="569"/>
        </w:tabs>
        <w:jc w:val="both"/>
        <w:rPr>
          <w:sz w:val="22"/>
          <w:szCs w:val="22"/>
          <w:lang w:val="sr-Latn-ME"/>
        </w:rPr>
      </w:pPr>
      <w:r w:rsidRPr="00980785">
        <w:rPr>
          <w:sz w:val="22"/>
          <w:szCs w:val="22"/>
          <w:lang w:val="sr-Latn-ME"/>
        </w:rPr>
        <w:t xml:space="preserve">Ispitivanja sa 11-ovalentnom formulacijom vakcine reprezentativnom za vakcinu </w:t>
      </w:r>
      <w:r w:rsidR="00677FAC" w:rsidRPr="00980785">
        <w:rPr>
          <w:sz w:val="22"/>
          <w:szCs w:val="22"/>
          <w:lang w:val="sr-Latn-ME"/>
        </w:rPr>
        <w:t>SYNFLORIX</w:t>
      </w:r>
      <w:r w:rsidRPr="00980785">
        <w:rPr>
          <w:sz w:val="22"/>
          <w:szCs w:val="22"/>
          <w:lang w:val="sr-Latn-ME"/>
        </w:rPr>
        <w:t>, nijesu ukazala na poseban rizik primjene kod ljudi, na osnovu konvencionalnih ispitivanja bezbjednosne farmakologije  i ispitivanja toksičnosti kod pojedinačnih i ponovljenih doza.</w:t>
      </w:r>
    </w:p>
    <w:p w14:paraId="14700686" w14:textId="4D2CE607" w:rsidR="00396DFD" w:rsidRPr="00980785" w:rsidRDefault="00396DFD" w:rsidP="00290631">
      <w:pPr>
        <w:tabs>
          <w:tab w:val="left" w:pos="540"/>
          <w:tab w:val="left" w:pos="569"/>
        </w:tabs>
        <w:jc w:val="both"/>
        <w:rPr>
          <w:b/>
          <w:bCs/>
          <w:sz w:val="22"/>
          <w:szCs w:val="22"/>
          <w:lang w:val="sr-Latn-ME"/>
        </w:rPr>
      </w:pPr>
    </w:p>
    <w:p w14:paraId="4E816971" w14:textId="77777777" w:rsidR="007F441E" w:rsidRPr="00980785" w:rsidRDefault="007F441E" w:rsidP="00290631">
      <w:pPr>
        <w:tabs>
          <w:tab w:val="left" w:pos="540"/>
          <w:tab w:val="left" w:pos="569"/>
        </w:tabs>
        <w:jc w:val="both"/>
        <w:rPr>
          <w:b/>
          <w:bCs/>
          <w:sz w:val="22"/>
          <w:szCs w:val="22"/>
          <w:lang w:val="sr-Latn-ME"/>
        </w:rPr>
      </w:pPr>
    </w:p>
    <w:p w14:paraId="28B7078A" w14:textId="77777777" w:rsidR="0072020E" w:rsidRPr="00980785" w:rsidRDefault="0072020E" w:rsidP="00290631">
      <w:pPr>
        <w:tabs>
          <w:tab w:val="left" w:pos="540"/>
          <w:tab w:val="left" w:pos="569"/>
        </w:tabs>
        <w:jc w:val="both"/>
        <w:rPr>
          <w:b/>
          <w:bCs/>
          <w:sz w:val="22"/>
          <w:szCs w:val="22"/>
          <w:lang w:val="sr-Latn-ME"/>
        </w:rPr>
      </w:pPr>
      <w:r w:rsidRPr="00980785">
        <w:rPr>
          <w:b/>
          <w:bCs/>
          <w:sz w:val="22"/>
          <w:szCs w:val="22"/>
          <w:lang w:val="sr-Latn-ME"/>
        </w:rPr>
        <w:t xml:space="preserve">6. </w:t>
      </w:r>
      <w:r w:rsidR="00480FB1" w:rsidRPr="00980785">
        <w:rPr>
          <w:b/>
          <w:bCs/>
          <w:sz w:val="22"/>
          <w:szCs w:val="22"/>
          <w:lang w:val="sr-Latn-ME"/>
        </w:rPr>
        <w:tab/>
      </w:r>
      <w:r w:rsidRPr="00980785">
        <w:rPr>
          <w:b/>
          <w:bCs/>
          <w:sz w:val="22"/>
          <w:szCs w:val="22"/>
          <w:lang w:val="sr-Latn-ME"/>
        </w:rPr>
        <w:t>FARMACEUTSKI PODACI</w:t>
      </w:r>
    </w:p>
    <w:p w14:paraId="10A91034" w14:textId="77777777" w:rsidR="00836B35" w:rsidRPr="00980785" w:rsidRDefault="00836B35" w:rsidP="00290631">
      <w:pPr>
        <w:tabs>
          <w:tab w:val="left" w:pos="540"/>
          <w:tab w:val="left" w:pos="569"/>
        </w:tabs>
        <w:jc w:val="both"/>
        <w:rPr>
          <w:bCs/>
          <w:sz w:val="22"/>
          <w:szCs w:val="22"/>
          <w:lang w:val="sr-Latn-ME"/>
        </w:rPr>
      </w:pPr>
    </w:p>
    <w:p w14:paraId="40DF50EA" w14:textId="77777777" w:rsidR="0072020E" w:rsidRPr="00980785" w:rsidRDefault="0072020E" w:rsidP="00290631">
      <w:pPr>
        <w:tabs>
          <w:tab w:val="left" w:pos="540"/>
          <w:tab w:val="left" w:pos="569"/>
        </w:tabs>
        <w:jc w:val="both"/>
        <w:rPr>
          <w:b/>
          <w:bCs/>
          <w:sz w:val="22"/>
          <w:szCs w:val="22"/>
          <w:lang w:val="sr-Latn-ME"/>
        </w:rPr>
      </w:pPr>
      <w:r w:rsidRPr="00980785">
        <w:rPr>
          <w:b/>
          <w:bCs/>
          <w:sz w:val="22"/>
          <w:szCs w:val="22"/>
          <w:lang w:val="sr-Latn-ME"/>
        </w:rPr>
        <w:t xml:space="preserve">6.1. </w:t>
      </w:r>
      <w:r w:rsidR="00480FB1" w:rsidRPr="00980785">
        <w:rPr>
          <w:b/>
          <w:bCs/>
          <w:sz w:val="22"/>
          <w:szCs w:val="22"/>
          <w:lang w:val="sr-Latn-ME"/>
        </w:rPr>
        <w:tab/>
      </w:r>
      <w:r w:rsidRPr="00980785">
        <w:rPr>
          <w:b/>
          <w:bCs/>
          <w:sz w:val="22"/>
          <w:szCs w:val="22"/>
          <w:lang w:val="sr-Latn-ME"/>
        </w:rPr>
        <w:t>Lista pomoćnih supstanci</w:t>
      </w:r>
      <w:r w:rsidR="002E0135" w:rsidRPr="00980785">
        <w:rPr>
          <w:b/>
          <w:bCs/>
          <w:sz w:val="22"/>
          <w:szCs w:val="22"/>
          <w:lang w:val="sr-Latn-ME"/>
        </w:rPr>
        <w:t xml:space="preserve"> (ekscipijenasa)</w:t>
      </w:r>
    </w:p>
    <w:p w14:paraId="27E8FF54" w14:textId="77777777" w:rsidR="007F441E" w:rsidRPr="00980785" w:rsidRDefault="007F441E">
      <w:pPr>
        <w:tabs>
          <w:tab w:val="left" w:pos="0"/>
        </w:tabs>
        <w:jc w:val="both"/>
        <w:rPr>
          <w:sz w:val="22"/>
          <w:szCs w:val="22"/>
          <w:lang w:val="sr-Latn-ME"/>
        </w:rPr>
      </w:pPr>
    </w:p>
    <w:p w14:paraId="15808AF7" w14:textId="0D80F94F" w:rsidR="007740CB" w:rsidRPr="00980785" w:rsidRDefault="007740CB">
      <w:pPr>
        <w:tabs>
          <w:tab w:val="left" w:pos="0"/>
        </w:tabs>
        <w:jc w:val="both"/>
        <w:rPr>
          <w:sz w:val="22"/>
          <w:szCs w:val="22"/>
          <w:lang w:val="sr-Latn-ME"/>
        </w:rPr>
      </w:pPr>
      <w:r w:rsidRPr="00980785">
        <w:rPr>
          <w:sz w:val="22"/>
          <w:szCs w:val="22"/>
          <w:lang w:val="sr-Latn-ME"/>
        </w:rPr>
        <w:t>Natrijum hlorid</w:t>
      </w:r>
    </w:p>
    <w:p w14:paraId="7F5FDA54" w14:textId="77777777" w:rsidR="007740CB" w:rsidRPr="00980785" w:rsidRDefault="007740CB">
      <w:pPr>
        <w:tabs>
          <w:tab w:val="left" w:pos="0"/>
        </w:tabs>
        <w:jc w:val="both"/>
        <w:rPr>
          <w:sz w:val="22"/>
          <w:szCs w:val="22"/>
          <w:lang w:val="sr-Latn-ME"/>
        </w:rPr>
      </w:pPr>
      <w:r w:rsidRPr="00980785">
        <w:rPr>
          <w:sz w:val="22"/>
          <w:szCs w:val="22"/>
          <w:lang w:val="sr-Latn-ME"/>
        </w:rPr>
        <w:t>Voda za injekcije</w:t>
      </w:r>
    </w:p>
    <w:p w14:paraId="1B47B5FD" w14:textId="77777777" w:rsidR="007740CB" w:rsidRPr="00980785" w:rsidRDefault="007740CB">
      <w:pPr>
        <w:tabs>
          <w:tab w:val="left" w:pos="0"/>
        </w:tabs>
        <w:jc w:val="both"/>
        <w:rPr>
          <w:sz w:val="22"/>
          <w:szCs w:val="22"/>
          <w:lang w:val="sr-Latn-ME"/>
        </w:rPr>
      </w:pPr>
    </w:p>
    <w:p w14:paraId="291D6CEC" w14:textId="161E295C" w:rsidR="007740CB" w:rsidRPr="00980785" w:rsidRDefault="007740CB">
      <w:pPr>
        <w:tabs>
          <w:tab w:val="left" w:pos="0"/>
        </w:tabs>
        <w:jc w:val="both"/>
        <w:rPr>
          <w:sz w:val="22"/>
          <w:szCs w:val="22"/>
          <w:lang w:val="sr-Latn-ME"/>
        </w:rPr>
      </w:pPr>
      <w:r w:rsidRPr="00980785">
        <w:rPr>
          <w:sz w:val="22"/>
          <w:szCs w:val="22"/>
          <w:lang w:val="sr-Latn-ME"/>
        </w:rPr>
        <w:t xml:space="preserve">Za adsorbens, vidjeti </w:t>
      </w:r>
      <w:r w:rsidR="00F87210" w:rsidRPr="00980785">
        <w:rPr>
          <w:sz w:val="22"/>
          <w:szCs w:val="22"/>
          <w:lang w:val="sr-Latn-ME"/>
        </w:rPr>
        <w:t>dio</w:t>
      </w:r>
      <w:r w:rsidRPr="00980785">
        <w:rPr>
          <w:sz w:val="22"/>
          <w:szCs w:val="22"/>
          <w:lang w:val="sr-Latn-ME"/>
        </w:rPr>
        <w:t xml:space="preserve"> 2.</w:t>
      </w:r>
    </w:p>
    <w:p w14:paraId="68E8748C" w14:textId="1318E237" w:rsidR="0072020E" w:rsidRPr="00980785" w:rsidRDefault="0072020E" w:rsidP="00290631">
      <w:pPr>
        <w:tabs>
          <w:tab w:val="left" w:pos="540"/>
          <w:tab w:val="left" w:pos="569"/>
        </w:tabs>
        <w:jc w:val="both"/>
        <w:rPr>
          <w:bCs/>
          <w:sz w:val="22"/>
          <w:szCs w:val="22"/>
          <w:lang w:val="sr-Latn-ME"/>
        </w:rPr>
      </w:pPr>
    </w:p>
    <w:p w14:paraId="38CBFE65" w14:textId="556FBB1A" w:rsidR="0072020E" w:rsidRPr="00980785" w:rsidRDefault="0072020E" w:rsidP="00290631">
      <w:pPr>
        <w:tabs>
          <w:tab w:val="left" w:pos="540"/>
          <w:tab w:val="left" w:pos="569"/>
        </w:tabs>
        <w:jc w:val="both"/>
        <w:rPr>
          <w:b/>
          <w:bCs/>
          <w:sz w:val="22"/>
          <w:szCs w:val="22"/>
          <w:lang w:val="sr-Latn-ME"/>
        </w:rPr>
      </w:pPr>
      <w:r w:rsidRPr="00980785">
        <w:rPr>
          <w:b/>
          <w:bCs/>
          <w:sz w:val="22"/>
          <w:szCs w:val="22"/>
          <w:lang w:val="sr-Latn-ME"/>
        </w:rPr>
        <w:t xml:space="preserve">6.2. </w:t>
      </w:r>
      <w:r w:rsidR="00480FB1" w:rsidRPr="00980785">
        <w:rPr>
          <w:b/>
          <w:bCs/>
          <w:sz w:val="22"/>
          <w:szCs w:val="22"/>
          <w:lang w:val="sr-Latn-ME"/>
        </w:rPr>
        <w:tab/>
      </w:r>
      <w:r w:rsidRPr="00980785">
        <w:rPr>
          <w:b/>
          <w:bCs/>
          <w:sz w:val="22"/>
          <w:szCs w:val="22"/>
          <w:lang w:val="sr-Latn-ME"/>
        </w:rPr>
        <w:t>Inkompatibilnost</w:t>
      </w:r>
      <w:r w:rsidR="002846DB" w:rsidRPr="00980785">
        <w:rPr>
          <w:b/>
          <w:bCs/>
          <w:sz w:val="22"/>
          <w:szCs w:val="22"/>
          <w:lang w:val="sr-Latn-ME"/>
        </w:rPr>
        <w:t>i</w:t>
      </w:r>
    </w:p>
    <w:p w14:paraId="3A69B3FB" w14:textId="77777777" w:rsidR="007F441E" w:rsidRPr="00980785" w:rsidRDefault="007F441E" w:rsidP="00290631">
      <w:pPr>
        <w:tabs>
          <w:tab w:val="left" w:pos="540"/>
          <w:tab w:val="left" w:pos="569"/>
        </w:tabs>
        <w:jc w:val="both"/>
        <w:rPr>
          <w:b/>
          <w:bCs/>
          <w:sz w:val="22"/>
          <w:szCs w:val="22"/>
          <w:lang w:val="sr-Latn-ME"/>
        </w:rPr>
      </w:pPr>
    </w:p>
    <w:p w14:paraId="04EB32E0" w14:textId="77777777" w:rsidR="007740CB" w:rsidRPr="00980785" w:rsidRDefault="007740CB" w:rsidP="00290631">
      <w:pPr>
        <w:jc w:val="both"/>
        <w:rPr>
          <w:sz w:val="22"/>
          <w:szCs w:val="22"/>
          <w:lang w:val="sr-Latn-ME"/>
        </w:rPr>
      </w:pPr>
      <w:r w:rsidRPr="00980785">
        <w:rPr>
          <w:sz w:val="22"/>
          <w:szCs w:val="22"/>
          <w:lang w:val="sr-Latn-ME"/>
        </w:rPr>
        <w:t>U nedostatku studija kompatibilnosti, vakcina se ne smije miješati sa drugim ljekovima.</w:t>
      </w:r>
    </w:p>
    <w:p w14:paraId="1013104D" w14:textId="77777777" w:rsidR="00980785" w:rsidRDefault="00980785" w:rsidP="00290631">
      <w:pPr>
        <w:tabs>
          <w:tab w:val="left" w:pos="540"/>
          <w:tab w:val="left" w:pos="569"/>
        </w:tabs>
        <w:jc w:val="both"/>
        <w:rPr>
          <w:b/>
          <w:bCs/>
          <w:sz w:val="22"/>
          <w:szCs w:val="22"/>
          <w:lang w:val="sr-Latn-ME"/>
        </w:rPr>
      </w:pPr>
    </w:p>
    <w:p w14:paraId="26A5BE82" w14:textId="1DEFB582" w:rsidR="0072020E" w:rsidRPr="00980785" w:rsidRDefault="0072020E" w:rsidP="00290631">
      <w:pPr>
        <w:tabs>
          <w:tab w:val="left" w:pos="540"/>
          <w:tab w:val="left" w:pos="569"/>
        </w:tabs>
        <w:jc w:val="both"/>
        <w:rPr>
          <w:b/>
          <w:bCs/>
          <w:sz w:val="22"/>
          <w:szCs w:val="22"/>
          <w:lang w:val="sr-Latn-ME"/>
        </w:rPr>
      </w:pPr>
      <w:r w:rsidRPr="00980785">
        <w:rPr>
          <w:b/>
          <w:bCs/>
          <w:sz w:val="22"/>
          <w:szCs w:val="22"/>
          <w:lang w:val="sr-Latn-ME"/>
        </w:rPr>
        <w:t>6.3.</w:t>
      </w:r>
      <w:r w:rsidR="00C05DF8" w:rsidRPr="00980785">
        <w:rPr>
          <w:b/>
          <w:bCs/>
          <w:sz w:val="22"/>
          <w:szCs w:val="22"/>
          <w:lang w:val="sr-Latn-ME"/>
        </w:rPr>
        <w:t xml:space="preserve"> </w:t>
      </w:r>
      <w:r w:rsidR="00480FB1" w:rsidRPr="00980785">
        <w:rPr>
          <w:b/>
          <w:bCs/>
          <w:sz w:val="22"/>
          <w:szCs w:val="22"/>
          <w:lang w:val="sr-Latn-ME"/>
        </w:rPr>
        <w:tab/>
      </w:r>
      <w:r w:rsidRPr="00980785">
        <w:rPr>
          <w:b/>
          <w:bCs/>
          <w:sz w:val="22"/>
          <w:szCs w:val="22"/>
          <w:lang w:val="sr-Latn-ME"/>
        </w:rPr>
        <w:t>Rok upotrebe</w:t>
      </w:r>
    </w:p>
    <w:p w14:paraId="751AAF16" w14:textId="77777777" w:rsidR="007F441E" w:rsidRPr="00980785" w:rsidRDefault="007F441E">
      <w:pPr>
        <w:jc w:val="both"/>
        <w:rPr>
          <w:sz w:val="22"/>
          <w:szCs w:val="22"/>
          <w:lang w:val="sr-Latn-ME"/>
        </w:rPr>
      </w:pPr>
    </w:p>
    <w:p w14:paraId="3F8A4DE1" w14:textId="0FA98331" w:rsidR="007740CB" w:rsidRPr="00980785" w:rsidRDefault="007740CB">
      <w:pPr>
        <w:jc w:val="both"/>
        <w:rPr>
          <w:sz w:val="22"/>
          <w:szCs w:val="22"/>
          <w:lang w:val="sr-Latn-ME"/>
        </w:rPr>
      </w:pPr>
      <w:r w:rsidRPr="00980785">
        <w:rPr>
          <w:sz w:val="22"/>
          <w:szCs w:val="22"/>
          <w:lang w:val="sr-Latn-ME"/>
        </w:rPr>
        <w:t>4 godine.</w:t>
      </w:r>
    </w:p>
    <w:p w14:paraId="37DA839C" w14:textId="77777777" w:rsidR="0072020E" w:rsidRPr="00980785" w:rsidRDefault="0072020E" w:rsidP="00290631">
      <w:pPr>
        <w:tabs>
          <w:tab w:val="left" w:pos="540"/>
          <w:tab w:val="left" w:pos="569"/>
        </w:tabs>
        <w:jc w:val="both"/>
        <w:rPr>
          <w:bCs/>
          <w:sz w:val="22"/>
          <w:szCs w:val="22"/>
          <w:lang w:val="sr-Latn-ME"/>
        </w:rPr>
      </w:pPr>
    </w:p>
    <w:p w14:paraId="54F7CD77" w14:textId="77777777" w:rsidR="0072020E" w:rsidRPr="00980785" w:rsidRDefault="0072020E" w:rsidP="00290631">
      <w:pPr>
        <w:tabs>
          <w:tab w:val="left" w:pos="540"/>
          <w:tab w:val="left" w:pos="569"/>
        </w:tabs>
        <w:jc w:val="both"/>
        <w:rPr>
          <w:b/>
          <w:bCs/>
          <w:sz w:val="22"/>
          <w:szCs w:val="22"/>
          <w:lang w:val="sr-Latn-ME"/>
        </w:rPr>
      </w:pPr>
      <w:r w:rsidRPr="00980785">
        <w:rPr>
          <w:b/>
          <w:bCs/>
          <w:sz w:val="22"/>
          <w:szCs w:val="22"/>
          <w:lang w:val="sr-Latn-ME"/>
        </w:rPr>
        <w:t xml:space="preserve">6.4. </w:t>
      </w:r>
      <w:r w:rsidR="00480FB1" w:rsidRPr="00980785">
        <w:rPr>
          <w:b/>
          <w:bCs/>
          <w:sz w:val="22"/>
          <w:szCs w:val="22"/>
          <w:lang w:val="sr-Latn-ME"/>
        </w:rPr>
        <w:tab/>
      </w:r>
      <w:r w:rsidRPr="00980785">
        <w:rPr>
          <w:b/>
          <w:bCs/>
          <w:sz w:val="22"/>
          <w:szCs w:val="22"/>
          <w:lang w:val="sr-Latn-ME"/>
        </w:rPr>
        <w:t>Posebne mjere upozorenja pri čuvanju</w:t>
      </w:r>
      <w:r w:rsidR="00F8570A" w:rsidRPr="00980785">
        <w:rPr>
          <w:b/>
          <w:bCs/>
          <w:sz w:val="22"/>
          <w:szCs w:val="22"/>
          <w:lang w:val="sr-Latn-ME"/>
        </w:rPr>
        <w:t xml:space="preserve"> lijeka</w:t>
      </w:r>
    </w:p>
    <w:p w14:paraId="28A6506A" w14:textId="77777777" w:rsidR="007F441E" w:rsidRPr="00980785" w:rsidRDefault="007F441E">
      <w:pPr>
        <w:pStyle w:val="Header"/>
        <w:jc w:val="both"/>
        <w:rPr>
          <w:noProof/>
          <w:sz w:val="22"/>
          <w:szCs w:val="22"/>
          <w:lang w:val="sr-Latn-ME"/>
        </w:rPr>
      </w:pPr>
    </w:p>
    <w:p w14:paraId="4192273F" w14:textId="09D417EB" w:rsidR="00D65B05" w:rsidRPr="00980785" w:rsidRDefault="00D65B05">
      <w:pPr>
        <w:pStyle w:val="Header"/>
        <w:jc w:val="both"/>
        <w:rPr>
          <w:noProof/>
          <w:sz w:val="22"/>
          <w:szCs w:val="22"/>
          <w:lang w:val="sr-Latn-ME" w:eastAsia="x-none"/>
        </w:rPr>
      </w:pPr>
      <w:r w:rsidRPr="00980785">
        <w:rPr>
          <w:noProof/>
          <w:sz w:val="22"/>
          <w:szCs w:val="22"/>
          <w:lang w:val="sr-Latn-ME"/>
        </w:rPr>
        <w:t>Čuvati u frižideru, na temperaturi od 2ºC do 8ºC.</w:t>
      </w:r>
    </w:p>
    <w:p w14:paraId="1EF86DA3" w14:textId="77777777" w:rsidR="00D65B05" w:rsidRPr="00980785" w:rsidRDefault="00D65B05">
      <w:pPr>
        <w:pStyle w:val="Header"/>
        <w:jc w:val="both"/>
        <w:rPr>
          <w:noProof/>
          <w:sz w:val="22"/>
          <w:szCs w:val="22"/>
          <w:lang w:val="sr-Latn-ME"/>
        </w:rPr>
      </w:pPr>
      <w:r w:rsidRPr="00980785">
        <w:rPr>
          <w:noProof/>
          <w:sz w:val="22"/>
          <w:szCs w:val="22"/>
          <w:lang w:val="sr-Latn-ME"/>
        </w:rPr>
        <w:t>Ne zamrzavati.</w:t>
      </w:r>
    </w:p>
    <w:p w14:paraId="3B92C036" w14:textId="5043F433" w:rsidR="00D65B05" w:rsidRPr="00980785" w:rsidRDefault="00D65B05">
      <w:pPr>
        <w:jc w:val="both"/>
        <w:rPr>
          <w:noProof/>
          <w:sz w:val="22"/>
          <w:szCs w:val="22"/>
          <w:lang w:val="sr-Latn-ME"/>
        </w:rPr>
      </w:pPr>
      <w:r w:rsidRPr="00980785">
        <w:rPr>
          <w:sz w:val="22"/>
          <w:szCs w:val="22"/>
          <w:lang w:val="sr-Latn-ME"/>
        </w:rPr>
        <w:t xml:space="preserve">Čuvati u originalnom pakovanju </w:t>
      </w:r>
      <w:r w:rsidR="007F441E" w:rsidRPr="00980785">
        <w:rPr>
          <w:sz w:val="22"/>
          <w:szCs w:val="22"/>
          <w:lang w:val="sr-Latn-ME"/>
        </w:rPr>
        <w:t>radi</w:t>
      </w:r>
      <w:r w:rsidRPr="00980785">
        <w:rPr>
          <w:sz w:val="22"/>
          <w:szCs w:val="22"/>
          <w:lang w:val="sr-Latn-ME"/>
        </w:rPr>
        <w:t xml:space="preserve"> zaštit</w:t>
      </w:r>
      <w:r w:rsidR="007F441E" w:rsidRPr="00980785">
        <w:rPr>
          <w:sz w:val="22"/>
          <w:szCs w:val="22"/>
          <w:lang w:val="sr-Latn-ME"/>
        </w:rPr>
        <w:t>e</w:t>
      </w:r>
      <w:r w:rsidRPr="00980785">
        <w:rPr>
          <w:sz w:val="22"/>
          <w:szCs w:val="22"/>
          <w:lang w:val="sr-Latn-ME"/>
        </w:rPr>
        <w:t xml:space="preserve"> od svjetlosti.</w:t>
      </w:r>
    </w:p>
    <w:p w14:paraId="07E4A1BA" w14:textId="77777777" w:rsidR="00EC2532" w:rsidRPr="00980785" w:rsidRDefault="00EC2532" w:rsidP="00290631">
      <w:pPr>
        <w:tabs>
          <w:tab w:val="left" w:pos="540"/>
          <w:tab w:val="left" w:pos="569"/>
        </w:tabs>
        <w:jc w:val="both"/>
        <w:rPr>
          <w:bCs/>
          <w:sz w:val="22"/>
          <w:szCs w:val="22"/>
          <w:lang w:val="sr-Latn-ME"/>
        </w:rPr>
      </w:pPr>
    </w:p>
    <w:p w14:paraId="691D0255" w14:textId="7B664B04" w:rsidR="00D65B05" w:rsidRPr="00980785" w:rsidRDefault="0072020E" w:rsidP="00290631">
      <w:pPr>
        <w:tabs>
          <w:tab w:val="left" w:pos="540"/>
          <w:tab w:val="left" w:pos="569"/>
        </w:tabs>
        <w:jc w:val="both"/>
        <w:rPr>
          <w:b/>
          <w:bCs/>
          <w:sz w:val="22"/>
          <w:szCs w:val="22"/>
          <w:lang w:val="sr-Latn-ME"/>
        </w:rPr>
      </w:pPr>
      <w:r w:rsidRPr="00980785">
        <w:rPr>
          <w:b/>
          <w:bCs/>
          <w:sz w:val="22"/>
          <w:szCs w:val="22"/>
          <w:lang w:val="sr-Latn-ME"/>
        </w:rPr>
        <w:t xml:space="preserve">6.5. </w:t>
      </w:r>
      <w:r w:rsidR="00480FB1" w:rsidRPr="00980785">
        <w:rPr>
          <w:b/>
          <w:bCs/>
          <w:sz w:val="22"/>
          <w:szCs w:val="22"/>
          <w:lang w:val="sr-Latn-ME"/>
        </w:rPr>
        <w:tab/>
      </w:r>
      <w:r w:rsidR="002846DB" w:rsidRPr="00980785">
        <w:rPr>
          <w:b/>
          <w:bCs/>
          <w:sz w:val="22"/>
          <w:szCs w:val="22"/>
          <w:lang w:val="sr-Latn-ME"/>
        </w:rPr>
        <w:t xml:space="preserve">Vrsta i sadržaj </w:t>
      </w:r>
      <w:r w:rsidR="00F8570A" w:rsidRPr="00980785">
        <w:rPr>
          <w:b/>
          <w:bCs/>
          <w:sz w:val="22"/>
          <w:szCs w:val="22"/>
          <w:lang w:val="sr-Latn-ME"/>
        </w:rPr>
        <w:t>pakovanja</w:t>
      </w:r>
      <w:r w:rsidR="00C06864" w:rsidRPr="00980785">
        <w:rPr>
          <w:b/>
          <w:bCs/>
          <w:sz w:val="22"/>
          <w:szCs w:val="22"/>
          <w:lang w:val="sr-Latn-ME"/>
        </w:rPr>
        <w:t xml:space="preserve"> </w:t>
      </w:r>
    </w:p>
    <w:p w14:paraId="1E58CB9F" w14:textId="77777777" w:rsidR="007F441E" w:rsidRPr="00980785" w:rsidRDefault="007F441E" w:rsidP="00290631">
      <w:pPr>
        <w:tabs>
          <w:tab w:val="left" w:pos="540"/>
          <w:tab w:val="left" w:pos="569"/>
        </w:tabs>
        <w:jc w:val="both"/>
        <w:rPr>
          <w:b/>
          <w:bCs/>
          <w:sz w:val="22"/>
          <w:szCs w:val="22"/>
          <w:lang w:val="sr-Latn-ME"/>
        </w:rPr>
      </w:pPr>
    </w:p>
    <w:p w14:paraId="7E11B690" w14:textId="77777777" w:rsidR="00046B01" w:rsidRDefault="00046B01" w:rsidP="007F441E">
      <w:pPr>
        <w:tabs>
          <w:tab w:val="left" w:pos="540"/>
          <w:tab w:val="left" w:pos="569"/>
        </w:tabs>
        <w:jc w:val="both"/>
        <w:rPr>
          <w:bCs/>
          <w:noProof/>
          <w:sz w:val="22"/>
          <w:szCs w:val="22"/>
          <w:lang w:val="sr-Latn-ME"/>
        </w:rPr>
      </w:pPr>
    </w:p>
    <w:p w14:paraId="61EE06C4" w14:textId="5FF967D8" w:rsidR="007F441E" w:rsidRPr="00980785" w:rsidRDefault="007F441E" w:rsidP="007F441E">
      <w:pPr>
        <w:tabs>
          <w:tab w:val="left" w:pos="540"/>
          <w:tab w:val="left" w:pos="569"/>
        </w:tabs>
        <w:jc w:val="both"/>
        <w:rPr>
          <w:bCs/>
          <w:noProof/>
          <w:sz w:val="22"/>
          <w:szCs w:val="22"/>
          <w:lang w:val="sr-Latn-ME"/>
        </w:rPr>
      </w:pPr>
      <w:r w:rsidRPr="00980785">
        <w:rPr>
          <w:bCs/>
          <w:noProof/>
          <w:sz w:val="22"/>
          <w:szCs w:val="22"/>
          <w:lang w:val="sr-Latn-ME"/>
        </w:rPr>
        <w:lastRenderedPageBreak/>
        <w:t>Unutrašnje pakovanje lijeka je napunjeni injekcioni špric (staklo tip I) sa zapušačem od butil gume.</w:t>
      </w:r>
    </w:p>
    <w:p w14:paraId="03866C11" w14:textId="02DA0BD0" w:rsidR="007F441E" w:rsidRPr="00980785" w:rsidRDefault="007F441E" w:rsidP="007F441E">
      <w:pPr>
        <w:tabs>
          <w:tab w:val="left" w:pos="540"/>
          <w:tab w:val="left" w:pos="569"/>
        </w:tabs>
        <w:jc w:val="both"/>
        <w:rPr>
          <w:bCs/>
          <w:noProof/>
          <w:sz w:val="22"/>
          <w:szCs w:val="22"/>
          <w:lang w:val="sr-Latn-ME"/>
        </w:rPr>
      </w:pPr>
      <w:r w:rsidRPr="00980785">
        <w:rPr>
          <w:bCs/>
          <w:noProof/>
          <w:sz w:val="22"/>
          <w:szCs w:val="22"/>
          <w:lang w:val="sr-Latn-ME"/>
        </w:rPr>
        <w:t>Spoljašnje pakovanje lijeka je složiva kartonska kutija u kojoj se nalazi jedan napunjeni injekcioni špric</w:t>
      </w:r>
    </w:p>
    <w:p w14:paraId="15609760" w14:textId="248B2C78" w:rsidR="007F441E" w:rsidRPr="00980785" w:rsidRDefault="007F441E" w:rsidP="00290631">
      <w:pPr>
        <w:tabs>
          <w:tab w:val="left" w:pos="540"/>
          <w:tab w:val="left" w:pos="569"/>
        </w:tabs>
        <w:jc w:val="both"/>
        <w:rPr>
          <w:bCs/>
          <w:noProof/>
          <w:sz w:val="22"/>
          <w:szCs w:val="22"/>
          <w:lang w:val="sr-Latn-ME"/>
        </w:rPr>
      </w:pPr>
      <w:r w:rsidRPr="00980785">
        <w:rPr>
          <w:bCs/>
          <w:noProof/>
          <w:sz w:val="22"/>
          <w:szCs w:val="22"/>
          <w:lang w:val="sr-Latn-ME"/>
        </w:rPr>
        <w:t>(staklo tip I) sa 0,5 ml suspenzije i sa zapušačem od butil gume, 1 igla i Uputstvo za l</w:t>
      </w:r>
      <w:r w:rsidR="009D5A30" w:rsidRPr="00980785">
        <w:rPr>
          <w:bCs/>
          <w:noProof/>
          <w:sz w:val="22"/>
          <w:szCs w:val="22"/>
          <w:lang w:val="sr-Latn-ME"/>
        </w:rPr>
        <w:t>ij</w:t>
      </w:r>
      <w:r w:rsidRPr="00980785">
        <w:rPr>
          <w:bCs/>
          <w:noProof/>
          <w:sz w:val="22"/>
          <w:szCs w:val="22"/>
          <w:lang w:val="sr-Latn-ME"/>
        </w:rPr>
        <w:t>ek.</w:t>
      </w:r>
      <w:r w:rsidRPr="00980785" w:rsidDel="007F441E">
        <w:rPr>
          <w:bCs/>
          <w:noProof/>
          <w:sz w:val="22"/>
          <w:szCs w:val="22"/>
          <w:lang w:val="sr-Latn-ME"/>
        </w:rPr>
        <w:t xml:space="preserve"> </w:t>
      </w:r>
    </w:p>
    <w:p w14:paraId="331D504E" w14:textId="77777777" w:rsidR="0072020E" w:rsidRPr="00980785" w:rsidRDefault="0072020E" w:rsidP="00290631">
      <w:pPr>
        <w:tabs>
          <w:tab w:val="left" w:pos="540"/>
          <w:tab w:val="left" w:pos="569"/>
        </w:tabs>
        <w:jc w:val="both"/>
        <w:rPr>
          <w:bCs/>
          <w:sz w:val="22"/>
          <w:szCs w:val="22"/>
          <w:lang w:val="sr-Latn-ME"/>
        </w:rPr>
      </w:pPr>
    </w:p>
    <w:p w14:paraId="069E96BB" w14:textId="3CAC30F1" w:rsidR="002846DB" w:rsidRPr="00980785" w:rsidRDefault="0072020E" w:rsidP="00290631">
      <w:pPr>
        <w:tabs>
          <w:tab w:val="left" w:pos="540"/>
          <w:tab w:val="left" w:pos="569"/>
        </w:tabs>
        <w:jc w:val="both"/>
        <w:rPr>
          <w:b/>
          <w:bCs/>
          <w:sz w:val="22"/>
          <w:szCs w:val="22"/>
          <w:lang w:val="sr-Latn-ME"/>
        </w:rPr>
      </w:pPr>
      <w:r w:rsidRPr="00980785">
        <w:rPr>
          <w:b/>
          <w:bCs/>
          <w:sz w:val="22"/>
          <w:szCs w:val="22"/>
          <w:lang w:val="sr-Latn-ME"/>
        </w:rPr>
        <w:t xml:space="preserve">6.6. </w:t>
      </w:r>
      <w:r w:rsidR="00480FB1" w:rsidRPr="00980785">
        <w:rPr>
          <w:b/>
          <w:bCs/>
          <w:sz w:val="22"/>
          <w:szCs w:val="22"/>
          <w:lang w:val="sr-Latn-ME"/>
        </w:rPr>
        <w:tab/>
      </w:r>
      <w:r w:rsidRPr="00980785">
        <w:rPr>
          <w:b/>
          <w:bCs/>
          <w:color w:val="000000"/>
          <w:sz w:val="22"/>
          <w:szCs w:val="22"/>
          <w:lang w:val="sr-Latn-ME"/>
        </w:rPr>
        <w:t>Posebne mjere opreza pri odlaganju materijala koji treba odbaciti nakon primjene lijeka</w:t>
      </w:r>
      <w:r w:rsidRPr="00980785">
        <w:rPr>
          <w:b/>
          <w:bCs/>
          <w:sz w:val="22"/>
          <w:szCs w:val="22"/>
          <w:lang w:val="sr-Latn-ME"/>
        </w:rPr>
        <w:t xml:space="preserve"> </w:t>
      </w:r>
      <w:r w:rsidR="00310F03" w:rsidRPr="00980785">
        <w:rPr>
          <w:b/>
          <w:bCs/>
          <w:sz w:val="22"/>
          <w:szCs w:val="22"/>
          <w:lang w:val="sr-Latn-ME"/>
        </w:rPr>
        <w:t xml:space="preserve">(i druga uputsva za rukovanje lijekom) </w:t>
      </w:r>
    </w:p>
    <w:p w14:paraId="34DE5B67" w14:textId="77777777" w:rsidR="00961133" w:rsidRPr="00980785" w:rsidRDefault="00961133" w:rsidP="00290631">
      <w:pPr>
        <w:tabs>
          <w:tab w:val="left" w:pos="540"/>
          <w:tab w:val="left" w:pos="569"/>
        </w:tabs>
        <w:jc w:val="both"/>
        <w:rPr>
          <w:bCs/>
          <w:sz w:val="22"/>
          <w:szCs w:val="22"/>
          <w:u w:val="single"/>
          <w:lang w:val="sr-Latn-ME"/>
        </w:rPr>
      </w:pPr>
    </w:p>
    <w:p w14:paraId="0D0947F9" w14:textId="4BFDDA2B" w:rsidR="00C440D3" w:rsidRPr="00980785" w:rsidRDefault="00C440D3">
      <w:pPr>
        <w:pStyle w:val="Header"/>
        <w:tabs>
          <w:tab w:val="left" w:pos="284"/>
        </w:tabs>
        <w:jc w:val="both"/>
        <w:rPr>
          <w:sz w:val="22"/>
          <w:szCs w:val="22"/>
          <w:lang w:val="sr-Latn-ME" w:eastAsia="x-none"/>
        </w:rPr>
      </w:pPr>
      <w:r w:rsidRPr="00980785">
        <w:rPr>
          <w:sz w:val="22"/>
          <w:szCs w:val="22"/>
          <w:lang w:val="sr-Latn-ME"/>
        </w:rPr>
        <w:t xml:space="preserve">Bijeli talog sa bistrim, bezbojnim supernatantom se može uočiti tokom čuvanja vakcine u napunjenom injekcionom špricu. Ovo ne predstavlja znak </w:t>
      </w:r>
      <w:r w:rsidR="001B0D3A" w:rsidRPr="00980785">
        <w:rPr>
          <w:sz w:val="22"/>
          <w:szCs w:val="22"/>
          <w:lang w:val="sr-Latn-ME"/>
        </w:rPr>
        <w:t xml:space="preserve">neispravnosti </w:t>
      </w:r>
      <w:r w:rsidRPr="00980785">
        <w:rPr>
          <w:sz w:val="22"/>
          <w:szCs w:val="22"/>
          <w:lang w:val="sr-Latn-ME"/>
        </w:rPr>
        <w:t>vakcine.</w:t>
      </w:r>
    </w:p>
    <w:p w14:paraId="381ACC3C" w14:textId="77777777" w:rsidR="00C440D3" w:rsidRPr="00980785" w:rsidRDefault="00C440D3">
      <w:pPr>
        <w:pStyle w:val="Header"/>
        <w:tabs>
          <w:tab w:val="left" w:pos="284"/>
        </w:tabs>
        <w:jc w:val="both"/>
        <w:rPr>
          <w:sz w:val="22"/>
          <w:szCs w:val="22"/>
          <w:lang w:val="sr-Latn-ME"/>
        </w:rPr>
      </w:pPr>
    </w:p>
    <w:p w14:paraId="7719FD26" w14:textId="175D4075" w:rsidR="00C440D3" w:rsidRPr="00980785" w:rsidRDefault="00C440D3">
      <w:pPr>
        <w:pStyle w:val="Header"/>
        <w:tabs>
          <w:tab w:val="left" w:pos="284"/>
        </w:tabs>
        <w:jc w:val="both"/>
        <w:rPr>
          <w:sz w:val="22"/>
          <w:szCs w:val="22"/>
          <w:lang w:val="sr-Latn-ME"/>
        </w:rPr>
      </w:pPr>
      <w:r w:rsidRPr="00980785">
        <w:rPr>
          <w:sz w:val="22"/>
          <w:szCs w:val="22"/>
          <w:lang w:val="sr-Latn-ME"/>
        </w:rPr>
        <w:t>Sadržaj napunjenog injekcionog šprica treba ispitati vizuelno kako prije, tako i nakon što se promućka, na prisustvo stranih čestica i/ili neuobičajen</w:t>
      </w:r>
      <w:r w:rsidR="00961133" w:rsidRPr="00980785">
        <w:rPr>
          <w:sz w:val="22"/>
          <w:szCs w:val="22"/>
          <w:lang w:val="sr-Latn-ME"/>
        </w:rPr>
        <w:t>og</w:t>
      </w:r>
      <w:r w:rsidRPr="00980785">
        <w:rPr>
          <w:sz w:val="22"/>
          <w:szCs w:val="22"/>
          <w:lang w:val="sr-Latn-ME"/>
        </w:rPr>
        <w:t xml:space="preserve"> </w:t>
      </w:r>
      <w:r w:rsidR="00961133" w:rsidRPr="00980785">
        <w:rPr>
          <w:sz w:val="22"/>
          <w:szCs w:val="22"/>
          <w:lang w:val="sr-Latn-ME"/>
        </w:rPr>
        <w:t>izgleda</w:t>
      </w:r>
      <w:r w:rsidRPr="00980785">
        <w:rPr>
          <w:sz w:val="22"/>
          <w:szCs w:val="22"/>
          <w:lang w:val="sr-Latn-ME"/>
        </w:rPr>
        <w:t xml:space="preserve"> prije primjene vakcine. Ukoliko se bilo št</w:t>
      </w:r>
      <w:r w:rsidR="001B0D3A" w:rsidRPr="00980785">
        <w:rPr>
          <w:sz w:val="22"/>
          <w:szCs w:val="22"/>
          <w:lang w:val="sr-Latn-ME"/>
        </w:rPr>
        <w:t>a</w:t>
      </w:r>
      <w:r w:rsidRPr="00980785">
        <w:rPr>
          <w:sz w:val="22"/>
          <w:szCs w:val="22"/>
          <w:lang w:val="sr-Latn-ME"/>
        </w:rPr>
        <w:t xml:space="preserve"> od ovoga uoči, vakcinu treba odbaciti.</w:t>
      </w:r>
    </w:p>
    <w:p w14:paraId="3B119577" w14:textId="77777777" w:rsidR="00C440D3" w:rsidRPr="00980785" w:rsidRDefault="00C440D3">
      <w:pPr>
        <w:pStyle w:val="Header"/>
        <w:tabs>
          <w:tab w:val="left" w:pos="284"/>
        </w:tabs>
        <w:jc w:val="both"/>
        <w:rPr>
          <w:sz w:val="22"/>
          <w:szCs w:val="22"/>
          <w:lang w:val="sr-Latn-ME"/>
        </w:rPr>
      </w:pPr>
    </w:p>
    <w:p w14:paraId="2C9FB70C" w14:textId="77777777" w:rsidR="00C440D3" w:rsidRPr="00980785" w:rsidRDefault="00C440D3">
      <w:pPr>
        <w:pStyle w:val="Header"/>
        <w:tabs>
          <w:tab w:val="left" w:pos="284"/>
        </w:tabs>
        <w:jc w:val="both"/>
        <w:rPr>
          <w:sz w:val="22"/>
          <w:szCs w:val="22"/>
          <w:lang w:val="sr-Latn-ME"/>
        </w:rPr>
      </w:pPr>
      <w:r w:rsidRPr="00980785">
        <w:rPr>
          <w:sz w:val="22"/>
          <w:szCs w:val="22"/>
          <w:lang w:val="sr-Latn-ME"/>
        </w:rPr>
        <w:t>Vakcina treba da dostigne sobnu temperaturu prije primjene.</w:t>
      </w:r>
    </w:p>
    <w:p w14:paraId="063DFF69" w14:textId="77777777" w:rsidR="00C440D3" w:rsidRPr="00980785" w:rsidRDefault="00C440D3">
      <w:pPr>
        <w:pStyle w:val="Header"/>
        <w:tabs>
          <w:tab w:val="left" w:pos="284"/>
        </w:tabs>
        <w:jc w:val="both"/>
        <w:rPr>
          <w:sz w:val="22"/>
          <w:szCs w:val="22"/>
          <w:lang w:val="sr-Latn-ME"/>
        </w:rPr>
      </w:pPr>
    </w:p>
    <w:p w14:paraId="137C0D87" w14:textId="77777777" w:rsidR="00C440D3" w:rsidRPr="00980785" w:rsidRDefault="00C440D3">
      <w:pPr>
        <w:pStyle w:val="Header"/>
        <w:tabs>
          <w:tab w:val="left" w:pos="284"/>
        </w:tabs>
        <w:jc w:val="both"/>
        <w:rPr>
          <w:sz w:val="22"/>
          <w:szCs w:val="22"/>
          <w:lang w:val="sr-Latn-ME"/>
        </w:rPr>
      </w:pPr>
      <w:r w:rsidRPr="00980785">
        <w:rPr>
          <w:sz w:val="22"/>
          <w:szCs w:val="22"/>
          <w:lang w:val="sr-Latn-ME"/>
        </w:rPr>
        <w:t>Vakcinu treba dobro promućkati prije upotrebe.</w:t>
      </w:r>
    </w:p>
    <w:p w14:paraId="34894E41" w14:textId="5257F74C" w:rsidR="001B0D3A" w:rsidRPr="00980785" w:rsidRDefault="001B0D3A" w:rsidP="00290631">
      <w:pPr>
        <w:pStyle w:val="Header"/>
        <w:tabs>
          <w:tab w:val="left" w:pos="284"/>
        </w:tabs>
        <w:jc w:val="both"/>
        <w:rPr>
          <w:sz w:val="22"/>
          <w:szCs w:val="22"/>
          <w:lang w:val="sr-Latn-ME"/>
        </w:rPr>
      </w:pPr>
    </w:p>
    <w:p w14:paraId="1332D6AE" w14:textId="77777777" w:rsidR="00C440D3" w:rsidRPr="00980785" w:rsidRDefault="00C440D3" w:rsidP="00290631">
      <w:pPr>
        <w:jc w:val="both"/>
        <w:rPr>
          <w:i/>
          <w:sz w:val="22"/>
          <w:szCs w:val="22"/>
          <w:u w:val="single"/>
          <w:lang w:val="sr-Latn-ME"/>
        </w:rPr>
      </w:pPr>
      <w:r w:rsidRPr="00980785">
        <w:rPr>
          <w:i/>
          <w:sz w:val="22"/>
          <w:szCs w:val="22"/>
          <w:lang w:val="sr-Latn-ME"/>
        </w:rPr>
        <w:t>U</w:t>
      </w:r>
      <w:r w:rsidRPr="00980785">
        <w:rPr>
          <w:i/>
          <w:sz w:val="22"/>
          <w:szCs w:val="22"/>
          <w:u w:val="single"/>
          <w:lang w:val="sr-Latn-ME"/>
        </w:rPr>
        <w:t>putstvo za primjenu vakcine u napunjenom injekcionom špricu</w:t>
      </w:r>
    </w:p>
    <w:p w14:paraId="2062982C" w14:textId="77777777" w:rsidR="00C440D3" w:rsidRPr="00980785" w:rsidRDefault="00C440D3" w:rsidP="00290631">
      <w:pPr>
        <w:jc w:val="both"/>
        <w:rPr>
          <w:sz w:val="22"/>
          <w:szCs w:val="22"/>
          <w:lang w:val="sr-Latn-ME"/>
        </w:rPr>
      </w:pPr>
    </w:p>
    <w:p w14:paraId="6654C7C2" w14:textId="77777777" w:rsidR="00C440D3" w:rsidRPr="00980785" w:rsidRDefault="00C440D3" w:rsidP="00290631">
      <w:pPr>
        <w:jc w:val="both"/>
        <w:rPr>
          <w:sz w:val="22"/>
          <w:szCs w:val="22"/>
          <w:lang w:val="sr-Latn-ME"/>
        </w:rPr>
      </w:pPr>
      <w:r w:rsidRPr="00980785">
        <w:rPr>
          <w:noProof/>
          <w:sz w:val="22"/>
          <w:szCs w:val="22"/>
          <w:lang w:val="sr-Latn-ME" w:eastAsia="sr-Latn-ME"/>
        </w:rPr>
        <w:drawing>
          <wp:anchor distT="0" distB="0" distL="114300" distR="114300" simplePos="0" relativeHeight="251653120" behindDoc="1" locked="0" layoutInCell="1" allowOverlap="1" wp14:anchorId="4B1A4C7E" wp14:editId="4AF55A03">
            <wp:simplePos x="0" y="0"/>
            <wp:positionH relativeFrom="column">
              <wp:posOffset>3723005</wp:posOffset>
            </wp:positionH>
            <wp:positionV relativeFrom="paragraph">
              <wp:posOffset>38735</wp:posOffset>
            </wp:positionV>
            <wp:extent cx="1771650" cy="9334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1650" cy="933450"/>
                    </a:xfrm>
                    <a:prstGeom prst="rect">
                      <a:avLst/>
                    </a:prstGeom>
                    <a:noFill/>
                  </pic:spPr>
                </pic:pic>
              </a:graphicData>
            </a:graphic>
            <wp14:sizeRelH relativeFrom="page">
              <wp14:pctWidth>0</wp14:pctWidth>
            </wp14:sizeRelH>
            <wp14:sizeRelV relativeFrom="page">
              <wp14:pctHeight>0</wp14:pctHeight>
            </wp14:sizeRelV>
          </wp:anchor>
        </w:drawing>
      </w:r>
    </w:p>
    <w:p w14:paraId="5D8039DD" w14:textId="64D94DAF" w:rsidR="00C440D3" w:rsidRPr="00980785" w:rsidRDefault="00C440D3" w:rsidP="00290631">
      <w:pPr>
        <w:numPr>
          <w:ilvl w:val="0"/>
          <w:numId w:val="17"/>
        </w:numPr>
        <w:jc w:val="both"/>
        <w:rPr>
          <w:sz w:val="22"/>
          <w:szCs w:val="22"/>
          <w:lang w:val="sr-Latn-ME"/>
        </w:rPr>
      </w:pPr>
      <w:r w:rsidRPr="00980785">
        <w:rPr>
          <w:sz w:val="22"/>
          <w:szCs w:val="22"/>
          <w:lang w:val="sr-Latn-ME"/>
        </w:rPr>
        <w:t>Držeći</w:t>
      </w:r>
      <w:r w:rsidRPr="00980785">
        <w:rPr>
          <w:b/>
          <w:sz w:val="22"/>
          <w:szCs w:val="22"/>
          <w:lang w:val="sr-Latn-ME"/>
        </w:rPr>
        <w:t xml:space="preserve"> </w:t>
      </w:r>
      <w:r w:rsidR="001B0D3A" w:rsidRPr="00980785">
        <w:rPr>
          <w:sz w:val="22"/>
          <w:szCs w:val="22"/>
          <w:lang w:val="sr-Latn-ME"/>
        </w:rPr>
        <w:t>tijelo</w:t>
      </w:r>
      <w:r w:rsidRPr="00980785">
        <w:rPr>
          <w:sz w:val="22"/>
          <w:szCs w:val="22"/>
          <w:lang w:val="sr-Latn-ME"/>
        </w:rPr>
        <w:t xml:space="preserve"> šprica u jed</w:t>
      </w:r>
      <w:r w:rsidR="000B142E" w:rsidRPr="00980785">
        <w:rPr>
          <w:sz w:val="22"/>
          <w:szCs w:val="22"/>
          <w:lang w:val="sr-Latn-ME"/>
        </w:rPr>
        <w:t>n</w:t>
      </w:r>
      <w:r w:rsidRPr="00980785">
        <w:rPr>
          <w:sz w:val="22"/>
          <w:szCs w:val="22"/>
          <w:lang w:val="sr-Latn-ME"/>
        </w:rPr>
        <w:t xml:space="preserve">oj ruci </w:t>
      </w:r>
    </w:p>
    <w:p w14:paraId="1B38ABB4" w14:textId="057B05A5" w:rsidR="00C440D3" w:rsidRPr="00980785" w:rsidRDefault="00C440D3" w:rsidP="00290631">
      <w:pPr>
        <w:jc w:val="both"/>
        <w:rPr>
          <w:sz w:val="22"/>
          <w:szCs w:val="22"/>
          <w:lang w:val="sr-Latn-ME"/>
        </w:rPr>
      </w:pPr>
      <w:r w:rsidRPr="00980785">
        <w:rPr>
          <w:noProof/>
          <w:sz w:val="22"/>
          <w:szCs w:val="22"/>
          <w:lang w:val="sr-Latn-ME" w:eastAsia="sr-Latn-ME"/>
        </w:rPr>
        <mc:AlternateContent>
          <mc:Choice Requires="wps">
            <w:drawing>
              <wp:anchor distT="0" distB="0" distL="114300" distR="114300" simplePos="0" relativeHeight="251654144" behindDoc="0" locked="0" layoutInCell="1" allowOverlap="1" wp14:anchorId="418AEF92" wp14:editId="0A157CA6">
                <wp:simplePos x="0" y="0"/>
                <wp:positionH relativeFrom="column">
                  <wp:posOffset>3698240</wp:posOffset>
                </wp:positionH>
                <wp:positionV relativeFrom="paragraph">
                  <wp:posOffset>75565</wp:posOffset>
                </wp:positionV>
                <wp:extent cx="253365" cy="346710"/>
                <wp:effectExtent l="0" t="38100" r="51435" b="1524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3365" cy="34671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B6A729" id="Straight Connector 11"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2pt,5.95pt" to="311.1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">
                <v:stroke endarrow="classic"/>
              </v:line>
            </w:pict>
          </mc:Fallback>
        </mc:AlternateContent>
      </w:r>
      <w:r w:rsidRPr="00980785">
        <w:rPr>
          <w:sz w:val="22"/>
          <w:szCs w:val="22"/>
          <w:lang w:val="sr-Latn-ME"/>
        </w:rPr>
        <w:t xml:space="preserve">     </w:t>
      </w:r>
      <w:r w:rsidR="00967242" w:rsidRPr="00980785">
        <w:rPr>
          <w:sz w:val="22"/>
          <w:szCs w:val="22"/>
          <w:lang w:val="sr-Latn-ME"/>
        </w:rPr>
        <w:t xml:space="preserve"> </w:t>
      </w:r>
      <w:r w:rsidRPr="00980785">
        <w:rPr>
          <w:sz w:val="22"/>
          <w:szCs w:val="22"/>
          <w:lang w:val="sr-Latn-ME"/>
        </w:rPr>
        <w:t>(izbje</w:t>
      </w:r>
      <w:r w:rsidR="001B0D3A" w:rsidRPr="00980785">
        <w:rPr>
          <w:sz w:val="22"/>
          <w:szCs w:val="22"/>
          <w:lang w:val="sr-Latn-ME"/>
        </w:rPr>
        <w:t>gavati</w:t>
      </w:r>
      <w:r w:rsidRPr="00980785">
        <w:rPr>
          <w:sz w:val="22"/>
          <w:szCs w:val="22"/>
          <w:lang w:val="sr-Latn-ME"/>
        </w:rPr>
        <w:t xml:space="preserve"> držanje</w:t>
      </w:r>
      <w:r w:rsidR="001B0D3A" w:rsidRPr="00980785">
        <w:rPr>
          <w:sz w:val="22"/>
          <w:szCs w:val="22"/>
          <w:lang w:val="sr-Latn-ME"/>
        </w:rPr>
        <w:t xml:space="preserve"> za</w:t>
      </w:r>
      <w:r w:rsidRPr="00980785">
        <w:rPr>
          <w:sz w:val="22"/>
          <w:szCs w:val="22"/>
          <w:lang w:val="sr-Latn-ME"/>
        </w:rPr>
        <w:t xml:space="preserve"> klip),</w:t>
      </w:r>
    </w:p>
    <w:p w14:paraId="58D3EC1A" w14:textId="24D496AE" w:rsidR="001B0D3A" w:rsidRPr="00980785" w:rsidRDefault="00C440D3" w:rsidP="00290631">
      <w:pPr>
        <w:jc w:val="both"/>
        <w:rPr>
          <w:sz w:val="22"/>
          <w:szCs w:val="22"/>
          <w:lang w:val="sr-Latn-ME"/>
        </w:rPr>
      </w:pPr>
      <w:r w:rsidRPr="00980785">
        <w:rPr>
          <w:sz w:val="22"/>
          <w:szCs w:val="22"/>
          <w:lang w:val="sr-Latn-ME"/>
        </w:rPr>
        <w:t xml:space="preserve">    </w:t>
      </w:r>
      <w:r w:rsidR="001B0D3A" w:rsidRPr="00980785">
        <w:rPr>
          <w:sz w:val="22"/>
          <w:szCs w:val="22"/>
          <w:lang w:val="sr-Latn-ME"/>
        </w:rPr>
        <w:t xml:space="preserve"> </w:t>
      </w:r>
      <w:r w:rsidRPr="00980785">
        <w:rPr>
          <w:sz w:val="22"/>
          <w:szCs w:val="22"/>
          <w:lang w:val="sr-Latn-ME"/>
        </w:rPr>
        <w:t xml:space="preserve"> odvrnuti </w:t>
      </w:r>
      <w:r w:rsidR="001B0D3A" w:rsidRPr="00980785">
        <w:rPr>
          <w:sz w:val="22"/>
          <w:szCs w:val="22"/>
          <w:lang w:val="sr-Latn-ME"/>
        </w:rPr>
        <w:t>zatvarač</w:t>
      </w:r>
      <w:r w:rsidRPr="00980785">
        <w:rPr>
          <w:sz w:val="22"/>
          <w:szCs w:val="22"/>
          <w:lang w:val="sr-Latn-ME"/>
        </w:rPr>
        <w:t xml:space="preserve"> šprica</w:t>
      </w:r>
      <w:r w:rsidR="001B0D3A" w:rsidRPr="00980785">
        <w:rPr>
          <w:sz w:val="22"/>
          <w:szCs w:val="22"/>
          <w:lang w:val="sr-Latn-ME"/>
        </w:rPr>
        <w:t xml:space="preserve"> okretanjem </w:t>
      </w:r>
    </w:p>
    <w:p w14:paraId="28CB3F14" w14:textId="73C5C662" w:rsidR="00C440D3" w:rsidRPr="00980785" w:rsidRDefault="001B0D3A" w:rsidP="00290631">
      <w:pPr>
        <w:jc w:val="both"/>
        <w:rPr>
          <w:sz w:val="22"/>
          <w:szCs w:val="22"/>
          <w:lang w:val="sr-Latn-ME"/>
        </w:rPr>
      </w:pPr>
      <w:r w:rsidRPr="00980785">
        <w:rPr>
          <w:sz w:val="22"/>
          <w:szCs w:val="22"/>
          <w:lang w:val="sr-Latn-ME"/>
        </w:rPr>
        <w:t xml:space="preserve">      u smjeru</w:t>
      </w:r>
      <w:r w:rsidR="00C440D3" w:rsidRPr="00980785">
        <w:rPr>
          <w:sz w:val="22"/>
          <w:szCs w:val="22"/>
          <w:lang w:val="sr-Latn-ME"/>
        </w:rPr>
        <w:t xml:space="preserve"> suprotno</w:t>
      </w:r>
      <w:r w:rsidRPr="00980785">
        <w:rPr>
          <w:sz w:val="22"/>
          <w:szCs w:val="22"/>
          <w:lang w:val="sr-Latn-ME"/>
        </w:rPr>
        <w:t>m</w:t>
      </w:r>
      <w:r w:rsidR="00C440D3" w:rsidRPr="00980785">
        <w:rPr>
          <w:sz w:val="22"/>
          <w:szCs w:val="22"/>
          <w:lang w:val="sr-Latn-ME"/>
        </w:rPr>
        <w:t xml:space="preserve"> </w:t>
      </w:r>
      <w:r w:rsidR="00C440D3" w:rsidRPr="00980785">
        <w:rPr>
          <w:noProof/>
          <w:sz w:val="22"/>
          <w:szCs w:val="22"/>
          <w:lang w:val="sr-Latn-ME" w:eastAsia="sr-Latn-ME"/>
        </w:rPr>
        <mc:AlternateContent>
          <mc:Choice Requires="wps">
            <w:drawing>
              <wp:anchor distT="0" distB="0" distL="114300" distR="114300" simplePos="0" relativeHeight="251655168" behindDoc="0" locked="0" layoutInCell="1" allowOverlap="1" wp14:anchorId="755BA027" wp14:editId="2DC1DD89">
                <wp:simplePos x="0" y="0"/>
                <wp:positionH relativeFrom="column">
                  <wp:posOffset>4412615</wp:posOffset>
                </wp:positionH>
                <wp:positionV relativeFrom="paragraph">
                  <wp:posOffset>8255</wp:posOffset>
                </wp:positionV>
                <wp:extent cx="144780" cy="228600"/>
                <wp:effectExtent l="0" t="38100" r="6477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 cy="2286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7DADFF" id="Straight Connector 10"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45pt,.65pt" to="358.8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">
                <v:stroke endarrow="classic"/>
              </v:line>
            </w:pict>
          </mc:Fallback>
        </mc:AlternateContent>
      </w:r>
      <w:r w:rsidR="00C440D3" w:rsidRPr="00980785">
        <w:rPr>
          <w:noProof/>
          <w:sz w:val="22"/>
          <w:szCs w:val="22"/>
          <w:lang w:val="sr-Latn-ME" w:eastAsia="sr-Latn-ME"/>
        </w:rPr>
        <mc:AlternateContent>
          <mc:Choice Requires="wps">
            <w:drawing>
              <wp:anchor distT="0" distB="0" distL="114300" distR="114300" simplePos="0" relativeHeight="251656192" behindDoc="0" locked="0" layoutInCell="1" allowOverlap="1" wp14:anchorId="6553BA6E" wp14:editId="58240B64">
                <wp:simplePos x="0" y="0"/>
                <wp:positionH relativeFrom="column">
                  <wp:posOffset>3951605</wp:posOffset>
                </wp:positionH>
                <wp:positionV relativeFrom="paragraph">
                  <wp:posOffset>100965</wp:posOffset>
                </wp:positionV>
                <wp:extent cx="962025" cy="617855"/>
                <wp:effectExtent l="0" t="0" r="952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617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1BAD70" w14:textId="77777777" w:rsidR="00D20D63" w:rsidRDefault="00D20D63" w:rsidP="00C440D3">
                            <w:pPr>
                              <w:rPr>
                                <w:sz w:val="16"/>
                                <w:szCs w:val="16"/>
                                <w:lang w:val="fr-BE"/>
                              </w:rPr>
                            </w:pPr>
                            <w:r>
                              <w:rPr>
                                <w:sz w:val="16"/>
                                <w:szCs w:val="16"/>
                                <w:lang w:val="fr-BE"/>
                              </w:rPr>
                              <w:t xml:space="preserve">        </w:t>
                            </w:r>
                            <w:r>
                              <w:rPr>
                                <w:sz w:val="16"/>
                                <w:szCs w:val="16"/>
                                <w:lang w:val="fr-BE"/>
                              </w:rPr>
                              <w:br/>
                            </w:r>
                            <w:r>
                              <w:rPr>
                                <w:sz w:val="16"/>
                                <w:szCs w:val="16"/>
                                <w:lang w:val="fr-BE"/>
                              </w:rPr>
                              <w:br/>
                            </w:r>
                            <w:proofErr w:type="gramStart"/>
                            <w:r w:rsidRPr="00290631">
                              <w:rPr>
                                <w:sz w:val="18"/>
                                <w:szCs w:val="16"/>
                                <w:lang w:val="fr-BE"/>
                              </w:rPr>
                              <w:t>cijev</w:t>
                            </w:r>
                            <w:proofErr w:type="gramEnd"/>
                            <w:r w:rsidRPr="00290631">
                              <w:rPr>
                                <w:sz w:val="18"/>
                                <w:szCs w:val="16"/>
                                <w:lang w:val="fr-BE"/>
                              </w:rPr>
                              <w:t xml:space="preserve"> šprica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3BA6E" id="_x0000_t202" coordsize="21600,21600" o:spt="202" path="m,l,21600r21600,l21600,xe">
                <v:stroke joinstyle="miter"/>
                <v:path gradientshapeok="t" o:connecttype="rect"/>
              </v:shapetype>
              <v:shape id="Text Box 9" o:spid="_x0000_s1026" type="#_x0000_t202" style="position:absolute;left:0;text-align:left;margin-left:311.15pt;margin-top:7.95pt;width:75.75pt;height:48.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HhzgAIAAA4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" stroked="f">
                <v:textbox>
                  <w:txbxContent>
                    <w:p w14:paraId="301BAD70" w14:textId="77777777" w:rsidR="00D20D63" w:rsidRDefault="00D20D63" w:rsidP="00C440D3">
                      <w:pPr>
                        <w:rPr>
                          <w:sz w:val="16"/>
                          <w:szCs w:val="16"/>
                          <w:lang w:val="fr-BE"/>
                        </w:rPr>
                      </w:pPr>
                      <w:r>
                        <w:rPr>
                          <w:sz w:val="16"/>
                          <w:szCs w:val="16"/>
                          <w:lang w:val="fr-BE"/>
                        </w:rPr>
                        <w:t xml:space="preserve">        </w:t>
                      </w:r>
                      <w:r>
                        <w:rPr>
                          <w:sz w:val="16"/>
                          <w:szCs w:val="16"/>
                          <w:lang w:val="fr-BE"/>
                        </w:rPr>
                        <w:br/>
                      </w:r>
                      <w:r>
                        <w:rPr>
                          <w:sz w:val="16"/>
                          <w:szCs w:val="16"/>
                          <w:lang w:val="fr-BE"/>
                        </w:rPr>
                        <w:br/>
                      </w:r>
                      <w:proofErr w:type="gramStart"/>
                      <w:r w:rsidRPr="00290631">
                        <w:rPr>
                          <w:sz w:val="18"/>
                          <w:szCs w:val="16"/>
                          <w:lang w:val="fr-BE"/>
                        </w:rPr>
                        <w:t>cijev</w:t>
                      </w:r>
                      <w:proofErr w:type="gramEnd"/>
                      <w:r w:rsidRPr="00290631">
                        <w:rPr>
                          <w:sz w:val="18"/>
                          <w:szCs w:val="16"/>
                          <w:lang w:val="fr-BE"/>
                        </w:rPr>
                        <w:t xml:space="preserve"> šprica</w:t>
                      </w:r>
                    </w:p>
                  </w:txbxContent>
                </v:textbox>
              </v:shape>
            </w:pict>
          </mc:Fallback>
        </mc:AlternateContent>
      </w:r>
      <w:r w:rsidR="00C440D3" w:rsidRPr="00980785">
        <w:rPr>
          <w:sz w:val="22"/>
          <w:szCs w:val="22"/>
          <w:lang w:val="sr-Latn-ME"/>
        </w:rPr>
        <w:t xml:space="preserve">od </w:t>
      </w:r>
      <w:r w:rsidR="000B142E" w:rsidRPr="00980785">
        <w:rPr>
          <w:sz w:val="22"/>
          <w:szCs w:val="22"/>
          <w:lang w:val="sr-Latn-ME"/>
        </w:rPr>
        <w:t xml:space="preserve">smjera </w:t>
      </w:r>
      <w:r w:rsidR="00C440D3" w:rsidRPr="00980785">
        <w:rPr>
          <w:sz w:val="22"/>
          <w:szCs w:val="22"/>
          <w:lang w:val="sr-Latn-ME"/>
        </w:rPr>
        <w:t>kazaljke na satu.</w:t>
      </w:r>
      <w:r w:rsidR="00C440D3" w:rsidRPr="00980785">
        <w:rPr>
          <w:sz w:val="22"/>
          <w:szCs w:val="22"/>
          <w:lang w:val="sr-Latn-ME"/>
        </w:rPr>
        <w:tab/>
      </w:r>
    </w:p>
    <w:p w14:paraId="30D96B7E" w14:textId="77777777" w:rsidR="00C440D3" w:rsidRPr="00980785" w:rsidRDefault="00C440D3" w:rsidP="00290631">
      <w:pPr>
        <w:jc w:val="both"/>
        <w:rPr>
          <w:sz w:val="22"/>
          <w:szCs w:val="22"/>
          <w:lang w:val="sr-Latn-ME"/>
        </w:rPr>
      </w:pPr>
      <w:r w:rsidRPr="00980785">
        <w:rPr>
          <w:noProof/>
          <w:sz w:val="22"/>
          <w:szCs w:val="22"/>
          <w:lang w:val="sr-Latn-ME" w:eastAsia="sr-Latn-ME"/>
        </w:rPr>
        <mc:AlternateContent>
          <mc:Choice Requires="wps">
            <w:drawing>
              <wp:anchor distT="0" distB="0" distL="114300" distR="114300" simplePos="0" relativeHeight="251657216" behindDoc="0" locked="0" layoutInCell="1" allowOverlap="1" wp14:anchorId="79D5D7B6" wp14:editId="022196D4">
                <wp:simplePos x="0" y="0"/>
                <wp:positionH relativeFrom="column">
                  <wp:posOffset>3037205</wp:posOffset>
                </wp:positionH>
                <wp:positionV relativeFrom="paragraph">
                  <wp:posOffset>76200</wp:posOffset>
                </wp:positionV>
                <wp:extent cx="969645" cy="253365"/>
                <wp:effectExtent l="0" t="0" r="190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811D9" w14:textId="77777777" w:rsidR="00D20D63" w:rsidRPr="00290631" w:rsidRDefault="00D20D63" w:rsidP="00C440D3">
                            <w:pPr>
                              <w:rPr>
                                <w:sz w:val="18"/>
                                <w:szCs w:val="16"/>
                                <w:lang w:val="sr-Latn-CS"/>
                              </w:rPr>
                            </w:pPr>
                            <w:r w:rsidRPr="00290631">
                              <w:rPr>
                                <w:sz w:val="18"/>
                                <w:szCs w:val="16"/>
                                <w:lang w:val="sr-Latn-CS"/>
                              </w:rPr>
                              <w:t>klip šprica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5D7B6" id="Text Box 8" o:spid="_x0000_s1027" type="#_x0000_t202" style="position:absolute;left:0;text-align:left;margin-left:239.15pt;margin-top:6pt;width:76.35pt;height:1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N8zgwIAABU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" stroked="f">
                <v:textbox>
                  <w:txbxContent>
                    <w:p w14:paraId="156811D9" w14:textId="77777777" w:rsidR="00D20D63" w:rsidRPr="00290631" w:rsidRDefault="00D20D63" w:rsidP="00C440D3">
                      <w:pPr>
                        <w:rPr>
                          <w:sz w:val="18"/>
                          <w:szCs w:val="16"/>
                          <w:lang w:val="sr-Latn-CS"/>
                        </w:rPr>
                      </w:pPr>
                      <w:r w:rsidRPr="00290631">
                        <w:rPr>
                          <w:sz w:val="18"/>
                          <w:szCs w:val="16"/>
                          <w:lang w:val="sr-Latn-CS"/>
                        </w:rPr>
                        <w:t>klip šprica</w:t>
                      </w:r>
                    </w:p>
                  </w:txbxContent>
                </v:textbox>
              </v:shape>
            </w:pict>
          </mc:Fallback>
        </mc:AlternateContent>
      </w:r>
      <w:r w:rsidRPr="00980785">
        <w:rPr>
          <w:noProof/>
          <w:sz w:val="22"/>
          <w:szCs w:val="22"/>
          <w:lang w:val="sr-Latn-ME" w:eastAsia="sr-Latn-ME"/>
        </w:rPr>
        <mc:AlternateContent>
          <mc:Choice Requires="wps">
            <w:drawing>
              <wp:anchor distT="0" distB="0" distL="114300" distR="114300" simplePos="0" relativeHeight="251658240" behindDoc="0" locked="0" layoutInCell="1" allowOverlap="1" wp14:anchorId="6488BAEB" wp14:editId="6C77A455">
                <wp:simplePos x="0" y="0"/>
                <wp:positionH relativeFrom="column">
                  <wp:posOffset>5208905</wp:posOffset>
                </wp:positionH>
                <wp:positionV relativeFrom="paragraph">
                  <wp:posOffset>100965</wp:posOffset>
                </wp:positionV>
                <wp:extent cx="114300" cy="228600"/>
                <wp:effectExtent l="0" t="38100" r="571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6C28D2" id="Straight Connector 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15pt,7.95pt" to="419.1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">
                <v:stroke startarrow="classic"/>
              </v:line>
            </w:pict>
          </mc:Fallback>
        </mc:AlternateContent>
      </w:r>
      <w:r w:rsidRPr="00980785">
        <w:rPr>
          <w:noProof/>
          <w:sz w:val="22"/>
          <w:szCs w:val="22"/>
          <w:lang w:val="sr-Latn-ME" w:eastAsia="sr-Latn-ME"/>
        </w:rPr>
        <mc:AlternateContent>
          <mc:Choice Requires="wps">
            <w:drawing>
              <wp:anchor distT="0" distB="0" distL="114300" distR="114300" simplePos="0" relativeHeight="251659264" behindDoc="0" locked="0" layoutInCell="1" allowOverlap="1" wp14:anchorId="44E83E59" wp14:editId="1CACC4B6">
                <wp:simplePos x="0" y="0"/>
                <wp:positionH relativeFrom="column">
                  <wp:posOffset>4866005</wp:posOffset>
                </wp:positionH>
                <wp:positionV relativeFrom="paragraph">
                  <wp:posOffset>342265</wp:posOffset>
                </wp:positionV>
                <wp:extent cx="685800" cy="2286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82761" w14:textId="77777777" w:rsidR="00D20D63" w:rsidRPr="00290631" w:rsidRDefault="00D20D63" w:rsidP="00C440D3">
                            <w:pPr>
                              <w:rPr>
                                <w:sz w:val="18"/>
                                <w:szCs w:val="16"/>
                                <w:lang w:val="fr-BE"/>
                              </w:rPr>
                            </w:pPr>
                            <w:proofErr w:type="gramStart"/>
                            <w:r w:rsidRPr="00290631">
                              <w:rPr>
                                <w:sz w:val="18"/>
                                <w:szCs w:val="16"/>
                                <w:lang w:val="fr-BE"/>
                              </w:rPr>
                              <w:t>vrh</w:t>
                            </w:r>
                            <w:proofErr w:type="gramEnd"/>
                            <w:r w:rsidRPr="00290631">
                              <w:rPr>
                                <w:sz w:val="18"/>
                                <w:szCs w:val="16"/>
                                <w:lang w:val="fr-BE"/>
                              </w:rPr>
                              <w:t xml:space="preserve"> šprica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83E59" id="Text Box 6" o:spid="_x0000_s1028" type="#_x0000_t202" style="position:absolute;left:0;text-align:left;margin-left:383.15pt;margin-top:26.95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" stroked="f">
                <v:textbox>
                  <w:txbxContent>
                    <w:p w14:paraId="03382761" w14:textId="77777777" w:rsidR="00D20D63" w:rsidRPr="00290631" w:rsidRDefault="00D20D63" w:rsidP="00C440D3">
                      <w:pPr>
                        <w:rPr>
                          <w:sz w:val="18"/>
                          <w:szCs w:val="16"/>
                          <w:lang w:val="fr-BE"/>
                        </w:rPr>
                      </w:pPr>
                      <w:proofErr w:type="gramStart"/>
                      <w:r w:rsidRPr="00290631">
                        <w:rPr>
                          <w:sz w:val="18"/>
                          <w:szCs w:val="16"/>
                          <w:lang w:val="fr-BE"/>
                        </w:rPr>
                        <w:t>vrh</w:t>
                      </w:r>
                      <w:proofErr w:type="gramEnd"/>
                      <w:r w:rsidRPr="00290631">
                        <w:rPr>
                          <w:sz w:val="18"/>
                          <w:szCs w:val="16"/>
                          <w:lang w:val="fr-BE"/>
                        </w:rPr>
                        <w:t xml:space="preserve"> šprica</w:t>
                      </w:r>
                    </w:p>
                  </w:txbxContent>
                </v:textbox>
              </v:shape>
            </w:pict>
          </mc:Fallback>
        </mc:AlternateContent>
      </w:r>
    </w:p>
    <w:p w14:paraId="1C4B6AF0" w14:textId="5DDB1618" w:rsidR="00C440D3" w:rsidRPr="00980785" w:rsidRDefault="00C440D3" w:rsidP="00290631">
      <w:pPr>
        <w:jc w:val="both"/>
        <w:rPr>
          <w:sz w:val="22"/>
          <w:szCs w:val="22"/>
          <w:lang w:val="sr-Latn-ME"/>
        </w:rPr>
      </w:pPr>
    </w:p>
    <w:p w14:paraId="521D7A2F" w14:textId="77777777" w:rsidR="002C166B" w:rsidRPr="00980785" w:rsidRDefault="002C166B" w:rsidP="00290631">
      <w:pPr>
        <w:jc w:val="both"/>
        <w:rPr>
          <w:sz w:val="22"/>
          <w:szCs w:val="22"/>
          <w:lang w:val="sr-Latn-ME"/>
        </w:rPr>
      </w:pPr>
    </w:p>
    <w:p w14:paraId="32F7F6DC" w14:textId="4F66097C" w:rsidR="00C440D3" w:rsidRPr="00980785" w:rsidRDefault="00C440D3" w:rsidP="00290631">
      <w:pPr>
        <w:jc w:val="both"/>
        <w:rPr>
          <w:sz w:val="22"/>
          <w:szCs w:val="22"/>
          <w:lang w:val="sr-Latn-ME"/>
        </w:rPr>
      </w:pPr>
    </w:p>
    <w:p w14:paraId="6DC62B30" w14:textId="5AF6827D" w:rsidR="00C440D3" w:rsidRPr="00980785" w:rsidRDefault="001B0D3A" w:rsidP="00290631">
      <w:pPr>
        <w:numPr>
          <w:ilvl w:val="0"/>
          <w:numId w:val="17"/>
        </w:numPr>
        <w:jc w:val="both"/>
        <w:rPr>
          <w:sz w:val="22"/>
          <w:szCs w:val="22"/>
          <w:lang w:val="sr-Latn-ME"/>
        </w:rPr>
      </w:pPr>
      <w:r w:rsidRPr="00980785">
        <w:rPr>
          <w:noProof/>
          <w:sz w:val="22"/>
          <w:szCs w:val="22"/>
          <w:lang w:val="sr-Latn-ME" w:eastAsia="sr-Latn-ME"/>
        </w:rPr>
        <w:drawing>
          <wp:anchor distT="0" distB="0" distL="114300" distR="114300" simplePos="0" relativeHeight="251660288" behindDoc="1" locked="0" layoutInCell="1" allowOverlap="1" wp14:anchorId="2B032E92" wp14:editId="7C825678">
            <wp:simplePos x="0" y="0"/>
            <wp:positionH relativeFrom="margin">
              <wp:posOffset>3302000</wp:posOffset>
            </wp:positionH>
            <wp:positionV relativeFrom="paragraph">
              <wp:posOffset>10795</wp:posOffset>
            </wp:positionV>
            <wp:extent cx="2286000" cy="21882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2188210"/>
                    </a:xfrm>
                    <a:prstGeom prst="rect">
                      <a:avLst/>
                    </a:prstGeom>
                    <a:noFill/>
                  </pic:spPr>
                </pic:pic>
              </a:graphicData>
            </a:graphic>
            <wp14:sizeRelH relativeFrom="page">
              <wp14:pctWidth>0</wp14:pctWidth>
            </wp14:sizeRelH>
            <wp14:sizeRelV relativeFrom="page">
              <wp14:pctHeight>0</wp14:pctHeight>
            </wp14:sizeRelV>
          </wp:anchor>
        </w:drawing>
      </w:r>
      <w:r w:rsidR="00C440D3" w:rsidRPr="00980785">
        <w:rPr>
          <w:sz w:val="22"/>
          <w:szCs w:val="22"/>
          <w:lang w:val="sr-Latn-ME"/>
        </w:rPr>
        <w:t xml:space="preserve">Da biste </w:t>
      </w:r>
      <w:r w:rsidRPr="00980785">
        <w:rPr>
          <w:sz w:val="22"/>
          <w:szCs w:val="22"/>
          <w:lang w:val="sr-Latn-ME"/>
        </w:rPr>
        <w:t>pričvrstili</w:t>
      </w:r>
      <w:r w:rsidR="00C440D3" w:rsidRPr="00980785">
        <w:rPr>
          <w:sz w:val="22"/>
          <w:szCs w:val="22"/>
          <w:lang w:val="sr-Latn-ME"/>
        </w:rPr>
        <w:t xml:space="preserve"> iglu na špric, uvrnite iglu</w:t>
      </w:r>
      <w:r w:rsidR="001B71C8" w:rsidRPr="00980785">
        <w:rPr>
          <w:sz w:val="22"/>
          <w:szCs w:val="22"/>
          <w:lang w:val="sr-Latn-ME"/>
        </w:rPr>
        <w:t xml:space="preserve">  </w:t>
      </w:r>
    </w:p>
    <w:p w14:paraId="6673C566" w14:textId="1D3B6AAD" w:rsidR="00C440D3" w:rsidRPr="00980785" w:rsidRDefault="00C440D3" w:rsidP="00290631">
      <w:pPr>
        <w:jc w:val="both"/>
        <w:rPr>
          <w:sz w:val="22"/>
          <w:szCs w:val="22"/>
          <w:lang w:val="sr-Latn-ME"/>
        </w:rPr>
      </w:pPr>
      <w:r w:rsidRPr="00980785">
        <w:rPr>
          <w:sz w:val="22"/>
          <w:szCs w:val="22"/>
          <w:lang w:val="sr-Latn-ME"/>
        </w:rPr>
        <w:t xml:space="preserve">       u smjeru kazaljke na satu</w:t>
      </w:r>
    </w:p>
    <w:p w14:paraId="0268C8BA" w14:textId="5F4C7FC6" w:rsidR="00C440D3" w:rsidRPr="00980785" w:rsidRDefault="00C440D3" w:rsidP="00290631">
      <w:pPr>
        <w:ind w:left="360"/>
        <w:jc w:val="both"/>
        <w:rPr>
          <w:sz w:val="22"/>
          <w:szCs w:val="22"/>
          <w:lang w:val="sr-Latn-ME"/>
        </w:rPr>
      </w:pPr>
      <w:r w:rsidRPr="00980785">
        <w:rPr>
          <w:sz w:val="22"/>
          <w:szCs w:val="22"/>
          <w:lang w:val="sr-Latn-ME"/>
        </w:rPr>
        <w:t xml:space="preserve">dok ne osjetite da </w:t>
      </w:r>
      <w:r w:rsidR="001B0D3A" w:rsidRPr="00980785">
        <w:rPr>
          <w:sz w:val="22"/>
          <w:szCs w:val="22"/>
          <w:lang w:val="sr-Latn-ME"/>
        </w:rPr>
        <w:t>j</w:t>
      </w:r>
      <w:r w:rsidRPr="00980785">
        <w:rPr>
          <w:sz w:val="22"/>
          <w:szCs w:val="22"/>
          <w:lang w:val="sr-Latn-ME"/>
        </w:rPr>
        <w:t xml:space="preserve">e </w:t>
      </w:r>
      <w:r w:rsidR="001B0D3A" w:rsidRPr="00980785">
        <w:rPr>
          <w:sz w:val="22"/>
          <w:szCs w:val="22"/>
          <w:lang w:val="sr-Latn-ME"/>
        </w:rPr>
        <w:t>pričvršćena</w:t>
      </w:r>
      <w:r w:rsidRPr="00980785">
        <w:rPr>
          <w:sz w:val="22"/>
          <w:szCs w:val="22"/>
          <w:lang w:val="sr-Latn-ME"/>
        </w:rPr>
        <w:t>.</w:t>
      </w:r>
    </w:p>
    <w:p w14:paraId="76832861" w14:textId="77777777" w:rsidR="002C166B" w:rsidRPr="00980785" w:rsidRDefault="002C166B" w:rsidP="00290631">
      <w:pPr>
        <w:jc w:val="both"/>
        <w:rPr>
          <w:sz w:val="22"/>
          <w:szCs w:val="22"/>
          <w:lang w:val="sr-Latn-ME"/>
        </w:rPr>
      </w:pPr>
    </w:p>
    <w:p w14:paraId="782BDA47" w14:textId="6C96B84F" w:rsidR="00C440D3" w:rsidRPr="00980785" w:rsidRDefault="00C440D3" w:rsidP="00290631">
      <w:pPr>
        <w:jc w:val="both"/>
        <w:rPr>
          <w:sz w:val="22"/>
          <w:szCs w:val="22"/>
          <w:lang w:val="sr-Latn-ME"/>
        </w:rPr>
      </w:pPr>
    </w:p>
    <w:p w14:paraId="09E3C47D" w14:textId="77777777" w:rsidR="002C166B" w:rsidRPr="00980785" w:rsidRDefault="002C166B" w:rsidP="00290631">
      <w:pPr>
        <w:jc w:val="both"/>
        <w:rPr>
          <w:sz w:val="22"/>
          <w:szCs w:val="22"/>
          <w:lang w:val="sr-Latn-ME"/>
        </w:rPr>
      </w:pPr>
    </w:p>
    <w:p w14:paraId="4561D66F" w14:textId="595161F5" w:rsidR="00C440D3" w:rsidRPr="00980785" w:rsidRDefault="00C440D3" w:rsidP="00290631">
      <w:pPr>
        <w:numPr>
          <w:ilvl w:val="0"/>
          <w:numId w:val="17"/>
        </w:numPr>
        <w:jc w:val="both"/>
        <w:rPr>
          <w:sz w:val="22"/>
          <w:szCs w:val="22"/>
          <w:lang w:val="sr-Latn-ME"/>
        </w:rPr>
      </w:pPr>
      <w:r w:rsidRPr="00980785">
        <w:rPr>
          <w:sz w:val="22"/>
          <w:szCs w:val="22"/>
          <w:lang w:val="sr-Latn-ME"/>
        </w:rPr>
        <w:t xml:space="preserve">Uklonite </w:t>
      </w:r>
      <w:r w:rsidR="00667129" w:rsidRPr="00980785">
        <w:rPr>
          <w:sz w:val="22"/>
          <w:szCs w:val="22"/>
          <w:lang w:val="sr-Latn-ME"/>
        </w:rPr>
        <w:t>za</w:t>
      </w:r>
      <w:r w:rsidRPr="00980785">
        <w:rPr>
          <w:sz w:val="22"/>
          <w:szCs w:val="22"/>
          <w:lang w:val="sr-Latn-ME"/>
        </w:rPr>
        <w:t>štitnik</w:t>
      </w:r>
      <w:r w:rsidR="00667129" w:rsidRPr="00980785">
        <w:rPr>
          <w:sz w:val="22"/>
          <w:szCs w:val="22"/>
          <w:lang w:val="sr-Latn-ME"/>
        </w:rPr>
        <w:t xml:space="preserve"> za</w:t>
      </w:r>
      <w:r w:rsidRPr="00980785">
        <w:rPr>
          <w:sz w:val="22"/>
          <w:szCs w:val="22"/>
          <w:lang w:val="sr-Latn-ME"/>
        </w:rPr>
        <w:t xml:space="preserve"> igl</w:t>
      </w:r>
      <w:r w:rsidR="00667129" w:rsidRPr="00980785">
        <w:rPr>
          <w:sz w:val="22"/>
          <w:szCs w:val="22"/>
          <w:lang w:val="sr-Latn-ME"/>
        </w:rPr>
        <w:t>u,</w:t>
      </w:r>
      <w:r w:rsidRPr="00980785">
        <w:rPr>
          <w:sz w:val="22"/>
          <w:szCs w:val="22"/>
          <w:lang w:val="sr-Latn-ME"/>
        </w:rPr>
        <w:t xml:space="preserve"> koji </w:t>
      </w:r>
    </w:p>
    <w:p w14:paraId="556C4C98" w14:textId="224470B5" w:rsidR="00C440D3" w:rsidRPr="00980785" w:rsidRDefault="00C440D3" w:rsidP="00290631">
      <w:pPr>
        <w:ind w:left="360"/>
        <w:jc w:val="both"/>
        <w:rPr>
          <w:sz w:val="22"/>
          <w:szCs w:val="22"/>
          <w:lang w:val="sr-Latn-ME"/>
        </w:rPr>
      </w:pPr>
      <w:r w:rsidRPr="00980785">
        <w:rPr>
          <w:sz w:val="22"/>
          <w:szCs w:val="22"/>
          <w:lang w:val="sr-Latn-ME"/>
        </w:rPr>
        <w:t xml:space="preserve"> može biti malo kru</w:t>
      </w:r>
      <w:r w:rsidRPr="00980785">
        <w:rPr>
          <w:noProof/>
          <w:sz w:val="22"/>
          <w:szCs w:val="22"/>
          <w:lang w:val="sr-Latn-ME" w:eastAsia="sr-Latn-ME"/>
        </w:rPr>
        <mc:AlternateContent>
          <mc:Choice Requires="wps">
            <w:drawing>
              <wp:anchor distT="0" distB="0" distL="114300" distR="114300" simplePos="0" relativeHeight="251661312" behindDoc="0" locked="0" layoutInCell="1" allowOverlap="1" wp14:anchorId="09F7F1CD" wp14:editId="0803F235">
                <wp:simplePos x="0" y="0"/>
                <wp:positionH relativeFrom="column">
                  <wp:posOffset>5323205</wp:posOffset>
                </wp:positionH>
                <wp:positionV relativeFrom="paragraph">
                  <wp:posOffset>116205</wp:posOffset>
                </wp:positionV>
                <wp:extent cx="342900" cy="228600"/>
                <wp:effectExtent l="38100" t="3810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2286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EC8187" id="Straight Connector 4"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15pt,9.15pt" to="446.1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">
                <v:stroke endarrow="classic"/>
              </v:line>
            </w:pict>
          </mc:Fallback>
        </mc:AlternateContent>
      </w:r>
      <w:r w:rsidRPr="00980785">
        <w:rPr>
          <w:sz w:val="22"/>
          <w:szCs w:val="22"/>
          <w:lang w:val="sr-Latn-ME"/>
        </w:rPr>
        <w:t>t.</w:t>
      </w:r>
    </w:p>
    <w:p w14:paraId="36A49D15" w14:textId="35224FF1" w:rsidR="00961133" w:rsidRPr="00980785" w:rsidRDefault="00961133" w:rsidP="00290631">
      <w:pPr>
        <w:ind w:left="360"/>
        <w:jc w:val="both"/>
        <w:rPr>
          <w:sz w:val="22"/>
          <w:szCs w:val="22"/>
          <w:lang w:val="sr-Latn-ME"/>
        </w:rPr>
      </w:pPr>
    </w:p>
    <w:p w14:paraId="36C34F1E" w14:textId="2C617019" w:rsidR="00C440D3" w:rsidRPr="00980785" w:rsidRDefault="00961133" w:rsidP="00290631">
      <w:pPr>
        <w:jc w:val="both"/>
        <w:rPr>
          <w:sz w:val="22"/>
          <w:szCs w:val="22"/>
          <w:lang w:val="sr-Latn-ME"/>
        </w:rPr>
      </w:pPr>
      <w:r w:rsidRPr="00980785">
        <w:rPr>
          <w:noProof/>
          <w:sz w:val="22"/>
          <w:szCs w:val="22"/>
          <w:lang w:val="sr-Latn-ME" w:eastAsia="sr-Latn-ME"/>
        </w:rPr>
        <mc:AlternateContent>
          <mc:Choice Requires="wps">
            <w:drawing>
              <wp:anchor distT="0" distB="0" distL="114300" distR="114300" simplePos="0" relativeHeight="251662336" behindDoc="0" locked="0" layoutInCell="1" allowOverlap="1" wp14:anchorId="1A6F9F97" wp14:editId="51305244">
                <wp:simplePos x="0" y="0"/>
                <wp:positionH relativeFrom="column">
                  <wp:posOffset>5526460</wp:posOffset>
                </wp:positionH>
                <wp:positionV relativeFrom="paragraph">
                  <wp:posOffset>65350</wp:posOffset>
                </wp:positionV>
                <wp:extent cx="9334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AB09D" w14:textId="1A23AE11" w:rsidR="00D20D63" w:rsidRPr="00290631" w:rsidRDefault="00D20D63" w:rsidP="00C440D3">
                            <w:pPr>
                              <w:rPr>
                                <w:sz w:val="18"/>
                                <w:szCs w:val="16"/>
                                <w:lang w:val="sr-Latn-CS"/>
                              </w:rPr>
                            </w:pPr>
                            <w:r w:rsidRPr="00290631">
                              <w:rPr>
                                <w:sz w:val="18"/>
                                <w:szCs w:val="16"/>
                                <w:lang w:val="sr-Latn-CS"/>
                              </w:rPr>
                              <w:t>Zaštitnik za iglu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F9F97" id="Text Box 2" o:spid="_x0000_s1029" type="#_x0000_t202" style="position:absolute;left:0;text-align:left;margin-left:435.15pt;margin-top:5.15pt;width:73.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6FuQIAAL8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" filled="f" stroked="f">
                <v:textbox>
                  <w:txbxContent>
                    <w:p w14:paraId="321AB09D" w14:textId="1A23AE11" w:rsidR="00D20D63" w:rsidRPr="00290631" w:rsidRDefault="00D20D63" w:rsidP="00C440D3">
                      <w:pPr>
                        <w:rPr>
                          <w:sz w:val="18"/>
                          <w:szCs w:val="16"/>
                          <w:lang w:val="sr-Latn-CS"/>
                        </w:rPr>
                      </w:pPr>
                      <w:r w:rsidRPr="00290631">
                        <w:rPr>
                          <w:sz w:val="18"/>
                          <w:szCs w:val="16"/>
                          <w:lang w:val="sr-Latn-CS"/>
                        </w:rPr>
                        <w:t>Zaštitnik za iglu</w:t>
                      </w:r>
                    </w:p>
                  </w:txbxContent>
                </v:textbox>
              </v:shape>
            </w:pict>
          </mc:Fallback>
        </mc:AlternateContent>
      </w:r>
    </w:p>
    <w:p w14:paraId="7DBEFAF3" w14:textId="60E6BD07" w:rsidR="00C440D3" w:rsidRPr="00980785" w:rsidRDefault="00C440D3" w:rsidP="00290631">
      <w:pPr>
        <w:jc w:val="both"/>
        <w:rPr>
          <w:sz w:val="22"/>
          <w:szCs w:val="22"/>
          <w:lang w:val="sr-Latn-ME"/>
        </w:rPr>
      </w:pPr>
    </w:p>
    <w:p w14:paraId="0EEE98AD" w14:textId="49FFC282" w:rsidR="003D68A9" w:rsidRPr="00980785" w:rsidRDefault="003D68A9" w:rsidP="00290631">
      <w:pPr>
        <w:jc w:val="both"/>
        <w:rPr>
          <w:sz w:val="22"/>
          <w:szCs w:val="22"/>
          <w:lang w:val="sr-Latn-ME"/>
        </w:rPr>
      </w:pPr>
    </w:p>
    <w:p w14:paraId="73D5DA01" w14:textId="77777777" w:rsidR="003D68A9" w:rsidRPr="00980785" w:rsidRDefault="003D68A9" w:rsidP="00290631">
      <w:pPr>
        <w:jc w:val="both"/>
        <w:rPr>
          <w:sz w:val="22"/>
          <w:szCs w:val="22"/>
          <w:lang w:val="sr-Latn-ME"/>
        </w:rPr>
      </w:pPr>
    </w:p>
    <w:p w14:paraId="44F65020" w14:textId="77777777" w:rsidR="00C440D3" w:rsidRPr="00980785" w:rsidRDefault="00C440D3" w:rsidP="00290631">
      <w:pPr>
        <w:jc w:val="both"/>
        <w:rPr>
          <w:sz w:val="22"/>
          <w:szCs w:val="22"/>
          <w:lang w:val="sr-Latn-ME"/>
        </w:rPr>
      </w:pPr>
    </w:p>
    <w:p w14:paraId="667D2E8C" w14:textId="1E78359C" w:rsidR="00B66A70" w:rsidRDefault="001B0D3A" w:rsidP="00290631">
      <w:pPr>
        <w:tabs>
          <w:tab w:val="left" w:pos="540"/>
          <w:tab w:val="left" w:pos="569"/>
        </w:tabs>
        <w:jc w:val="both"/>
        <w:rPr>
          <w:sz w:val="22"/>
          <w:szCs w:val="22"/>
          <w:lang w:val="sr-Latn-ME"/>
        </w:rPr>
      </w:pPr>
      <w:r w:rsidRPr="00980785">
        <w:rPr>
          <w:sz w:val="22"/>
          <w:szCs w:val="22"/>
          <w:lang w:val="sr-Latn-ME"/>
        </w:rPr>
        <w:t>Svu neiskorišćenu količinu lijeka ili otpadnog materijala nakon njegove upotrebe treba ukloniti u skladu sa važećim propisima.</w:t>
      </w:r>
      <w:r w:rsidRPr="00980785" w:rsidDel="001B0D3A">
        <w:rPr>
          <w:sz w:val="22"/>
          <w:szCs w:val="22"/>
          <w:lang w:val="sr-Latn-ME"/>
        </w:rPr>
        <w:t xml:space="preserve"> </w:t>
      </w:r>
    </w:p>
    <w:p w14:paraId="04AD6C3B" w14:textId="79E95EBB" w:rsidR="00980785" w:rsidRDefault="00980785" w:rsidP="00290631">
      <w:pPr>
        <w:tabs>
          <w:tab w:val="left" w:pos="540"/>
          <w:tab w:val="left" w:pos="569"/>
        </w:tabs>
        <w:jc w:val="both"/>
        <w:rPr>
          <w:sz w:val="22"/>
          <w:szCs w:val="22"/>
          <w:lang w:val="sr-Latn-ME"/>
        </w:rPr>
      </w:pPr>
    </w:p>
    <w:p w14:paraId="1536D300" w14:textId="77777777" w:rsidR="00980785" w:rsidRPr="00980785" w:rsidRDefault="00980785" w:rsidP="00290631">
      <w:pPr>
        <w:tabs>
          <w:tab w:val="left" w:pos="540"/>
          <w:tab w:val="left" w:pos="569"/>
        </w:tabs>
        <w:jc w:val="both"/>
        <w:rPr>
          <w:b/>
          <w:bCs/>
          <w:sz w:val="22"/>
          <w:szCs w:val="22"/>
          <w:lang w:val="sr-Latn-ME"/>
        </w:rPr>
      </w:pPr>
    </w:p>
    <w:p w14:paraId="3572D54C" w14:textId="77777777" w:rsidR="00F8570A" w:rsidRPr="00980785" w:rsidRDefault="0072020E" w:rsidP="00290631">
      <w:pPr>
        <w:tabs>
          <w:tab w:val="left" w:pos="540"/>
          <w:tab w:val="left" w:pos="569"/>
        </w:tabs>
        <w:jc w:val="both"/>
        <w:rPr>
          <w:b/>
          <w:bCs/>
          <w:sz w:val="22"/>
          <w:szCs w:val="22"/>
          <w:lang w:val="sr-Latn-ME"/>
        </w:rPr>
      </w:pPr>
      <w:r w:rsidRPr="00980785">
        <w:rPr>
          <w:b/>
          <w:bCs/>
          <w:sz w:val="22"/>
          <w:szCs w:val="22"/>
          <w:lang w:val="sr-Latn-ME"/>
        </w:rPr>
        <w:t xml:space="preserve">7. </w:t>
      </w:r>
      <w:r w:rsidR="00480FB1" w:rsidRPr="00980785">
        <w:rPr>
          <w:b/>
          <w:bCs/>
          <w:sz w:val="22"/>
          <w:szCs w:val="22"/>
          <w:lang w:val="sr-Latn-ME"/>
        </w:rPr>
        <w:tab/>
      </w:r>
      <w:r w:rsidRPr="00980785">
        <w:rPr>
          <w:b/>
          <w:bCs/>
          <w:sz w:val="22"/>
          <w:szCs w:val="22"/>
          <w:lang w:val="sr-Latn-ME"/>
        </w:rPr>
        <w:t>NOSILAC DOZVOLE</w:t>
      </w:r>
      <w:r w:rsidR="00483928" w:rsidRPr="00980785">
        <w:rPr>
          <w:b/>
          <w:bCs/>
          <w:sz w:val="22"/>
          <w:szCs w:val="22"/>
          <w:lang w:val="sr-Latn-ME"/>
        </w:rPr>
        <w:t xml:space="preserve"> </w:t>
      </w:r>
    </w:p>
    <w:p w14:paraId="53E9CE3A" w14:textId="77777777" w:rsidR="00667F35" w:rsidRPr="00980785" w:rsidRDefault="00667F35">
      <w:pPr>
        <w:widowControl w:val="0"/>
        <w:autoSpaceDE w:val="0"/>
        <w:autoSpaceDN w:val="0"/>
        <w:jc w:val="both"/>
        <w:rPr>
          <w:bCs/>
          <w:sz w:val="22"/>
          <w:szCs w:val="22"/>
          <w:lang w:val="sr-Latn-ME"/>
        </w:rPr>
      </w:pPr>
    </w:p>
    <w:p w14:paraId="16AB6001" w14:textId="77777777" w:rsidR="00667F35" w:rsidRPr="00980785" w:rsidRDefault="00667F35" w:rsidP="00667F35">
      <w:pPr>
        <w:pStyle w:val="Header"/>
        <w:tabs>
          <w:tab w:val="left" w:pos="284"/>
        </w:tabs>
        <w:jc w:val="both"/>
        <w:rPr>
          <w:sz w:val="22"/>
          <w:szCs w:val="22"/>
          <w:lang w:val="sr-Latn-ME"/>
        </w:rPr>
      </w:pPr>
      <w:r w:rsidRPr="00980785">
        <w:rPr>
          <w:sz w:val="22"/>
          <w:szCs w:val="22"/>
          <w:lang w:val="sr-Latn-ME"/>
        </w:rPr>
        <w:t xml:space="preserve">Evropa Lek Pharma d.o.o. Podgorica </w:t>
      </w:r>
    </w:p>
    <w:p w14:paraId="478EBC3D" w14:textId="77777777" w:rsidR="00667F35" w:rsidRPr="00980785" w:rsidRDefault="00667F35" w:rsidP="00667F35">
      <w:pPr>
        <w:pStyle w:val="Header"/>
        <w:tabs>
          <w:tab w:val="left" w:pos="284"/>
        </w:tabs>
        <w:jc w:val="both"/>
        <w:rPr>
          <w:sz w:val="22"/>
          <w:szCs w:val="22"/>
          <w:lang w:val="sr-Latn-ME"/>
        </w:rPr>
      </w:pPr>
      <w:r w:rsidRPr="00980785">
        <w:rPr>
          <w:sz w:val="22"/>
          <w:szCs w:val="22"/>
          <w:lang w:val="sr-Latn-ME"/>
        </w:rPr>
        <w:t>Kritskog odreda 4/1, 81000 Podgorica, Crna Gora</w:t>
      </w:r>
    </w:p>
    <w:p w14:paraId="1313EECB" w14:textId="62E8689C" w:rsidR="00C61BE0" w:rsidRPr="00980785" w:rsidRDefault="00667F35" w:rsidP="00290631">
      <w:pPr>
        <w:tabs>
          <w:tab w:val="left" w:pos="540"/>
          <w:tab w:val="left" w:pos="569"/>
        </w:tabs>
        <w:jc w:val="both"/>
        <w:rPr>
          <w:bCs/>
          <w:sz w:val="22"/>
          <w:szCs w:val="22"/>
          <w:lang w:val="sr-Latn-ME"/>
        </w:rPr>
      </w:pPr>
      <w:r w:rsidRPr="00980785" w:rsidDel="00667F35">
        <w:rPr>
          <w:bCs/>
          <w:sz w:val="22"/>
          <w:szCs w:val="22"/>
          <w:lang w:val="sr-Latn-ME"/>
        </w:rPr>
        <w:t xml:space="preserve"> </w:t>
      </w:r>
    </w:p>
    <w:p w14:paraId="7EBCA6FA" w14:textId="77777777" w:rsidR="00C37FD7" w:rsidRPr="00980785" w:rsidRDefault="00C37FD7" w:rsidP="00290631">
      <w:pPr>
        <w:tabs>
          <w:tab w:val="left" w:pos="540"/>
          <w:tab w:val="left" w:pos="569"/>
        </w:tabs>
        <w:jc w:val="both"/>
        <w:rPr>
          <w:bCs/>
          <w:sz w:val="22"/>
          <w:szCs w:val="22"/>
          <w:lang w:val="sr-Latn-ME"/>
        </w:rPr>
      </w:pPr>
    </w:p>
    <w:p w14:paraId="265EBEBB" w14:textId="77777777" w:rsidR="0072020E" w:rsidRPr="00980785" w:rsidRDefault="0072020E" w:rsidP="00290631">
      <w:pPr>
        <w:tabs>
          <w:tab w:val="left" w:pos="540"/>
          <w:tab w:val="left" w:pos="569"/>
        </w:tabs>
        <w:jc w:val="both"/>
        <w:rPr>
          <w:b/>
          <w:bCs/>
          <w:sz w:val="22"/>
          <w:szCs w:val="22"/>
          <w:lang w:val="sr-Latn-ME"/>
        </w:rPr>
      </w:pPr>
      <w:r w:rsidRPr="00980785">
        <w:rPr>
          <w:b/>
          <w:bCs/>
          <w:sz w:val="22"/>
          <w:szCs w:val="22"/>
          <w:lang w:val="sr-Latn-ME"/>
        </w:rPr>
        <w:t xml:space="preserve">8. </w:t>
      </w:r>
      <w:r w:rsidR="00480FB1" w:rsidRPr="00980785">
        <w:rPr>
          <w:b/>
          <w:bCs/>
          <w:sz w:val="22"/>
          <w:szCs w:val="22"/>
          <w:lang w:val="sr-Latn-ME"/>
        </w:rPr>
        <w:tab/>
      </w:r>
      <w:r w:rsidRPr="00980785">
        <w:rPr>
          <w:b/>
          <w:bCs/>
          <w:sz w:val="22"/>
          <w:szCs w:val="22"/>
          <w:lang w:val="sr-Latn-ME"/>
        </w:rPr>
        <w:t>BROJ DOZVOLE</w:t>
      </w:r>
      <w:r w:rsidR="008A6D43" w:rsidRPr="00980785">
        <w:rPr>
          <w:b/>
          <w:bCs/>
          <w:sz w:val="22"/>
          <w:szCs w:val="22"/>
          <w:lang w:val="sr-Latn-ME"/>
        </w:rPr>
        <w:t xml:space="preserve"> ZA STAVLJANJE LIJEKA U PROMET</w:t>
      </w:r>
    </w:p>
    <w:p w14:paraId="6047D160" w14:textId="77777777" w:rsidR="00667F35" w:rsidRPr="00980785" w:rsidRDefault="00667F35">
      <w:pPr>
        <w:tabs>
          <w:tab w:val="left" w:pos="540"/>
          <w:tab w:val="left" w:pos="569"/>
        </w:tabs>
        <w:jc w:val="both"/>
        <w:rPr>
          <w:bCs/>
          <w:iCs/>
          <w:sz w:val="22"/>
          <w:szCs w:val="22"/>
          <w:lang w:val="sr-Latn-ME"/>
        </w:rPr>
      </w:pPr>
    </w:p>
    <w:p w14:paraId="5C14CDA3" w14:textId="0D443176" w:rsidR="0072020E" w:rsidRPr="00980785" w:rsidRDefault="00980785" w:rsidP="00290631">
      <w:pPr>
        <w:tabs>
          <w:tab w:val="left" w:pos="540"/>
          <w:tab w:val="left" w:pos="569"/>
        </w:tabs>
        <w:jc w:val="both"/>
        <w:rPr>
          <w:bCs/>
          <w:sz w:val="22"/>
          <w:szCs w:val="22"/>
          <w:lang w:val="sr-Latn-ME"/>
        </w:rPr>
      </w:pPr>
      <w:r w:rsidRPr="00980785">
        <w:rPr>
          <w:bCs/>
          <w:sz w:val="22"/>
          <w:szCs w:val="22"/>
          <w:lang w:val="sr-Latn-ME"/>
        </w:rPr>
        <w:t>2030/24/3602 - 2827</w:t>
      </w:r>
    </w:p>
    <w:p w14:paraId="2521DD94" w14:textId="4F8EB0D8" w:rsidR="00F45F77" w:rsidRDefault="00F45F77" w:rsidP="00290631">
      <w:pPr>
        <w:tabs>
          <w:tab w:val="left" w:pos="540"/>
          <w:tab w:val="left" w:pos="569"/>
        </w:tabs>
        <w:jc w:val="both"/>
        <w:rPr>
          <w:bCs/>
          <w:sz w:val="22"/>
          <w:szCs w:val="22"/>
          <w:lang w:val="sr-Latn-ME"/>
        </w:rPr>
      </w:pPr>
    </w:p>
    <w:p w14:paraId="30232FBA" w14:textId="77777777" w:rsidR="00980785" w:rsidRPr="00980785" w:rsidRDefault="00980785" w:rsidP="00290631">
      <w:pPr>
        <w:tabs>
          <w:tab w:val="left" w:pos="540"/>
          <w:tab w:val="left" w:pos="569"/>
        </w:tabs>
        <w:jc w:val="both"/>
        <w:rPr>
          <w:bCs/>
          <w:sz w:val="22"/>
          <w:szCs w:val="22"/>
          <w:lang w:val="sr-Latn-ME"/>
        </w:rPr>
      </w:pPr>
    </w:p>
    <w:p w14:paraId="1F3E37CE" w14:textId="77777777" w:rsidR="0072020E" w:rsidRPr="00980785" w:rsidRDefault="0072020E" w:rsidP="00290631">
      <w:pPr>
        <w:tabs>
          <w:tab w:val="left" w:pos="540"/>
          <w:tab w:val="left" w:pos="569"/>
        </w:tabs>
        <w:jc w:val="both"/>
        <w:rPr>
          <w:b/>
          <w:bCs/>
          <w:sz w:val="22"/>
          <w:szCs w:val="22"/>
          <w:lang w:val="sr-Latn-ME"/>
        </w:rPr>
      </w:pPr>
      <w:r w:rsidRPr="00980785">
        <w:rPr>
          <w:b/>
          <w:bCs/>
          <w:sz w:val="22"/>
          <w:szCs w:val="22"/>
          <w:lang w:val="sr-Latn-ME"/>
        </w:rPr>
        <w:lastRenderedPageBreak/>
        <w:t xml:space="preserve">9. </w:t>
      </w:r>
      <w:r w:rsidR="00480FB1" w:rsidRPr="00980785">
        <w:rPr>
          <w:b/>
          <w:bCs/>
          <w:sz w:val="22"/>
          <w:szCs w:val="22"/>
          <w:lang w:val="sr-Latn-ME"/>
        </w:rPr>
        <w:tab/>
      </w:r>
      <w:r w:rsidRPr="00980785">
        <w:rPr>
          <w:b/>
          <w:bCs/>
          <w:sz w:val="22"/>
          <w:szCs w:val="22"/>
          <w:lang w:val="sr-Latn-ME"/>
        </w:rPr>
        <w:t xml:space="preserve">DATUM </w:t>
      </w:r>
      <w:r w:rsidR="00C05DF8" w:rsidRPr="00980785">
        <w:rPr>
          <w:b/>
          <w:bCs/>
          <w:sz w:val="22"/>
          <w:szCs w:val="22"/>
          <w:lang w:val="sr-Latn-ME"/>
        </w:rPr>
        <w:t xml:space="preserve">PRVE </w:t>
      </w:r>
      <w:r w:rsidR="008A6D43" w:rsidRPr="00980785">
        <w:rPr>
          <w:b/>
          <w:bCs/>
          <w:sz w:val="22"/>
          <w:szCs w:val="22"/>
          <w:lang w:val="sr-Latn-ME"/>
        </w:rPr>
        <w:t>DOZVOLE</w:t>
      </w:r>
      <w:r w:rsidR="00C05DF8" w:rsidRPr="00980785">
        <w:rPr>
          <w:b/>
          <w:bCs/>
          <w:sz w:val="22"/>
          <w:szCs w:val="22"/>
          <w:lang w:val="sr-Latn-ME"/>
        </w:rPr>
        <w:t>/OBNOVE DOZVOLE</w:t>
      </w:r>
      <w:r w:rsidR="008A6D43" w:rsidRPr="00980785">
        <w:rPr>
          <w:b/>
          <w:bCs/>
          <w:sz w:val="22"/>
          <w:szCs w:val="22"/>
          <w:lang w:val="sr-Latn-ME"/>
        </w:rPr>
        <w:t xml:space="preserve"> ZA STAVLJANJE LIJEKA U PROMET</w:t>
      </w:r>
    </w:p>
    <w:p w14:paraId="30EFA6CA" w14:textId="5986DA2C" w:rsidR="0072020E" w:rsidRPr="00980785" w:rsidRDefault="0072020E" w:rsidP="00290631">
      <w:pPr>
        <w:tabs>
          <w:tab w:val="left" w:pos="540"/>
          <w:tab w:val="left" w:pos="569"/>
        </w:tabs>
        <w:jc w:val="both"/>
        <w:rPr>
          <w:bCs/>
          <w:sz w:val="22"/>
          <w:szCs w:val="22"/>
          <w:lang w:val="sr-Latn-ME"/>
        </w:rPr>
      </w:pPr>
    </w:p>
    <w:p w14:paraId="256CB7AE" w14:textId="371E2509" w:rsidR="00667F35" w:rsidRPr="00980785" w:rsidRDefault="00667F35" w:rsidP="00980785">
      <w:pPr>
        <w:tabs>
          <w:tab w:val="left" w:pos="540"/>
          <w:tab w:val="left" w:pos="569"/>
        </w:tabs>
        <w:jc w:val="both"/>
        <w:rPr>
          <w:bCs/>
          <w:sz w:val="22"/>
          <w:szCs w:val="22"/>
          <w:lang w:val="sr-Latn-ME"/>
        </w:rPr>
      </w:pPr>
      <w:r w:rsidRPr="00980785">
        <w:rPr>
          <w:bCs/>
          <w:sz w:val="22"/>
          <w:szCs w:val="22"/>
          <w:lang w:val="sr-Latn-ME"/>
        </w:rPr>
        <w:t>Datum prve dozvole:</w:t>
      </w:r>
      <w:r w:rsidR="00980785">
        <w:rPr>
          <w:bCs/>
          <w:sz w:val="22"/>
          <w:szCs w:val="22"/>
          <w:lang w:val="sr-Latn-ME"/>
        </w:rPr>
        <w:t xml:space="preserve"> </w:t>
      </w:r>
      <w:r w:rsidR="00046B01">
        <w:rPr>
          <w:bCs/>
          <w:sz w:val="22"/>
          <w:szCs w:val="22"/>
          <w:lang w:val="sr-Latn-ME"/>
        </w:rPr>
        <w:t>28.11.2014</w:t>
      </w:r>
      <w:r w:rsidR="00980785" w:rsidRPr="00980785">
        <w:rPr>
          <w:bCs/>
          <w:sz w:val="22"/>
          <w:szCs w:val="22"/>
          <w:lang w:val="sr-Latn-ME"/>
        </w:rPr>
        <w:t>.</w:t>
      </w:r>
      <w:r w:rsidR="00980785">
        <w:rPr>
          <w:bCs/>
          <w:sz w:val="22"/>
          <w:szCs w:val="22"/>
          <w:lang w:val="sr-Latn-ME"/>
        </w:rPr>
        <w:t xml:space="preserve"> </w:t>
      </w:r>
      <w:r w:rsidR="00980785" w:rsidRPr="00980785">
        <w:rPr>
          <w:bCs/>
          <w:sz w:val="22"/>
          <w:szCs w:val="22"/>
          <w:lang w:val="sr-Latn-ME"/>
        </w:rPr>
        <w:t>godine</w:t>
      </w:r>
    </w:p>
    <w:p w14:paraId="2CF2CDEF" w14:textId="661A46FB" w:rsidR="00667F35" w:rsidRPr="00980785" w:rsidRDefault="00667F35" w:rsidP="00290631">
      <w:pPr>
        <w:tabs>
          <w:tab w:val="left" w:pos="540"/>
          <w:tab w:val="left" w:pos="569"/>
        </w:tabs>
        <w:jc w:val="both"/>
        <w:rPr>
          <w:bCs/>
          <w:sz w:val="22"/>
          <w:szCs w:val="22"/>
          <w:lang w:val="sr-Latn-ME"/>
        </w:rPr>
      </w:pPr>
      <w:r w:rsidRPr="00980785">
        <w:rPr>
          <w:bCs/>
          <w:sz w:val="22"/>
          <w:szCs w:val="22"/>
          <w:lang w:val="sr-Latn-ME"/>
        </w:rPr>
        <w:t>Datum poslednje obnove dozvole:</w:t>
      </w:r>
      <w:r w:rsidR="00046B01">
        <w:rPr>
          <w:bCs/>
          <w:sz w:val="22"/>
          <w:szCs w:val="22"/>
          <w:lang w:val="sr-Latn-ME"/>
        </w:rPr>
        <w:t xml:space="preserve"> 04</w:t>
      </w:r>
      <w:bookmarkStart w:id="1" w:name="_GoBack"/>
      <w:bookmarkEnd w:id="1"/>
      <w:r w:rsidR="00980785">
        <w:rPr>
          <w:bCs/>
          <w:sz w:val="22"/>
          <w:szCs w:val="22"/>
          <w:lang w:val="sr-Latn-ME"/>
        </w:rPr>
        <w:t>.07.2024. godine</w:t>
      </w:r>
    </w:p>
    <w:p w14:paraId="222743D6" w14:textId="77777777" w:rsidR="00667F35" w:rsidRPr="00980785" w:rsidRDefault="00667F35" w:rsidP="00290631">
      <w:pPr>
        <w:tabs>
          <w:tab w:val="left" w:pos="540"/>
          <w:tab w:val="left" w:pos="569"/>
        </w:tabs>
        <w:jc w:val="both"/>
        <w:rPr>
          <w:bCs/>
          <w:sz w:val="22"/>
          <w:szCs w:val="22"/>
          <w:lang w:val="sr-Latn-ME"/>
        </w:rPr>
      </w:pPr>
    </w:p>
    <w:p w14:paraId="74DE5BC3" w14:textId="77777777" w:rsidR="00836B35" w:rsidRPr="00980785" w:rsidRDefault="00836B35" w:rsidP="00290631">
      <w:pPr>
        <w:tabs>
          <w:tab w:val="left" w:pos="540"/>
          <w:tab w:val="left" w:pos="569"/>
        </w:tabs>
        <w:jc w:val="both"/>
        <w:rPr>
          <w:bCs/>
          <w:sz w:val="22"/>
          <w:szCs w:val="22"/>
          <w:lang w:val="sr-Latn-ME"/>
        </w:rPr>
      </w:pPr>
    </w:p>
    <w:p w14:paraId="11733384" w14:textId="77777777" w:rsidR="003F6A59" w:rsidRPr="00980785" w:rsidRDefault="0072020E" w:rsidP="00290631">
      <w:pPr>
        <w:tabs>
          <w:tab w:val="left" w:pos="540"/>
          <w:tab w:val="left" w:pos="569"/>
        </w:tabs>
        <w:ind w:left="540" w:hanging="540"/>
        <w:jc w:val="both"/>
        <w:rPr>
          <w:bCs/>
          <w:sz w:val="22"/>
          <w:szCs w:val="22"/>
          <w:lang w:val="sr-Latn-ME"/>
        </w:rPr>
      </w:pPr>
      <w:r w:rsidRPr="00980785">
        <w:rPr>
          <w:b/>
          <w:bCs/>
          <w:sz w:val="22"/>
          <w:szCs w:val="22"/>
          <w:lang w:val="sr-Latn-ME"/>
        </w:rPr>
        <w:t xml:space="preserve">10. </w:t>
      </w:r>
      <w:r w:rsidR="00480FB1" w:rsidRPr="00980785">
        <w:rPr>
          <w:b/>
          <w:bCs/>
          <w:sz w:val="22"/>
          <w:szCs w:val="22"/>
          <w:lang w:val="sr-Latn-ME"/>
        </w:rPr>
        <w:tab/>
      </w:r>
      <w:r w:rsidR="002846DB" w:rsidRPr="00980785">
        <w:rPr>
          <w:b/>
          <w:bCs/>
          <w:sz w:val="22"/>
          <w:szCs w:val="22"/>
          <w:lang w:val="sr-Latn-ME"/>
        </w:rPr>
        <w:t>D</w:t>
      </w:r>
      <w:r w:rsidR="00EC2532" w:rsidRPr="00980785">
        <w:rPr>
          <w:b/>
          <w:bCs/>
          <w:sz w:val="22"/>
          <w:szCs w:val="22"/>
          <w:lang w:val="sr-Latn-ME"/>
        </w:rPr>
        <w:t xml:space="preserve">ATUM REVIZIJE TEKSTA </w:t>
      </w:r>
    </w:p>
    <w:p w14:paraId="1562C658" w14:textId="1FF04F87" w:rsidR="003F6A59" w:rsidRPr="00980785" w:rsidRDefault="003F6A59" w:rsidP="00290631">
      <w:pPr>
        <w:tabs>
          <w:tab w:val="left" w:pos="540"/>
          <w:tab w:val="left" w:pos="569"/>
        </w:tabs>
        <w:jc w:val="both"/>
        <w:rPr>
          <w:bCs/>
          <w:sz w:val="22"/>
          <w:szCs w:val="22"/>
          <w:lang w:val="sr-Latn-ME"/>
        </w:rPr>
      </w:pPr>
    </w:p>
    <w:p w14:paraId="6127BD17" w14:textId="5AD1DD35" w:rsidR="00667F35" w:rsidRPr="00980785" w:rsidRDefault="00980785" w:rsidP="00290631">
      <w:pPr>
        <w:tabs>
          <w:tab w:val="left" w:pos="540"/>
          <w:tab w:val="left" w:pos="569"/>
        </w:tabs>
        <w:jc w:val="both"/>
        <w:rPr>
          <w:bCs/>
          <w:sz w:val="22"/>
          <w:szCs w:val="22"/>
          <w:lang w:val="sr-Latn-ME"/>
        </w:rPr>
      </w:pPr>
      <w:r>
        <w:rPr>
          <w:bCs/>
          <w:sz w:val="22"/>
          <w:szCs w:val="22"/>
          <w:lang w:val="sr-Latn-ME"/>
        </w:rPr>
        <w:t>Jul, 2024. godine</w:t>
      </w:r>
    </w:p>
    <w:p w14:paraId="095FCE27" w14:textId="16D76D5D" w:rsidR="003F6A59" w:rsidRPr="00980785" w:rsidRDefault="003F6A59" w:rsidP="00290631">
      <w:pPr>
        <w:jc w:val="both"/>
        <w:rPr>
          <w:sz w:val="22"/>
          <w:szCs w:val="22"/>
          <w:lang w:val="sr-Latn-ME"/>
        </w:rPr>
      </w:pPr>
    </w:p>
    <w:sectPr w:rsidR="003F6A59" w:rsidRPr="00980785" w:rsidSect="00046B01">
      <w:footerReference w:type="default" r:id="rId14"/>
      <w:pgSz w:w="11909" w:h="16834" w:code="9"/>
      <w:pgMar w:top="1140" w:right="1412" w:bottom="993"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9C684" w14:textId="77777777" w:rsidR="00EF09AD" w:rsidRDefault="00EF09AD">
      <w:r>
        <w:separator/>
      </w:r>
    </w:p>
  </w:endnote>
  <w:endnote w:type="continuationSeparator" w:id="0">
    <w:p w14:paraId="14E04B52" w14:textId="77777777" w:rsidR="00EF09AD" w:rsidRDefault="00EF0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2E05" w14:textId="75827699" w:rsidR="00D20D63" w:rsidRPr="00B23F69" w:rsidRDefault="00D20D63"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046B01">
      <w:rPr>
        <w:noProof/>
        <w:sz w:val="22"/>
        <w:szCs w:val="22"/>
      </w:rPr>
      <w:t>20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046B01">
      <w:rPr>
        <w:noProof/>
        <w:sz w:val="22"/>
        <w:szCs w:val="22"/>
      </w:rPr>
      <w:t>21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C69DB" w14:textId="77777777" w:rsidR="00EF09AD" w:rsidRDefault="00EF09AD">
      <w:r>
        <w:separator/>
      </w:r>
    </w:p>
  </w:footnote>
  <w:footnote w:type="continuationSeparator" w:id="0">
    <w:p w14:paraId="23C7250A" w14:textId="77777777" w:rsidR="00EF09AD" w:rsidRDefault="00EF0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5.65pt;height:13.75pt;visibility:visible" o:bullet="t">
        <v:imagedata r:id="rId1" o:title="BT_1000x858px"/>
      </v:shape>
    </w:pict>
  </w:numPicBullet>
  <w:abstractNum w:abstractNumId="0" w15:restartNumberingAfterBreak="0">
    <w:nsid w:val="004E53D6"/>
    <w:multiLevelType w:val="hybridMultilevel"/>
    <w:tmpl w:val="EC96E7EC"/>
    <w:lvl w:ilvl="0" w:tplc="808024A0">
      <w:start w:val="3"/>
      <w:numFmt w:val="bullet"/>
      <w:lvlText w:val="-"/>
      <w:lvlJc w:val="left"/>
      <w:pPr>
        <w:ind w:left="720" w:hanging="360"/>
      </w:pPr>
      <w:rPr>
        <w:rFonts w:ascii="Times New Roman" w:eastAsia="Times New Roman"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0416730"/>
    <w:multiLevelType w:val="hybridMultilevel"/>
    <w:tmpl w:val="86CA5504"/>
    <w:lvl w:ilvl="0" w:tplc="1CD8EC0E">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9" w15:restartNumberingAfterBreak="0">
    <w:nsid w:val="3CCE5C72"/>
    <w:multiLevelType w:val="hybridMultilevel"/>
    <w:tmpl w:val="11C891BC"/>
    <w:lvl w:ilvl="0" w:tplc="6280486E">
      <w:start w:val="3"/>
      <w:numFmt w:val="bullet"/>
      <w:lvlText w:val="-"/>
      <w:lvlJc w:val="left"/>
      <w:pPr>
        <w:ind w:left="720" w:hanging="360"/>
      </w:pPr>
      <w:rPr>
        <w:rFonts w:ascii="Times New Roman" w:eastAsia="Times New Roman"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0422FBF"/>
    <w:multiLevelType w:val="hybridMultilevel"/>
    <w:tmpl w:val="B376593A"/>
    <w:lvl w:ilvl="0" w:tplc="37ECA79C">
      <w:start w:val="8"/>
      <w:numFmt w:val="bullet"/>
      <w:lvlText w:val="-"/>
      <w:lvlJc w:val="left"/>
      <w:pPr>
        <w:ind w:left="945" w:hanging="585"/>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6F53565"/>
    <w:multiLevelType w:val="hybridMultilevel"/>
    <w:tmpl w:val="67F222AC"/>
    <w:lvl w:ilvl="0" w:tplc="3F6205A0">
      <w:numFmt w:val="bullet"/>
      <w:lvlText w:val="-"/>
      <w:lvlJc w:val="left"/>
      <w:pPr>
        <w:ind w:left="720" w:hanging="360"/>
      </w:pPr>
      <w:rPr>
        <w:rFonts w:ascii="Times New Roman" w:eastAsia="Times New Roman" w:hAnsi="Times New Roman" w:cs="Times New Roman" w:hint="default"/>
        <w:vertAlign w:val="baseline"/>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5BF20B6E"/>
    <w:multiLevelType w:val="hybridMultilevel"/>
    <w:tmpl w:val="5BF2CA62"/>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B01CD0"/>
    <w:multiLevelType w:val="hybridMultilevel"/>
    <w:tmpl w:val="19C8835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708A401E"/>
    <w:multiLevelType w:val="hybridMultilevel"/>
    <w:tmpl w:val="7CFA269E"/>
    <w:lvl w:ilvl="0" w:tplc="6CB84BA6">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8"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
  </w:num>
  <w:num w:numId="4">
    <w:abstractNumId w:val="12"/>
  </w:num>
  <w:num w:numId="5">
    <w:abstractNumId w:val="5"/>
  </w:num>
  <w:num w:numId="6">
    <w:abstractNumId w:val="2"/>
  </w:num>
  <w:num w:numId="7">
    <w:abstractNumId w:val="10"/>
  </w:num>
  <w:num w:numId="8">
    <w:abstractNumId w:val="4"/>
  </w:num>
  <w:num w:numId="9">
    <w:abstractNumId w:val="7"/>
  </w:num>
  <w:num w:numId="10">
    <w:abstractNumId w:val="18"/>
  </w:num>
  <w:num w:numId="11">
    <w:abstractNumId w:val="6"/>
  </w:num>
  <w:num w:numId="12">
    <w:abstractNumId w:val="0"/>
  </w:num>
  <w:num w:numId="13">
    <w:abstractNumId w:val="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BE"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544F"/>
    <w:rsid w:val="00015883"/>
    <w:rsid w:val="000176CA"/>
    <w:rsid w:val="00036FA0"/>
    <w:rsid w:val="0003793F"/>
    <w:rsid w:val="00046B01"/>
    <w:rsid w:val="00046D9A"/>
    <w:rsid w:val="00055C6A"/>
    <w:rsid w:val="00057E35"/>
    <w:rsid w:val="00062AEA"/>
    <w:rsid w:val="0007511E"/>
    <w:rsid w:val="00076726"/>
    <w:rsid w:val="00080303"/>
    <w:rsid w:val="00083E27"/>
    <w:rsid w:val="000A0F3F"/>
    <w:rsid w:val="000A162F"/>
    <w:rsid w:val="000A3F58"/>
    <w:rsid w:val="000B142E"/>
    <w:rsid w:val="000B6EAF"/>
    <w:rsid w:val="000D2343"/>
    <w:rsid w:val="000D3449"/>
    <w:rsid w:val="000D425A"/>
    <w:rsid w:val="000D60CC"/>
    <w:rsid w:val="000E2084"/>
    <w:rsid w:val="000E2F44"/>
    <w:rsid w:val="000E45B9"/>
    <w:rsid w:val="000E539A"/>
    <w:rsid w:val="000E6F55"/>
    <w:rsid w:val="000F77FA"/>
    <w:rsid w:val="00107BF7"/>
    <w:rsid w:val="00115628"/>
    <w:rsid w:val="00126F53"/>
    <w:rsid w:val="0014766D"/>
    <w:rsid w:val="0015026D"/>
    <w:rsid w:val="00150585"/>
    <w:rsid w:val="00150E99"/>
    <w:rsid w:val="001536CC"/>
    <w:rsid w:val="0015658A"/>
    <w:rsid w:val="00167570"/>
    <w:rsid w:val="00170EC5"/>
    <w:rsid w:val="00196E6B"/>
    <w:rsid w:val="001A2FB6"/>
    <w:rsid w:val="001A3FBA"/>
    <w:rsid w:val="001A5518"/>
    <w:rsid w:val="001B0D3A"/>
    <w:rsid w:val="001B1C6A"/>
    <w:rsid w:val="001B71C8"/>
    <w:rsid w:val="001C1263"/>
    <w:rsid w:val="001C1417"/>
    <w:rsid w:val="001C47CB"/>
    <w:rsid w:val="001D308E"/>
    <w:rsid w:val="001E390B"/>
    <w:rsid w:val="001F42FB"/>
    <w:rsid w:val="001F719A"/>
    <w:rsid w:val="002031B3"/>
    <w:rsid w:val="002144C8"/>
    <w:rsid w:val="00215931"/>
    <w:rsid w:val="00227BDB"/>
    <w:rsid w:val="00231404"/>
    <w:rsid w:val="00233786"/>
    <w:rsid w:val="00234CB1"/>
    <w:rsid w:val="002352F8"/>
    <w:rsid w:val="002411D4"/>
    <w:rsid w:val="002510A5"/>
    <w:rsid w:val="00254A0A"/>
    <w:rsid w:val="0026205C"/>
    <w:rsid w:val="00264EB0"/>
    <w:rsid w:val="00266046"/>
    <w:rsid w:val="00280D2D"/>
    <w:rsid w:val="002846DB"/>
    <w:rsid w:val="00284CCD"/>
    <w:rsid w:val="00290631"/>
    <w:rsid w:val="002A5CDF"/>
    <w:rsid w:val="002B54EB"/>
    <w:rsid w:val="002C166B"/>
    <w:rsid w:val="002C6637"/>
    <w:rsid w:val="002E0135"/>
    <w:rsid w:val="002E37A5"/>
    <w:rsid w:val="002E74B2"/>
    <w:rsid w:val="00306A7B"/>
    <w:rsid w:val="00310F03"/>
    <w:rsid w:val="00320EB6"/>
    <w:rsid w:val="003247D2"/>
    <w:rsid w:val="003445C1"/>
    <w:rsid w:val="0035074D"/>
    <w:rsid w:val="00355B61"/>
    <w:rsid w:val="00362686"/>
    <w:rsid w:val="003642AB"/>
    <w:rsid w:val="003709B1"/>
    <w:rsid w:val="00371510"/>
    <w:rsid w:val="00375F5D"/>
    <w:rsid w:val="00396DFD"/>
    <w:rsid w:val="003A7059"/>
    <w:rsid w:val="003B7A36"/>
    <w:rsid w:val="003C17AB"/>
    <w:rsid w:val="003C40BD"/>
    <w:rsid w:val="003C7823"/>
    <w:rsid w:val="003D5840"/>
    <w:rsid w:val="003D68A9"/>
    <w:rsid w:val="003D7733"/>
    <w:rsid w:val="003E1DCC"/>
    <w:rsid w:val="003F290D"/>
    <w:rsid w:val="003F6A59"/>
    <w:rsid w:val="0040621D"/>
    <w:rsid w:val="004065C8"/>
    <w:rsid w:val="00411B4B"/>
    <w:rsid w:val="00415BEE"/>
    <w:rsid w:val="00427F85"/>
    <w:rsid w:val="00436D66"/>
    <w:rsid w:val="00436F42"/>
    <w:rsid w:val="004378B4"/>
    <w:rsid w:val="00447053"/>
    <w:rsid w:val="00451314"/>
    <w:rsid w:val="00452009"/>
    <w:rsid w:val="00452E9D"/>
    <w:rsid w:val="004534C7"/>
    <w:rsid w:val="00466967"/>
    <w:rsid w:val="004671AA"/>
    <w:rsid w:val="00480FB1"/>
    <w:rsid w:val="00483928"/>
    <w:rsid w:val="00484668"/>
    <w:rsid w:val="00487762"/>
    <w:rsid w:val="004A3E50"/>
    <w:rsid w:val="004B6182"/>
    <w:rsid w:val="004B64D9"/>
    <w:rsid w:val="004D161C"/>
    <w:rsid w:val="004D6103"/>
    <w:rsid w:val="004E3BCE"/>
    <w:rsid w:val="004F0E97"/>
    <w:rsid w:val="00507BC2"/>
    <w:rsid w:val="00512DF9"/>
    <w:rsid w:val="00515C21"/>
    <w:rsid w:val="00530BD7"/>
    <w:rsid w:val="00545CD2"/>
    <w:rsid w:val="005476F3"/>
    <w:rsid w:val="0056068B"/>
    <w:rsid w:val="00572527"/>
    <w:rsid w:val="00573E40"/>
    <w:rsid w:val="00576348"/>
    <w:rsid w:val="005A0B2E"/>
    <w:rsid w:val="005A23D2"/>
    <w:rsid w:val="005A36CB"/>
    <w:rsid w:val="005B49B8"/>
    <w:rsid w:val="005C0741"/>
    <w:rsid w:val="005C3EE3"/>
    <w:rsid w:val="005C5EF4"/>
    <w:rsid w:val="005E2E0B"/>
    <w:rsid w:val="005E7A7D"/>
    <w:rsid w:val="005F141F"/>
    <w:rsid w:val="006224EE"/>
    <w:rsid w:val="00646436"/>
    <w:rsid w:val="00646BD1"/>
    <w:rsid w:val="00646EC6"/>
    <w:rsid w:val="00655EE3"/>
    <w:rsid w:val="006561C2"/>
    <w:rsid w:val="0065622A"/>
    <w:rsid w:val="00661EF8"/>
    <w:rsid w:val="00667129"/>
    <w:rsid w:val="00667F35"/>
    <w:rsid w:val="00671CB3"/>
    <w:rsid w:val="00674BAF"/>
    <w:rsid w:val="00677FAC"/>
    <w:rsid w:val="00682200"/>
    <w:rsid w:val="006A1497"/>
    <w:rsid w:val="006B0BD1"/>
    <w:rsid w:val="006C5DDB"/>
    <w:rsid w:val="006D20A5"/>
    <w:rsid w:val="006D37BF"/>
    <w:rsid w:val="006E74A0"/>
    <w:rsid w:val="00702E22"/>
    <w:rsid w:val="00714947"/>
    <w:rsid w:val="0072020E"/>
    <w:rsid w:val="00722DD5"/>
    <w:rsid w:val="00726F6A"/>
    <w:rsid w:val="007740CB"/>
    <w:rsid w:val="00784807"/>
    <w:rsid w:val="00786071"/>
    <w:rsid w:val="007A0412"/>
    <w:rsid w:val="007A3ECB"/>
    <w:rsid w:val="007F441E"/>
    <w:rsid w:val="0081154D"/>
    <w:rsid w:val="00817840"/>
    <w:rsid w:val="00824AB9"/>
    <w:rsid w:val="00836B35"/>
    <w:rsid w:val="00843BDE"/>
    <w:rsid w:val="00850AFA"/>
    <w:rsid w:val="0089705C"/>
    <w:rsid w:val="008A12A2"/>
    <w:rsid w:val="008A6D43"/>
    <w:rsid w:val="008B491E"/>
    <w:rsid w:val="008C1A28"/>
    <w:rsid w:val="008C2E98"/>
    <w:rsid w:val="008C6985"/>
    <w:rsid w:val="008E49BD"/>
    <w:rsid w:val="008E53E9"/>
    <w:rsid w:val="008E5771"/>
    <w:rsid w:val="008E7C1A"/>
    <w:rsid w:val="0091367D"/>
    <w:rsid w:val="009216F8"/>
    <w:rsid w:val="00940B9B"/>
    <w:rsid w:val="0095477A"/>
    <w:rsid w:val="0095676E"/>
    <w:rsid w:val="00956983"/>
    <w:rsid w:val="00961133"/>
    <w:rsid w:val="00963CF0"/>
    <w:rsid w:val="00964BB1"/>
    <w:rsid w:val="00967242"/>
    <w:rsid w:val="009775D9"/>
    <w:rsid w:val="00980785"/>
    <w:rsid w:val="00997175"/>
    <w:rsid w:val="009A1847"/>
    <w:rsid w:val="009A4930"/>
    <w:rsid w:val="009B062A"/>
    <w:rsid w:val="009B381F"/>
    <w:rsid w:val="009D5A30"/>
    <w:rsid w:val="009E1C57"/>
    <w:rsid w:val="009E7C6F"/>
    <w:rsid w:val="009F0045"/>
    <w:rsid w:val="009F1793"/>
    <w:rsid w:val="009F2D23"/>
    <w:rsid w:val="009F4E63"/>
    <w:rsid w:val="00A01D69"/>
    <w:rsid w:val="00A02335"/>
    <w:rsid w:val="00A06AF2"/>
    <w:rsid w:val="00A127A0"/>
    <w:rsid w:val="00A46C9A"/>
    <w:rsid w:val="00A53CC7"/>
    <w:rsid w:val="00A5567E"/>
    <w:rsid w:val="00A619F3"/>
    <w:rsid w:val="00A62A73"/>
    <w:rsid w:val="00A821E6"/>
    <w:rsid w:val="00A87FF6"/>
    <w:rsid w:val="00A96E55"/>
    <w:rsid w:val="00A974B8"/>
    <w:rsid w:val="00AA0A3B"/>
    <w:rsid w:val="00AB50CA"/>
    <w:rsid w:val="00AC53CE"/>
    <w:rsid w:val="00AD2193"/>
    <w:rsid w:val="00AE7E0B"/>
    <w:rsid w:val="00AF2AC7"/>
    <w:rsid w:val="00AF74CE"/>
    <w:rsid w:val="00B061B6"/>
    <w:rsid w:val="00B16E5E"/>
    <w:rsid w:val="00B208DB"/>
    <w:rsid w:val="00B217BE"/>
    <w:rsid w:val="00B23F69"/>
    <w:rsid w:val="00B309D5"/>
    <w:rsid w:val="00B35486"/>
    <w:rsid w:val="00B362B3"/>
    <w:rsid w:val="00B43F5E"/>
    <w:rsid w:val="00B60619"/>
    <w:rsid w:val="00B65F9A"/>
    <w:rsid w:val="00B66A70"/>
    <w:rsid w:val="00B67366"/>
    <w:rsid w:val="00B7068B"/>
    <w:rsid w:val="00B80EE1"/>
    <w:rsid w:val="00B84135"/>
    <w:rsid w:val="00B862D9"/>
    <w:rsid w:val="00B87614"/>
    <w:rsid w:val="00B929B2"/>
    <w:rsid w:val="00BA71AD"/>
    <w:rsid w:val="00BB264D"/>
    <w:rsid w:val="00BE3B0B"/>
    <w:rsid w:val="00BF139D"/>
    <w:rsid w:val="00C04D34"/>
    <w:rsid w:val="00C05DF8"/>
    <w:rsid w:val="00C06864"/>
    <w:rsid w:val="00C10160"/>
    <w:rsid w:val="00C10F54"/>
    <w:rsid w:val="00C23D8D"/>
    <w:rsid w:val="00C37AA3"/>
    <w:rsid w:val="00C37FD7"/>
    <w:rsid w:val="00C43419"/>
    <w:rsid w:val="00C440D3"/>
    <w:rsid w:val="00C44CF3"/>
    <w:rsid w:val="00C61BE0"/>
    <w:rsid w:val="00C70B0E"/>
    <w:rsid w:val="00C773CA"/>
    <w:rsid w:val="00C83785"/>
    <w:rsid w:val="00C942DC"/>
    <w:rsid w:val="00C94C0D"/>
    <w:rsid w:val="00CA1FEB"/>
    <w:rsid w:val="00CC7495"/>
    <w:rsid w:val="00CD4F85"/>
    <w:rsid w:val="00CD6F02"/>
    <w:rsid w:val="00CE246D"/>
    <w:rsid w:val="00CF07A0"/>
    <w:rsid w:val="00CF3E03"/>
    <w:rsid w:val="00D0082A"/>
    <w:rsid w:val="00D20D63"/>
    <w:rsid w:val="00D21455"/>
    <w:rsid w:val="00D24B43"/>
    <w:rsid w:val="00D3143C"/>
    <w:rsid w:val="00D47634"/>
    <w:rsid w:val="00D61BC3"/>
    <w:rsid w:val="00D65B05"/>
    <w:rsid w:val="00D709B3"/>
    <w:rsid w:val="00D72894"/>
    <w:rsid w:val="00D83A89"/>
    <w:rsid w:val="00D96CA0"/>
    <w:rsid w:val="00DA2ED6"/>
    <w:rsid w:val="00DB137A"/>
    <w:rsid w:val="00DB76B8"/>
    <w:rsid w:val="00DC2EA1"/>
    <w:rsid w:val="00DC38F1"/>
    <w:rsid w:val="00DD6AAF"/>
    <w:rsid w:val="00DE3F5C"/>
    <w:rsid w:val="00DE7FB7"/>
    <w:rsid w:val="00DF1D20"/>
    <w:rsid w:val="00DF7182"/>
    <w:rsid w:val="00E21324"/>
    <w:rsid w:val="00E246B9"/>
    <w:rsid w:val="00E31FEA"/>
    <w:rsid w:val="00E40B0E"/>
    <w:rsid w:val="00E45169"/>
    <w:rsid w:val="00E47787"/>
    <w:rsid w:val="00E5094E"/>
    <w:rsid w:val="00E51C30"/>
    <w:rsid w:val="00E62C71"/>
    <w:rsid w:val="00E64180"/>
    <w:rsid w:val="00E71D69"/>
    <w:rsid w:val="00E74AEE"/>
    <w:rsid w:val="00E77985"/>
    <w:rsid w:val="00E868E5"/>
    <w:rsid w:val="00E9237A"/>
    <w:rsid w:val="00E939FA"/>
    <w:rsid w:val="00EA5765"/>
    <w:rsid w:val="00EB2E42"/>
    <w:rsid w:val="00EC2532"/>
    <w:rsid w:val="00ED5685"/>
    <w:rsid w:val="00ED5B1B"/>
    <w:rsid w:val="00ED7812"/>
    <w:rsid w:val="00EE24F3"/>
    <w:rsid w:val="00EF09AD"/>
    <w:rsid w:val="00EF1413"/>
    <w:rsid w:val="00EF3B86"/>
    <w:rsid w:val="00F1015B"/>
    <w:rsid w:val="00F16EB9"/>
    <w:rsid w:val="00F17C69"/>
    <w:rsid w:val="00F224CD"/>
    <w:rsid w:val="00F317E9"/>
    <w:rsid w:val="00F31B1E"/>
    <w:rsid w:val="00F34554"/>
    <w:rsid w:val="00F4246F"/>
    <w:rsid w:val="00F45F77"/>
    <w:rsid w:val="00F5167F"/>
    <w:rsid w:val="00F52258"/>
    <w:rsid w:val="00F54011"/>
    <w:rsid w:val="00F55C77"/>
    <w:rsid w:val="00F5753E"/>
    <w:rsid w:val="00F64B3A"/>
    <w:rsid w:val="00F67CC3"/>
    <w:rsid w:val="00F8570A"/>
    <w:rsid w:val="00F87210"/>
    <w:rsid w:val="00F9059C"/>
    <w:rsid w:val="00F91C7B"/>
    <w:rsid w:val="00FB78B0"/>
    <w:rsid w:val="00FC51DC"/>
    <w:rsid w:val="00FC5A59"/>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226FC6"/>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semiHidden/>
    <w:unhideWhenUsed/>
    <w:qFormat/>
    <w:rsid w:val="00BB264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Char Char Char Char Char,Char Char1 Char Char,Char Char Char,Char Char1,Header Char1 Char Char Char Char,Header Char Char Char Char Char Char,Char,Char Char Ch"/>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Char Char,Char Char Ch Char"/>
    <w:basedOn w:val="DefaultParagraphFont"/>
    <w:link w:val="Header"/>
    <w:uiPriority w:val="99"/>
    <w:rsid w:val="00A974B8"/>
    <w:rPr>
      <w:sz w:val="24"/>
      <w:szCs w:val="24"/>
      <w:lang w:val="en-US" w:eastAsia="en-US"/>
    </w:rPr>
  </w:style>
  <w:style w:type="character" w:customStyle="1" w:styleId="Heading3Char">
    <w:name w:val="Heading 3 Char"/>
    <w:basedOn w:val="DefaultParagraphFont"/>
    <w:link w:val="Heading3"/>
    <w:semiHidden/>
    <w:rsid w:val="00BB264D"/>
    <w:rPr>
      <w:rFonts w:asciiTheme="majorHAnsi" w:eastAsiaTheme="majorEastAsia" w:hAnsiTheme="majorHAnsi" w:cstheme="majorBidi"/>
      <w:color w:val="1F4D78" w:themeColor="accent1" w:themeShade="7F"/>
      <w:sz w:val="24"/>
      <w:szCs w:val="24"/>
      <w:lang w:val="en-US" w:eastAsia="en-US"/>
    </w:rPr>
  </w:style>
  <w:style w:type="paragraph" w:styleId="BodyTextIndent3">
    <w:name w:val="Body Text Indent 3"/>
    <w:basedOn w:val="Normal"/>
    <w:link w:val="BodyTextIndent3Char"/>
    <w:uiPriority w:val="99"/>
    <w:unhideWhenUsed/>
    <w:rsid w:val="00BB264D"/>
    <w:pPr>
      <w:tabs>
        <w:tab w:val="left" w:pos="-3119"/>
        <w:tab w:val="left" w:pos="-2977"/>
        <w:tab w:val="left" w:pos="567"/>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exact"/>
      <w:ind w:left="567" w:hanging="567"/>
    </w:pPr>
    <w:rPr>
      <w:rFonts w:ascii="Arial" w:hAnsi="Arial"/>
      <w:sz w:val="20"/>
      <w:szCs w:val="20"/>
      <w:lang w:val="en-GB"/>
    </w:rPr>
  </w:style>
  <w:style w:type="character" w:customStyle="1" w:styleId="BodyTextIndent3Char">
    <w:name w:val="Body Text Indent 3 Char"/>
    <w:basedOn w:val="DefaultParagraphFont"/>
    <w:link w:val="BodyTextIndent3"/>
    <w:uiPriority w:val="99"/>
    <w:rsid w:val="00BB264D"/>
    <w:rPr>
      <w:rFonts w:ascii="Arial" w:hAnsi="Arial"/>
      <w:lang w:val="en-GB" w:eastAsia="en-US"/>
    </w:rPr>
  </w:style>
  <w:style w:type="character" w:customStyle="1" w:styleId="tabletextNSChar">
    <w:name w:val="table:textNS Char"/>
    <w:link w:val="tabletextNS"/>
    <w:locked/>
    <w:rsid w:val="00E40B0E"/>
    <w:rPr>
      <w:rFonts w:ascii="Arial Narrow" w:hAnsi="Arial Narrow"/>
      <w:sz w:val="24"/>
      <w:szCs w:val="24"/>
      <w:lang w:val="en-GB" w:eastAsia="en-US"/>
    </w:rPr>
  </w:style>
  <w:style w:type="paragraph" w:customStyle="1" w:styleId="tabletextNS">
    <w:name w:val="table:textNS"/>
    <w:basedOn w:val="Normal"/>
    <w:link w:val="tabletextNSChar"/>
    <w:rsid w:val="00E40B0E"/>
    <w:rPr>
      <w:rFonts w:ascii="Arial Narrow" w:hAnsi="Arial Narrow"/>
      <w:lang w:val="en-GB"/>
    </w:rPr>
  </w:style>
  <w:style w:type="paragraph" w:styleId="ListParagraph">
    <w:name w:val="List Paragraph"/>
    <w:basedOn w:val="Normal"/>
    <w:uiPriority w:val="34"/>
    <w:qFormat/>
    <w:rsid w:val="004A3E50"/>
    <w:pPr>
      <w:ind w:left="720"/>
      <w:contextualSpacing/>
    </w:pPr>
  </w:style>
  <w:style w:type="paragraph" w:styleId="Revision">
    <w:name w:val="Revision"/>
    <w:hidden/>
    <w:uiPriority w:val="99"/>
    <w:semiHidden/>
    <w:rsid w:val="007F441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1620">
      <w:bodyDiv w:val="1"/>
      <w:marLeft w:val="0"/>
      <w:marRight w:val="0"/>
      <w:marTop w:val="0"/>
      <w:marBottom w:val="0"/>
      <w:divBdr>
        <w:top w:val="none" w:sz="0" w:space="0" w:color="auto"/>
        <w:left w:val="none" w:sz="0" w:space="0" w:color="auto"/>
        <w:bottom w:val="none" w:sz="0" w:space="0" w:color="auto"/>
        <w:right w:val="none" w:sz="0" w:space="0" w:color="auto"/>
      </w:divBdr>
    </w:div>
    <w:div w:id="189026420">
      <w:bodyDiv w:val="1"/>
      <w:marLeft w:val="0"/>
      <w:marRight w:val="0"/>
      <w:marTop w:val="0"/>
      <w:marBottom w:val="0"/>
      <w:divBdr>
        <w:top w:val="none" w:sz="0" w:space="0" w:color="auto"/>
        <w:left w:val="none" w:sz="0" w:space="0" w:color="auto"/>
        <w:bottom w:val="none" w:sz="0" w:space="0" w:color="auto"/>
        <w:right w:val="none" w:sz="0" w:space="0" w:color="auto"/>
      </w:divBdr>
    </w:div>
    <w:div w:id="229729374">
      <w:bodyDiv w:val="1"/>
      <w:marLeft w:val="0"/>
      <w:marRight w:val="0"/>
      <w:marTop w:val="0"/>
      <w:marBottom w:val="0"/>
      <w:divBdr>
        <w:top w:val="none" w:sz="0" w:space="0" w:color="auto"/>
        <w:left w:val="none" w:sz="0" w:space="0" w:color="auto"/>
        <w:bottom w:val="none" w:sz="0" w:space="0" w:color="auto"/>
        <w:right w:val="none" w:sz="0" w:space="0" w:color="auto"/>
      </w:divBdr>
    </w:div>
    <w:div w:id="230190320">
      <w:bodyDiv w:val="1"/>
      <w:marLeft w:val="0"/>
      <w:marRight w:val="0"/>
      <w:marTop w:val="0"/>
      <w:marBottom w:val="0"/>
      <w:divBdr>
        <w:top w:val="none" w:sz="0" w:space="0" w:color="auto"/>
        <w:left w:val="none" w:sz="0" w:space="0" w:color="auto"/>
        <w:bottom w:val="none" w:sz="0" w:space="0" w:color="auto"/>
        <w:right w:val="none" w:sz="0" w:space="0" w:color="auto"/>
      </w:divBdr>
    </w:div>
    <w:div w:id="237248754">
      <w:bodyDiv w:val="1"/>
      <w:marLeft w:val="0"/>
      <w:marRight w:val="0"/>
      <w:marTop w:val="0"/>
      <w:marBottom w:val="0"/>
      <w:divBdr>
        <w:top w:val="none" w:sz="0" w:space="0" w:color="auto"/>
        <w:left w:val="none" w:sz="0" w:space="0" w:color="auto"/>
        <w:bottom w:val="none" w:sz="0" w:space="0" w:color="auto"/>
        <w:right w:val="none" w:sz="0" w:space="0" w:color="auto"/>
      </w:divBdr>
    </w:div>
    <w:div w:id="322782483">
      <w:bodyDiv w:val="1"/>
      <w:marLeft w:val="0"/>
      <w:marRight w:val="0"/>
      <w:marTop w:val="0"/>
      <w:marBottom w:val="0"/>
      <w:divBdr>
        <w:top w:val="none" w:sz="0" w:space="0" w:color="auto"/>
        <w:left w:val="none" w:sz="0" w:space="0" w:color="auto"/>
        <w:bottom w:val="none" w:sz="0" w:space="0" w:color="auto"/>
        <w:right w:val="none" w:sz="0" w:space="0" w:color="auto"/>
      </w:divBdr>
    </w:div>
    <w:div w:id="405805143">
      <w:bodyDiv w:val="1"/>
      <w:marLeft w:val="0"/>
      <w:marRight w:val="0"/>
      <w:marTop w:val="0"/>
      <w:marBottom w:val="0"/>
      <w:divBdr>
        <w:top w:val="none" w:sz="0" w:space="0" w:color="auto"/>
        <w:left w:val="none" w:sz="0" w:space="0" w:color="auto"/>
        <w:bottom w:val="none" w:sz="0" w:space="0" w:color="auto"/>
        <w:right w:val="none" w:sz="0" w:space="0" w:color="auto"/>
      </w:divBdr>
    </w:div>
    <w:div w:id="406533589">
      <w:bodyDiv w:val="1"/>
      <w:marLeft w:val="0"/>
      <w:marRight w:val="0"/>
      <w:marTop w:val="0"/>
      <w:marBottom w:val="0"/>
      <w:divBdr>
        <w:top w:val="none" w:sz="0" w:space="0" w:color="auto"/>
        <w:left w:val="none" w:sz="0" w:space="0" w:color="auto"/>
        <w:bottom w:val="none" w:sz="0" w:space="0" w:color="auto"/>
        <w:right w:val="none" w:sz="0" w:space="0" w:color="auto"/>
      </w:divBdr>
    </w:div>
    <w:div w:id="413405579">
      <w:bodyDiv w:val="1"/>
      <w:marLeft w:val="0"/>
      <w:marRight w:val="0"/>
      <w:marTop w:val="0"/>
      <w:marBottom w:val="0"/>
      <w:divBdr>
        <w:top w:val="none" w:sz="0" w:space="0" w:color="auto"/>
        <w:left w:val="none" w:sz="0" w:space="0" w:color="auto"/>
        <w:bottom w:val="none" w:sz="0" w:space="0" w:color="auto"/>
        <w:right w:val="none" w:sz="0" w:space="0" w:color="auto"/>
      </w:divBdr>
    </w:div>
    <w:div w:id="627394244">
      <w:bodyDiv w:val="1"/>
      <w:marLeft w:val="0"/>
      <w:marRight w:val="0"/>
      <w:marTop w:val="0"/>
      <w:marBottom w:val="0"/>
      <w:divBdr>
        <w:top w:val="none" w:sz="0" w:space="0" w:color="auto"/>
        <w:left w:val="none" w:sz="0" w:space="0" w:color="auto"/>
        <w:bottom w:val="none" w:sz="0" w:space="0" w:color="auto"/>
        <w:right w:val="none" w:sz="0" w:space="0" w:color="auto"/>
      </w:divBdr>
    </w:div>
    <w:div w:id="627784858">
      <w:bodyDiv w:val="1"/>
      <w:marLeft w:val="0"/>
      <w:marRight w:val="0"/>
      <w:marTop w:val="0"/>
      <w:marBottom w:val="0"/>
      <w:divBdr>
        <w:top w:val="none" w:sz="0" w:space="0" w:color="auto"/>
        <w:left w:val="none" w:sz="0" w:space="0" w:color="auto"/>
        <w:bottom w:val="none" w:sz="0" w:space="0" w:color="auto"/>
        <w:right w:val="none" w:sz="0" w:space="0" w:color="auto"/>
      </w:divBdr>
    </w:div>
    <w:div w:id="658924792">
      <w:bodyDiv w:val="1"/>
      <w:marLeft w:val="0"/>
      <w:marRight w:val="0"/>
      <w:marTop w:val="0"/>
      <w:marBottom w:val="0"/>
      <w:divBdr>
        <w:top w:val="none" w:sz="0" w:space="0" w:color="auto"/>
        <w:left w:val="none" w:sz="0" w:space="0" w:color="auto"/>
        <w:bottom w:val="none" w:sz="0" w:space="0" w:color="auto"/>
        <w:right w:val="none" w:sz="0" w:space="0" w:color="auto"/>
      </w:divBdr>
    </w:div>
    <w:div w:id="740833306">
      <w:bodyDiv w:val="1"/>
      <w:marLeft w:val="0"/>
      <w:marRight w:val="0"/>
      <w:marTop w:val="0"/>
      <w:marBottom w:val="0"/>
      <w:divBdr>
        <w:top w:val="none" w:sz="0" w:space="0" w:color="auto"/>
        <w:left w:val="none" w:sz="0" w:space="0" w:color="auto"/>
        <w:bottom w:val="none" w:sz="0" w:space="0" w:color="auto"/>
        <w:right w:val="none" w:sz="0" w:space="0" w:color="auto"/>
      </w:divBdr>
    </w:div>
    <w:div w:id="799686144">
      <w:bodyDiv w:val="1"/>
      <w:marLeft w:val="0"/>
      <w:marRight w:val="0"/>
      <w:marTop w:val="0"/>
      <w:marBottom w:val="0"/>
      <w:divBdr>
        <w:top w:val="none" w:sz="0" w:space="0" w:color="auto"/>
        <w:left w:val="none" w:sz="0" w:space="0" w:color="auto"/>
        <w:bottom w:val="none" w:sz="0" w:space="0" w:color="auto"/>
        <w:right w:val="none" w:sz="0" w:space="0" w:color="auto"/>
      </w:divBdr>
    </w:div>
    <w:div w:id="809521945">
      <w:bodyDiv w:val="1"/>
      <w:marLeft w:val="0"/>
      <w:marRight w:val="0"/>
      <w:marTop w:val="0"/>
      <w:marBottom w:val="0"/>
      <w:divBdr>
        <w:top w:val="none" w:sz="0" w:space="0" w:color="auto"/>
        <w:left w:val="none" w:sz="0" w:space="0" w:color="auto"/>
        <w:bottom w:val="none" w:sz="0" w:space="0" w:color="auto"/>
        <w:right w:val="none" w:sz="0" w:space="0" w:color="auto"/>
      </w:divBdr>
    </w:div>
    <w:div w:id="890651785">
      <w:bodyDiv w:val="1"/>
      <w:marLeft w:val="0"/>
      <w:marRight w:val="0"/>
      <w:marTop w:val="0"/>
      <w:marBottom w:val="0"/>
      <w:divBdr>
        <w:top w:val="none" w:sz="0" w:space="0" w:color="auto"/>
        <w:left w:val="none" w:sz="0" w:space="0" w:color="auto"/>
        <w:bottom w:val="none" w:sz="0" w:space="0" w:color="auto"/>
        <w:right w:val="none" w:sz="0" w:space="0" w:color="auto"/>
      </w:divBdr>
    </w:div>
    <w:div w:id="1163933045">
      <w:bodyDiv w:val="1"/>
      <w:marLeft w:val="0"/>
      <w:marRight w:val="0"/>
      <w:marTop w:val="0"/>
      <w:marBottom w:val="0"/>
      <w:divBdr>
        <w:top w:val="none" w:sz="0" w:space="0" w:color="auto"/>
        <w:left w:val="none" w:sz="0" w:space="0" w:color="auto"/>
        <w:bottom w:val="none" w:sz="0" w:space="0" w:color="auto"/>
        <w:right w:val="none" w:sz="0" w:space="0" w:color="auto"/>
      </w:divBdr>
    </w:div>
    <w:div w:id="1199583989">
      <w:bodyDiv w:val="1"/>
      <w:marLeft w:val="0"/>
      <w:marRight w:val="0"/>
      <w:marTop w:val="0"/>
      <w:marBottom w:val="0"/>
      <w:divBdr>
        <w:top w:val="none" w:sz="0" w:space="0" w:color="auto"/>
        <w:left w:val="none" w:sz="0" w:space="0" w:color="auto"/>
        <w:bottom w:val="none" w:sz="0" w:space="0" w:color="auto"/>
        <w:right w:val="none" w:sz="0" w:space="0" w:color="auto"/>
      </w:divBdr>
    </w:div>
    <w:div w:id="1259607477">
      <w:bodyDiv w:val="1"/>
      <w:marLeft w:val="0"/>
      <w:marRight w:val="0"/>
      <w:marTop w:val="0"/>
      <w:marBottom w:val="0"/>
      <w:divBdr>
        <w:top w:val="none" w:sz="0" w:space="0" w:color="auto"/>
        <w:left w:val="none" w:sz="0" w:space="0" w:color="auto"/>
        <w:bottom w:val="none" w:sz="0" w:space="0" w:color="auto"/>
        <w:right w:val="none" w:sz="0" w:space="0" w:color="auto"/>
      </w:divBdr>
    </w:div>
    <w:div w:id="1325083658">
      <w:bodyDiv w:val="1"/>
      <w:marLeft w:val="0"/>
      <w:marRight w:val="0"/>
      <w:marTop w:val="0"/>
      <w:marBottom w:val="0"/>
      <w:divBdr>
        <w:top w:val="none" w:sz="0" w:space="0" w:color="auto"/>
        <w:left w:val="none" w:sz="0" w:space="0" w:color="auto"/>
        <w:bottom w:val="none" w:sz="0" w:space="0" w:color="auto"/>
        <w:right w:val="none" w:sz="0" w:space="0" w:color="auto"/>
      </w:divBdr>
    </w:div>
    <w:div w:id="1415738583">
      <w:bodyDiv w:val="1"/>
      <w:marLeft w:val="0"/>
      <w:marRight w:val="0"/>
      <w:marTop w:val="0"/>
      <w:marBottom w:val="0"/>
      <w:divBdr>
        <w:top w:val="none" w:sz="0" w:space="0" w:color="auto"/>
        <w:left w:val="none" w:sz="0" w:space="0" w:color="auto"/>
        <w:bottom w:val="none" w:sz="0" w:space="0" w:color="auto"/>
        <w:right w:val="none" w:sz="0" w:space="0" w:color="auto"/>
      </w:divBdr>
    </w:div>
    <w:div w:id="1441873881">
      <w:bodyDiv w:val="1"/>
      <w:marLeft w:val="0"/>
      <w:marRight w:val="0"/>
      <w:marTop w:val="0"/>
      <w:marBottom w:val="0"/>
      <w:divBdr>
        <w:top w:val="none" w:sz="0" w:space="0" w:color="auto"/>
        <w:left w:val="none" w:sz="0" w:space="0" w:color="auto"/>
        <w:bottom w:val="none" w:sz="0" w:space="0" w:color="auto"/>
        <w:right w:val="none" w:sz="0" w:space="0" w:color="auto"/>
      </w:divBdr>
    </w:div>
    <w:div w:id="1643001241">
      <w:bodyDiv w:val="1"/>
      <w:marLeft w:val="0"/>
      <w:marRight w:val="0"/>
      <w:marTop w:val="0"/>
      <w:marBottom w:val="0"/>
      <w:divBdr>
        <w:top w:val="none" w:sz="0" w:space="0" w:color="auto"/>
        <w:left w:val="none" w:sz="0" w:space="0" w:color="auto"/>
        <w:bottom w:val="none" w:sz="0" w:space="0" w:color="auto"/>
        <w:right w:val="none" w:sz="0" w:space="0" w:color="auto"/>
      </w:divBdr>
    </w:div>
    <w:div w:id="1760368257">
      <w:bodyDiv w:val="1"/>
      <w:marLeft w:val="0"/>
      <w:marRight w:val="0"/>
      <w:marTop w:val="0"/>
      <w:marBottom w:val="0"/>
      <w:divBdr>
        <w:top w:val="none" w:sz="0" w:space="0" w:color="auto"/>
        <w:left w:val="none" w:sz="0" w:space="0" w:color="auto"/>
        <w:bottom w:val="none" w:sz="0" w:space="0" w:color="auto"/>
        <w:right w:val="none" w:sz="0" w:space="0" w:color="auto"/>
      </w:divBdr>
    </w:div>
    <w:div w:id="1772310216">
      <w:bodyDiv w:val="1"/>
      <w:marLeft w:val="0"/>
      <w:marRight w:val="0"/>
      <w:marTop w:val="0"/>
      <w:marBottom w:val="0"/>
      <w:divBdr>
        <w:top w:val="none" w:sz="0" w:space="0" w:color="auto"/>
        <w:left w:val="none" w:sz="0" w:space="0" w:color="auto"/>
        <w:bottom w:val="none" w:sz="0" w:space="0" w:color="auto"/>
        <w:right w:val="none" w:sz="0" w:space="0" w:color="auto"/>
      </w:divBdr>
    </w:div>
    <w:div w:id="1791895052">
      <w:bodyDiv w:val="1"/>
      <w:marLeft w:val="0"/>
      <w:marRight w:val="0"/>
      <w:marTop w:val="0"/>
      <w:marBottom w:val="0"/>
      <w:divBdr>
        <w:top w:val="none" w:sz="0" w:space="0" w:color="auto"/>
        <w:left w:val="none" w:sz="0" w:space="0" w:color="auto"/>
        <w:bottom w:val="none" w:sz="0" w:space="0" w:color="auto"/>
        <w:right w:val="none" w:sz="0" w:space="0" w:color="auto"/>
      </w:divBdr>
    </w:div>
    <w:div w:id="1856530467">
      <w:bodyDiv w:val="1"/>
      <w:marLeft w:val="0"/>
      <w:marRight w:val="0"/>
      <w:marTop w:val="0"/>
      <w:marBottom w:val="0"/>
      <w:divBdr>
        <w:top w:val="none" w:sz="0" w:space="0" w:color="auto"/>
        <w:left w:val="none" w:sz="0" w:space="0" w:color="auto"/>
        <w:bottom w:val="none" w:sz="0" w:space="0" w:color="auto"/>
        <w:right w:val="none" w:sz="0" w:space="0" w:color="auto"/>
      </w:divBdr>
    </w:div>
    <w:div w:id="1904438794">
      <w:bodyDiv w:val="1"/>
      <w:marLeft w:val="0"/>
      <w:marRight w:val="0"/>
      <w:marTop w:val="0"/>
      <w:marBottom w:val="0"/>
      <w:divBdr>
        <w:top w:val="none" w:sz="0" w:space="0" w:color="auto"/>
        <w:left w:val="none" w:sz="0" w:space="0" w:color="auto"/>
        <w:bottom w:val="none" w:sz="0" w:space="0" w:color="auto"/>
        <w:right w:val="none" w:sz="0" w:space="0" w:color="auto"/>
      </w:divBdr>
    </w:div>
    <w:div w:id="1949576699">
      <w:bodyDiv w:val="1"/>
      <w:marLeft w:val="0"/>
      <w:marRight w:val="0"/>
      <w:marTop w:val="0"/>
      <w:marBottom w:val="0"/>
      <w:divBdr>
        <w:top w:val="none" w:sz="0" w:space="0" w:color="auto"/>
        <w:left w:val="none" w:sz="0" w:space="0" w:color="auto"/>
        <w:bottom w:val="none" w:sz="0" w:space="0" w:color="auto"/>
        <w:right w:val="none" w:sz="0" w:space="0" w:color="auto"/>
      </w:divBdr>
    </w:div>
    <w:div w:id="1954170627">
      <w:bodyDiv w:val="1"/>
      <w:marLeft w:val="0"/>
      <w:marRight w:val="0"/>
      <w:marTop w:val="0"/>
      <w:marBottom w:val="0"/>
      <w:divBdr>
        <w:top w:val="none" w:sz="0" w:space="0" w:color="auto"/>
        <w:left w:val="none" w:sz="0" w:space="0" w:color="auto"/>
        <w:bottom w:val="none" w:sz="0" w:space="0" w:color="auto"/>
        <w:right w:val="none" w:sz="0" w:space="0" w:color="auto"/>
      </w:divBdr>
    </w:div>
    <w:div w:id="1990134230">
      <w:bodyDiv w:val="1"/>
      <w:marLeft w:val="0"/>
      <w:marRight w:val="0"/>
      <w:marTop w:val="0"/>
      <w:marBottom w:val="0"/>
      <w:divBdr>
        <w:top w:val="none" w:sz="0" w:space="0" w:color="auto"/>
        <w:left w:val="none" w:sz="0" w:space="0" w:color="auto"/>
        <w:bottom w:val="none" w:sz="0" w:space="0" w:color="auto"/>
        <w:right w:val="none" w:sz="0" w:space="0" w:color="auto"/>
      </w:divBdr>
    </w:div>
    <w:div w:id="1994095129">
      <w:bodyDiv w:val="1"/>
      <w:marLeft w:val="0"/>
      <w:marRight w:val="0"/>
      <w:marTop w:val="0"/>
      <w:marBottom w:val="0"/>
      <w:divBdr>
        <w:top w:val="none" w:sz="0" w:space="0" w:color="auto"/>
        <w:left w:val="none" w:sz="0" w:space="0" w:color="auto"/>
        <w:bottom w:val="none" w:sz="0" w:space="0" w:color="auto"/>
        <w:right w:val="none" w:sz="0" w:space="0" w:color="auto"/>
      </w:divBdr>
    </w:div>
    <w:div w:id="2056544590">
      <w:bodyDiv w:val="1"/>
      <w:marLeft w:val="0"/>
      <w:marRight w:val="0"/>
      <w:marTop w:val="0"/>
      <w:marBottom w:val="0"/>
      <w:divBdr>
        <w:top w:val="none" w:sz="0" w:space="0" w:color="auto"/>
        <w:left w:val="none" w:sz="0" w:space="0" w:color="auto"/>
        <w:bottom w:val="none" w:sz="0" w:space="0" w:color="auto"/>
        <w:right w:val="none" w:sz="0" w:space="0" w:color="auto"/>
      </w:divBdr>
    </w:div>
    <w:div w:id="2079663985">
      <w:bodyDiv w:val="1"/>
      <w:marLeft w:val="0"/>
      <w:marRight w:val="0"/>
      <w:marTop w:val="0"/>
      <w:marBottom w:val="0"/>
      <w:divBdr>
        <w:top w:val="none" w:sz="0" w:space="0" w:color="auto"/>
        <w:left w:val="none" w:sz="0" w:space="0" w:color="auto"/>
        <w:bottom w:val="none" w:sz="0" w:space="0" w:color="auto"/>
        <w:right w:val="none" w:sz="0" w:space="0" w:color="auto"/>
      </w:divBdr>
    </w:div>
    <w:div w:id="2095125106">
      <w:bodyDiv w:val="1"/>
      <w:marLeft w:val="0"/>
      <w:marRight w:val="0"/>
      <w:marTop w:val="0"/>
      <w:marBottom w:val="0"/>
      <w:divBdr>
        <w:top w:val="none" w:sz="0" w:space="0" w:color="auto"/>
        <w:left w:val="none" w:sz="0" w:space="0" w:color="auto"/>
        <w:bottom w:val="none" w:sz="0" w:space="0" w:color="auto"/>
        <w:right w:val="none" w:sz="0" w:space="0" w:color="auto"/>
      </w:divBdr>
    </w:div>
    <w:div w:id="210098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0C35C-83EE-47F5-81B2-137CE15D6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9676</Words>
  <Characters>55156</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64703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Gordana Boljević</cp:lastModifiedBy>
  <cp:revision>4</cp:revision>
  <dcterms:created xsi:type="dcterms:W3CDTF">2024-07-04T11:16:00Z</dcterms:created>
  <dcterms:modified xsi:type="dcterms:W3CDTF">2024-07-04T12:39:00Z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