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6BDF1" w14:textId="3BCA1A37" w:rsidR="003C17AB" w:rsidRPr="003F7E57" w:rsidRDefault="00522F79" w:rsidP="00991A59">
      <w:pPr>
        <w:jc w:val="both"/>
        <w:rPr>
          <w:b/>
          <w:bCs/>
          <w:iCs/>
          <w:sz w:val="22"/>
          <w:szCs w:val="22"/>
          <w:lang w:val="sr-Latn-ME"/>
        </w:rPr>
      </w:pPr>
      <w:r w:rsidRPr="003F7E57">
        <w:rPr>
          <w:b/>
          <w:bCs/>
          <w:iCs/>
          <w:sz w:val="22"/>
          <w:szCs w:val="22"/>
          <w:lang w:val="sr-Latn-ME"/>
        </w:rPr>
        <w:t xml:space="preserve">                                                    </w:t>
      </w:r>
      <w:r w:rsidR="002510A5" w:rsidRPr="003F7E57">
        <w:rPr>
          <w:b/>
          <w:bCs/>
          <w:iCs/>
          <w:sz w:val="22"/>
          <w:szCs w:val="22"/>
          <w:lang w:val="sr-Latn-ME"/>
        </w:rPr>
        <w:t>SAŽETAK KARAKTERISTIKA LIJEKA</w:t>
      </w:r>
    </w:p>
    <w:p w14:paraId="1DFA39B0" w14:textId="2383CC50" w:rsidR="00E74FDC" w:rsidRPr="003F7E57" w:rsidRDefault="00E74FDC" w:rsidP="00991A59">
      <w:pPr>
        <w:jc w:val="both"/>
        <w:rPr>
          <w:b/>
          <w:bCs/>
          <w:iCs/>
          <w:sz w:val="22"/>
          <w:szCs w:val="22"/>
          <w:u w:val="single"/>
          <w:lang w:val="sr-Latn-ME"/>
        </w:rPr>
      </w:pPr>
    </w:p>
    <w:p w14:paraId="1241D575" w14:textId="77777777" w:rsidR="00E74FDC" w:rsidRPr="003F7E57" w:rsidRDefault="00E74FDC" w:rsidP="00991A59">
      <w:pPr>
        <w:jc w:val="both"/>
        <w:rPr>
          <w:b/>
          <w:bCs/>
          <w:iCs/>
          <w:sz w:val="22"/>
          <w:szCs w:val="22"/>
          <w:u w:val="single"/>
          <w:lang w:val="sr-Latn-ME"/>
        </w:rPr>
      </w:pPr>
    </w:p>
    <w:p w14:paraId="76F1918D" w14:textId="77777777" w:rsidR="00C37FD7" w:rsidRPr="003F7E57" w:rsidRDefault="00C37FD7" w:rsidP="00991A59">
      <w:pPr>
        <w:tabs>
          <w:tab w:val="left" w:pos="540"/>
          <w:tab w:val="left" w:pos="569"/>
        </w:tabs>
        <w:jc w:val="both"/>
        <w:rPr>
          <w:bCs/>
          <w:sz w:val="22"/>
          <w:szCs w:val="22"/>
          <w:lang w:val="sr-Latn-ME"/>
        </w:rPr>
      </w:pPr>
    </w:p>
    <w:p w14:paraId="2C69C79C" w14:textId="1D433C1E" w:rsidR="00411B4B" w:rsidRPr="003F7E57" w:rsidRDefault="00411B4B" w:rsidP="00991A59">
      <w:pPr>
        <w:tabs>
          <w:tab w:val="left" w:pos="540"/>
          <w:tab w:val="left" w:pos="569"/>
        </w:tabs>
        <w:jc w:val="both"/>
        <w:rPr>
          <w:b/>
          <w:bCs/>
          <w:sz w:val="22"/>
          <w:szCs w:val="22"/>
          <w:lang w:val="sr-Latn-ME"/>
        </w:rPr>
      </w:pPr>
      <w:r w:rsidRPr="003F7E57">
        <w:rPr>
          <w:b/>
          <w:bCs/>
          <w:sz w:val="22"/>
          <w:szCs w:val="22"/>
          <w:lang w:val="sr-Latn-ME"/>
        </w:rPr>
        <w:t>1.</w:t>
      </w:r>
      <w:r w:rsidR="00F5167F" w:rsidRPr="003F7E57">
        <w:rPr>
          <w:b/>
          <w:bCs/>
          <w:sz w:val="22"/>
          <w:szCs w:val="22"/>
          <w:lang w:val="sr-Latn-ME"/>
        </w:rPr>
        <w:tab/>
      </w:r>
      <w:r w:rsidR="002846DB" w:rsidRPr="003F7E57">
        <w:rPr>
          <w:b/>
          <w:bCs/>
          <w:sz w:val="22"/>
          <w:szCs w:val="22"/>
          <w:lang w:val="sr-Latn-ME"/>
        </w:rPr>
        <w:t xml:space="preserve">NAZIV </w:t>
      </w:r>
      <w:r w:rsidRPr="003F7E57">
        <w:rPr>
          <w:b/>
          <w:bCs/>
          <w:sz w:val="22"/>
          <w:szCs w:val="22"/>
          <w:lang w:val="sr-Latn-ME"/>
        </w:rPr>
        <w:t>LIJEKA</w:t>
      </w:r>
    </w:p>
    <w:p w14:paraId="3766123C" w14:textId="77777777" w:rsidR="00ED00A1" w:rsidRPr="003F7E57" w:rsidRDefault="00ED00A1" w:rsidP="00991A59">
      <w:pPr>
        <w:tabs>
          <w:tab w:val="left" w:pos="540"/>
          <w:tab w:val="left" w:pos="569"/>
        </w:tabs>
        <w:jc w:val="both"/>
        <w:rPr>
          <w:b/>
          <w:bCs/>
          <w:sz w:val="22"/>
          <w:szCs w:val="22"/>
          <w:lang w:val="sr-Latn-ME"/>
        </w:rPr>
      </w:pPr>
    </w:p>
    <w:p w14:paraId="3A0FE34A" w14:textId="54CD6D42" w:rsidR="00ED00A1" w:rsidRPr="003F7E57" w:rsidRDefault="00ED00A1" w:rsidP="00CE2D38">
      <w:pPr>
        <w:pStyle w:val="Header"/>
        <w:jc w:val="both"/>
        <w:rPr>
          <w:sz w:val="22"/>
          <w:szCs w:val="22"/>
          <w:lang w:val="sr-Latn-ME"/>
        </w:rPr>
      </w:pPr>
      <w:proofErr w:type="spellStart"/>
      <w:r w:rsidRPr="003F7E57">
        <w:rPr>
          <w:sz w:val="22"/>
          <w:szCs w:val="22"/>
          <w:lang w:val="sr-Latn-ME"/>
        </w:rPr>
        <w:t>Eucreas</w:t>
      </w:r>
      <w:proofErr w:type="spellEnd"/>
      <w:r w:rsidRPr="003F7E57">
        <w:rPr>
          <w:sz w:val="22"/>
          <w:szCs w:val="22"/>
          <w:lang w:val="sr-Latn-ME"/>
        </w:rPr>
        <w:t xml:space="preserve">, </w:t>
      </w:r>
      <w:r w:rsidR="007A2CE8" w:rsidRPr="003F7E57">
        <w:rPr>
          <w:sz w:val="22"/>
          <w:szCs w:val="22"/>
          <w:lang w:val="sr-Latn-ME"/>
        </w:rPr>
        <w:t xml:space="preserve">50 mg + </w:t>
      </w:r>
      <w:r w:rsidRPr="003F7E57">
        <w:rPr>
          <w:sz w:val="22"/>
          <w:szCs w:val="22"/>
          <w:lang w:val="sr-Latn-ME"/>
        </w:rPr>
        <w:t>850 mg, film tablet</w:t>
      </w:r>
      <w:r w:rsidR="007A2CE8" w:rsidRPr="003F7E57">
        <w:rPr>
          <w:sz w:val="22"/>
          <w:szCs w:val="22"/>
          <w:lang w:val="sr-Latn-ME"/>
        </w:rPr>
        <w:t>a</w:t>
      </w:r>
    </w:p>
    <w:p w14:paraId="0E8F5152" w14:textId="48BB7C27" w:rsidR="00ED00A1" w:rsidRPr="003F7E57" w:rsidRDefault="00ED00A1">
      <w:pPr>
        <w:pStyle w:val="Header"/>
        <w:jc w:val="both"/>
        <w:rPr>
          <w:sz w:val="22"/>
          <w:szCs w:val="22"/>
          <w:lang w:val="sr-Latn-ME"/>
        </w:rPr>
      </w:pPr>
      <w:proofErr w:type="spellStart"/>
      <w:r w:rsidRPr="003F7E57">
        <w:rPr>
          <w:sz w:val="22"/>
          <w:szCs w:val="22"/>
          <w:lang w:val="sr-Latn-ME"/>
        </w:rPr>
        <w:t>Eucreas</w:t>
      </w:r>
      <w:proofErr w:type="spellEnd"/>
      <w:r w:rsidRPr="003F7E57">
        <w:rPr>
          <w:sz w:val="22"/>
          <w:szCs w:val="22"/>
          <w:lang w:val="sr-Latn-ME"/>
        </w:rPr>
        <w:t>, 50 mg</w:t>
      </w:r>
      <w:r w:rsidR="007A2CE8" w:rsidRPr="003F7E57">
        <w:rPr>
          <w:sz w:val="22"/>
          <w:szCs w:val="22"/>
          <w:lang w:val="sr-Latn-ME"/>
        </w:rPr>
        <w:t xml:space="preserve"> + 1000 mg</w:t>
      </w:r>
      <w:r w:rsidRPr="003F7E57">
        <w:rPr>
          <w:sz w:val="22"/>
          <w:szCs w:val="22"/>
          <w:lang w:val="sr-Latn-ME"/>
        </w:rPr>
        <w:t>, film tablet</w:t>
      </w:r>
      <w:r w:rsidR="007A2CE8" w:rsidRPr="003F7E57">
        <w:rPr>
          <w:sz w:val="22"/>
          <w:szCs w:val="22"/>
          <w:lang w:val="sr-Latn-ME"/>
        </w:rPr>
        <w:t>a</w:t>
      </w:r>
    </w:p>
    <w:p w14:paraId="7139E96D" w14:textId="77777777" w:rsidR="000D425A" w:rsidRPr="003F7E57" w:rsidRDefault="000D425A">
      <w:pPr>
        <w:jc w:val="both"/>
        <w:rPr>
          <w:bCs/>
          <w:sz w:val="22"/>
          <w:szCs w:val="22"/>
          <w:lang w:val="sr-Latn-ME"/>
        </w:rPr>
      </w:pPr>
    </w:p>
    <w:p w14:paraId="55BCE1D9" w14:textId="5B96BBFC" w:rsidR="006D20A5" w:rsidRPr="003F7E57" w:rsidRDefault="006D20A5">
      <w:pPr>
        <w:jc w:val="both"/>
        <w:rPr>
          <w:sz w:val="22"/>
          <w:szCs w:val="22"/>
          <w:lang w:val="sr-Latn-ME"/>
        </w:rPr>
      </w:pPr>
      <w:proofErr w:type="spellStart"/>
      <w:r w:rsidRPr="003F7E57">
        <w:rPr>
          <w:sz w:val="22"/>
          <w:szCs w:val="22"/>
          <w:lang w:val="sr-Latn-ME"/>
        </w:rPr>
        <w:t>INN</w:t>
      </w:r>
      <w:proofErr w:type="spellEnd"/>
      <w:r w:rsidRPr="003F7E57">
        <w:rPr>
          <w:sz w:val="22"/>
          <w:szCs w:val="22"/>
          <w:lang w:val="sr-Latn-ME"/>
        </w:rPr>
        <w:t>:</w:t>
      </w:r>
      <w:r w:rsidR="00ED00A1" w:rsidRPr="003F7E57">
        <w:rPr>
          <w:sz w:val="22"/>
          <w:szCs w:val="22"/>
          <w:lang w:val="sr-Latn-ME"/>
        </w:rPr>
        <w:tab/>
      </w:r>
      <w:proofErr w:type="spellStart"/>
      <w:r w:rsidR="00ED00A1" w:rsidRPr="003F7E57">
        <w:rPr>
          <w:sz w:val="22"/>
          <w:szCs w:val="22"/>
          <w:lang w:val="sr-Latn-ME"/>
        </w:rPr>
        <w:t>vildagliptin</w:t>
      </w:r>
      <w:proofErr w:type="spellEnd"/>
      <w:r w:rsidR="007A2CE8" w:rsidRPr="003F7E57">
        <w:rPr>
          <w:sz w:val="22"/>
          <w:szCs w:val="22"/>
          <w:lang w:val="sr-Latn-ME"/>
        </w:rPr>
        <w:t xml:space="preserve">, </w:t>
      </w:r>
      <w:proofErr w:type="spellStart"/>
      <w:r w:rsidR="007A2CE8" w:rsidRPr="003F7E57">
        <w:rPr>
          <w:sz w:val="22"/>
          <w:szCs w:val="22"/>
          <w:lang w:val="sr-Latn-ME"/>
        </w:rPr>
        <w:t>metformin</w:t>
      </w:r>
      <w:proofErr w:type="spellEnd"/>
    </w:p>
    <w:p w14:paraId="5ABFD2FB" w14:textId="50F5DE33" w:rsidR="00530BD7" w:rsidRPr="003F7E57" w:rsidRDefault="00530BD7" w:rsidP="00991A59">
      <w:pPr>
        <w:jc w:val="both"/>
        <w:rPr>
          <w:bCs/>
          <w:sz w:val="22"/>
          <w:szCs w:val="22"/>
          <w:lang w:val="sr-Latn-ME"/>
        </w:rPr>
      </w:pPr>
    </w:p>
    <w:p w14:paraId="035A1DA0" w14:textId="77777777" w:rsidR="007A2CE8" w:rsidRPr="003F7E57" w:rsidRDefault="007A2CE8" w:rsidP="00991A59">
      <w:pPr>
        <w:jc w:val="both"/>
        <w:rPr>
          <w:bCs/>
          <w:sz w:val="22"/>
          <w:szCs w:val="22"/>
          <w:lang w:val="sr-Latn-ME"/>
        </w:rPr>
      </w:pPr>
    </w:p>
    <w:p w14:paraId="0C0DC9DE" w14:textId="77777777" w:rsidR="00411B4B" w:rsidRPr="003F7E57" w:rsidRDefault="00411B4B" w:rsidP="00991A59">
      <w:pPr>
        <w:tabs>
          <w:tab w:val="left" w:pos="540"/>
          <w:tab w:val="left" w:pos="569"/>
        </w:tabs>
        <w:jc w:val="both"/>
        <w:rPr>
          <w:b/>
          <w:bCs/>
          <w:sz w:val="22"/>
          <w:szCs w:val="22"/>
          <w:lang w:val="sr-Latn-ME"/>
        </w:rPr>
      </w:pPr>
      <w:r w:rsidRPr="003F7E57">
        <w:rPr>
          <w:b/>
          <w:bCs/>
          <w:sz w:val="22"/>
          <w:szCs w:val="22"/>
          <w:lang w:val="sr-Latn-ME"/>
        </w:rPr>
        <w:t xml:space="preserve">2. </w:t>
      </w:r>
      <w:r w:rsidR="00F5167F" w:rsidRPr="003F7E57">
        <w:rPr>
          <w:b/>
          <w:bCs/>
          <w:sz w:val="22"/>
          <w:szCs w:val="22"/>
          <w:lang w:val="sr-Latn-ME"/>
        </w:rPr>
        <w:tab/>
      </w:r>
      <w:r w:rsidRPr="003F7E57">
        <w:rPr>
          <w:b/>
          <w:bCs/>
          <w:sz w:val="22"/>
          <w:szCs w:val="22"/>
          <w:lang w:val="sr-Latn-ME"/>
        </w:rPr>
        <w:t>KVALITATIVNI I KVANTITATIVNI SASTAV</w:t>
      </w:r>
    </w:p>
    <w:p w14:paraId="08060598" w14:textId="02E6727A" w:rsidR="005A0B2E" w:rsidRPr="003F7E57" w:rsidRDefault="005A0B2E" w:rsidP="00CE2D38">
      <w:pPr>
        <w:jc w:val="both"/>
        <w:rPr>
          <w:sz w:val="22"/>
          <w:szCs w:val="22"/>
          <w:lang w:val="sr-Latn-ME"/>
        </w:rPr>
      </w:pPr>
    </w:p>
    <w:p w14:paraId="5DB7D9D1" w14:textId="1B8B41CA" w:rsidR="007A2CE8" w:rsidRPr="003F7E57" w:rsidRDefault="00ED00A1" w:rsidP="00CE2D38">
      <w:pPr>
        <w:spacing w:line="260" w:lineRule="exact"/>
        <w:ind w:right="-2"/>
        <w:jc w:val="both"/>
        <w:rPr>
          <w:sz w:val="22"/>
          <w:szCs w:val="22"/>
          <w:u w:val="single"/>
          <w:lang w:val="sr-Latn-ME"/>
        </w:rPr>
      </w:pPr>
      <w:proofErr w:type="spellStart"/>
      <w:r w:rsidRPr="003F7E57">
        <w:rPr>
          <w:sz w:val="22"/>
          <w:szCs w:val="22"/>
          <w:u w:val="single"/>
          <w:lang w:val="sr-Latn-ME"/>
        </w:rPr>
        <w:t>Eucreas</w:t>
      </w:r>
      <w:proofErr w:type="spellEnd"/>
      <w:r w:rsidRPr="003F7E57">
        <w:rPr>
          <w:sz w:val="22"/>
          <w:szCs w:val="22"/>
          <w:u w:val="single"/>
          <w:lang w:val="sr-Latn-ME"/>
        </w:rPr>
        <w:t xml:space="preserve">, </w:t>
      </w:r>
      <w:r w:rsidR="007A2CE8" w:rsidRPr="003F7E57">
        <w:rPr>
          <w:sz w:val="22"/>
          <w:szCs w:val="22"/>
          <w:u w:val="single"/>
          <w:lang w:val="sr-Latn-ME"/>
        </w:rPr>
        <w:t xml:space="preserve">50 mg + 850 mg, </w:t>
      </w:r>
      <w:r w:rsidRPr="003F7E57">
        <w:rPr>
          <w:sz w:val="22"/>
          <w:szCs w:val="22"/>
          <w:u w:val="single"/>
          <w:lang w:val="sr-Latn-ME"/>
        </w:rPr>
        <w:t>film tablet</w:t>
      </w:r>
      <w:r w:rsidR="007A2CE8" w:rsidRPr="003F7E57">
        <w:rPr>
          <w:sz w:val="22"/>
          <w:szCs w:val="22"/>
          <w:u w:val="single"/>
          <w:lang w:val="sr-Latn-ME"/>
        </w:rPr>
        <w:t>a</w:t>
      </w:r>
    </w:p>
    <w:p w14:paraId="50479DD8" w14:textId="77777777" w:rsidR="007A2CE8" w:rsidRPr="003F7E57" w:rsidRDefault="00ED00A1" w:rsidP="00CE2D38">
      <w:pPr>
        <w:spacing w:line="260" w:lineRule="exact"/>
        <w:ind w:right="-2"/>
        <w:jc w:val="both"/>
        <w:rPr>
          <w:sz w:val="22"/>
          <w:szCs w:val="22"/>
          <w:lang w:val="sr-Latn-ME"/>
        </w:rPr>
      </w:pPr>
      <w:r w:rsidRPr="003F7E57">
        <w:rPr>
          <w:sz w:val="22"/>
          <w:szCs w:val="22"/>
          <w:lang w:val="sr-Latn-ME"/>
        </w:rPr>
        <w:t>Jedna film tableta sadrži</w:t>
      </w:r>
      <w:r w:rsidR="007A2CE8" w:rsidRPr="003F7E57">
        <w:rPr>
          <w:sz w:val="22"/>
          <w:szCs w:val="22"/>
          <w:lang w:val="sr-Latn-ME"/>
        </w:rPr>
        <w:t xml:space="preserve"> 50 mg </w:t>
      </w:r>
      <w:proofErr w:type="spellStart"/>
      <w:r w:rsidR="007A2CE8" w:rsidRPr="003F7E57">
        <w:rPr>
          <w:sz w:val="22"/>
          <w:szCs w:val="22"/>
          <w:lang w:val="sr-Latn-ME"/>
        </w:rPr>
        <w:t>vildagliptina</w:t>
      </w:r>
      <w:proofErr w:type="spellEnd"/>
      <w:r w:rsidR="007A2CE8" w:rsidRPr="003F7E57">
        <w:rPr>
          <w:sz w:val="22"/>
          <w:szCs w:val="22"/>
          <w:lang w:val="sr-Latn-ME"/>
        </w:rPr>
        <w:t xml:space="preserve"> i</w:t>
      </w:r>
      <w:r w:rsidRPr="003F7E57">
        <w:rPr>
          <w:sz w:val="22"/>
          <w:szCs w:val="22"/>
          <w:lang w:val="sr-Latn-ME"/>
        </w:rPr>
        <w:t xml:space="preserve"> 850 mg </w:t>
      </w:r>
      <w:proofErr w:type="spellStart"/>
      <w:r w:rsidRPr="003F7E57">
        <w:rPr>
          <w:sz w:val="22"/>
          <w:szCs w:val="22"/>
          <w:lang w:val="sr-Latn-ME"/>
        </w:rPr>
        <w:t>metformin</w:t>
      </w:r>
      <w:proofErr w:type="spellEnd"/>
      <w:r w:rsidRPr="003F7E57">
        <w:rPr>
          <w:sz w:val="22"/>
          <w:szCs w:val="22"/>
          <w:lang w:val="sr-Latn-ME"/>
        </w:rPr>
        <w:t xml:space="preserve"> </w:t>
      </w:r>
      <w:proofErr w:type="spellStart"/>
      <w:r w:rsidRPr="003F7E57">
        <w:rPr>
          <w:sz w:val="22"/>
          <w:szCs w:val="22"/>
          <w:lang w:val="sr-Latn-ME"/>
        </w:rPr>
        <w:t>hidrohlorida</w:t>
      </w:r>
      <w:proofErr w:type="spellEnd"/>
      <w:r w:rsidRPr="003F7E57">
        <w:rPr>
          <w:sz w:val="22"/>
          <w:szCs w:val="22"/>
          <w:lang w:val="sr-Latn-ME"/>
        </w:rPr>
        <w:t xml:space="preserve"> (što odgovara 660 mg </w:t>
      </w:r>
      <w:proofErr w:type="spellStart"/>
      <w:r w:rsidRPr="003F7E57">
        <w:rPr>
          <w:sz w:val="22"/>
          <w:szCs w:val="22"/>
          <w:lang w:val="sr-Latn-ME"/>
        </w:rPr>
        <w:t>metformina</w:t>
      </w:r>
      <w:proofErr w:type="spellEnd"/>
      <w:r w:rsidRPr="003F7E57">
        <w:rPr>
          <w:sz w:val="22"/>
          <w:szCs w:val="22"/>
          <w:lang w:val="sr-Latn-ME"/>
        </w:rPr>
        <w:t>)</w:t>
      </w:r>
      <w:r w:rsidR="007A2CE8" w:rsidRPr="003F7E57">
        <w:rPr>
          <w:sz w:val="22"/>
          <w:szCs w:val="22"/>
          <w:lang w:val="sr-Latn-ME"/>
        </w:rPr>
        <w:t>.</w:t>
      </w:r>
    </w:p>
    <w:p w14:paraId="3EF9B2F4" w14:textId="4B21855E" w:rsidR="00ED00A1" w:rsidRPr="003F7E57" w:rsidRDefault="00ED00A1">
      <w:pPr>
        <w:spacing w:line="260" w:lineRule="exact"/>
        <w:ind w:right="-2"/>
        <w:jc w:val="both"/>
        <w:rPr>
          <w:sz w:val="22"/>
          <w:szCs w:val="22"/>
          <w:lang w:val="sr-Latn-ME"/>
        </w:rPr>
      </w:pPr>
    </w:p>
    <w:p w14:paraId="167B7198" w14:textId="4867AAB0" w:rsidR="007A2CE8" w:rsidRPr="003F7E57" w:rsidRDefault="00ED00A1">
      <w:pPr>
        <w:spacing w:line="260" w:lineRule="exact"/>
        <w:ind w:right="-2"/>
        <w:jc w:val="both"/>
        <w:rPr>
          <w:sz w:val="22"/>
          <w:szCs w:val="22"/>
          <w:u w:val="single"/>
          <w:lang w:val="sr-Latn-ME"/>
        </w:rPr>
      </w:pPr>
      <w:proofErr w:type="spellStart"/>
      <w:r w:rsidRPr="003F7E57">
        <w:rPr>
          <w:sz w:val="22"/>
          <w:szCs w:val="22"/>
          <w:u w:val="single"/>
          <w:lang w:val="sr-Latn-ME"/>
        </w:rPr>
        <w:t>Eucreas</w:t>
      </w:r>
      <w:proofErr w:type="spellEnd"/>
      <w:r w:rsidRPr="003F7E57">
        <w:rPr>
          <w:sz w:val="22"/>
          <w:szCs w:val="22"/>
          <w:u w:val="single"/>
          <w:lang w:val="sr-Latn-ME"/>
        </w:rPr>
        <w:t xml:space="preserve">, </w:t>
      </w:r>
      <w:r w:rsidR="007A2CE8" w:rsidRPr="003F7E57">
        <w:rPr>
          <w:sz w:val="22"/>
          <w:szCs w:val="22"/>
          <w:u w:val="single"/>
          <w:lang w:val="sr-Latn-ME"/>
        </w:rPr>
        <w:t>50 mg + 1000 mg</w:t>
      </w:r>
      <w:r w:rsidRPr="003F7E57">
        <w:rPr>
          <w:sz w:val="22"/>
          <w:szCs w:val="22"/>
          <w:u w:val="single"/>
          <w:lang w:val="sr-Latn-ME"/>
        </w:rPr>
        <w:t>, film tablet</w:t>
      </w:r>
      <w:r w:rsidR="007A2CE8" w:rsidRPr="003F7E57">
        <w:rPr>
          <w:sz w:val="22"/>
          <w:szCs w:val="22"/>
          <w:u w:val="single"/>
          <w:lang w:val="sr-Latn-ME"/>
        </w:rPr>
        <w:t>a</w:t>
      </w:r>
    </w:p>
    <w:p w14:paraId="0C53147C" w14:textId="3CF49AB0" w:rsidR="00ED00A1" w:rsidRPr="003F7E57" w:rsidRDefault="00ED00A1">
      <w:pPr>
        <w:spacing w:line="260" w:lineRule="exact"/>
        <w:ind w:right="-2"/>
        <w:jc w:val="both"/>
        <w:rPr>
          <w:sz w:val="22"/>
          <w:szCs w:val="22"/>
          <w:lang w:val="sr-Latn-ME"/>
        </w:rPr>
      </w:pPr>
      <w:r w:rsidRPr="003F7E57">
        <w:rPr>
          <w:sz w:val="22"/>
          <w:szCs w:val="22"/>
          <w:lang w:val="sr-Latn-ME"/>
        </w:rPr>
        <w:t xml:space="preserve">Jedna film tableta sadrži </w:t>
      </w:r>
      <w:r w:rsidR="007A2CE8" w:rsidRPr="003F7E57">
        <w:rPr>
          <w:sz w:val="22"/>
          <w:szCs w:val="22"/>
          <w:lang w:val="sr-Latn-ME"/>
        </w:rPr>
        <w:t xml:space="preserve">50 mg </w:t>
      </w:r>
      <w:proofErr w:type="spellStart"/>
      <w:r w:rsidR="007A2CE8" w:rsidRPr="003F7E57">
        <w:rPr>
          <w:sz w:val="22"/>
          <w:szCs w:val="22"/>
          <w:lang w:val="sr-Latn-ME"/>
        </w:rPr>
        <w:t>vildagliptina</w:t>
      </w:r>
      <w:proofErr w:type="spellEnd"/>
      <w:r w:rsidR="007A2CE8" w:rsidRPr="003F7E57">
        <w:rPr>
          <w:sz w:val="22"/>
          <w:szCs w:val="22"/>
          <w:lang w:val="sr-Latn-ME"/>
        </w:rPr>
        <w:t xml:space="preserve"> i </w:t>
      </w:r>
      <w:r w:rsidRPr="003F7E57">
        <w:rPr>
          <w:sz w:val="22"/>
          <w:szCs w:val="22"/>
          <w:lang w:val="sr-Latn-ME"/>
        </w:rPr>
        <w:t xml:space="preserve">1000 mg </w:t>
      </w:r>
      <w:proofErr w:type="spellStart"/>
      <w:r w:rsidRPr="003F7E57">
        <w:rPr>
          <w:sz w:val="22"/>
          <w:szCs w:val="22"/>
          <w:lang w:val="sr-Latn-ME"/>
        </w:rPr>
        <w:t>metformin</w:t>
      </w:r>
      <w:proofErr w:type="spellEnd"/>
      <w:r w:rsidRPr="003F7E57">
        <w:rPr>
          <w:sz w:val="22"/>
          <w:szCs w:val="22"/>
          <w:lang w:val="sr-Latn-ME"/>
        </w:rPr>
        <w:t xml:space="preserve"> </w:t>
      </w:r>
      <w:proofErr w:type="spellStart"/>
      <w:r w:rsidRPr="003F7E57">
        <w:rPr>
          <w:sz w:val="22"/>
          <w:szCs w:val="22"/>
          <w:lang w:val="sr-Latn-ME"/>
        </w:rPr>
        <w:t>hidrohlorida</w:t>
      </w:r>
      <w:proofErr w:type="spellEnd"/>
      <w:r w:rsidRPr="003F7E57">
        <w:rPr>
          <w:sz w:val="22"/>
          <w:szCs w:val="22"/>
          <w:lang w:val="sr-Latn-ME"/>
        </w:rPr>
        <w:t xml:space="preserve"> (što odgovara 780 mg </w:t>
      </w:r>
      <w:proofErr w:type="spellStart"/>
      <w:r w:rsidRPr="003F7E57">
        <w:rPr>
          <w:sz w:val="22"/>
          <w:szCs w:val="22"/>
          <w:lang w:val="sr-Latn-ME"/>
        </w:rPr>
        <w:t>metformina</w:t>
      </w:r>
      <w:proofErr w:type="spellEnd"/>
      <w:r w:rsidRPr="003F7E57">
        <w:rPr>
          <w:sz w:val="22"/>
          <w:szCs w:val="22"/>
          <w:lang w:val="sr-Latn-ME"/>
        </w:rPr>
        <w:t>)</w:t>
      </w:r>
      <w:r w:rsidR="007A2CE8" w:rsidRPr="003F7E57">
        <w:rPr>
          <w:sz w:val="22"/>
          <w:szCs w:val="22"/>
          <w:lang w:val="sr-Latn-ME"/>
        </w:rPr>
        <w:t>.</w:t>
      </w:r>
    </w:p>
    <w:p w14:paraId="3A1CEE15" w14:textId="77777777" w:rsidR="00ED00A1" w:rsidRPr="003F7E57" w:rsidRDefault="00ED00A1">
      <w:pPr>
        <w:jc w:val="both"/>
        <w:rPr>
          <w:sz w:val="22"/>
          <w:szCs w:val="22"/>
          <w:lang w:val="sr-Latn-ME"/>
        </w:rPr>
      </w:pPr>
    </w:p>
    <w:p w14:paraId="365DA8A5" w14:textId="493E6C80" w:rsidR="0003793F" w:rsidRPr="003F7E57" w:rsidRDefault="0003793F">
      <w:pPr>
        <w:jc w:val="both"/>
        <w:rPr>
          <w:sz w:val="22"/>
          <w:szCs w:val="22"/>
          <w:lang w:val="sr-Latn-ME"/>
        </w:rPr>
      </w:pPr>
      <w:r w:rsidRPr="003F7E57">
        <w:rPr>
          <w:sz w:val="22"/>
          <w:szCs w:val="22"/>
          <w:lang w:val="sr-Latn-ME"/>
        </w:rPr>
        <w:t xml:space="preserve">Za spisak svih </w:t>
      </w:r>
      <w:proofErr w:type="spellStart"/>
      <w:r w:rsidRPr="003F7E57">
        <w:rPr>
          <w:sz w:val="22"/>
          <w:szCs w:val="22"/>
          <w:lang w:val="sr-Latn-ME"/>
        </w:rPr>
        <w:t>ekscipijenasa</w:t>
      </w:r>
      <w:proofErr w:type="spellEnd"/>
      <w:r w:rsidRPr="003F7E57">
        <w:rPr>
          <w:sz w:val="22"/>
          <w:szCs w:val="22"/>
          <w:lang w:val="sr-Latn-ME"/>
        </w:rPr>
        <w:t>, pogledati dio 6.1.</w:t>
      </w:r>
    </w:p>
    <w:p w14:paraId="421B9423" w14:textId="078D4399" w:rsidR="00C37FD7" w:rsidRPr="003F7E57" w:rsidRDefault="00C37FD7" w:rsidP="00991A59">
      <w:pPr>
        <w:jc w:val="both"/>
        <w:rPr>
          <w:sz w:val="22"/>
          <w:szCs w:val="22"/>
          <w:lang w:val="sr-Latn-ME"/>
        </w:rPr>
      </w:pPr>
    </w:p>
    <w:p w14:paraId="5166F92E" w14:textId="77777777" w:rsidR="007A2CE8" w:rsidRPr="003F7E57" w:rsidRDefault="007A2CE8" w:rsidP="00991A59">
      <w:pPr>
        <w:jc w:val="both"/>
        <w:rPr>
          <w:sz w:val="22"/>
          <w:szCs w:val="22"/>
          <w:lang w:val="sr-Latn-ME"/>
        </w:rPr>
      </w:pPr>
    </w:p>
    <w:p w14:paraId="370EE685" w14:textId="77777777" w:rsidR="00411B4B" w:rsidRPr="003F7E57" w:rsidRDefault="00411B4B" w:rsidP="00991A59">
      <w:pPr>
        <w:tabs>
          <w:tab w:val="left" w:pos="540"/>
          <w:tab w:val="left" w:pos="569"/>
        </w:tabs>
        <w:jc w:val="both"/>
        <w:rPr>
          <w:b/>
          <w:bCs/>
          <w:sz w:val="22"/>
          <w:szCs w:val="22"/>
          <w:lang w:val="sr-Latn-ME"/>
        </w:rPr>
      </w:pPr>
      <w:r w:rsidRPr="003F7E57">
        <w:rPr>
          <w:b/>
          <w:bCs/>
          <w:sz w:val="22"/>
          <w:szCs w:val="22"/>
          <w:lang w:val="sr-Latn-ME"/>
        </w:rPr>
        <w:t xml:space="preserve">3. </w:t>
      </w:r>
      <w:r w:rsidR="00F5167F" w:rsidRPr="003F7E57">
        <w:rPr>
          <w:b/>
          <w:bCs/>
          <w:sz w:val="22"/>
          <w:szCs w:val="22"/>
          <w:lang w:val="sr-Latn-ME"/>
        </w:rPr>
        <w:tab/>
      </w:r>
      <w:r w:rsidRPr="003F7E57">
        <w:rPr>
          <w:b/>
          <w:bCs/>
          <w:sz w:val="22"/>
          <w:szCs w:val="22"/>
          <w:lang w:val="sr-Latn-ME"/>
        </w:rPr>
        <w:t>FARMACEUTSKI OBLIK</w:t>
      </w:r>
      <w:r w:rsidR="009F2D23" w:rsidRPr="003F7E57">
        <w:rPr>
          <w:b/>
          <w:bCs/>
          <w:sz w:val="22"/>
          <w:szCs w:val="22"/>
          <w:lang w:val="sr-Latn-ME"/>
        </w:rPr>
        <w:t xml:space="preserve"> </w:t>
      </w:r>
    </w:p>
    <w:p w14:paraId="51AE540F" w14:textId="77777777" w:rsidR="00411B4B" w:rsidRPr="003F7E57" w:rsidRDefault="00411B4B" w:rsidP="00991A59">
      <w:pPr>
        <w:jc w:val="both"/>
        <w:rPr>
          <w:bCs/>
          <w:sz w:val="22"/>
          <w:szCs w:val="22"/>
          <w:lang w:val="sr-Latn-ME"/>
        </w:rPr>
      </w:pPr>
    </w:p>
    <w:p w14:paraId="6160FE26" w14:textId="341017BF" w:rsidR="00ED00A1" w:rsidRPr="003F7E57" w:rsidRDefault="00ED00A1" w:rsidP="00CE2D38">
      <w:pPr>
        <w:jc w:val="both"/>
        <w:rPr>
          <w:sz w:val="22"/>
          <w:szCs w:val="22"/>
          <w:lang w:val="sr-Latn-ME"/>
        </w:rPr>
      </w:pPr>
      <w:r w:rsidRPr="003F7E57">
        <w:rPr>
          <w:sz w:val="22"/>
          <w:szCs w:val="22"/>
          <w:lang w:val="sr-Latn-ME"/>
        </w:rPr>
        <w:t>Film tableta.</w:t>
      </w:r>
    </w:p>
    <w:p w14:paraId="686BB6C7" w14:textId="074FD992" w:rsidR="00ED00A1" w:rsidRPr="003F7E57" w:rsidRDefault="00ED00A1">
      <w:pPr>
        <w:jc w:val="both"/>
        <w:rPr>
          <w:sz w:val="22"/>
          <w:szCs w:val="22"/>
          <w:lang w:val="sr-Latn-ME"/>
        </w:rPr>
      </w:pPr>
    </w:p>
    <w:p w14:paraId="2F8212B9" w14:textId="4C0C06A4" w:rsidR="007A2CE8" w:rsidRPr="003F7E57" w:rsidRDefault="007A2CE8">
      <w:pPr>
        <w:spacing w:line="260" w:lineRule="exact"/>
        <w:ind w:right="-2"/>
        <w:jc w:val="both"/>
        <w:rPr>
          <w:sz w:val="22"/>
          <w:szCs w:val="22"/>
          <w:u w:val="single"/>
          <w:lang w:val="sr-Latn-ME"/>
        </w:rPr>
      </w:pPr>
      <w:proofErr w:type="spellStart"/>
      <w:r w:rsidRPr="003F7E57">
        <w:rPr>
          <w:sz w:val="22"/>
          <w:szCs w:val="22"/>
          <w:u w:val="single"/>
          <w:lang w:val="sr-Latn-ME"/>
        </w:rPr>
        <w:t>Eucreas</w:t>
      </w:r>
      <w:proofErr w:type="spellEnd"/>
      <w:r w:rsidRPr="003F7E57">
        <w:rPr>
          <w:sz w:val="22"/>
          <w:szCs w:val="22"/>
          <w:u w:val="single"/>
          <w:lang w:val="sr-Latn-ME"/>
        </w:rPr>
        <w:t>, 50 mg + 850 mg, film tableta</w:t>
      </w:r>
    </w:p>
    <w:p w14:paraId="5D360562" w14:textId="546FFF54" w:rsidR="00ED00A1" w:rsidRPr="003F7E57" w:rsidRDefault="00ED00A1">
      <w:pPr>
        <w:jc w:val="both"/>
        <w:rPr>
          <w:sz w:val="22"/>
          <w:szCs w:val="22"/>
          <w:lang w:val="sr-Latn-ME"/>
        </w:rPr>
      </w:pPr>
      <w:r w:rsidRPr="003F7E57">
        <w:rPr>
          <w:sz w:val="22"/>
          <w:szCs w:val="22"/>
          <w:lang w:val="sr-Latn-ME"/>
        </w:rPr>
        <w:t xml:space="preserve">Žuta, ovalna, film tableta, </w:t>
      </w:r>
      <w:proofErr w:type="spellStart"/>
      <w:r w:rsidRPr="003F7E57">
        <w:rPr>
          <w:sz w:val="22"/>
          <w:szCs w:val="22"/>
          <w:lang w:val="sr-Latn-ME"/>
        </w:rPr>
        <w:t>zakošenih</w:t>
      </w:r>
      <w:proofErr w:type="spellEnd"/>
      <w:r w:rsidRPr="003F7E57">
        <w:rPr>
          <w:sz w:val="22"/>
          <w:szCs w:val="22"/>
          <w:lang w:val="sr-Latn-ME"/>
        </w:rPr>
        <w:t xml:space="preserve"> ivica sa utisnutom oznakom „NVR” sa jedne i „SEH” sa druge strane</w:t>
      </w:r>
      <w:r w:rsidR="007A2CE8" w:rsidRPr="003F7E57">
        <w:rPr>
          <w:sz w:val="22"/>
          <w:szCs w:val="22"/>
          <w:lang w:val="sr-Latn-ME"/>
        </w:rPr>
        <w:t>.</w:t>
      </w:r>
    </w:p>
    <w:p w14:paraId="7C79665A" w14:textId="77777777" w:rsidR="00ED00A1" w:rsidRPr="003F7E57" w:rsidRDefault="00ED00A1">
      <w:pPr>
        <w:jc w:val="both"/>
        <w:rPr>
          <w:sz w:val="22"/>
          <w:szCs w:val="22"/>
          <w:lang w:val="sr-Latn-ME"/>
        </w:rPr>
      </w:pPr>
    </w:p>
    <w:p w14:paraId="1E37367B" w14:textId="0467A037" w:rsidR="007A2CE8" w:rsidRPr="003F7E57" w:rsidRDefault="007A2CE8">
      <w:pPr>
        <w:jc w:val="both"/>
        <w:rPr>
          <w:sz w:val="22"/>
          <w:szCs w:val="22"/>
          <w:u w:val="single"/>
          <w:lang w:val="sr-Latn-ME"/>
        </w:rPr>
      </w:pPr>
      <w:proofErr w:type="spellStart"/>
      <w:r w:rsidRPr="003F7E57">
        <w:rPr>
          <w:sz w:val="22"/>
          <w:szCs w:val="22"/>
          <w:u w:val="single"/>
          <w:lang w:val="sr-Latn-ME"/>
        </w:rPr>
        <w:t>Eucreas</w:t>
      </w:r>
      <w:proofErr w:type="spellEnd"/>
      <w:r w:rsidRPr="003F7E57">
        <w:rPr>
          <w:sz w:val="22"/>
          <w:szCs w:val="22"/>
          <w:u w:val="single"/>
          <w:lang w:val="sr-Latn-ME"/>
        </w:rPr>
        <w:t>, 50 mg + 1000 mg, film tableta</w:t>
      </w:r>
    </w:p>
    <w:p w14:paraId="58589529" w14:textId="47D0A8A6" w:rsidR="00ED00A1" w:rsidRPr="003F7E57" w:rsidRDefault="00ED00A1">
      <w:pPr>
        <w:jc w:val="both"/>
        <w:rPr>
          <w:sz w:val="22"/>
          <w:szCs w:val="22"/>
          <w:lang w:val="sr-Latn-ME"/>
        </w:rPr>
      </w:pPr>
      <w:r w:rsidRPr="003F7E57">
        <w:rPr>
          <w:sz w:val="22"/>
          <w:szCs w:val="22"/>
          <w:lang w:val="sr-Latn-ME"/>
        </w:rPr>
        <w:t xml:space="preserve">Tamnožuta, ovalna film tableta, </w:t>
      </w:r>
      <w:proofErr w:type="spellStart"/>
      <w:r w:rsidRPr="003F7E57">
        <w:rPr>
          <w:sz w:val="22"/>
          <w:szCs w:val="22"/>
          <w:lang w:val="sr-Latn-ME"/>
        </w:rPr>
        <w:t>zakošenih</w:t>
      </w:r>
      <w:proofErr w:type="spellEnd"/>
      <w:r w:rsidRPr="003F7E57">
        <w:rPr>
          <w:sz w:val="22"/>
          <w:szCs w:val="22"/>
          <w:lang w:val="sr-Latn-ME"/>
        </w:rPr>
        <w:t xml:space="preserve"> ivica sa utisnutom oznakom „NVR” sa jedne i „FLO” sa druge strane.</w:t>
      </w:r>
    </w:p>
    <w:p w14:paraId="27DB91D3" w14:textId="695678F5" w:rsidR="00EC2532" w:rsidRPr="003F7E57" w:rsidRDefault="00EC2532" w:rsidP="00991A59">
      <w:pPr>
        <w:jc w:val="both"/>
        <w:rPr>
          <w:bCs/>
          <w:sz w:val="22"/>
          <w:szCs w:val="22"/>
          <w:lang w:val="sr-Latn-ME"/>
        </w:rPr>
      </w:pPr>
    </w:p>
    <w:p w14:paraId="356B3CC6" w14:textId="77777777" w:rsidR="007A2CE8" w:rsidRPr="003F7E57" w:rsidRDefault="007A2CE8" w:rsidP="00991A59">
      <w:pPr>
        <w:jc w:val="both"/>
        <w:rPr>
          <w:bCs/>
          <w:sz w:val="22"/>
          <w:szCs w:val="22"/>
          <w:lang w:val="sr-Latn-ME"/>
        </w:rPr>
      </w:pPr>
    </w:p>
    <w:p w14:paraId="2D762558" w14:textId="77777777" w:rsidR="00411B4B" w:rsidRPr="003F7E57" w:rsidRDefault="00411B4B" w:rsidP="00CE2D38">
      <w:pPr>
        <w:tabs>
          <w:tab w:val="left" w:pos="540"/>
          <w:tab w:val="left" w:pos="569"/>
        </w:tabs>
        <w:jc w:val="both"/>
        <w:rPr>
          <w:b/>
          <w:bCs/>
          <w:sz w:val="22"/>
          <w:szCs w:val="22"/>
          <w:lang w:val="sr-Latn-ME"/>
        </w:rPr>
      </w:pPr>
      <w:r w:rsidRPr="003F7E57">
        <w:rPr>
          <w:b/>
          <w:bCs/>
          <w:sz w:val="22"/>
          <w:szCs w:val="22"/>
          <w:lang w:val="sr-Latn-ME"/>
        </w:rPr>
        <w:t xml:space="preserve">4. </w:t>
      </w:r>
      <w:r w:rsidR="00480FB1" w:rsidRPr="003F7E57">
        <w:rPr>
          <w:b/>
          <w:bCs/>
          <w:sz w:val="22"/>
          <w:szCs w:val="22"/>
          <w:lang w:val="sr-Latn-ME"/>
        </w:rPr>
        <w:tab/>
      </w:r>
      <w:r w:rsidRPr="003F7E57">
        <w:rPr>
          <w:b/>
          <w:bCs/>
          <w:sz w:val="22"/>
          <w:szCs w:val="22"/>
          <w:lang w:val="sr-Latn-ME"/>
        </w:rPr>
        <w:t>KLINIČKI PODACI</w:t>
      </w:r>
    </w:p>
    <w:p w14:paraId="288364B5" w14:textId="77777777" w:rsidR="00CD6F02" w:rsidRPr="003F7E57" w:rsidRDefault="00CD6F02">
      <w:pPr>
        <w:tabs>
          <w:tab w:val="left" w:pos="540"/>
          <w:tab w:val="left" w:pos="569"/>
        </w:tabs>
        <w:jc w:val="both"/>
        <w:rPr>
          <w:bCs/>
          <w:sz w:val="22"/>
          <w:szCs w:val="22"/>
          <w:lang w:val="sr-Latn-ME"/>
        </w:rPr>
      </w:pPr>
    </w:p>
    <w:p w14:paraId="53BB2F05" w14:textId="77777777" w:rsidR="00411B4B" w:rsidRPr="003F7E57" w:rsidRDefault="00411B4B">
      <w:pPr>
        <w:tabs>
          <w:tab w:val="left" w:pos="540"/>
          <w:tab w:val="left" w:pos="569"/>
        </w:tabs>
        <w:jc w:val="both"/>
        <w:rPr>
          <w:b/>
          <w:bCs/>
          <w:sz w:val="22"/>
          <w:szCs w:val="22"/>
          <w:lang w:val="sr-Latn-ME"/>
        </w:rPr>
      </w:pPr>
      <w:r w:rsidRPr="003F7E57">
        <w:rPr>
          <w:b/>
          <w:bCs/>
          <w:sz w:val="22"/>
          <w:szCs w:val="22"/>
          <w:lang w:val="sr-Latn-ME"/>
        </w:rPr>
        <w:t xml:space="preserve">4.1. </w:t>
      </w:r>
      <w:r w:rsidR="00480FB1" w:rsidRPr="003F7E57">
        <w:rPr>
          <w:b/>
          <w:bCs/>
          <w:sz w:val="22"/>
          <w:szCs w:val="22"/>
          <w:lang w:val="sr-Latn-ME"/>
        </w:rPr>
        <w:tab/>
      </w:r>
      <w:r w:rsidRPr="003F7E57">
        <w:rPr>
          <w:b/>
          <w:bCs/>
          <w:sz w:val="22"/>
          <w:szCs w:val="22"/>
          <w:lang w:val="sr-Latn-ME"/>
        </w:rPr>
        <w:t>Terapijske indikacije</w:t>
      </w:r>
    </w:p>
    <w:p w14:paraId="4F07C6A8" w14:textId="07F51521" w:rsidR="00411B4B" w:rsidRPr="003F7E57" w:rsidRDefault="00411B4B">
      <w:pPr>
        <w:tabs>
          <w:tab w:val="left" w:pos="540"/>
          <w:tab w:val="left" w:pos="569"/>
        </w:tabs>
        <w:jc w:val="both"/>
        <w:rPr>
          <w:bCs/>
          <w:sz w:val="22"/>
          <w:szCs w:val="22"/>
          <w:lang w:val="sr-Latn-ME"/>
        </w:rPr>
      </w:pPr>
    </w:p>
    <w:p w14:paraId="6A449147" w14:textId="055BBA1A" w:rsidR="00ED00A1" w:rsidRPr="003F7E57" w:rsidRDefault="00ED00A1">
      <w:pPr>
        <w:tabs>
          <w:tab w:val="left" w:pos="540"/>
          <w:tab w:val="left" w:pos="567"/>
        </w:tabs>
        <w:jc w:val="both"/>
        <w:rPr>
          <w:sz w:val="22"/>
          <w:szCs w:val="22"/>
          <w:lang w:val="sr-Latn-ME"/>
        </w:rPr>
      </w:pPr>
      <w:proofErr w:type="spellStart"/>
      <w:r w:rsidRPr="003F7E57">
        <w:rPr>
          <w:sz w:val="22"/>
          <w:szCs w:val="22"/>
          <w:lang w:val="sr-Latn-ME"/>
        </w:rPr>
        <w:t>Eucreas</w:t>
      </w:r>
      <w:proofErr w:type="spellEnd"/>
      <w:r w:rsidRPr="003F7E57">
        <w:rPr>
          <w:sz w:val="22"/>
          <w:szCs w:val="22"/>
          <w:lang w:val="sr-Latn-ME"/>
        </w:rPr>
        <w:t xml:space="preserve"> je </w:t>
      </w:r>
      <w:proofErr w:type="spellStart"/>
      <w:r w:rsidRPr="003F7E57">
        <w:rPr>
          <w:sz w:val="22"/>
          <w:szCs w:val="22"/>
          <w:lang w:val="sr-Latn-ME"/>
        </w:rPr>
        <w:t>indikovan</w:t>
      </w:r>
      <w:proofErr w:type="spellEnd"/>
      <w:r w:rsidRPr="003F7E57">
        <w:rPr>
          <w:sz w:val="22"/>
          <w:szCs w:val="22"/>
          <w:lang w:val="sr-Latn-ME"/>
        </w:rPr>
        <w:t xml:space="preserve"> kao dodatak ishrani i fizičkoj aktivnosti radi poboljšanja kontrole </w:t>
      </w:r>
      <w:proofErr w:type="spellStart"/>
      <w:r w:rsidRPr="003F7E57">
        <w:rPr>
          <w:sz w:val="22"/>
          <w:szCs w:val="22"/>
          <w:lang w:val="sr-Latn-ME"/>
        </w:rPr>
        <w:t>glikemije</w:t>
      </w:r>
      <w:proofErr w:type="spellEnd"/>
      <w:r w:rsidRPr="003F7E57">
        <w:rPr>
          <w:sz w:val="22"/>
          <w:szCs w:val="22"/>
          <w:lang w:val="sr-Latn-ME"/>
        </w:rPr>
        <w:t xml:space="preserve"> kod odraslih sa dijabetes </w:t>
      </w:r>
      <w:proofErr w:type="spellStart"/>
      <w:r w:rsidRPr="003F7E57">
        <w:rPr>
          <w:sz w:val="22"/>
          <w:szCs w:val="22"/>
          <w:lang w:val="sr-Latn-ME"/>
        </w:rPr>
        <w:t>melitusom</w:t>
      </w:r>
      <w:proofErr w:type="spellEnd"/>
      <w:r w:rsidRPr="003F7E57">
        <w:rPr>
          <w:sz w:val="22"/>
          <w:szCs w:val="22"/>
          <w:lang w:val="sr-Latn-ME"/>
        </w:rPr>
        <w:t xml:space="preserve"> tip 2:</w:t>
      </w:r>
    </w:p>
    <w:p w14:paraId="0480FD97" w14:textId="0A633EF0" w:rsidR="00ED00A1" w:rsidRPr="003F7E57" w:rsidRDefault="00ED00A1">
      <w:pPr>
        <w:numPr>
          <w:ilvl w:val="0"/>
          <w:numId w:val="12"/>
        </w:numPr>
        <w:tabs>
          <w:tab w:val="left" w:pos="709"/>
        </w:tabs>
        <w:ind w:left="709" w:hanging="349"/>
        <w:jc w:val="both"/>
        <w:rPr>
          <w:sz w:val="22"/>
          <w:szCs w:val="22"/>
          <w:lang w:val="sr-Latn-ME"/>
        </w:rPr>
      </w:pPr>
      <w:r w:rsidRPr="003F7E57">
        <w:rPr>
          <w:sz w:val="22"/>
          <w:szCs w:val="22"/>
          <w:lang w:val="sr-Latn-ME"/>
        </w:rPr>
        <w:t>kod pacijenata neadekvatno kontrolisanim  prim</w:t>
      </w:r>
      <w:r w:rsidR="00A42C24" w:rsidRPr="003F7E57">
        <w:rPr>
          <w:sz w:val="22"/>
          <w:szCs w:val="22"/>
          <w:lang w:val="sr-Latn-ME"/>
        </w:rPr>
        <w:t>j</w:t>
      </w:r>
      <w:r w:rsidRPr="003F7E57">
        <w:rPr>
          <w:sz w:val="22"/>
          <w:szCs w:val="22"/>
          <w:lang w:val="sr-Latn-ME"/>
        </w:rPr>
        <w:t xml:space="preserve">enom samo </w:t>
      </w:r>
      <w:proofErr w:type="spellStart"/>
      <w:r w:rsidRPr="003F7E57">
        <w:rPr>
          <w:sz w:val="22"/>
          <w:szCs w:val="22"/>
          <w:lang w:val="sr-Latn-ME"/>
        </w:rPr>
        <w:t>metformin</w:t>
      </w:r>
      <w:proofErr w:type="spellEnd"/>
      <w:r w:rsidRPr="003F7E57">
        <w:rPr>
          <w:sz w:val="22"/>
          <w:szCs w:val="22"/>
          <w:lang w:val="sr-Latn-ME"/>
        </w:rPr>
        <w:t xml:space="preserve"> </w:t>
      </w:r>
      <w:proofErr w:type="spellStart"/>
      <w:r w:rsidRPr="003F7E57">
        <w:rPr>
          <w:sz w:val="22"/>
          <w:szCs w:val="22"/>
          <w:lang w:val="sr-Latn-ME"/>
        </w:rPr>
        <w:t>hidrohlorida</w:t>
      </w:r>
      <w:proofErr w:type="spellEnd"/>
      <w:r w:rsidRPr="003F7E57">
        <w:rPr>
          <w:sz w:val="22"/>
          <w:szCs w:val="22"/>
          <w:lang w:val="sr-Latn-ME"/>
        </w:rPr>
        <w:t>.</w:t>
      </w:r>
    </w:p>
    <w:p w14:paraId="491CDD7A" w14:textId="1C847FBD" w:rsidR="00ED00A1" w:rsidRPr="003F7E57" w:rsidRDefault="00ED00A1">
      <w:pPr>
        <w:numPr>
          <w:ilvl w:val="0"/>
          <w:numId w:val="12"/>
        </w:numPr>
        <w:tabs>
          <w:tab w:val="left" w:pos="709"/>
        </w:tabs>
        <w:ind w:left="709" w:hanging="349"/>
        <w:jc w:val="both"/>
        <w:rPr>
          <w:sz w:val="22"/>
          <w:szCs w:val="22"/>
          <w:lang w:val="sr-Latn-ME"/>
        </w:rPr>
      </w:pPr>
      <w:r w:rsidRPr="003F7E57">
        <w:rPr>
          <w:sz w:val="22"/>
          <w:szCs w:val="22"/>
          <w:lang w:val="sr-Latn-ME"/>
        </w:rPr>
        <w:t xml:space="preserve">kod pacijenata koji se već liječe kombinacijom odvojenih tableta </w:t>
      </w:r>
      <w:proofErr w:type="spellStart"/>
      <w:r w:rsidRPr="003F7E57">
        <w:rPr>
          <w:sz w:val="22"/>
          <w:szCs w:val="22"/>
          <w:lang w:val="sr-Latn-ME"/>
        </w:rPr>
        <w:t>vildagliptina</w:t>
      </w:r>
      <w:proofErr w:type="spellEnd"/>
      <w:r w:rsidRPr="003F7E57">
        <w:rPr>
          <w:sz w:val="22"/>
          <w:szCs w:val="22"/>
          <w:lang w:val="sr-Latn-ME"/>
        </w:rPr>
        <w:t xml:space="preserve"> i </w:t>
      </w:r>
      <w:proofErr w:type="spellStart"/>
      <w:r w:rsidRPr="003F7E57">
        <w:rPr>
          <w:sz w:val="22"/>
          <w:szCs w:val="22"/>
          <w:lang w:val="sr-Latn-ME"/>
        </w:rPr>
        <w:t>metformin</w:t>
      </w:r>
      <w:proofErr w:type="spellEnd"/>
      <w:r w:rsidRPr="003F7E57">
        <w:rPr>
          <w:sz w:val="22"/>
          <w:szCs w:val="22"/>
          <w:lang w:val="sr-Latn-ME"/>
        </w:rPr>
        <w:t xml:space="preserve"> </w:t>
      </w:r>
      <w:proofErr w:type="spellStart"/>
      <w:r w:rsidRPr="003F7E57">
        <w:rPr>
          <w:sz w:val="22"/>
          <w:szCs w:val="22"/>
          <w:lang w:val="sr-Latn-ME"/>
        </w:rPr>
        <w:t>hidrohlorida</w:t>
      </w:r>
      <w:proofErr w:type="spellEnd"/>
      <w:r w:rsidRPr="003F7E57">
        <w:rPr>
          <w:sz w:val="22"/>
          <w:szCs w:val="22"/>
          <w:lang w:val="sr-Latn-ME"/>
        </w:rPr>
        <w:t>.</w:t>
      </w:r>
    </w:p>
    <w:p w14:paraId="1301EDB3" w14:textId="0835E56C" w:rsidR="00806C70" w:rsidRPr="003F7E57" w:rsidRDefault="00ED00A1" w:rsidP="00CE2D38">
      <w:pPr>
        <w:numPr>
          <w:ilvl w:val="0"/>
          <w:numId w:val="12"/>
        </w:numPr>
        <w:tabs>
          <w:tab w:val="left" w:pos="709"/>
        </w:tabs>
        <w:ind w:left="709" w:hanging="349"/>
        <w:jc w:val="both"/>
        <w:rPr>
          <w:sz w:val="22"/>
          <w:szCs w:val="22"/>
          <w:lang w:val="sr-Latn-ME"/>
        </w:rPr>
      </w:pPr>
      <w:r w:rsidRPr="003F7E57">
        <w:rPr>
          <w:sz w:val="22"/>
          <w:szCs w:val="22"/>
          <w:lang w:val="sr-Latn-ME"/>
        </w:rPr>
        <w:t>u kombinaciji sa drugim l</w:t>
      </w:r>
      <w:r w:rsidR="00341B19" w:rsidRPr="003F7E57">
        <w:rPr>
          <w:sz w:val="22"/>
          <w:szCs w:val="22"/>
          <w:lang w:val="sr-Latn-ME"/>
        </w:rPr>
        <w:t>j</w:t>
      </w:r>
      <w:r w:rsidRPr="003F7E57">
        <w:rPr>
          <w:sz w:val="22"/>
          <w:szCs w:val="22"/>
          <w:lang w:val="sr-Latn-ME"/>
        </w:rPr>
        <w:t xml:space="preserve">ekovima za terapiju dijabetesa, uključujući insulin, kada oni ne omogućavaju odgovarajuću kontrolu </w:t>
      </w:r>
      <w:proofErr w:type="spellStart"/>
      <w:r w:rsidRPr="003F7E57">
        <w:rPr>
          <w:sz w:val="22"/>
          <w:szCs w:val="22"/>
          <w:lang w:val="sr-Latn-ME"/>
        </w:rPr>
        <w:t>glikemije</w:t>
      </w:r>
      <w:proofErr w:type="spellEnd"/>
      <w:r w:rsidRPr="003F7E57">
        <w:rPr>
          <w:sz w:val="22"/>
          <w:szCs w:val="22"/>
          <w:lang w:val="sr-Latn-ME"/>
        </w:rPr>
        <w:t xml:space="preserve"> (vid</w:t>
      </w:r>
      <w:r w:rsidR="00341B19" w:rsidRPr="003F7E57">
        <w:rPr>
          <w:sz w:val="22"/>
          <w:szCs w:val="22"/>
          <w:lang w:val="sr-Latn-ME"/>
        </w:rPr>
        <w:t>j</w:t>
      </w:r>
      <w:r w:rsidRPr="003F7E57">
        <w:rPr>
          <w:sz w:val="22"/>
          <w:szCs w:val="22"/>
          <w:lang w:val="sr-Latn-ME"/>
        </w:rPr>
        <w:t xml:space="preserve">eti </w:t>
      </w:r>
      <w:r w:rsidR="00522F79" w:rsidRPr="003F7E57">
        <w:rPr>
          <w:sz w:val="22"/>
          <w:szCs w:val="22"/>
          <w:lang w:val="sr-Latn-ME"/>
        </w:rPr>
        <w:t xml:space="preserve">dijelove </w:t>
      </w:r>
      <w:r w:rsidRPr="003F7E57">
        <w:rPr>
          <w:sz w:val="22"/>
          <w:szCs w:val="22"/>
          <w:lang w:val="sr-Latn-ME"/>
        </w:rPr>
        <w:t>4.4, 4.5 i 5.1 za dostupne informacije o različitim kombinacijama).</w:t>
      </w:r>
    </w:p>
    <w:p w14:paraId="071C0FE6" w14:textId="74EB9142" w:rsidR="00CA6FA3" w:rsidRPr="003F7E57" w:rsidRDefault="00CA6FA3" w:rsidP="00CE2D38">
      <w:pPr>
        <w:tabs>
          <w:tab w:val="left" w:pos="540"/>
          <w:tab w:val="left" w:pos="569"/>
        </w:tabs>
        <w:jc w:val="both"/>
        <w:rPr>
          <w:b/>
          <w:bCs/>
          <w:sz w:val="22"/>
          <w:szCs w:val="22"/>
          <w:lang w:val="sr-Latn-ME"/>
        </w:rPr>
      </w:pPr>
    </w:p>
    <w:p w14:paraId="785CEDD3" w14:textId="01A73800" w:rsidR="00411B4B" w:rsidRPr="003F7E57" w:rsidRDefault="00411B4B" w:rsidP="00CE2D38">
      <w:pPr>
        <w:tabs>
          <w:tab w:val="left" w:pos="540"/>
          <w:tab w:val="left" w:pos="569"/>
        </w:tabs>
        <w:jc w:val="both"/>
        <w:rPr>
          <w:b/>
          <w:bCs/>
          <w:sz w:val="22"/>
          <w:szCs w:val="22"/>
          <w:lang w:val="sr-Latn-ME"/>
        </w:rPr>
      </w:pPr>
      <w:r w:rsidRPr="003F7E57">
        <w:rPr>
          <w:b/>
          <w:bCs/>
          <w:sz w:val="22"/>
          <w:szCs w:val="22"/>
          <w:lang w:val="sr-Latn-ME"/>
        </w:rPr>
        <w:t xml:space="preserve">4.2. </w:t>
      </w:r>
      <w:r w:rsidR="00480FB1" w:rsidRPr="003F7E57">
        <w:rPr>
          <w:b/>
          <w:bCs/>
          <w:sz w:val="22"/>
          <w:szCs w:val="22"/>
          <w:lang w:val="sr-Latn-ME"/>
        </w:rPr>
        <w:tab/>
      </w:r>
      <w:r w:rsidRPr="003F7E57">
        <w:rPr>
          <w:b/>
          <w:bCs/>
          <w:sz w:val="22"/>
          <w:szCs w:val="22"/>
          <w:lang w:val="sr-Latn-ME"/>
        </w:rPr>
        <w:t>Doziranje i način primjene</w:t>
      </w:r>
    </w:p>
    <w:p w14:paraId="665B0BE3" w14:textId="77777777" w:rsidR="00CA6FA3" w:rsidRPr="003F7E57" w:rsidRDefault="00CA6FA3" w:rsidP="00CE2D38">
      <w:pPr>
        <w:tabs>
          <w:tab w:val="left" w:pos="540"/>
          <w:tab w:val="left" w:pos="569"/>
        </w:tabs>
        <w:jc w:val="both"/>
        <w:rPr>
          <w:b/>
          <w:bCs/>
          <w:sz w:val="22"/>
          <w:szCs w:val="22"/>
          <w:lang w:val="sr-Latn-ME"/>
        </w:rPr>
      </w:pPr>
    </w:p>
    <w:p w14:paraId="071F913F" w14:textId="0EA948D6" w:rsidR="00452E9D" w:rsidRPr="003F7E57" w:rsidRDefault="00452E9D">
      <w:pPr>
        <w:tabs>
          <w:tab w:val="left" w:pos="540"/>
          <w:tab w:val="left" w:pos="569"/>
        </w:tabs>
        <w:jc w:val="both"/>
        <w:rPr>
          <w:bCs/>
          <w:sz w:val="22"/>
          <w:szCs w:val="22"/>
          <w:u w:val="single"/>
          <w:lang w:val="sr-Latn-ME"/>
        </w:rPr>
      </w:pPr>
      <w:r w:rsidRPr="003F7E57">
        <w:rPr>
          <w:bCs/>
          <w:sz w:val="22"/>
          <w:szCs w:val="22"/>
          <w:u w:val="single"/>
          <w:lang w:val="sr-Latn-ME"/>
        </w:rPr>
        <w:t>Doziranje</w:t>
      </w:r>
    </w:p>
    <w:p w14:paraId="0F5BE86D" w14:textId="77777777" w:rsidR="007A2272" w:rsidRPr="003F7E57" w:rsidRDefault="007A2272">
      <w:pPr>
        <w:tabs>
          <w:tab w:val="left" w:pos="540"/>
          <w:tab w:val="left" w:pos="569"/>
        </w:tabs>
        <w:jc w:val="both"/>
        <w:rPr>
          <w:bCs/>
          <w:sz w:val="22"/>
          <w:szCs w:val="22"/>
          <w:u w:val="single"/>
          <w:lang w:val="sr-Latn-ME"/>
        </w:rPr>
      </w:pPr>
    </w:p>
    <w:p w14:paraId="4AC3BB89" w14:textId="16AF23D3" w:rsidR="007A2272" w:rsidRPr="003F7E57" w:rsidRDefault="007A2272">
      <w:pPr>
        <w:tabs>
          <w:tab w:val="left" w:pos="567"/>
        </w:tabs>
        <w:jc w:val="both"/>
        <w:outlineLvl w:val="0"/>
        <w:rPr>
          <w:bCs/>
          <w:i/>
          <w:sz w:val="22"/>
          <w:szCs w:val="22"/>
          <w:u w:val="single"/>
          <w:lang w:val="sr-Latn-ME"/>
        </w:rPr>
      </w:pPr>
      <w:r w:rsidRPr="003F7E57">
        <w:rPr>
          <w:bCs/>
          <w:i/>
          <w:sz w:val="22"/>
          <w:szCs w:val="22"/>
          <w:u w:val="single"/>
          <w:lang w:val="sr-Latn-ME"/>
        </w:rPr>
        <w:t xml:space="preserve">Odrasli sa očuvanom </w:t>
      </w:r>
      <w:proofErr w:type="spellStart"/>
      <w:r w:rsidRPr="003F7E57">
        <w:rPr>
          <w:bCs/>
          <w:i/>
          <w:sz w:val="22"/>
          <w:szCs w:val="22"/>
          <w:u w:val="single"/>
          <w:lang w:val="sr-Latn-ME"/>
        </w:rPr>
        <w:t>renalnom</w:t>
      </w:r>
      <w:proofErr w:type="spellEnd"/>
      <w:r w:rsidRPr="003F7E57">
        <w:rPr>
          <w:bCs/>
          <w:i/>
          <w:sz w:val="22"/>
          <w:szCs w:val="22"/>
          <w:u w:val="single"/>
          <w:lang w:val="sr-Latn-ME"/>
        </w:rPr>
        <w:t xml:space="preserve"> funkcijom </w:t>
      </w:r>
      <w:r w:rsidRPr="003F7E57">
        <w:rPr>
          <w:bCs/>
          <w:sz w:val="22"/>
          <w:szCs w:val="22"/>
          <w:u w:val="single"/>
          <w:lang w:val="sr-Latn-ME"/>
        </w:rPr>
        <w:t>(</w:t>
      </w:r>
      <w:proofErr w:type="spellStart"/>
      <w:r w:rsidRPr="003F7E57">
        <w:rPr>
          <w:bCs/>
          <w:sz w:val="22"/>
          <w:szCs w:val="22"/>
          <w:u w:val="single"/>
          <w:lang w:val="sr-Latn-ME"/>
        </w:rPr>
        <w:t>GFR</w:t>
      </w:r>
      <w:proofErr w:type="spellEnd"/>
      <w:r w:rsidRPr="003F7E57">
        <w:rPr>
          <w:bCs/>
          <w:sz w:val="22"/>
          <w:szCs w:val="22"/>
          <w:u w:val="single"/>
          <w:lang w:val="sr-Latn-ME"/>
        </w:rPr>
        <w:t xml:space="preserve"> ≥ 90 m</w:t>
      </w:r>
      <w:r w:rsidR="00806C70" w:rsidRPr="003F7E57">
        <w:rPr>
          <w:bCs/>
          <w:sz w:val="22"/>
          <w:szCs w:val="22"/>
          <w:u w:val="single"/>
          <w:lang w:val="sr-Latn-ME"/>
        </w:rPr>
        <w:t>l</w:t>
      </w:r>
      <w:r w:rsidRPr="003F7E57">
        <w:rPr>
          <w:bCs/>
          <w:sz w:val="22"/>
          <w:szCs w:val="22"/>
          <w:u w:val="single"/>
          <w:lang w:val="sr-Latn-ME"/>
        </w:rPr>
        <w:t>/min)</w:t>
      </w:r>
    </w:p>
    <w:p w14:paraId="51FE4D9C" w14:textId="46C55344"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lastRenderedPageBreak/>
        <w:t xml:space="preserve">Doza antihiperglikemijske terapije lijekom Eucreas mora biti individualizovana prema postojećem režimu pacijenta, efikasnosti i podnošljivosti, ne prelazeći pritom najvišu preporučenu dnevnu dozu od 100 mg vildagliptina. Liječenje lijekom Eucreas se može započeti sa jačinom tablete ili od </w:t>
      </w:r>
      <w:r w:rsidR="00161A04" w:rsidRPr="003F7E57">
        <w:rPr>
          <w:noProof/>
          <w:sz w:val="22"/>
          <w:szCs w:val="22"/>
          <w:lang w:val="sr-Latn-ME"/>
        </w:rPr>
        <w:t>50 mg+</w:t>
      </w:r>
      <w:r w:rsidRPr="003F7E57">
        <w:rPr>
          <w:noProof/>
          <w:sz w:val="22"/>
          <w:szCs w:val="22"/>
          <w:lang w:val="sr-Latn-ME"/>
        </w:rPr>
        <w:t xml:space="preserve">850 mg ili od </w:t>
      </w:r>
      <w:r w:rsidR="00161A04" w:rsidRPr="003F7E57">
        <w:rPr>
          <w:noProof/>
          <w:sz w:val="22"/>
          <w:szCs w:val="22"/>
          <w:lang w:val="sr-Latn-ME"/>
        </w:rPr>
        <w:t>50mg+</w:t>
      </w:r>
      <w:r w:rsidRPr="003F7E57">
        <w:rPr>
          <w:noProof/>
          <w:sz w:val="22"/>
          <w:szCs w:val="22"/>
          <w:lang w:val="sr-Latn-ME"/>
        </w:rPr>
        <w:t>1000 mg dva puta na dan, kao jedna tableta ujutro i druga uveče.</w:t>
      </w:r>
    </w:p>
    <w:p w14:paraId="55517CEE" w14:textId="32328C1B" w:rsidR="007A2272" w:rsidRPr="003F7E57" w:rsidRDefault="007A2272">
      <w:pPr>
        <w:tabs>
          <w:tab w:val="left" w:pos="567"/>
        </w:tabs>
        <w:autoSpaceDE w:val="0"/>
        <w:autoSpaceDN w:val="0"/>
        <w:adjustRightInd w:val="0"/>
        <w:jc w:val="both"/>
        <w:rPr>
          <w:noProof/>
          <w:sz w:val="22"/>
          <w:szCs w:val="22"/>
          <w:lang w:val="sr-Latn-ME"/>
        </w:rPr>
      </w:pPr>
    </w:p>
    <w:p w14:paraId="36C955BF" w14:textId="77777777"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w:t>
      </w:r>
      <w:r w:rsidRPr="003F7E57">
        <w:rPr>
          <w:noProof/>
          <w:sz w:val="22"/>
          <w:szCs w:val="22"/>
          <w:lang w:val="sr-Latn-ME"/>
        </w:rPr>
        <w:tab/>
        <w:t>Kod pacijenata kod kojih nije postignuta zadovoljavajuća kontrola pri najvišoj podnošljivoj dozi monoterapije metforminom:</w:t>
      </w:r>
    </w:p>
    <w:p w14:paraId="64EB4D09" w14:textId="3B69028A"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Uobičajena početna doza lijeka Eucreas mora biti 50 mg vildagliptina dva puta na dan (ukupna dnevna doza 100 mg) plus dosadašnja doza metformina.</w:t>
      </w:r>
    </w:p>
    <w:p w14:paraId="46932C2B" w14:textId="77777777" w:rsidR="007A2272" w:rsidRPr="003F7E57" w:rsidRDefault="007A2272">
      <w:pPr>
        <w:tabs>
          <w:tab w:val="left" w:pos="567"/>
        </w:tabs>
        <w:autoSpaceDE w:val="0"/>
        <w:autoSpaceDN w:val="0"/>
        <w:adjustRightInd w:val="0"/>
        <w:jc w:val="both"/>
        <w:rPr>
          <w:noProof/>
          <w:sz w:val="22"/>
          <w:szCs w:val="22"/>
          <w:lang w:val="sr-Latn-ME"/>
        </w:rPr>
      </w:pPr>
    </w:p>
    <w:p w14:paraId="1C22D6C1" w14:textId="77777777" w:rsidR="007A2272" w:rsidRPr="003F7E57" w:rsidRDefault="007A2272">
      <w:pPr>
        <w:tabs>
          <w:tab w:val="left" w:pos="567"/>
        </w:tabs>
        <w:autoSpaceDE w:val="0"/>
        <w:autoSpaceDN w:val="0"/>
        <w:adjustRightInd w:val="0"/>
        <w:ind w:left="567" w:hanging="567"/>
        <w:jc w:val="both"/>
        <w:rPr>
          <w:noProof/>
          <w:sz w:val="22"/>
          <w:szCs w:val="22"/>
          <w:lang w:val="sr-Latn-ME"/>
        </w:rPr>
      </w:pPr>
      <w:r w:rsidRPr="003F7E57">
        <w:rPr>
          <w:noProof/>
          <w:sz w:val="22"/>
          <w:szCs w:val="22"/>
          <w:lang w:val="sr-Latn-ME"/>
        </w:rPr>
        <w:t>-</w:t>
      </w:r>
      <w:r w:rsidRPr="003F7E57">
        <w:rPr>
          <w:noProof/>
          <w:sz w:val="22"/>
          <w:szCs w:val="22"/>
          <w:lang w:val="sr-Latn-ME"/>
        </w:rPr>
        <w:tab/>
        <w:t>Kod pacijenata koji prelaze sa istovremene primjene vildagliptina i metformina kao posebnih tableta:</w:t>
      </w:r>
    </w:p>
    <w:p w14:paraId="5835B2E3" w14:textId="6274FF7E"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Eucreas je potrebno započeti u dosadašnjim dozama vildagliptina i metformina.</w:t>
      </w:r>
    </w:p>
    <w:p w14:paraId="3D7A70D2" w14:textId="1D46FF49" w:rsidR="007A2272" w:rsidRPr="003F7E57" w:rsidRDefault="007A2272">
      <w:pPr>
        <w:tabs>
          <w:tab w:val="left" w:pos="567"/>
        </w:tabs>
        <w:autoSpaceDE w:val="0"/>
        <w:autoSpaceDN w:val="0"/>
        <w:adjustRightInd w:val="0"/>
        <w:jc w:val="both"/>
        <w:rPr>
          <w:noProof/>
          <w:sz w:val="22"/>
          <w:szCs w:val="22"/>
          <w:lang w:val="sr-Latn-ME"/>
        </w:rPr>
      </w:pPr>
    </w:p>
    <w:p w14:paraId="1C52DDF1" w14:textId="77777777" w:rsidR="007A2272" w:rsidRPr="003F7E57" w:rsidRDefault="007A2272">
      <w:pPr>
        <w:autoSpaceDE w:val="0"/>
        <w:autoSpaceDN w:val="0"/>
        <w:adjustRightInd w:val="0"/>
        <w:ind w:left="567" w:hanging="567"/>
        <w:jc w:val="both"/>
        <w:rPr>
          <w:noProof/>
          <w:sz w:val="22"/>
          <w:szCs w:val="22"/>
          <w:lang w:val="sr-Latn-ME"/>
        </w:rPr>
      </w:pPr>
      <w:r w:rsidRPr="003F7E57">
        <w:rPr>
          <w:noProof/>
          <w:sz w:val="22"/>
          <w:szCs w:val="22"/>
          <w:lang w:val="sr-Latn-ME"/>
        </w:rPr>
        <w:t>-</w:t>
      </w:r>
      <w:r w:rsidRPr="003F7E57">
        <w:rPr>
          <w:noProof/>
          <w:sz w:val="22"/>
          <w:szCs w:val="22"/>
          <w:lang w:val="sr-Latn-ME"/>
        </w:rPr>
        <w:tab/>
        <w:t>Kod pacijenata kod kojih nije postignuta zadovoljavajuća kontrola dvojnom terapijom, kombinacijom metformina i sulfoniluree:</w:t>
      </w:r>
    </w:p>
    <w:p w14:paraId="21DC5D03" w14:textId="77777777"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Doza lijeka Eucreas mora biti 50 mg vildagliptina dva puta na dan (ukupna dnevna doza 100 mg) i doza metformina slična dosadašnjoj dozi.</w:t>
      </w:r>
      <w:r w:rsidRPr="003F7E57">
        <w:rPr>
          <w:sz w:val="22"/>
          <w:szCs w:val="22"/>
          <w:lang w:val="sr-Latn-ME"/>
        </w:rPr>
        <w:t xml:space="preserve"> </w:t>
      </w:r>
      <w:r w:rsidRPr="003F7E57">
        <w:rPr>
          <w:noProof/>
          <w:sz w:val="22"/>
          <w:szCs w:val="22"/>
          <w:lang w:val="sr-Latn-ME"/>
        </w:rPr>
        <w:t>Kad se lijek Eucreas primjenjuje u kombinaciji sa sulfonilureom, može se razmotriti niža doza sulfoniluree kako bi se smanjio rizik od hipoglikemije.</w:t>
      </w:r>
    </w:p>
    <w:p w14:paraId="768C4B6E" w14:textId="77777777" w:rsidR="007A2272" w:rsidRPr="003F7E57" w:rsidRDefault="007A2272">
      <w:pPr>
        <w:tabs>
          <w:tab w:val="left" w:pos="567"/>
        </w:tabs>
        <w:autoSpaceDE w:val="0"/>
        <w:autoSpaceDN w:val="0"/>
        <w:adjustRightInd w:val="0"/>
        <w:ind w:left="567" w:hanging="567"/>
        <w:jc w:val="both"/>
        <w:rPr>
          <w:noProof/>
          <w:sz w:val="22"/>
          <w:szCs w:val="22"/>
          <w:lang w:val="sr-Latn-ME"/>
        </w:rPr>
      </w:pPr>
      <w:r w:rsidRPr="003F7E57">
        <w:rPr>
          <w:noProof/>
          <w:sz w:val="22"/>
          <w:szCs w:val="22"/>
          <w:lang w:val="sr-Latn-ME"/>
        </w:rPr>
        <w:t>-</w:t>
      </w:r>
      <w:r w:rsidRPr="003F7E57">
        <w:rPr>
          <w:noProof/>
          <w:sz w:val="22"/>
          <w:szCs w:val="22"/>
          <w:lang w:val="sr-Latn-ME"/>
        </w:rPr>
        <w:tab/>
        <w:t>Kod pacijenata kod kojih nije postignuta zadovoljavajuća kontrola dvojnom kombinovanom terapijom insulinom i najvišom podnošljivom dozom metformina:</w:t>
      </w:r>
    </w:p>
    <w:p w14:paraId="4BF1CBCD" w14:textId="77777777"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Doza lijeka Eucreas mora biti 50 mg vildagliptina dva puta na dan (ukupna dnevna doza 100 mg) i doza metformina slična dosadašnjoj dozi.</w:t>
      </w:r>
    </w:p>
    <w:p w14:paraId="1624498F" w14:textId="77777777" w:rsidR="007A2272" w:rsidRPr="003F7E57" w:rsidRDefault="007A2272">
      <w:pPr>
        <w:tabs>
          <w:tab w:val="left" w:pos="567"/>
        </w:tabs>
        <w:autoSpaceDE w:val="0"/>
        <w:autoSpaceDN w:val="0"/>
        <w:adjustRightInd w:val="0"/>
        <w:jc w:val="both"/>
        <w:rPr>
          <w:iCs/>
          <w:sz w:val="22"/>
          <w:szCs w:val="22"/>
          <w:lang w:val="sr-Latn-ME" w:eastAsia="fr-FR"/>
        </w:rPr>
      </w:pPr>
      <w:r w:rsidRPr="003F7E57">
        <w:rPr>
          <w:iCs/>
          <w:sz w:val="22"/>
          <w:szCs w:val="22"/>
          <w:lang w:val="sr-Latn-ME" w:eastAsia="fr-FR"/>
        </w:rPr>
        <w:t xml:space="preserve">Nije ustanovljena bezbjednost i efikasnost </w:t>
      </w:r>
      <w:proofErr w:type="spellStart"/>
      <w:r w:rsidRPr="003F7E57">
        <w:rPr>
          <w:iCs/>
          <w:sz w:val="22"/>
          <w:szCs w:val="22"/>
          <w:lang w:val="sr-Latn-ME" w:eastAsia="fr-FR"/>
        </w:rPr>
        <w:t>vildagliptina</w:t>
      </w:r>
      <w:proofErr w:type="spellEnd"/>
      <w:r w:rsidRPr="003F7E57">
        <w:rPr>
          <w:iCs/>
          <w:sz w:val="22"/>
          <w:szCs w:val="22"/>
          <w:lang w:val="sr-Latn-ME" w:eastAsia="fr-FR"/>
        </w:rPr>
        <w:t xml:space="preserve"> i </w:t>
      </w:r>
      <w:proofErr w:type="spellStart"/>
      <w:r w:rsidRPr="003F7E57">
        <w:rPr>
          <w:iCs/>
          <w:sz w:val="22"/>
          <w:szCs w:val="22"/>
          <w:lang w:val="sr-Latn-ME" w:eastAsia="fr-FR"/>
        </w:rPr>
        <w:t>metformina</w:t>
      </w:r>
      <w:proofErr w:type="spellEnd"/>
      <w:r w:rsidRPr="003F7E57">
        <w:rPr>
          <w:noProof/>
          <w:sz w:val="22"/>
          <w:szCs w:val="22"/>
          <w:lang w:val="sr-Latn-ME"/>
        </w:rPr>
        <w:t xml:space="preserve"> </w:t>
      </w:r>
      <w:r w:rsidRPr="003F7E57">
        <w:rPr>
          <w:iCs/>
          <w:sz w:val="22"/>
          <w:szCs w:val="22"/>
          <w:lang w:val="sr-Latn-ME" w:eastAsia="fr-FR"/>
        </w:rPr>
        <w:t xml:space="preserve">kao trojne oralne terapije u kombinaciji sa </w:t>
      </w:r>
      <w:r w:rsidRPr="003F7E57">
        <w:rPr>
          <w:noProof/>
          <w:sz w:val="22"/>
          <w:szCs w:val="22"/>
          <w:lang w:val="sr-Latn-ME"/>
        </w:rPr>
        <w:t>tiazolidindionom</w:t>
      </w:r>
      <w:r w:rsidRPr="003F7E57">
        <w:rPr>
          <w:iCs/>
          <w:sz w:val="22"/>
          <w:szCs w:val="22"/>
          <w:lang w:val="sr-Latn-ME" w:eastAsia="fr-FR"/>
        </w:rPr>
        <w:t>.</w:t>
      </w:r>
    </w:p>
    <w:p w14:paraId="47BC4293" w14:textId="77777777" w:rsidR="007A2272" w:rsidRPr="003F7E57" w:rsidRDefault="007A2272">
      <w:pPr>
        <w:tabs>
          <w:tab w:val="left" w:pos="567"/>
        </w:tabs>
        <w:autoSpaceDE w:val="0"/>
        <w:autoSpaceDN w:val="0"/>
        <w:adjustRightInd w:val="0"/>
        <w:jc w:val="both"/>
        <w:rPr>
          <w:noProof/>
          <w:sz w:val="22"/>
          <w:szCs w:val="22"/>
          <w:lang w:val="sr-Latn-ME"/>
        </w:rPr>
      </w:pPr>
    </w:p>
    <w:p w14:paraId="327273A1" w14:textId="77777777" w:rsidR="007A2272" w:rsidRPr="003F7E57" w:rsidRDefault="007A2272">
      <w:pPr>
        <w:tabs>
          <w:tab w:val="left" w:pos="567"/>
        </w:tabs>
        <w:autoSpaceDE w:val="0"/>
        <w:autoSpaceDN w:val="0"/>
        <w:adjustRightInd w:val="0"/>
        <w:jc w:val="both"/>
        <w:rPr>
          <w:i/>
          <w:noProof/>
          <w:sz w:val="22"/>
          <w:szCs w:val="22"/>
          <w:u w:val="single"/>
          <w:lang w:val="sr-Latn-ME"/>
        </w:rPr>
      </w:pPr>
      <w:r w:rsidRPr="003F7E57">
        <w:rPr>
          <w:i/>
          <w:noProof/>
          <w:sz w:val="22"/>
          <w:szCs w:val="22"/>
          <w:u w:val="single"/>
          <w:lang w:val="sr-Latn-ME"/>
        </w:rPr>
        <w:t>Posebne populacije</w:t>
      </w:r>
    </w:p>
    <w:p w14:paraId="6BCAAD0F" w14:textId="77777777" w:rsidR="007A2272" w:rsidRPr="003F7E57" w:rsidRDefault="007A2272">
      <w:pPr>
        <w:tabs>
          <w:tab w:val="left" w:pos="567"/>
        </w:tabs>
        <w:autoSpaceDE w:val="0"/>
        <w:autoSpaceDN w:val="0"/>
        <w:adjustRightInd w:val="0"/>
        <w:jc w:val="both"/>
        <w:rPr>
          <w:i/>
          <w:iCs/>
          <w:noProof/>
          <w:sz w:val="22"/>
          <w:szCs w:val="22"/>
          <w:lang w:val="sr-Latn-ME"/>
        </w:rPr>
      </w:pPr>
      <w:r w:rsidRPr="003F7E57">
        <w:rPr>
          <w:i/>
          <w:iCs/>
          <w:noProof/>
          <w:sz w:val="22"/>
          <w:szCs w:val="22"/>
          <w:lang w:val="sr-Latn-ME"/>
        </w:rPr>
        <w:t>Starije osobe (≥ 65 godina)</w:t>
      </w:r>
    </w:p>
    <w:p w14:paraId="595DF82B" w14:textId="1B1829C1" w:rsidR="007A2272" w:rsidRPr="003F7E57" w:rsidRDefault="007A2272">
      <w:pPr>
        <w:autoSpaceDE w:val="0"/>
        <w:autoSpaceDN w:val="0"/>
        <w:adjustRightInd w:val="0"/>
        <w:jc w:val="both"/>
        <w:rPr>
          <w:sz w:val="22"/>
          <w:szCs w:val="22"/>
          <w:lang w:val="sr-Latn-ME" w:bidi="th-TH"/>
        </w:rPr>
      </w:pPr>
      <w:r w:rsidRPr="003F7E57">
        <w:rPr>
          <w:sz w:val="22"/>
          <w:szCs w:val="22"/>
          <w:lang w:val="sr-Latn-ME" w:bidi="th-TH"/>
        </w:rPr>
        <w:t xml:space="preserve">Budući da se </w:t>
      </w:r>
      <w:proofErr w:type="spellStart"/>
      <w:r w:rsidRPr="003F7E57">
        <w:rPr>
          <w:sz w:val="22"/>
          <w:szCs w:val="22"/>
          <w:lang w:val="sr-Latn-ME" w:bidi="th-TH"/>
        </w:rPr>
        <w:t>metformin</w:t>
      </w:r>
      <w:proofErr w:type="spellEnd"/>
      <w:r w:rsidRPr="003F7E57">
        <w:rPr>
          <w:sz w:val="22"/>
          <w:szCs w:val="22"/>
          <w:lang w:val="sr-Latn-ME" w:bidi="th-TH"/>
        </w:rPr>
        <w:t xml:space="preserve"> izlučuje putem bubrega, a stariji pacijenti imaju sklonost smanjenju bubrežne funkcije, kod starijih pacijenata koji uzimaju lijek </w:t>
      </w:r>
      <w:r w:rsidRPr="003F7E57">
        <w:rPr>
          <w:noProof/>
          <w:sz w:val="22"/>
          <w:szCs w:val="22"/>
          <w:lang w:val="sr-Latn-ME"/>
        </w:rPr>
        <w:t>Eucreas</w:t>
      </w:r>
      <w:r w:rsidRPr="003F7E57">
        <w:rPr>
          <w:sz w:val="22"/>
          <w:szCs w:val="22"/>
          <w:lang w:val="sr-Latn-ME" w:bidi="th-TH"/>
        </w:rPr>
        <w:t xml:space="preserve"> treba redovno pratiti funkciju bubrega (vidjeti </w:t>
      </w:r>
      <w:r w:rsidR="00522F79" w:rsidRPr="003F7E57">
        <w:rPr>
          <w:sz w:val="22"/>
          <w:szCs w:val="22"/>
          <w:lang w:val="sr-Latn-ME" w:bidi="th-TH"/>
        </w:rPr>
        <w:t xml:space="preserve">dijelove </w:t>
      </w:r>
      <w:r w:rsidRPr="003F7E57">
        <w:rPr>
          <w:sz w:val="22"/>
          <w:szCs w:val="22"/>
          <w:lang w:val="sr-Latn-ME" w:bidi="th-TH"/>
        </w:rPr>
        <w:t>4.4 i 5.2).</w:t>
      </w:r>
    </w:p>
    <w:p w14:paraId="4830C23B" w14:textId="11983D7C" w:rsidR="007A2272" w:rsidRPr="003F7E57" w:rsidRDefault="007A2272">
      <w:pPr>
        <w:autoSpaceDE w:val="0"/>
        <w:autoSpaceDN w:val="0"/>
        <w:adjustRightInd w:val="0"/>
        <w:jc w:val="both"/>
        <w:rPr>
          <w:sz w:val="22"/>
          <w:szCs w:val="22"/>
          <w:lang w:val="sr-Latn-ME" w:bidi="th-TH"/>
        </w:rPr>
      </w:pPr>
    </w:p>
    <w:p w14:paraId="5251B844" w14:textId="77777777" w:rsidR="007A2272" w:rsidRPr="003F7E57" w:rsidRDefault="007A2272">
      <w:pPr>
        <w:jc w:val="both"/>
        <w:rPr>
          <w:i/>
          <w:iCs/>
          <w:sz w:val="22"/>
          <w:szCs w:val="22"/>
          <w:lang w:val="sr-Latn-ME"/>
        </w:rPr>
      </w:pPr>
      <w:r w:rsidRPr="003F7E57">
        <w:rPr>
          <w:i/>
          <w:iCs/>
          <w:sz w:val="22"/>
          <w:szCs w:val="22"/>
          <w:lang w:val="sr-Latn-ME"/>
        </w:rPr>
        <w:t>Oštećenje funkcije bubrega</w:t>
      </w:r>
    </w:p>
    <w:p w14:paraId="2416E53E" w14:textId="05EF3BBE" w:rsidR="007A2272" w:rsidRPr="003F7E57" w:rsidRDefault="007A2272">
      <w:pPr>
        <w:jc w:val="both"/>
        <w:rPr>
          <w:iCs/>
          <w:sz w:val="22"/>
          <w:szCs w:val="22"/>
          <w:lang w:val="sr-Latn-ME"/>
        </w:rPr>
      </w:pPr>
      <w:proofErr w:type="spellStart"/>
      <w:r w:rsidRPr="003F7E57">
        <w:rPr>
          <w:iCs/>
          <w:sz w:val="22"/>
          <w:szCs w:val="22"/>
          <w:lang w:val="sr-Latn-ME"/>
        </w:rPr>
        <w:t>GFR</w:t>
      </w:r>
      <w:proofErr w:type="spellEnd"/>
      <w:r w:rsidRPr="003F7E57">
        <w:rPr>
          <w:iCs/>
          <w:sz w:val="22"/>
          <w:szCs w:val="22"/>
          <w:lang w:val="sr-Latn-ME"/>
        </w:rPr>
        <w:t xml:space="preserve"> (Brzina </w:t>
      </w:r>
      <w:proofErr w:type="spellStart"/>
      <w:r w:rsidRPr="003F7E57">
        <w:rPr>
          <w:iCs/>
          <w:sz w:val="22"/>
          <w:szCs w:val="22"/>
          <w:lang w:val="sr-Latn-ME"/>
        </w:rPr>
        <w:t>glomerularne</w:t>
      </w:r>
      <w:proofErr w:type="spellEnd"/>
      <w:r w:rsidRPr="003F7E57">
        <w:rPr>
          <w:iCs/>
          <w:sz w:val="22"/>
          <w:szCs w:val="22"/>
          <w:lang w:val="sr-Latn-ME"/>
        </w:rPr>
        <w:t xml:space="preserve"> filtracije) treba procijeniti prije početka liječenja sa ljekovima koji sadrže </w:t>
      </w:r>
      <w:proofErr w:type="spellStart"/>
      <w:r w:rsidRPr="003F7E57">
        <w:rPr>
          <w:iCs/>
          <w:sz w:val="22"/>
          <w:szCs w:val="22"/>
          <w:lang w:val="sr-Latn-ME"/>
        </w:rPr>
        <w:t>metformin</w:t>
      </w:r>
      <w:proofErr w:type="spellEnd"/>
      <w:r w:rsidRPr="003F7E57">
        <w:rPr>
          <w:iCs/>
          <w:sz w:val="22"/>
          <w:szCs w:val="22"/>
          <w:lang w:val="sr-Latn-ME"/>
        </w:rPr>
        <w:t xml:space="preserve"> i nakon toga najmanje jedanput godišnje. Kod pacijenata sa povećanim rizikom od progresije oštećenja bubrega i kod starijih osoba, funkcija bubrega mora se procjenjivati češće, npr. svakih 3-6 mjeseci.</w:t>
      </w:r>
    </w:p>
    <w:p w14:paraId="45D38B04" w14:textId="5F88EB9F" w:rsidR="007A2272" w:rsidRPr="003F7E57" w:rsidRDefault="007A2272">
      <w:pPr>
        <w:jc w:val="both"/>
        <w:rPr>
          <w:iCs/>
          <w:sz w:val="22"/>
          <w:szCs w:val="22"/>
          <w:lang w:val="sr-Latn-ME"/>
        </w:rPr>
      </w:pPr>
    </w:p>
    <w:p w14:paraId="59B6587E" w14:textId="59810D61" w:rsidR="007A2272" w:rsidRPr="003F7E57" w:rsidRDefault="007A2272">
      <w:pPr>
        <w:jc w:val="both"/>
        <w:rPr>
          <w:iCs/>
          <w:sz w:val="22"/>
          <w:szCs w:val="22"/>
          <w:lang w:val="sr-Latn-ME"/>
        </w:rPr>
      </w:pPr>
      <w:r w:rsidRPr="003F7E57">
        <w:rPr>
          <w:iCs/>
          <w:sz w:val="22"/>
          <w:szCs w:val="22"/>
          <w:lang w:val="sr-Latn-ME"/>
        </w:rPr>
        <w:t xml:space="preserve">Maksimalna dnevna doza </w:t>
      </w:r>
      <w:proofErr w:type="spellStart"/>
      <w:r w:rsidRPr="003F7E57">
        <w:rPr>
          <w:iCs/>
          <w:sz w:val="22"/>
          <w:szCs w:val="22"/>
          <w:lang w:val="sr-Latn-ME"/>
        </w:rPr>
        <w:t>metformina</w:t>
      </w:r>
      <w:proofErr w:type="spellEnd"/>
      <w:r w:rsidRPr="003F7E57">
        <w:rPr>
          <w:iCs/>
          <w:sz w:val="22"/>
          <w:szCs w:val="22"/>
          <w:lang w:val="sr-Latn-ME"/>
        </w:rPr>
        <w:t xml:space="preserve"> trebalo bi da bude podijeljena na 2-3 doze dnevno. Faktore koji mogu da povećaju rizik od </w:t>
      </w:r>
      <w:proofErr w:type="spellStart"/>
      <w:r w:rsidRPr="003F7E57">
        <w:rPr>
          <w:iCs/>
          <w:sz w:val="22"/>
          <w:szCs w:val="22"/>
          <w:lang w:val="sr-Latn-ME"/>
        </w:rPr>
        <w:t>laktatne</w:t>
      </w:r>
      <w:proofErr w:type="spellEnd"/>
      <w:r w:rsidRPr="003F7E57">
        <w:rPr>
          <w:iCs/>
          <w:sz w:val="22"/>
          <w:szCs w:val="22"/>
          <w:lang w:val="sr-Latn-ME"/>
        </w:rPr>
        <w:t xml:space="preserve"> </w:t>
      </w:r>
      <w:proofErr w:type="spellStart"/>
      <w:r w:rsidRPr="003F7E57">
        <w:rPr>
          <w:iCs/>
          <w:sz w:val="22"/>
          <w:szCs w:val="22"/>
          <w:lang w:val="sr-Latn-ME"/>
        </w:rPr>
        <w:t>acidoze</w:t>
      </w:r>
      <w:proofErr w:type="spellEnd"/>
      <w:r w:rsidRPr="003F7E57">
        <w:rPr>
          <w:iCs/>
          <w:sz w:val="22"/>
          <w:szCs w:val="22"/>
          <w:lang w:val="sr-Latn-ME"/>
        </w:rPr>
        <w:t xml:space="preserve"> (vidjeti </w:t>
      </w:r>
      <w:r w:rsidR="00522F79" w:rsidRPr="003F7E57">
        <w:rPr>
          <w:iCs/>
          <w:sz w:val="22"/>
          <w:szCs w:val="22"/>
          <w:lang w:val="sr-Latn-ME"/>
        </w:rPr>
        <w:t xml:space="preserve">dio </w:t>
      </w:r>
      <w:r w:rsidRPr="003F7E57">
        <w:rPr>
          <w:iCs/>
          <w:sz w:val="22"/>
          <w:szCs w:val="22"/>
          <w:lang w:val="sr-Latn-ME"/>
        </w:rPr>
        <w:t xml:space="preserve">4.4) treba razmotriti prije uzimanja u obzir </w:t>
      </w:r>
      <w:proofErr w:type="spellStart"/>
      <w:r w:rsidRPr="003F7E57">
        <w:rPr>
          <w:iCs/>
          <w:sz w:val="22"/>
          <w:szCs w:val="22"/>
          <w:lang w:val="sr-Latn-ME"/>
        </w:rPr>
        <w:t>metformina</w:t>
      </w:r>
      <w:proofErr w:type="spellEnd"/>
      <w:r w:rsidRPr="003F7E57">
        <w:rPr>
          <w:iCs/>
          <w:sz w:val="22"/>
          <w:szCs w:val="22"/>
          <w:lang w:val="sr-Latn-ME"/>
        </w:rPr>
        <w:t xml:space="preserve"> kod pacijenata sa GFR &lt; 60 m</w:t>
      </w:r>
      <w:r w:rsidR="00806C70" w:rsidRPr="003F7E57">
        <w:rPr>
          <w:iCs/>
          <w:sz w:val="22"/>
          <w:szCs w:val="22"/>
          <w:lang w:val="sr-Latn-ME"/>
        </w:rPr>
        <w:t>l</w:t>
      </w:r>
      <w:r w:rsidRPr="003F7E57">
        <w:rPr>
          <w:iCs/>
          <w:sz w:val="22"/>
          <w:szCs w:val="22"/>
          <w:lang w:val="sr-Latn-ME"/>
        </w:rPr>
        <w:t>/min.</w:t>
      </w:r>
    </w:p>
    <w:p w14:paraId="22C4246E" w14:textId="7DADAC40" w:rsidR="007A2272" w:rsidRPr="003F7E57" w:rsidRDefault="007A2272">
      <w:pPr>
        <w:jc w:val="both"/>
        <w:rPr>
          <w:iCs/>
          <w:sz w:val="22"/>
          <w:szCs w:val="22"/>
          <w:lang w:val="sr-Latn-ME"/>
        </w:rPr>
      </w:pPr>
    </w:p>
    <w:p w14:paraId="02ED5F4F" w14:textId="77777777" w:rsidR="007A2272" w:rsidRPr="003F7E57" w:rsidRDefault="007A2272">
      <w:pPr>
        <w:jc w:val="both"/>
        <w:rPr>
          <w:iCs/>
          <w:sz w:val="22"/>
          <w:szCs w:val="22"/>
          <w:lang w:val="sr-Latn-ME"/>
        </w:rPr>
      </w:pPr>
      <w:r w:rsidRPr="003F7E57">
        <w:rPr>
          <w:iCs/>
          <w:sz w:val="22"/>
          <w:szCs w:val="22"/>
          <w:lang w:val="sr-Latn-ME"/>
        </w:rPr>
        <w:t xml:space="preserve">U slučaju da nema dostupne jačine lijeka </w:t>
      </w:r>
      <w:proofErr w:type="spellStart"/>
      <w:r w:rsidRPr="003F7E57">
        <w:rPr>
          <w:iCs/>
          <w:sz w:val="22"/>
          <w:szCs w:val="22"/>
          <w:lang w:val="sr-Latn-ME"/>
        </w:rPr>
        <w:t>Eucreas</w:t>
      </w:r>
      <w:proofErr w:type="spellEnd"/>
      <w:r w:rsidRPr="003F7E57">
        <w:rPr>
          <w:iCs/>
          <w:sz w:val="22"/>
          <w:szCs w:val="22"/>
          <w:lang w:val="sr-Latn-ME"/>
        </w:rPr>
        <w:t xml:space="preserve">, treba koristiti pojedinačne </w:t>
      </w:r>
      <w:proofErr w:type="spellStart"/>
      <w:r w:rsidRPr="003F7E57">
        <w:rPr>
          <w:iCs/>
          <w:sz w:val="22"/>
          <w:szCs w:val="22"/>
          <w:lang w:val="sr-Latn-ME"/>
        </w:rPr>
        <w:t>monokomponente</w:t>
      </w:r>
      <w:proofErr w:type="spellEnd"/>
      <w:r w:rsidRPr="003F7E57">
        <w:rPr>
          <w:iCs/>
          <w:sz w:val="22"/>
          <w:szCs w:val="22"/>
          <w:lang w:val="sr-Latn-ME"/>
        </w:rPr>
        <w:t xml:space="preserve"> umesto fiksnih kombinacija doza.</w:t>
      </w:r>
    </w:p>
    <w:p w14:paraId="0AB5FE67" w14:textId="7DDEB839" w:rsidR="007A2272" w:rsidRPr="003F7E57" w:rsidRDefault="007A2272" w:rsidP="00991A59">
      <w:pPr>
        <w:jc w:val="both"/>
        <w:rPr>
          <w:i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4024"/>
        <w:gridCol w:w="3669"/>
      </w:tblGrid>
      <w:tr w:rsidR="007A2272" w:rsidRPr="003F7E57" w14:paraId="744CA488" w14:textId="77777777" w:rsidTr="007A2CE8">
        <w:tc>
          <w:tcPr>
            <w:tcW w:w="1594" w:type="dxa"/>
            <w:shd w:val="clear" w:color="auto" w:fill="auto"/>
          </w:tcPr>
          <w:p w14:paraId="7EE1A26B" w14:textId="46EB363A" w:rsidR="007A2272" w:rsidRPr="003F7E57" w:rsidRDefault="007A2272" w:rsidP="00991A59">
            <w:pPr>
              <w:keepNext/>
              <w:keepLines/>
              <w:widowControl w:val="0"/>
              <w:jc w:val="both"/>
              <w:rPr>
                <w:color w:val="333333"/>
                <w:sz w:val="22"/>
                <w:szCs w:val="22"/>
                <w:lang w:val="sr-Latn-ME"/>
              </w:rPr>
            </w:pPr>
            <w:r w:rsidRPr="003F7E57">
              <w:rPr>
                <w:color w:val="333333"/>
                <w:sz w:val="22"/>
                <w:szCs w:val="22"/>
                <w:lang w:val="sr-Latn-ME"/>
              </w:rPr>
              <w:t>GFR m</w:t>
            </w:r>
            <w:r w:rsidR="00806C70" w:rsidRPr="003F7E57">
              <w:rPr>
                <w:color w:val="333333"/>
                <w:sz w:val="22"/>
                <w:szCs w:val="22"/>
                <w:lang w:val="sr-Latn-ME"/>
              </w:rPr>
              <w:t>l</w:t>
            </w:r>
            <w:r w:rsidRPr="003F7E57">
              <w:rPr>
                <w:color w:val="333333"/>
                <w:sz w:val="22"/>
                <w:szCs w:val="22"/>
                <w:lang w:val="sr-Latn-ME"/>
              </w:rPr>
              <w:t>/min</w:t>
            </w:r>
          </w:p>
        </w:tc>
        <w:tc>
          <w:tcPr>
            <w:tcW w:w="4024" w:type="dxa"/>
          </w:tcPr>
          <w:p w14:paraId="3120DA76" w14:textId="77777777" w:rsidR="007A2272" w:rsidRPr="003F7E57" w:rsidRDefault="007A2272" w:rsidP="00991A59">
            <w:pPr>
              <w:keepNext/>
              <w:keepLines/>
              <w:widowControl w:val="0"/>
              <w:jc w:val="both"/>
              <w:rPr>
                <w:color w:val="333333"/>
                <w:sz w:val="22"/>
                <w:szCs w:val="22"/>
                <w:lang w:val="sr-Latn-ME"/>
              </w:rPr>
            </w:pPr>
            <w:proofErr w:type="spellStart"/>
            <w:r w:rsidRPr="003F7E57">
              <w:rPr>
                <w:color w:val="333333"/>
                <w:sz w:val="22"/>
                <w:szCs w:val="22"/>
                <w:lang w:val="sr-Latn-ME"/>
              </w:rPr>
              <w:t>Metformin</w:t>
            </w:r>
            <w:proofErr w:type="spellEnd"/>
          </w:p>
        </w:tc>
        <w:tc>
          <w:tcPr>
            <w:tcW w:w="3669" w:type="dxa"/>
            <w:shd w:val="clear" w:color="auto" w:fill="auto"/>
          </w:tcPr>
          <w:p w14:paraId="5469A786" w14:textId="77777777" w:rsidR="007A2272" w:rsidRPr="003F7E57" w:rsidRDefault="007A2272" w:rsidP="00991A59">
            <w:pPr>
              <w:keepNext/>
              <w:keepLines/>
              <w:widowControl w:val="0"/>
              <w:jc w:val="both"/>
              <w:rPr>
                <w:color w:val="333333"/>
                <w:sz w:val="22"/>
                <w:szCs w:val="22"/>
                <w:lang w:val="sr-Latn-ME"/>
              </w:rPr>
            </w:pPr>
            <w:proofErr w:type="spellStart"/>
            <w:r w:rsidRPr="003F7E57">
              <w:rPr>
                <w:color w:val="333333"/>
                <w:sz w:val="22"/>
                <w:szCs w:val="22"/>
                <w:lang w:val="sr-Latn-ME"/>
              </w:rPr>
              <w:t>Vildagliptin</w:t>
            </w:r>
            <w:proofErr w:type="spellEnd"/>
          </w:p>
        </w:tc>
      </w:tr>
      <w:tr w:rsidR="007A2272" w:rsidRPr="003F7E57" w14:paraId="7C6E7C94" w14:textId="77777777" w:rsidTr="007A2CE8">
        <w:tc>
          <w:tcPr>
            <w:tcW w:w="1594" w:type="dxa"/>
            <w:shd w:val="clear" w:color="auto" w:fill="auto"/>
          </w:tcPr>
          <w:p w14:paraId="3B50E1FA" w14:textId="77777777" w:rsidR="007A2272" w:rsidRPr="003F7E57" w:rsidRDefault="007A2272" w:rsidP="00991A59">
            <w:pPr>
              <w:keepNext/>
              <w:keepLines/>
              <w:widowControl w:val="0"/>
              <w:jc w:val="both"/>
              <w:rPr>
                <w:color w:val="333333"/>
                <w:sz w:val="22"/>
                <w:szCs w:val="22"/>
                <w:lang w:val="sr-Latn-ME"/>
              </w:rPr>
            </w:pPr>
            <w:r w:rsidRPr="003F7E57">
              <w:rPr>
                <w:color w:val="333333"/>
                <w:sz w:val="22"/>
                <w:szCs w:val="22"/>
                <w:lang w:val="sr-Latn-ME"/>
              </w:rPr>
              <w:t>60</w:t>
            </w:r>
            <w:r w:rsidRPr="003F7E57">
              <w:rPr>
                <w:color w:val="333333"/>
                <w:sz w:val="22"/>
                <w:szCs w:val="22"/>
                <w:lang w:val="sr-Latn-ME"/>
              </w:rPr>
              <w:noBreakHyphen/>
              <w:t>89</w:t>
            </w:r>
          </w:p>
        </w:tc>
        <w:tc>
          <w:tcPr>
            <w:tcW w:w="4024" w:type="dxa"/>
          </w:tcPr>
          <w:p w14:paraId="28FA154E" w14:textId="77777777" w:rsidR="007A2272" w:rsidRPr="003F7E57" w:rsidRDefault="007A2272" w:rsidP="00CE2D38">
            <w:pPr>
              <w:keepNext/>
              <w:keepLines/>
              <w:widowControl w:val="0"/>
              <w:jc w:val="both"/>
              <w:rPr>
                <w:color w:val="333333"/>
                <w:sz w:val="22"/>
                <w:szCs w:val="22"/>
                <w:lang w:val="sr-Latn-ME"/>
              </w:rPr>
            </w:pPr>
            <w:r w:rsidRPr="003F7E57">
              <w:rPr>
                <w:color w:val="333333"/>
                <w:sz w:val="22"/>
                <w:szCs w:val="22"/>
                <w:lang w:val="sr-Latn-ME"/>
              </w:rPr>
              <w:t>Maksimalna dnevna doza je 3000 mg.</w:t>
            </w:r>
          </w:p>
          <w:p w14:paraId="1D1010E1" w14:textId="77777777" w:rsidR="007A2272" w:rsidRPr="003F7E57" w:rsidRDefault="007A2272">
            <w:pPr>
              <w:keepNext/>
              <w:keepLines/>
              <w:widowControl w:val="0"/>
              <w:jc w:val="both"/>
              <w:rPr>
                <w:color w:val="333333"/>
                <w:sz w:val="22"/>
                <w:szCs w:val="22"/>
                <w:lang w:val="sr-Latn-ME"/>
              </w:rPr>
            </w:pPr>
            <w:r w:rsidRPr="003F7E57">
              <w:rPr>
                <w:color w:val="333333"/>
                <w:sz w:val="22"/>
                <w:szCs w:val="22"/>
                <w:lang w:val="sr-Latn-ME"/>
              </w:rPr>
              <w:t xml:space="preserve">Smanjenje doze treba razmotriti u slučaju smanjenja </w:t>
            </w:r>
            <w:proofErr w:type="spellStart"/>
            <w:r w:rsidRPr="003F7E57">
              <w:rPr>
                <w:color w:val="333333"/>
                <w:sz w:val="22"/>
                <w:szCs w:val="22"/>
                <w:lang w:val="sr-Latn-ME"/>
              </w:rPr>
              <w:t>renalne</w:t>
            </w:r>
            <w:proofErr w:type="spellEnd"/>
            <w:r w:rsidRPr="003F7E57">
              <w:rPr>
                <w:color w:val="333333"/>
                <w:sz w:val="22"/>
                <w:szCs w:val="22"/>
                <w:lang w:val="sr-Latn-ME"/>
              </w:rPr>
              <w:t xml:space="preserve"> funkcije.</w:t>
            </w:r>
          </w:p>
        </w:tc>
        <w:tc>
          <w:tcPr>
            <w:tcW w:w="3669" w:type="dxa"/>
            <w:shd w:val="clear" w:color="auto" w:fill="auto"/>
          </w:tcPr>
          <w:p w14:paraId="0C643C6B" w14:textId="77777777" w:rsidR="007A2272" w:rsidRPr="003F7E57" w:rsidRDefault="007A2272">
            <w:pPr>
              <w:keepNext/>
              <w:keepLines/>
              <w:widowControl w:val="0"/>
              <w:jc w:val="both"/>
              <w:rPr>
                <w:color w:val="333333"/>
                <w:sz w:val="22"/>
                <w:szCs w:val="22"/>
                <w:lang w:val="sr-Latn-ME"/>
              </w:rPr>
            </w:pPr>
            <w:r w:rsidRPr="003F7E57">
              <w:rPr>
                <w:color w:val="333333"/>
                <w:sz w:val="22"/>
                <w:szCs w:val="22"/>
                <w:lang w:val="sr-Latn-ME"/>
              </w:rPr>
              <w:t>Nije potrebno prilagođavanje doze.</w:t>
            </w:r>
          </w:p>
        </w:tc>
      </w:tr>
      <w:tr w:rsidR="007A2272" w:rsidRPr="003F7E57" w14:paraId="1DE4D34B" w14:textId="77777777" w:rsidTr="007A2CE8">
        <w:tc>
          <w:tcPr>
            <w:tcW w:w="1594" w:type="dxa"/>
            <w:shd w:val="clear" w:color="auto" w:fill="auto"/>
          </w:tcPr>
          <w:p w14:paraId="35AE444F" w14:textId="77777777" w:rsidR="007A2272" w:rsidRPr="003F7E57" w:rsidRDefault="007A2272" w:rsidP="00991A59">
            <w:pPr>
              <w:keepNext/>
              <w:keepLines/>
              <w:widowControl w:val="0"/>
              <w:jc w:val="both"/>
              <w:rPr>
                <w:color w:val="333333"/>
                <w:sz w:val="22"/>
                <w:szCs w:val="22"/>
                <w:lang w:val="sr-Latn-ME"/>
              </w:rPr>
            </w:pPr>
            <w:r w:rsidRPr="003F7E57">
              <w:rPr>
                <w:color w:val="333333"/>
                <w:sz w:val="22"/>
                <w:szCs w:val="22"/>
                <w:lang w:val="sr-Latn-ME"/>
              </w:rPr>
              <w:t>45</w:t>
            </w:r>
            <w:r w:rsidRPr="003F7E57">
              <w:rPr>
                <w:color w:val="333333"/>
                <w:sz w:val="22"/>
                <w:szCs w:val="22"/>
                <w:lang w:val="sr-Latn-ME"/>
              </w:rPr>
              <w:noBreakHyphen/>
              <w:t>59</w:t>
            </w:r>
          </w:p>
        </w:tc>
        <w:tc>
          <w:tcPr>
            <w:tcW w:w="4024" w:type="dxa"/>
          </w:tcPr>
          <w:p w14:paraId="797F5EFE" w14:textId="77777777" w:rsidR="007A2272" w:rsidRPr="003F7E57" w:rsidRDefault="007A2272" w:rsidP="00CE2D38">
            <w:pPr>
              <w:keepNext/>
              <w:keepLines/>
              <w:widowControl w:val="0"/>
              <w:jc w:val="both"/>
              <w:rPr>
                <w:color w:val="333333"/>
                <w:sz w:val="22"/>
                <w:szCs w:val="22"/>
                <w:lang w:val="sr-Latn-ME"/>
              </w:rPr>
            </w:pPr>
            <w:r w:rsidRPr="003F7E57">
              <w:rPr>
                <w:color w:val="333333"/>
                <w:sz w:val="22"/>
                <w:szCs w:val="22"/>
                <w:lang w:val="sr-Latn-ME"/>
              </w:rPr>
              <w:t>Maksimalna dnevna doza je 2000 mg.</w:t>
            </w:r>
          </w:p>
          <w:p w14:paraId="266C1D60" w14:textId="77777777" w:rsidR="007A2272" w:rsidRPr="003F7E57" w:rsidRDefault="007A2272">
            <w:pPr>
              <w:keepNext/>
              <w:keepLines/>
              <w:widowControl w:val="0"/>
              <w:jc w:val="both"/>
              <w:rPr>
                <w:color w:val="333333"/>
                <w:sz w:val="22"/>
                <w:szCs w:val="22"/>
                <w:lang w:val="sr-Latn-ME"/>
              </w:rPr>
            </w:pPr>
            <w:r w:rsidRPr="003F7E57">
              <w:rPr>
                <w:sz w:val="22"/>
                <w:szCs w:val="22"/>
                <w:lang w:val="sr-Latn-ME"/>
              </w:rPr>
              <w:t>Početna doza je najviše jedna polovina maksimalne doze.</w:t>
            </w:r>
          </w:p>
        </w:tc>
        <w:tc>
          <w:tcPr>
            <w:tcW w:w="3669" w:type="dxa"/>
            <w:vMerge w:val="restart"/>
            <w:shd w:val="clear" w:color="auto" w:fill="auto"/>
          </w:tcPr>
          <w:p w14:paraId="1CAFC352" w14:textId="77777777" w:rsidR="007A2272" w:rsidRPr="003F7E57" w:rsidRDefault="007A2272">
            <w:pPr>
              <w:keepNext/>
              <w:keepLines/>
              <w:widowControl w:val="0"/>
              <w:jc w:val="both"/>
              <w:rPr>
                <w:color w:val="333333"/>
                <w:sz w:val="22"/>
                <w:szCs w:val="22"/>
                <w:lang w:val="sr-Latn-ME"/>
              </w:rPr>
            </w:pPr>
            <w:r w:rsidRPr="003F7E57">
              <w:rPr>
                <w:sz w:val="22"/>
                <w:szCs w:val="22"/>
                <w:lang w:val="sr-Latn-ME"/>
              </w:rPr>
              <w:t>Maksimalna ukupna dnevna doza je 50 mg.</w:t>
            </w:r>
          </w:p>
        </w:tc>
      </w:tr>
      <w:tr w:rsidR="007A2272" w:rsidRPr="003F7E57" w14:paraId="731D022C" w14:textId="77777777" w:rsidTr="007A2CE8">
        <w:trPr>
          <w:trHeight w:val="47"/>
        </w:trPr>
        <w:tc>
          <w:tcPr>
            <w:tcW w:w="1594" w:type="dxa"/>
            <w:shd w:val="clear" w:color="auto" w:fill="auto"/>
          </w:tcPr>
          <w:p w14:paraId="6E8AA80E" w14:textId="77777777" w:rsidR="007A2272" w:rsidRPr="003F7E57" w:rsidRDefault="007A2272" w:rsidP="00991A59">
            <w:pPr>
              <w:keepNext/>
              <w:keepLines/>
              <w:widowControl w:val="0"/>
              <w:jc w:val="both"/>
              <w:rPr>
                <w:color w:val="333333"/>
                <w:sz w:val="22"/>
                <w:szCs w:val="22"/>
                <w:lang w:val="sr-Latn-ME"/>
              </w:rPr>
            </w:pPr>
            <w:r w:rsidRPr="003F7E57">
              <w:rPr>
                <w:color w:val="333333"/>
                <w:sz w:val="22"/>
                <w:szCs w:val="22"/>
                <w:lang w:val="sr-Latn-ME"/>
              </w:rPr>
              <w:t>30</w:t>
            </w:r>
            <w:r w:rsidRPr="003F7E57">
              <w:rPr>
                <w:color w:val="333333"/>
                <w:sz w:val="22"/>
                <w:szCs w:val="22"/>
                <w:lang w:val="sr-Latn-ME"/>
              </w:rPr>
              <w:noBreakHyphen/>
              <w:t>44</w:t>
            </w:r>
          </w:p>
        </w:tc>
        <w:tc>
          <w:tcPr>
            <w:tcW w:w="4024" w:type="dxa"/>
          </w:tcPr>
          <w:p w14:paraId="585E09AF" w14:textId="77777777" w:rsidR="007A2272" w:rsidRPr="003F7E57" w:rsidRDefault="007A2272" w:rsidP="00CE2D38">
            <w:pPr>
              <w:keepNext/>
              <w:keepLines/>
              <w:widowControl w:val="0"/>
              <w:jc w:val="both"/>
              <w:rPr>
                <w:color w:val="333333"/>
                <w:sz w:val="22"/>
                <w:szCs w:val="22"/>
                <w:lang w:val="sr-Latn-ME"/>
              </w:rPr>
            </w:pPr>
            <w:r w:rsidRPr="003F7E57">
              <w:rPr>
                <w:color w:val="333333"/>
                <w:sz w:val="22"/>
                <w:szCs w:val="22"/>
                <w:lang w:val="sr-Latn-ME"/>
              </w:rPr>
              <w:t>Maksimalna dnevna doza je 1000 mg.</w:t>
            </w:r>
          </w:p>
          <w:p w14:paraId="2AA66E4B" w14:textId="77777777" w:rsidR="007A2272" w:rsidRPr="003F7E57" w:rsidRDefault="007A2272">
            <w:pPr>
              <w:keepNext/>
              <w:keepLines/>
              <w:widowControl w:val="0"/>
              <w:jc w:val="both"/>
              <w:rPr>
                <w:color w:val="333333"/>
                <w:sz w:val="22"/>
                <w:szCs w:val="22"/>
                <w:lang w:val="sr-Latn-ME"/>
              </w:rPr>
            </w:pPr>
            <w:r w:rsidRPr="003F7E57">
              <w:rPr>
                <w:sz w:val="22"/>
                <w:szCs w:val="22"/>
                <w:lang w:val="sr-Latn-ME"/>
              </w:rPr>
              <w:t>Početna doza je najviše jedna polovina maksimalne doze.</w:t>
            </w:r>
          </w:p>
        </w:tc>
        <w:tc>
          <w:tcPr>
            <w:tcW w:w="3669" w:type="dxa"/>
            <w:vMerge/>
            <w:shd w:val="clear" w:color="auto" w:fill="auto"/>
          </w:tcPr>
          <w:p w14:paraId="4DE2066A" w14:textId="77777777" w:rsidR="007A2272" w:rsidRPr="003F7E57" w:rsidRDefault="007A2272" w:rsidP="00991A59">
            <w:pPr>
              <w:keepNext/>
              <w:keepLines/>
              <w:widowControl w:val="0"/>
              <w:jc w:val="both"/>
              <w:rPr>
                <w:color w:val="333333"/>
                <w:sz w:val="22"/>
                <w:szCs w:val="22"/>
                <w:lang w:val="sr-Latn-ME"/>
              </w:rPr>
            </w:pPr>
          </w:p>
        </w:tc>
      </w:tr>
      <w:tr w:rsidR="007A2272" w:rsidRPr="003F7E57" w14:paraId="48A4F7B3" w14:textId="77777777" w:rsidTr="007A2CE8">
        <w:trPr>
          <w:trHeight w:val="47"/>
        </w:trPr>
        <w:tc>
          <w:tcPr>
            <w:tcW w:w="1594" w:type="dxa"/>
            <w:shd w:val="clear" w:color="auto" w:fill="auto"/>
          </w:tcPr>
          <w:p w14:paraId="3AE940E1" w14:textId="77777777" w:rsidR="007A2272" w:rsidRPr="003F7E57" w:rsidRDefault="007A2272" w:rsidP="00991A59">
            <w:pPr>
              <w:keepNext/>
              <w:keepLines/>
              <w:widowControl w:val="0"/>
              <w:jc w:val="both"/>
              <w:rPr>
                <w:color w:val="333333"/>
                <w:sz w:val="22"/>
                <w:szCs w:val="22"/>
                <w:lang w:val="sr-Latn-ME"/>
              </w:rPr>
            </w:pPr>
            <w:r w:rsidRPr="003F7E57">
              <w:rPr>
                <w:color w:val="333333"/>
                <w:sz w:val="22"/>
                <w:szCs w:val="22"/>
                <w:lang w:val="sr-Latn-ME"/>
              </w:rPr>
              <w:t>&lt;30</w:t>
            </w:r>
          </w:p>
        </w:tc>
        <w:tc>
          <w:tcPr>
            <w:tcW w:w="4024" w:type="dxa"/>
          </w:tcPr>
          <w:p w14:paraId="216ACAFC" w14:textId="77777777" w:rsidR="007A2272" w:rsidRPr="003F7E57" w:rsidRDefault="007A2272" w:rsidP="00CE2D38">
            <w:pPr>
              <w:keepNext/>
              <w:keepLines/>
              <w:widowControl w:val="0"/>
              <w:jc w:val="both"/>
              <w:rPr>
                <w:color w:val="333333"/>
                <w:sz w:val="22"/>
                <w:szCs w:val="22"/>
                <w:lang w:val="sr-Latn-ME"/>
              </w:rPr>
            </w:pPr>
            <w:proofErr w:type="spellStart"/>
            <w:r w:rsidRPr="003F7E57">
              <w:rPr>
                <w:color w:val="333333"/>
                <w:sz w:val="22"/>
                <w:szCs w:val="22"/>
                <w:lang w:val="sr-Latn-ME"/>
              </w:rPr>
              <w:t>Metformin</w:t>
            </w:r>
            <w:proofErr w:type="spellEnd"/>
            <w:r w:rsidRPr="003F7E57">
              <w:rPr>
                <w:color w:val="333333"/>
                <w:sz w:val="22"/>
                <w:szCs w:val="22"/>
                <w:lang w:val="sr-Latn-ME"/>
              </w:rPr>
              <w:t xml:space="preserve"> je kontraindikovan.</w:t>
            </w:r>
          </w:p>
        </w:tc>
        <w:tc>
          <w:tcPr>
            <w:tcW w:w="3669" w:type="dxa"/>
            <w:vMerge/>
            <w:shd w:val="clear" w:color="auto" w:fill="auto"/>
          </w:tcPr>
          <w:p w14:paraId="18F9F7D2" w14:textId="77777777" w:rsidR="007A2272" w:rsidRPr="003F7E57" w:rsidRDefault="007A2272" w:rsidP="00991A59">
            <w:pPr>
              <w:keepNext/>
              <w:keepLines/>
              <w:widowControl w:val="0"/>
              <w:jc w:val="both"/>
              <w:rPr>
                <w:color w:val="333333"/>
                <w:sz w:val="22"/>
                <w:szCs w:val="22"/>
                <w:lang w:val="sr-Latn-ME"/>
              </w:rPr>
            </w:pPr>
          </w:p>
        </w:tc>
      </w:tr>
    </w:tbl>
    <w:p w14:paraId="644E6DD9" w14:textId="7E30D3CA" w:rsidR="007A2272" w:rsidRPr="003F7E57" w:rsidRDefault="007A2272" w:rsidP="00991A59">
      <w:pPr>
        <w:jc w:val="both"/>
        <w:rPr>
          <w:iCs/>
          <w:sz w:val="22"/>
          <w:szCs w:val="22"/>
          <w:lang w:val="sr-Latn-ME"/>
        </w:rPr>
      </w:pPr>
    </w:p>
    <w:p w14:paraId="796F8B47" w14:textId="77777777" w:rsidR="007A2272" w:rsidRPr="003F7E57" w:rsidRDefault="007A2272" w:rsidP="00CE2D38">
      <w:pPr>
        <w:tabs>
          <w:tab w:val="left" w:pos="567"/>
        </w:tabs>
        <w:autoSpaceDE w:val="0"/>
        <w:autoSpaceDN w:val="0"/>
        <w:adjustRightInd w:val="0"/>
        <w:jc w:val="both"/>
        <w:rPr>
          <w:i/>
          <w:iCs/>
          <w:noProof/>
          <w:sz w:val="22"/>
          <w:szCs w:val="22"/>
          <w:lang w:val="sr-Latn-ME"/>
        </w:rPr>
      </w:pPr>
      <w:r w:rsidRPr="003F7E57">
        <w:rPr>
          <w:i/>
          <w:iCs/>
          <w:noProof/>
          <w:sz w:val="22"/>
          <w:szCs w:val="22"/>
          <w:lang w:val="sr-Latn-ME"/>
        </w:rPr>
        <w:lastRenderedPageBreak/>
        <w:t>Oštećenje funkcije jetre</w:t>
      </w:r>
    </w:p>
    <w:p w14:paraId="473F186E" w14:textId="488C2FCD" w:rsidR="007A2272" w:rsidRPr="003F7E57" w:rsidRDefault="007A2272">
      <w:pPr>
        <w:autoSpaceDE w:val="0"/>
        <w:autoSpaceDN w:val="0"/>
        <w:adjustRightInd w:val="0"/>
        <w:jc w:val="both"/>
        <w:rPr>
          <w:noProof/>
          <w:sz w:val="22"/>
          <w:szCs w:val="22"/>
          <w:lang w:val="sr-Latn-ME"/>
        </w:rPr>
      </w:pPr>
      <w:r w:rsidRPr="003F7E57">
        <w:rPr>
          <w:noProof/>
          <w:sz w:val="22"/>
          <w:szCs w:val="22"/>
          <w:lang w:val="sr-Latn-ME"/>
        </w:rPr>
        <w:t>Lijek Eucreas se ne smije primjenjivati kod pacijenata sa oštećenjem jetre, uključujući one kod kojih su vrijednosti alanin aminotransferaze (ALT) ili aspartat aminotransferaze (AST) prije početka liječenja bile</w:t>
      </w:r>
      <w:r w:rsidRPr="003F7E57">
        <w:rPr>
          <w:sz w:val="22"/>
          <w:szCs w:val="22"/>
          <w:lang w:val="sr-Latn-ME"/>
        </w:rPr>
        <w:t xml:space="preserve"> &gt;3 </w:t>
      </w:r>
      <w:r w:rsidRPr="003F7E57">
        <w:rPr>
          <w:noProof/>
          <w:sz w:val="22"/>
          <w:szCs w:val="22"/>
          <w:lang w:val="sr-Latn-ME"/>
        </w:rPr>
        <w:t xml:space="preserve">vrijednosti gornje granice normale (GGN) (vidjeti </w:t>
      </w:r>
      <w:r w:rsidR="00522F79" w:rsidRPr="003F7E57">
        <w:rPr>
          <w:noProof/>
          <w:sz w:val="22"/>
          <w:szCs w:val="22"/>
          <w:lang w:val="sr-Latn-ME"/>
        </w:rPr>
        <w:t xml:space="preserve">dijelove </w:t>
      </w:r>
      <w:r w:rsidRPr="003F7E57">
        <w:rPr>
          <w:noProof/>
          <w:sz w:val="22"/>
          <w:szCs w:val="22"/>
          <w:lang w:val="sr-Latn-ME"/>
        </w:rPr>
        <w:t>4.3, 4.4 i 4.8).</w:t>
      </w:r>
    </w:p>
    <w:p w14:paraId="20AF87A3" w14:textId="08F331EA" w:rsidR="007A2272" w:rsidRPr="003F7E57" w:rsidRDefault="007A2272">
      <w:pPr>
        <w:autoSpaceDE w:val="0"/>
        <w:autoSpaceDN w:val="0"/>
        <w:adjustRightInd w:val="0"/>
        <w:jc w:val="both"/>
        <w:rPr>
          <w:noProof/>
          <w:sz w:val="22"/>
          <w:szCs w:val="22"/>
          <w:lang w:val="sr-Latn-ME"/>
        </w:rPr>
      </w:pPr>
    </w:p>
    <w:p w14:paraId="45C1695A" w14:textId="77777777" w:rsidR="007A2272" w:rsidRPr="003F7E57" w:rsidRDefault="007A2272">
      <w:pPr>
        <w:jc w:val="both"/>
        <w:rPr>
          <w:i/>
          <w:iCs/>
          <w:sz w:val="22"/>
          <w:szCs w:val="22"/>
          <w:lang w:val="sr-Latn-ME"/>
        </w:rPr>
      </w:pPr>
      <w:r w:rsidRPr="003F7E57">
        <w:rPr>
          <w:bCs/>
          <w:i/>
          <w:iCs/>
          <w:sz w:val="22"/>
          <w:szCs w:val="22"/>
          <w:lang w:val="sr-Latn-ME"/>
        </w:rPr>
        <w:t>Pedijatrijska populacija</w:t>
      </w:r>
    </w:p>
    <w:p w14:paraId="27F3728B" w14:textId="77777777"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 xml:space="preserve">Lijek Eucreas se ne preporučuje za primjenu kod djece i adolescenata </w:t>
      </w:r>
      <w:r w:rsidRPr="003F7E57">
        <w:rPr>
          <w:iCs/>
          <w:sz w:val="22"/>
          <w:szCs w:val="22"/>
          <w:lang w:val="sr-Latn-ME"/>
        </w:rPr>
        <w:t>(&lt; 18 godina). Bezbjednost i efikasnost</w:t>
      </w:r>
      <w:r w:rsidRPr="003F7E57">
        <w:rPr>
          <w:noProof/>
          <w:sz w:val="22"/>
          <w:szCs w:val="22"/>
          <w:lang w:val="sr-Latn-ME"/>
        </w:rPr>
        <w:t xml:space="preserve"> lijeka Eucreas kod djece i adolescenata (&lt; 18 godina) nijesu ustanovljene. Nema podataka o primjeni kod djece.</w:t>
      </w:r>
    </w:p>
    <w:p w14:paraId="6113C8E5" w14:textId="77777777" w:rsidR="00452E9D" w:rsidRPr="003F7E57" w:rsidRDefault="00452E9D" w:rsidP="00991A59">
      <w:pPr>
        <w:tabs>
          <w:tab w:val="left" w:pos="540"/>
          <w:tab w:val="left" w:pos="569"/>
        </w:tabs>
        <w:jc w:val="both"/>
        <w:rPr>
          <w:bCs/>
          <w:sz w:val="22"/>
          <w:szCs w:val="22"/>
          <w:u w:val="single"/>
          <w:lang w:val="sr-Latn-ME"/>
        </w:rPr>
      </w:pPr>
    </w:p>
    <w:p w14:paraId="4F0EDD12" w14:textId="424BA27F" w:rsidR="00452E9D" w:rsidRPr="003F7E57" w:rsidRDefault="00452E9D" w:rsidP="00CE2D38">
      <w:pPr>
        <w:tabs>
          <w:tab w:val="left" w:pos="540"/>
          <w:tab w:val="left" w:pos="569"/>
        </w:tabs>
        <w:jc w:val="both"/>
        <w:rPr>
          <w:bCs/>
          <w:sz w:val="22"/>
          <w:szCs w:val="22"/>
          <w:u w:val="single"/>
          <w:lang w:val="sr-Latn-ME"/>
        </w:rPr>
      </w:pPr>
      <w:r w:rsidRPr="003F7E57">
        <w:rPr>
          <w:bCs/>
          <w:sz w:val="22"/>
          <w:szCs w:val="22"/>
          <w:u w:val="single"/>
          <w:lang w:val="sr-Latn-ME"/>
        </w:rPr>
        <w:t>Način primjene</w:t>
      </w:r>
    </w:p>
    <w:p w14:paraId="7109EFEF" w14:textId="77777777" w:rsidR="007A2272" w:rsidRPr="003F7E57" w:rsidRDefault="007A2272">
      <w:pPr>
        <w:tabs>
          <w:tab w:val="left" w:pos="567"/>
        </w:tabs>
        <w:autoSpaceDE w:val="0"/>
        <w:autoSpaceDN w:val="0"/>
        <w:adjustRightInd w:val="0"/>
        <w:jc w:val="both"/>
        <w:rPr>
          <w:iCs/>
          <w:sz w:val="22"/>
          <w:szCs w:val="22"/>
          <w:lang w:val="sr-Latn-ME" w:eastAsia="fr-FR"/>
        </w:rPr>
      </w:pPr>
      <w:r w:rsidRPr="003F7E57">
        <w:rPr>
          <w:iCs/>
          <w:sz w:val="22"/>
          <w:szCs w:val="22"/>
          <w:lang w:val="sr-Latn-ME" w:eastAsia="fr-FR"/>
        </w:rPr>
        <w:t>Oralna primjena.</w:t>
      </w:r>
    </w:p>
    <w:p w14:paraId="254688D4" w14:textId="4512B86B"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 xml:space="preserve">Uzimanje lijeka Eucreas uz obrok ili neposredno poslije njega može ublažiti gastrointestinalne simptome povezane sa primjenom metformina (vidjeti </w:t>
      </w:r>
      <w:r w:rsidR="00522F79" w:rsidRPr="003F7E57">
        <w:rPr>
          <w:noProof/>
          <w:sz w:val="22"/>
          <w:szCs w:val="22"/>
          <w:lang w:val="sr-Latn-ME"/>
        </w:rPr>
        <w:t xml:space="preserve">dio </w:t>
      </w:r>
      <w:r w:rsidRPr="003F7E57">
        <w:rPr>
          <w:noProof/>
          <w:sz w:val="22"/>
          <w:szCs w:val="22"/>
          <w:lang w:val="sr-Latn-ME"/>
        </w:rPr>
        <w:t>5.2).</w:t>
      </w:r>
    </w:p>
    <w:p w14:paraId="0843DA41" w14:textId="77777777" w:rsidR="00452E9D" w:rsidRPr="003F7E57" w:rsidRDefault="00452E9D">
      <w:pPr>
        <w:tabs>
          <w:tab w:val="left" w:pos="540"/>
          <w:tab w:val="left" w:pos="569"/>
        </w:tabs>
        <w:jc w:val="both"/>
        <w:rPr>
          <w:bCs/>
          <w:sz w:val="22"/>
          <w:szCs w:val="22"/>
          <w:lang w:val="sr-Latn-ME"/>
        </w:rPr>
      </w:pPr>
    </w:p>
    <w:p w14:paraId="2E189381" w14:textId="4D92FC4A" w:rsidR="00411B4B" w:rsidRPr="003F7E57" w:rsidRDefault="00411B4B">
      <w:pPr>
        <w:tabs>
          <w:tab w:val="left" w:pos="540"/>
          <w:tab w:val="left" w:pos="569"/>
        </w:tabs>
        <w:jc w:val="both"/>
        <w:rPr>
          <w:b/>
          <w:bCs/>
          <w:sz w:val="22"/>
          <w:szCs w:val="22"/>
          <w:lang w:val="sr-Latn-ME"/>
        </w:rPr>
      </w:pPr>
      <w:r w:rsidRPr="003F7E57">
        <w:rPr>
          <w:b/>
          <w:bCs/>
          <w:sz w:val="22"/>
          <w:szCs w:val="22"/>
          <w:lang w:val="sr-Latn-ME"/>
        </w:rPr>
        <w:t xml:space="preserve">4.3. </w:t>
      </w:r>
      <w:r w:rsidR="00480FB1" w:rsidRPr="003F7E57">
        <w:rPr>
          <w:b/>
          <w:bCs/>
          <w:sz w:val="22"/>
          <w:szCs w:val="22"/>
          <w:lang w:val="sr-Latn-ME"/>
        </w:rPr>
        <w:tab/>
      </w:r>
      <w:proofErr w:type="spellStart"/>
      <w:r w:rsidRPr="003F7E57">
        <w:rPr>
          <w:b/>
          <w:bCs/>
          <w:sz w:val="22"/>
          <w:szCs w:val="22"/>
          <w:lang w:val="sr-Latn-ME"/>
        </w:rPr>
        <w:t>Kontraindikacije</w:t>
      </w:r>
      <w:proofErr w:type="spellEnd"/>
    </w:p>
    <w:p w14:paraId="1AE58365" w14:textId="71EE6B5E" w:rsidR="007A2272" w:rsidRPr="003F7E57" w:rsidRDefault="007A2272">
      <w:pPr>
        <w:tabs>
          <w:tab w:val="left" w:pos="540"/>
          <w:tab w:val="left" w:pos="569"/>
        </w:tabs>
        <w:jc w:val="both"/>
        <w:rPr>
          <w:b/>
          <w:bCs/>
          <w:sz w:val="22"/>
          <w:szCs w:val="22"/>
          <w:lang w:val="sr-Latn-ME"/>
        </w:rPr>
      </w:pPr>
    </w:p>
    <w:p w14:paraId="0FD137F0" w14:textId="7A39BEC1" w:rsidR="007A2272" w:rsidRPr="003F7E57" w:rsidRDefault="007A2272" w:rsidP="00991A59">
      <w:pPr>
        <w:numPr>
          <w:ilvl w:val="0"/>
          <w:numId w:val="13"/>
        </w:numPr>
        <w:tabs>
          <w:tab w:val="clear" w:pos="360"/>
          <w:tab w:val="num" w:pos="426"/>
        </w:tabs>
        <w:spacing w:line="260" w:lineRule="exact"/>
        <w:ind w:left="567" w:hanging="567"/>
        <w:jc w:val="both"/>
        <w:rPr>
          <w:sz w:val="22"/>
          <w:szCs w:val="22"/>
          <w:lang w:val="sr-Latn-ME"/>
        </w:rPr>
      </w:pPr>
      <w:r w:rsidRPr="003F7E57">
        <w:rPr>
          <w:sz w:val="22"/>
          <w:szCs w:val="22"/>
          <w:lang w:val="sr-Latn-ME"/>
        </w:rPr>
        <w:t xml:space="preserve">Preosjetljivost na aktivne supstance ili neku od pomoćnih supstanci navedenih u </w:t>
      </w:r>
      <w:r w:rsidR="00522F79" w:rsidRPr="003F7E57">
        <w:rPr>
          <w:sz w:val="22"/>
          <w:szCs w:val="22"/>
          <w:lang w:val="sr-Latn-ME"/>
        </w:rPr>
        <w:t xml:space="preserve">dijelu </w:t>
      </w:r>
      <w:r w:rsidRPr="003F7E57">
        <w:rPr>
          <w:sz w:val="22"/>
          <w:szCs w:val="22"/>
          <w:lang w:val="sr-Latn-ME"/>
        </w:rPr>
        <w:t>6</w:t>
      </w:r>
      <w:r w:rsidRPr="003F7E57">
        <w:rPr>
          <w:noProof/>
          <w:sz w:val="22"/>
          <w:szCs w:val="22"/>
          <w:lang w:val="sr-Latn-ME"/>
        </w:rPr>
        <w:t>.1.</w:t>
      </w:r>
    </w:p>
    <w:p w14:paraId="63B03AF2" w14:textId="77777777" w:rsidR="00522F79" w:rsidRPr="003F7E57" w:rsidRDefault="007A2272" w:rsidP="00991A59">
      <w:pPr>
        <w:numPr>
          <w:ilvl w:val="0"/>
          <w:numId w:val="13"/>
        </w:numPr>
        <w:tabs>
          <w:tab w:val="clear" w:pos="360"/>
          <w:tab w:val="num" w:pos="426"/>
        </w:tabs>
        <w:spacing w:line="260" w:lineRule="exact"/>
        <w:ind w:left="567" w:hanging="567"/>
        <w:jc w:val="both"/>
        <w:rPr>
          <w:sz w:val="22"/>
          <w:szCs w:val="22"/>
          <w:lang w:val="sr-Latn-ME"/>
        </w:rPr>
      </w:pPr>
      <w:r w:rsidRPr="003F7E57">
        <w:rPr>
          <w:noProof/>
          <w:sz w:val="22"/>
          <w:szCs w:val="22"/>
          <w:lang w:val="sr-Latn-ME"/>
        </w:rPr>
        <w:t>Bilo koji tip akutne metaboličke acidoze (kao što su laktatna acidoza, dijabetička ketoacidoza</w:t>
      </w:r>
    </w:p>
    <w:p w14:paraId="685BA80F" w14:textId="0AA4D9DF" w:rsidR="007A2272" w:rsidRPr="003F7E57" w:rsidRDefault="00522F79" w:rsidP="00991A59">
      <w:pPr>
        <w:numPr>
          <w:ilvl w:val="0"/>
          <w:numId w:val="13"/>
        </w:numPr>
        <w:tabs>
          <w:tab w:val="clear" w:pos="360"/>
          <w:tab w:val="num" w:pos="426"/>
        </w:tabs>
        <w:spacing w:line="260" w:lineRule="exact"/>
        <w:ind w:left="567" w:hanging="567"/>
        <w:jc w:val="both"/>
        <w:rPr>
          <w:sz w:val="22"/>
          <w:szCs w:val="22"/>
          <w:lang w:val="sr-Latn-ME"/>
        </w:rPr>
      </w:pPr>
      <w:r w:rsidRPr="003F7E57">
        <w:rPr>
          <w:noProof/>
          <w:sz w:val="22"/>
          <w:szCs w:val="22"/>
          <w:lang w:val="sr-Latn-ME"/>
        </w:rPr>
        <w:t>D</w:t>
      </w:r>
      <w:r w:rsidR="007A2272" w:rsidRPr="003F7E57">
        <w:rPr>
          <w:noProof/>
          <w:sz w:val="22"/>
          <w:szCs w:val="22"/>
          <w:lang w:val="sr-Latn-ME"/>
        </w:rPr>
        <w:t>ijabetička pretkoma</w:t>
      </w:r>
    </w:p>
    <w:p w14:paraId="1F4B384B" w14:textId="4B426536" w:rsidR="007A2272" w:rsidRPr="003F7E57" w:rsidRDefault="007A2272" w:rsidP="00991A59">
      <w:pPr>
        <w:numPr>
          <w:ilvl w:val="0"/>
          <w:numId w:val="13"/>
        </w:numPr>
        <w:tabs>
          <w:tab w:val="clear" w:pos="360"/>
          <w:tab w:val="num" w:pos="426"/>
        </w:tabs>
        <w:spacing w:line="260" w:lineRule="exact"/>
        <w:ind w:left="426" w:hanging="426"/>
        <w:jc w:val="both"/>
        <w:rPr>
          <w:sz w:val="22"/>
          <w:szCs w:val="22"/>
          <w:lang w:val="sr-Latn-ME"/>
        </w:rPr>
      </w:pPr>
      <w:r w:rsidRPr="003F7E57">
        <w:rPr>
          <w:sz w:val="22"/>
          <w:szCs w:val="22"/>
          <w:lang w:val="sr-Latn-ME"/>
        </w:rPr>
        <w:t xml:space="preserve">Teška </w:t>
      </w:r>
      <w:proofErr w:type="spellStart"/>
      <w:r w:rsidRPr="003F7E57">
        <w:rPr>
          <w:sz w:val="22"/>
          <w:szCs w:val="22"/>
          <w:lang w:val="sr-Latn-ME"/>
        </w:rPr>
        <w:t>insuficijencija</w:t>
      </w:r>
      <w:proofErr w:type="spellEnd"/>
      <w:r w:rsidRPr="003F7E57">
        <w:rPr>
          <w:sz w:val="22"/>
          <w:szCs w:val="22"/>
          <w:lang w:val="sr-Latn-ME"/>
        </w:rPr>
        <w:t xml:space="preserve"> bubrega (</w:t>
      </w:r>
      <w:proofErr w:type="spellStart"/>
      <w:r w:rsidRPr="003F7E57">
        <w:rPr>
          <w:sz w:val="22"/>
          <w:szCs w:val="22"/>
          <w:lang w:val="sr-Latn-ME"/>
        </w:rPr>
        <w:t>GFR</w:t>
      </w:r>
      <w:proofErr w:type="spellEnd"/>
      <w:r w:rsidRPr="003F7E57">
        <w:rPr>
          <w:sz w:val="22"/>
          <w:szCs w:val="22"/>
          <w:lang w:val="sr-Latn-ME"/>
        </w:rPr>
        <w:t xml:space="preserve"> &lt; 30 m</w:t>
      </w:r>
      <w:r w:rsidR="00806C70" w:rsidRPr="003F7E57">
        <w:rPr>
          <w:sz w:val="22"/>
          <w:szCs w:val="22"/>
          <w:lang w:val="sr-Latn-ME"/>
        </w:rPr>
        <w:t>l</w:t>
      </w:r>
      <w:r w:rsidRPr="003F7E57">
        <w:rPr>
          <w:sz w:val="22"/>
          <w:szCs w:val="22"/>
          <w:lang w:val="sr-Latn-ME"/>
        </w:rPr>
        <w:t xml:space="preserve">/min) (vidjeti </w:t>
      </w:r>
      <w:r w:rsidR="00522F79" w:rsidRPr="003F7E57">
        <w:rPr>
          <w:sz w:val="22"/>
          <w:szCs w:val="22"/>
          <w:lang w:val="sr-Latn-ME"/>
        </w:rPr>
        <w:t xml:space="preserve">dio </w:t>
      </w:r>
      <w:r w:rsidRPr="003F7E57">
        <w:rPr>
          <w:sz w:val="22"/>
          <w:szCs w:val="22"/>
          <w:lang w:val="sr-Latn-ME"/>
        </w:rPr>
        <w:t>4.4).</w:t>
      </w:r>
    </w:p>
    <w:p w14:paraId="23BB5DDB" w14:textId="77777777" w:rsidR="007A2272" w:rsidRPr="003F7E57" w:rsidRDefault="007A2272" w:rsidP="00991A59">
      <w:pPr>
        <w:numPr>
          <w:ilvl w:val="0"/>
          <w:numId w:val="13"/>
        </w:numPr>
        <w:tabs>
          <w:tab w:val="clear" w:pos="360"/>
          <w:tab w:val="num" w:pos="426"/>
          <w:tab w:val="left" w:pos="567"/>
        </w:tabs>
        <w:spacing w:line="260" w:lineRule="exact"/>
        <w:ind w:left="567" w:hanging="567"/>
        <w:jc w:val="both"/>
        <w:rPr>
          <w:sz w:val="22"/>
          <w:szCs w:val="22"/>
          <w:lang w:val="sr-Latn-ME"/>
        </w:rPr>
      </w:pPr>
      <w:r w:rsidRPr="003F7E57">
        <w:rPr>
          <w:sz w:val="22"/>
          <w:szCs w:val="22"/>
          <w:lang w:val="sr-Latn-ME"/>
        </w:rPr>
        <w:t>Akutna stanja koja mogu promijeniti funkciju bubrega, kao što su:</w:t>
      </w:r>
    </w:p>
    <w:p w14:paraId="660C4E68" w14:textId="77777777" w:rsidR="007A2272" w:rsidRPr="003F7E57" w:rsidRDefault="007A2272" w:rsidP="00CE2D38">
      <w:pPr>
        <w:numPr>
          <w:ilvl w:val="1"/>
          <w:numId w:val="14"/>
        </w:numPr>
        <w:tabs>
          <w:tab w:val="num" w:pos="426"/>
          <w:tab w:val="left" w:pos="567"/>
        </w:tabs>
        <w:spacing w:line="260" w:lineRule="exact"/>
        <w:ind w:left="1134" w:hanging="567"/>
        <w:jc w:val="both"/>
        <w:rPr>
          <w:sz w:val="22"/>
          <w:szCs w:val="22"/>
          <w:lang w:val="sr-Latn-ME"/>
        </w:rPr>
      </w:pPr>
      <w:r w:rsidRPr="003F7E57">
        <w:rPr>
          <w:sz w:val="22"/>
          <w:szCs w:val="22"/>
          <w:lang w:val="sr-Latn-ME"/>
        </w:rPr>
        <w:t>dehidratacija,</w:t>
      </w:r>
    </w:p>
    <w:p w14:paraId="0128E04D" w14:textId="77777777"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r w:rsidRPr="003F7E57">
        <w:rPr>
          <w:sz w:val="22"/>
          <w:szCs w:val="22"/>
          <w:lang w:val="sr-Latn-ME"/>
        </w:rPr>
        <w:t>teška infekcija,</w:t>
      </w:r>
    </w:p>
    <w:p w14:paraId="18318865" w14:textId="77777777"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r w:rsidRPr="003F7E57">
        <w:rPr>
          <w:sz w:val="22"/>
          <w:szCs w:val="22"/>
          <w:lang w:val="sr-Latn-ME"/>
        </w:rPr>
        <w:t>šok,</w:t>
      </w:r>
    </w:p>
    <w:p w14:paraId="3F4A5ACB" w14:textId="4D319485"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proofErr w:type="spellStart"/>
      <w:r w:rsidRPr="003F7E57">
        <w:rPr>
          <w:sz w:val="22"/>
          <w:szCs w:val="22"/>
          <w:lang w:val="sr-Latn-ME"/>
        </w:rPr>
        <w:t>intravaskularna</w:t>
      </w:r>
      <w:proofErr w:type="spellEnd"/>
      <w:r w:rsidRPr="003F7E57">
        <w:rPr>
          <w:sz w:val="22"/>
          <w:szCs w:val="22"/>
          <w:lang w:val="sr-Latn-ME"/>
        </w:rPr>
        <w:t xml:space="preserve"> primjena jodnih kontrasta (vidjeti </w:t>
      </w:r>
      <w:r w:rsidR="00522F79" w:rsidRPr="003F7E57">
        <w:rPr>
          <w:sz w:val="22"/>
          <w:szCs w:val="22"/>
          <w:lang w:val="sr-Latn-ME"/>
        </w:rPr>
        <w:t xml:space="preserve">dio </w:t>
      </w:r>
      <w:r w:rsidRPr="003F7E57">
        <w:rPr>
          <w:sz w:val="22"/>
          <w:szCs w:val="22"/>
          <w:lang w:val="sr-Latn-ME"/>
        </w:rPr>
        <w:t>4.4).</w:t>
      </w:r>
    </w:p>
    <w:p w14:paraId="2289E365" w14:textId="77777777" w:rsidR="007A2272" w:rsidRPr="003F7E57" w:rsidRDefault="007A2272">
      <w:pPr>
        <w:numPr>
          <w:ilvl w:val="0"/>
          <w:numId w:val="13"/>
        </w:numPr>
        <w:tabs>
          <w:tab w:val="num" w:pos="426"/>
          <w:tab w:val="left" w:pos="567"/>
        </w:tabs>
        <w:spacing w:line="260" w:lineRule="exact"/>
        <w:ind w:left="567" w:hanging="567"/>
        <w:jc w:val="both"/>
        <w:rPr>
          <w:sz w:val="22"/>
          <w:szCs w:val="22"/>
          <w:lang w:val="sr-Latn-ME"/>
        </w:rPr>
      </w:pPr>
      <w:r w:rsidRPr="003F7E57">
        <w:rPr>
          <w:sz w:val="22"/>
          <w:szCs w:val="22"/>
          <w:lang w:val="sr-Latn-ME"/>
        </w:rPr>
        <w:t xml:space="preserve">Akutna ili hronična bolest koja može uzrokovati </w:t>
      </w:r>
      <w:proofErr w:type="spellStart"/>
      <w:r w:rsidRPr="003F7E57">
        <w:rPr>
          <w:sz w:val="22"/>
          <w:szCs w:val="22"/>
          <w:lang w:val="sr-Latn-ME"/>
        </w:rPr>
        <w:t>hipoksiju</w:t>
      </w:r>
      <w:proofErr w:type="spellEnd"/>
      <w:r w:rsidRPr="003F7E57">
        <w:rPr>
          <w:sz w:val="22"/>
          <w:szCs w:val="22"/>
          <w:lang w:val="sr-Latn-ME"/>
        </w:rPr>
        <w:t xml:space="preserve"> tkiva, kao što je:</w:t>
      </w:r>
    </w:p>
    <w:p w14:paraId="1EE559FB" w14:textId="77777777"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proofErr w:type="spellStart"/>
      <w:r w:rsidRPr="003F7E57">
        <w:rPr>
          <w:sz w:val="22"/>
          <w:szCs w:val="22"/>
          <w:lang w:val="sr-Latn-ME"/>
        </w:rPr>
        <w:t>insuficijencija</w:t>
      </w:r>
      <w:proofErr w:type="spellEnd"/>
      <w:r w:rsidRPr="003F7E57">
        <w:rPr>
          <w:sz w:val="22"/>
          <w:szCs w:val="22"/>
          <w:lang w:val="sr-Latn-ME"/>
        </w:rPr>
        <w:t xml:space="preserve"> srca ili disanja,</w:t>
      </w:r>
    </w:p>
    <w:p w14:paraId="5FB9C62D" w14:textId="77777777"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r w:rsidRPr="003F7E57">
        <w:rPr>
          <w:sz w:val="22"/>
          <w:szCs w:val="22"/>
          <w:lang w:val="sr-Latn-ME"/>
        </w:rPr>
        <w:t xml:space="preserve">nedavni infarkt </w:t>
      </w:r>
      <w:proofErr w:type="spellStart"/>
      <w:r w:rsidRPr="003F7E57">
        <w:rPr>
          <w:sz w:val="22"/>
          <w:szCs w:val="22"/>
          <w:lang w:val="sr-Latn-ME"/>
        </w:rPr>
        <w:t>miokarda</w:t>
      </w:r>
      <w:proofErr w:type="spellEnd"/>
      <w:r w:rsidRPr="003F7E57">
        <w:rPr>
          <w:sz w:val="22"/>
          <w:szCs w:val="22"/>
          <w:lang w:val="sr-Latn-ME"/>
        </w:rPr>
        <w:t>,</w:t>
      </w:r>
    </w:p>
    <w:p w14:paraId="74F49DF0" w14:textId="77777777" w:rsidR="007A2272" w:rsidRPr="003F7E57" w:rsidRDefault="007A2272">
      <w:pPr>
        <w:numPr>
          <w:ilvl w:val="1"/>
          <w:numId w:val="14"/>
        </w:numPr>
        <w:tabs>
          <w:tab w:val="num" w:pos="426"/>
          <w:tab w:val="left" w:pos="567"/>
        </w:tabs>
        <w:spacing w:line="260" w:lineRule="exact"/>
        <w:ind w:left="1134" w:hanging="567"/>
        <w:jc w:val="both"/>
        <w:rPr>
          <w:sz w:val="22"/>
          <w:szCs w:val="22"/>
          <w:lang w:val="sr-Latn-ME"/>
        </w:rPr>
      </w:pPr>
      <w:r w:rsidRPr="003F7E57">
        <w:rPr>
          <w:sz w:val="22"/>
          <w:szCs w:val="22"/>
          <w:lang w:val="sr-Latn-ME"/>
        </w:rPr>
        <w:t>šok.</w:t>
      </w:r>
    </w:p>
    <w:p w14:paraId="675BE81C" w14:textId="021B8C3C" w:rsidR="007A2272" w:rsidRPr="003F7E57" w:rsidRDefault="007A2272">
      <w:pPr>
        <w:numPr>
          <w:ilvl w:val="0"/>
          <w:numId w:val="13"/>
        </w:numPr>
        <w:tabs>
          <w:tab w:val="num" w:pos="426"/>
          <w:tab w:val="left" w:pos="567"/>
        </w:tabs>
        <w:spacing w:line="260" w:lineRule="exact"/>
        <w:ind w:left="567" w:hanging="567"/>
        <w:jc w:val="both"/>
        <w:rPr>
          <w:sz w:val="22"/>
          <w:szCs w:val="22"/>
          <w:lang w:val="sr-Latn-ME"/>
        </w:rPr>
      </w:pPr>
      <w:r w:rsidRPr="003F7E57">
        <w:rPr>
          <w:sz w:val="22"/>
          <w:szCs w:val="22"/>
          <w:lang w:val="sr-Latn-ME"/>
        </w:rPr>
        <w:t xml:space="preserve">Oštećenje jetre (vidjeti </w:t>
      </w:r>
      <w:r w:rsidR="00522F79" w:rsidRPr="003F7E57">
        <w:rPr>
          <w:sz w:val="22"/>
          <w:szCs w:val="22"/>
          <w:lang w:val="sr-Latn-ME"/>
        </w:rPr>
        <w:t xml:space="preserve">dijelove </w:t>
      </w:r>
      <w:r w:rsidRPr="003F7E57">
        <w:rPr>
          <w:sz w:val="22"/>
          <w:szCs w:val="22"/>
          <w:lang w:val="sr-Latn-ME"/>
        </w:rPr>
        <w:t>4.2, 4.4 i 4.8).</w:t>
      </w:r>
    </w:p>
    <w:p w14:paraId="4BE477FA" w14:textId="77777777" w:rsidR="007A2272" w:rsidRPr="003F7E57" w:rsidRDefault="007A2272">
      <w:pPr>
        <w:numPr>
          <w:ilvl w:val="0"/>
          <w:numId w:val="13"/>
        </w:numPr>
        <w:tabs>
          <w:tab w:val="num" w:pos="426"/>
          <w:tab w:val="left" w:pos="567"/>
        </w:tabs>
        <w:spacing w:line="260" w:lineRule="exact"/>
        <w:ind w:left="567" w:hanging="567"/>
        <w:jc w:val="both"/>
        <w:rPr>
          <w:sz w:val="22"/>
          <w:szCs w:val="22"/>
          <w:lang w:val="sr-Latn-ME"/>
        </w:rPr>
      </w:pPr>
      <w:r w:rsidRPr="003F7E57">
        <w:rPr>
          <w:sz w:val="22"/>
          <w:szCs w:val="22"/>
          <w:lang w:val="sr-Latn-ME"/>
        </w:rPr>
        <w:t xml:space="preserve">Akutna </w:t>
      </w:r>
      <w:proofErr w:type="spellStart"/>
      <w:r w:rsidRPr="003F7E57">
        <w:rPr>
          <w:sz w:val="22"/>
          <w:szCs w:val="22"/>
          <w:lang w:val="sr-Latn-ME"/>
        </w:rPr>
        <w:t>intoksikacija</w:t>
      </w:r>
      <w:proofErr w:type="spellEnd"/>
      <w:r w:rsidRPr="003F7E57">
        <w:rPr>
          <w:sz w:val="22"/>
          <w:szCs w:val="22"/>
          <w:lang w:val="sr-Latn-ME"/>
        </w:rPr>
        <w:t xml:space="preserve"> alkoholom, alkoholizam.</w:t>
      </w:r>
    </w:p>
    <w:p w14:paraId="16DB8AB0" w14:textId="75DF8C12" w:rsidR="007A2272" w:rsidRPr="003F7E57" w:rsidRDefault="007A2272">
      <w:pPr>
        <w:numPr>
          <w:ilvl w:val="0"/>
          <w:numId w:val="13"/>
        </w:numPr>
        <w:tabs>
          <w:tab w:val="num" w:pos="426"/>
          <w:tab w:val="left" w:pos="567"/>
        </w:tabs>
        <w:spacing w:line="260" w:lineRule="exact"/>
        <w:ind w:left="567" w:hanging="567"/>
        <w:jc w:val="both"/>
        <w:rPr>
          <w:sz w:val="22"/>
          <w:szCs w:val="22"/>
          <w:lang w:val="sr-Latn-ME"/>
        </w:rPr>
      </w:pPr>
      <w:r w:rsidRPr="003F7E57">
        <w:rPr>
          <w:sz w:val="22"/>
          <w:szCs w:val="22"/>
          <w:lang w:val="sr-Latn-ME"/>
        </w:rPr>
        <w:t xml:space="preserve">Dojenje (vidjeti </w:t>
      </w:r>
      <w:r w:rsidR="00522F79" w:rsidRPr="003F7E57">
        <w:rPr>
          <w:sz w:val="22"/>
          <w:szCs w:val="22"/>
          <w:lang w:val="sr-Latn-ME"/>
        </w:rPr>
        <w:t xml:space="preserve">dio </w:t>
      </w:r>
      <w:r w:rsidRPr="003F7E57">
        <w:rPr>
          <w:sz w:val="22"/>
          <w:szCs w:val="22"/>
          <w:lang w:val="sr-Latn-ME"/>
        </w:rPr>
        <w:t>4.6).</w:t>
      </w:r>
    </w:p>
    <w:p w14:paraId="7FDF95EC" w14:textId="77777777" w:rsidR="0072020E" w:rsidRPr="003F7E57" w:rsidRDefault="0072020E" w:rsidP="00991A59">
      <w:pPr>
        <w:tabs>
          <w:tab w:val="left" w:pos="540"/>
          <w:tab w:val="left" w:pos="569"/>
        </w:tabs>
        <w:jc w:val="both"/>
        <w:rPr>
          <w:bCs/>
          <w:sz w:val="22"/>
          <w:szCs w:val="22"/>
          <w:lang w:val="sr-Latn-ME"/>
        </w:rPr>
      </w:pPr>
    </w:p>
    <w:p w14:paraId="3F878BAD" w14:textId="77777777" w:rsidR="00411B4B" w:rsidRPr="003F7E57" w:rsidRDefault="00411B4B" w:rsidP="00CE2D38">
      <w:pPr>
        <w:tabs>
          <w:tab w:val="left" w:pos="540"/>
          <w:tab w:val="left" w:pos="569"/>
        </w:tabs>
        <w:jc w:val="both"/>
        <w:rPr>
          <w:b/>
          <w:bCs/>
          <w:sz w:val="22"/>
          <w:szCs w:val="22"/>
          <w:lang w:val="sr-Latn-ME"/>
        </w:rPr>
      </w:pPr>
      <w:r w:rsidRPr="003F7E57">
        <w:rPr>
          <w:b/>
          <w:bCs/>
          <w:sz w:val="22"/>
          <w:szCs w:val="22"/>
          <w:lang w:val="sr-Latn-ME"/>
        </w:rPr>
        <w:t xml:space="preserve">4.4. </w:t>
      </w:r>
      <w:r w:rsidR="00480FB1" w:rsidRPr="003F7E57">
        <w:rPr>
          <w:b/>
          <w:bCs/>
          <w:sz w:val="22"/>
          <w:szCs w:val="22"/>
          <w:lang w:val="sr-Latn-ME"/>
        </w:rPr>
        <w:tab/>
      </w:r>
      <w:r w:rsidRPr="003F7E57">
        <w:rPr>
          <w:b/>
          <w:bCs/>
          <w:sz w:val="22"/>
          <w:szCs w:val="22"/>
          <w:lang w:val="sr-Latn-ME"/>
        </w:rPr>
        <w:t>Posebna upozorenja i mjere opreza pri upotrebi lijeka</w:t>
      </w:r>
    </w:p>
    <w:p w14:paraId="4E0638F3" w14:textId="77777777" w:rsidR="0072020E" w:rsidRPr="003F7E57" w:rsidRDefault="0072020E">
      <w:pPr>
        <w:tabs>
          <w:tab w:val="left" w:pos="540"/>
          <w:tab w:val="left" w:pos="569"/>
        </w:tabs>
        <w:jc w:val="both"/>
        <w:rPr>
          <w:bCs/>
          <w:sz w:val="22"/>
          <w:szCs w:val="22"/>
          <w:lang w:val="sr-Latn-ME"/>
        </w:rPr>
      </w:pPr>
    </w:p>
    <w:p w14:paraId="5B22E374" w14:textId="77777777" w:rsidR="007A2272" w:rsidRPr="003F7E57" w:rsidRDefault="007A2272">
      <w:pPr>
        <w:tabs>
          <w:tab w:val="left" w:pos="567"/>
        </w:tabs>
        <w:autoSpaceDE w:val="0"/>
        <w:autoSpaceDN w:val="0"/>
        <w:adjustRightInd w:val="0"/>
        <w:jc w:val="both"/>
        <w:rPr>
          <w:noProof/>
          <w:sz w:val="22"/>
          <w:szCs w:val="22"/>
          <w:u w:val="single"/>
          <w:lang w:val="sr-Latn-ME"/>
        </w:rPr>
      </w:pPr>
      <w:r w:rsidRPr="003F7E57">
        <w:rPr>
          <w:noProof/>
          <w:sz w:val="22"/>
          <w:szCs w:val="22"/>
          <w:u w:val="single"/>
          <w:lang w:val="sr-Latn-ME"/>
        </w:rPr>
        <w:t>Opšta</w:t>
      </w:r>
    </w:p>
    <w:p w14:paraId="647CAF75" w14:textId="77777777" w:rsidR="007A2272" w:rsidRPr="003F7E57" w:rsidRDefault="007A2272">
      <w:pPr>
        <w:tabs>
          <w:tab w:val="left" w:pos="567"/>
        </w:tabs>
        <w:autoSpaceDE w:val="0"/>
        <w:autoSpaceDN w:val="0"/>
        <w:adjustRightInd w:val="0"/>
        <w:jc w:val="both"/>
        <w:rPr>
          <w:noProof/>
          <w:sz w:val="22"/>
          <w:szCs w:val="22"/>
          <w:lang w:val="sr-Latn-ME"/>
        </w:rPr>
      </w:pPr>
      <w:r w:rsidRPr="003F7E57">
        <w:rPr>
          <w:noProof/>
          <w:sz w:val="22"/>
          <w:szCs w:val="22"/>
          <w:lang w:val="sr-Latn-ME"/>
        </w:rPr>
        <w:t>Lijek Eucreas nije zamjena za insulin kod pacijenata kojima je potreban insulin i ne smije se primjenjivati kod pacijenata sa dijabetes melitusom tip 1.</w:t>
      </w:r>
    </w:p>
    <w:p w14:paraId="0EA556AA" w14:textId="0350C328" w:rsidR="007A2272" w:rsidRPr="003F7E57" w:rsidRDefault="007A2272">
      <w:pPr>
        <w:tabs>
          <w:tab w:val="left" w:pos="540"/>
          <w:tab w:val="left" w:pos="569"/>
        </w:tabs>
        <w:jc w:val="both"/>
        <w:rPr>
          <w:sz w:val="22"/>
          <w:szCs w:val="22"/>
          <w:u w:val="single"/>
          <w:lang w:val="sr-Latn-ME"/>
        </w:rPr>
      </w:pPr>
    </w:p>
    <w:p w14:paraId="44E1A821" w14:textId="77777777" w:rsidR="007A2272" w:rsidRPr="003F7E57" w:rsidRDefault="007A2272">
      <w:pPr>
        <w:autoSpaceDE w:val="0"/>
        <w:autoSpaceDN w:val="0"/>
        <w:adjustRightInd w:val="0"/>
        <w:jc w:val="both"/>
        <w:rPr>
          <w:sz w:val="22"/>
          <w:szCs w:val="22"/>
          <w:u w:val="single"/>
          <w:lang w:val="sr-Latn-ME" w:bidi="th-TH"/>
        </w:rPr>
      </w:pPr>
      <w:proofErr w:type="spellStart"/>
      <w:r w:rsidRPr="003F7E57">
        <w:rPr>
          <w:sz w:val="22"/>
          <w:szCs w:val="22"/>
          <w:u w:val="single"/>
          <w:lang w:val="sr-Latn-ME" w:bidi="th-TH"/>
        </w:rPr>
        <w:t>Laktatna</w:t>
      </w:r>
      <w:proofErr w:type="spellEnd"/>
      <w:r w:rsidRPr="003F7E57">
        <w:rPr>
          <w:sz w:val="22"/>
          <w:szCs w:val="22"/>
          <w:u w:val="single"/>
          <w:lang w:val="sr-Latn-ME" w:bidi="th-TH"/>
        </w:rPr>
        <w:t xml:space="preserve"> </w:t>
      </w:r>
      <w:proofErr w:type="spellStart"/>
      <w:r w:rsidRPr="003F7E57">
        <w:rPr>
          <w:sz w:val="22"/>
          <w:szCs w:val="22"/>
          <w:u w:val="single"/>
          <w:lang w:val="sr-Latn-ME" w:bidi="th-TH"/>
        </w:rPr>
        <w:t>acidoza</w:t>
      </w:r>
      <w:proofErr w:type="spellEnd"/>
    </w:p>
    <w:p w14:paraId="1FFBC2F9" w14:textId="1C0D8A2D" w:rsidR="007A2272" w:rsidRPr="003F7E57" w:rsidRDefault="007A2272">
      <w:pPr>
        <w:autoSpaceDE w:val="0"/>
        <w:autoSpaceDN w:val="0"/>
        <w:adjustRightInd w:val="0"/>
        <w:jc w:val="both"/>
        <w:rPr>
          <w:sz w:val="22"/>
          <w:szCs w:val="22"/>
          <w:lang w:val="sr-Latn-ME" w:bidi="th-TH"/>
        </w:rPr>
      </w:pPr>
      <w:proofErr w:type="spellStart"/>
      <w:r w:rsidRPr="003F7E57">
        <w:rPr>
          <w:sz w:val="22"/>
          <w:szCs w:val="22"/>
          <w:lang w:val="sr-Latn-ME" w:bidi="th-TH"/>
        </w:rPr>
        <w:t>Laktatna</w:t>
      </w:r>
      <w:proofErr w:type="spellEnd"/>
      <w:r w:rsidRPr="003F7E57">
        <w:rPr>
          <w:sz w:val="22"/>
          <w:szCs w:val="22"/>
          <w:lang w:val="sr-Latn-ME" w:bidi="th-TH"/>
        </w:rPr>
        <w:t xml:space="preserve"> </w:t>
      </w:r>
      <w:proofErr w:type="spellStart"/>
      <w:r w:rsidRPr="003F7E57">
        <w:rPr>
          <w:sz w:val="22"/>
          <w:szCs w:val="22"/>
          <w:lang w:val="sr-Latn-ME" w:bidi="th-TH"/>
        </w:rPr>
        <w:t>acidoza</w:t>
      </w:r>
      <w:proofErr w:type="spellEnd"/>
      <w:r w:rsidRPr="003F7E57">
        <w:rPr>
          <w:sz w:val="22"/>
          <w:szCs w:val="22"/>
          <w:lang w:val="sr-Latn-ME" w:bidi="th-TH"/>
        </w:rPr>
        <w:t xml:space="preserve"> je vrlo rijetka, ali ozbiljna </w:t>
      </w:r>
      <w:proofErr w:type="spellStart"/>
      <w:r w:rsidRPr="003F7E57">
        <w:rPr>
          <w:sz w:val="22"/>
          <w:szCs w:val="22"/>
          <w:lang w:val="sr-Latn-ME" w:bidi="th-TH"/>
        </w:rPr>
        <w:t>metabolička</w:t>
      </w:r>
      <w:proofErr w:type="spellEnd"/>
      <w:r w:rsidRPr="003F7E57">
        <w:rPr>
          <w:sz w:val="22"/>
          <w:szCs w:val="22"/>
          <w:lang w:val="sr-Latn-ME" w:bidi="th-TH"/>
        </w:rPr>
        <w:t xml:space="preserve"> komplikacija, koja se najčešće javlja kod pacijenata sa dijabetesom sa akutnim pogoršanjem </w:t>
      </w:r>
      <w:proofErr w:type="spellStart"/>
      <w:r w:rsidRPr="003F7E57">
        <w:rPr>
          <w:sz w:val="22"/>
          <w:szCs w:val="22"/>
          <w:lang w:val="sr-Latn-ME" w:bidi="th-TH"/>
        </w:rPr>
        <w:t>renalne</w:t>
      </w:r>
      <w:proofErr w:type="spellEnd"/>
      <w:r w:rsidRPr="003F7E57">
        <w:rPr>
          <w:sz w:val="22"/>
          <w:szCs w:val="22"/>
          <w:lang w:val="sr-Latn-ME" w:bidi="th-TH"/>
        </w:rPr>
        <w:t xml:space="preserve"> funkc</w:t>
      </w:r>
      <w:r w:rsidR="00806C70" w:rsidRPr="003F7E57">
        <w:rPr>
          <w:sz w:val="22"/>
          <w:szCs w:val="22"/>
          <w:lang w:val="sr-Latn-ME" w:bidi="th-TH"/>
        </w:rPr>
        <w:t>i</w:t>
      </w:r>
      <w:r w:rsidRPr="003F7E57">
        <w:rPr>
          <w:sz w:val="22"/>
          <w:szCs w:val="22"/>
          <w:lang w:val="sr-Latn-ME" w:bidi="th-TH"/>
        </w:rPr>
        <w:t xml:space="preserve">je, ili </w:t>
      </w:r>
      <w:proofErr w:type="spellStart"/>
      <w:r w:rsidRPr="003F7E57">
        <w:rPr>
          <w:sz w:val="22"/>
          <w:szCs w:val="22"/>
          <w:lang w:val="sr-Latn-ME" w:bidi="th-TH"/>
        </w:rPr>
        <w:t>kardiorespiratornim</w:t>
      </w:r>
      <w:proofErr w:type="spellEnd"/>
      <w:r w:rsidRPr="003F7E57">
        <w:rPr>
          <w:sz w:val="22"/>
          <w:szCs w:val="22"/>
          <w:lang w:val="sr-Latn-ME" w:bidi="th-TH"/>
        </w:rPr>
        <w:t xml:space="preserve"> bolestima ili sepsom. Kod akutnog pogoršanja </w:t>
      </w:r>
      <w:proofErr w:type="spellStart"/>
      <w:r w:rsidRPr="003F7E57">
        <w:rPr>
          <w:sz w:val="22"/>
          <w:szCs w:val="22"/>
          <w:lang w:val="sr-Latn-ME" w:bidi="th-TH"/>
        </w:rPr>
        <w:t>renalne</w:t>
      </w:r>
      <w:proofErr w:type="spellEnd"/>
      <w:r w:rsidRPr="003F7E57">
        <w:rPr>
          <w:sz w:val="22"/>
          <w:szCs w:val="22"/>
          <w:lang w:val="sr-Latn-ME" w:bidi="th-TH"/>
        </w:rPr>
        <w:t xml:space="preserve"> funkcije dolazi do nagomilavanje </w:t>
      </w:r>
      <w:proofErr w:type="spellStart"/>
      <w:r w:rsidRPr="003F7E57">
        <w:rPr>
          <w:sz w:val="22"/>
          <w:szCs w:val="22"/>
          <w:lang w:val="sr-Latn-ME" w:bidi="th-TH"/>
        </w:rPr>
        <w:t>metformina</w:t>
      </w:r>
      <w:proofErr w:type="spellEnd"/>
      <w:r w:rsidRPr="003F7E57">
        <w:rPr>
          <w:sz w:val="22"/>
          <w:szCs w:val="22"/>
          <w:lang w:val="sr-Latn-ME" w:bidi="th-TH"/>
        </w:rPr>
        <w:t xml:space="preserve"> što dovodi do povećanja rizika od </w:t>
      </w:r>
      <w:proofErr w:type="spellStart"/>
      <w:r w:rsidRPr="003F7E57">
        <w:rPr>
          <w:sz w:val="22"/>
          <w:szCs w:val="22"/>
          <w:lang w:val="sr-Latn-ME" w:bidi="th-TH"/>
        </w:rPr>
        <w:t>laktatne</w:t>
      </w:r>
      <w:proofErr w:type="spellEnd"/>
      <w:r w:rsidRPr="003F7E57">
        <w:rPr>
          <w:sz w:val="22"/>
          <w:szCs w:val="22"/>
          <w:lang w:val="sr-Latn-ME" w:bidi="th-TH"/>
        </w:rPr>
        <w:t xml:space="preserve"> </w:t>
      </w:r>
      <w:proofErr w:type="spellStart"/>
      <w:r w:rsidRPr="003F7E57">
        <w:rPr>
          <w:sz w:val="22"/>
          <w:szCs w:val="22"/>
          <w:lang w:val="sr-Latn-ME" w:bidi="th-TH"/>
        </w:rPr>
        <w:t>acidoze</w:t>
      </w:r>
      <w:proofErr w:type="spellEnd"/>
      <w:r w:rsidRPr="003F7E57">
        <w:rPr>
          <w:sz w:val="22"/>
          <w:szCs w:val="22"/>
          <w:lang w:val="sr-Latn-ME" w:bidi="th-TH"/>
        </w:rPr>
        <w:t xml:space="preserve">. </w:t>
      </w:r>
    </w:p>
    <w:p w14:paraId="4C5B79DF" w14:textId="6F5B1375" w:rsidR="007A2272" w:rsidRPr="003F7E57" w:rsidRDefault="007A2272">
      <w:pPr>
        <w:tabs>
          <w:tab w:val="left" w:pos="540"/>
          <w:tab w:val="left" w:pos="569"/>
        </w:tabs>
        <w:jc w:val="both"/>
        <w:rPr>
          <w:sz w:val="22"/>
          <w:szCs w:val="22"/>
          <w:u w:val="single"/>
          <w:lang w:val="sr-Latn-ME"/>
        </w:rPr>
      </w:pPr>
    </w:p>
    <w:p w14:paraId="677AD115" w14:textId="77777777" w:rsidR="007A2272" w:rsidRPr="003F7E57" w:rsidRDefault="007A2272">
      <w:pPr>
        <w:autoSpaceDE w:val="0"/>
        <w:autoSpaceDN w:val="0"/>
        <w:adjustRightInd w:val="0"/>
        <w:jc w:val="both"/>
        <w:rPr>
          <w:sz w:val="22"/>
          <w:szCs w:val="22"/>
          <w:lang w:val="sr-Latn-ME" w:bidi="th-TH"/>
        </w:rPr>
      </w:pPr>
      <w:r w:rsidRPr="003F7E57">
        <w:rPr>
          <w:sz w:val="22"/>
          <w:szCs w:val="22"/>
          <w:lang w:val="sr-Latn-ME" w:bidi="th-TH"/>
        </w:rPr>
        <w:t xml:space="preserve">U slučaju dehidratacije (teška dijareja ili povraćanje, temperatura ili smanjen unos tečnosti), </w:t>
      </w:r>
      <w:proofErr w:type="spellStart"/>
      <w:r w:rsidRPr="003F7E57">
        <w:rPr>
          <w:sz w:val="22"/>
          <w:szCs w:val="22"/>
          <w:lang w:val="sr-Latn-ME" w:bidi="th-TH"/>
        </w:rPr>
        <w:t>metformin</w:t>
      </w:r>
      <w:proofErr w:type="spellEnd"/>
      <w:r w:rsidRPr="003F7E57">
        <w:rPr>
          <w:sz w:val="22"/>
          <w:szCs w:val="22"/>
          <w:lang w:val="sr-Latn-ME" w:bidi="th-TH"/>
        </w:rPr>
        <w:t xml:space="preserve"> treba privremeno obustaviti i preporučuje se da se kontaktira zdravstveni radnik.</w:t>
      </w:r>
    </w:p>
    <w:p w14:paraId="6DB3F468" w14:textId="77777777" w:rsidR="007A2272" w:rsidRPr="003F7E57" w:rsidRDefault="007A2272" w:rsidP="00991A59">
      <w:pPr>
        <w:autoSpaceDE w:val="0"/>
        <w:autoSpaceDN w:val="0"/>
        <w:adjustRightInd w:val="0"/>
        <w:jc w:val="both"/>
        <w:rPr>
          <w:sz w:val="22"/>
          <w:szCs w:val="22"/>
          <w:lang w:val="sr-Latn-ME" w:bidi="th-TH"/>
        </w:rPr>
      </w:pPr>
    </w:p>
    <w:p w14:paraId="2BB43B8F" w14:textId="4E7A9FA9" w:rsidR="007A2272" w:rsidRPr="003F7E57" w:rsidRDefault="007A2272" w:rsidP="00CE2D38">
      <w:pPr>
        <w:autoSpaceDE w:val="0"/>
        <w:autoSpaceDN w:val="0"/>
        <w:adjustRightInd w:val="0"/>
        <w:jc w:val="both"/>
        <w:rPr>
          <w:sz w:val="22"/>
          <w:szCs w:val="22"/>
          <w:lang w:val="sr-Latn-ME" w:bidi="th-TH"/>
        </w:rPr>
      </w:pPr>
      <w:r w:rsidRPr="003F7E57">
        <w:rPr>
          <w:sz w:val="22"/>
          <w:szCs w:val="22"/>
          <w:lang w:val="sr-Latn-ME" w:bidi="th-TH"/>
        </w:rPr>
        <w:t xml:space="preserve">Ljekove koji mogu akutno oštetiti </w:t>
      </w:r>
      <w:proofErr w:type="spellStart"/>
      <w:r w:rsidRPr="003F7E57">
        <w:rPr>
          <w:sz w:val="22"/>
          <w:szCs w:val="22"/>
          <w:lang w:val="sr-Latn-ME" w:bidi="th-TH"/>
        </w:rPr>
        <w:t>renalnu</w:t>
      </w:r>
      <w:proofErr w:type="spellEnd"/>
      <w:r w:rsidRPr="003F7E57">
        <w:rPr>
          <w:sz w:val="22"/>
          <w:szCs w:val="22"/>
          <w:lang w:val="sr-Latn-ME" w:bidi="th-TH"/>
        </w:rPr>
        <w:t xml:space="preserve"> funkciju (kao što su </w:t>
      </w:r>
      <w:proofErr w:type="spellStart"/>
      <w:r w:rsidRPr="003F7E57">
        <w:rPr>
          <w:sz w:val="22"/>
          <w:szCs w:val="22"/>
          <w:lang w:val="sr-Latn-ME" w:bidi="th-TH"/>
        </w:rPr>
        <w:t>antihipertenzivi</w:t>
      </w:r>
      <w:proofErr w:type="spellEnd"/>
      <w:r w:rsidRPr="003F7E57">
        <w:rPr>
          <w:sz w:val="22"/>
          <w:szCs w:val="22"/>
          <w:lang w:val="sr-Latn-ME" w:bidi="th-TH"/>
        </w:rPr>
        <w:t xml:space="preserve">, </w:t>
      </w:r>
      <w:proofErr w:type="spellStart"/>
      <w:r w:rsidRPr="003F7E57">
        <w:rPr>
          <w:sz w:val="22"/>
          <w:szCs w:val="22"/>
          <w:lang w:val="sr-Latn-ME" w:bidi="th-TH"/>
        </w:rPr>
        <w:t>diuretici</w:t>
      </w:r>
      <w:proofErr w:type="spellEnd"/>
      <w:r w:rsidRPr="003F7E57">
        <w:rPr>
          <w:sz w:val="22"/>
          <w:szCs w:val="22"/>
          <w:lang w:val="sr-Latn-ME" w:bidi="th-TH"/>
        </w:rPr>
        <w:t xml:space="preserve"> i </w:t>
      </w:r>
      <w:proofErr w:type="spellStart"/>
      <w:r w:rsidRPr="003F7E57">
        <w:rPr>
          <w:sz w:val="22"/>
          <w:szCs w:val="22"/>
          <w:lang w:val="sr-Latn-ME" w:bidi="th-TH"/>
        </w:rPr>
        <w:t>NSAIL</w:t>
      </w:r>
      <w:proofErr w:type="spellEnd"/>
      <w:r w:rsidRPr="003F7E57">
        <w:rPr>
          <w:sz w:val="22"/>
          <w:szCs w:val="22"/>
          <w:lang w:val="sr-Latn-ME" w:bidi="th-TH"/>
        </w:rPr>
        <w:t xml:space="preserve">) treba uvoditi sa oprezom kod pacijenata liječenih </w:t>
      </w:r>
      <w:proofErr w:type="spellStart"/>
      <w:r w:rsidRPr="003F7E57">
        <w:rPr>
          <w:sz w:val="22"/>
          <w:szCs w:val="22"/>
          <w:lang w:val="sr-Latn-ME" w:bidi="th-TH"/>
        </w:rPr>
        <w:t>metforminom</w:t>
      </w:r>
      <w:proofErr w:type="spellEnd"/>
      <w:r w:rsidRPr="003F7E57">
        <w:rPr>
          <w:sz w:val="22"/>
          <w:szCs w:val="22"/>
          <w:lang w:val="sr-Latn-ME" w:bidi="th-TH"/>
        </w:rPr>
        <w:t xml:space="preserve">. Drugi faktori rizika za </w:t>
      </w:r>
      <w:proofErr w:type="spellStart"/>
      <w:r w:rsidRPr="003F7E57">
        <w:rPr>
          <w:sz w:val="22"/>
          <w:szCs w:val="22"/>
          <w:lang w:val="sr-Latn-ME" w:bidi="th-TH"/>
        </w:rPr>
        <w:t>laktatnu</w:t>
      </w:r>
      <w:proofErr w:type="spellEnd"/>
      <w:r w:rsidRPr="003F7E57">
        <w:rPr>
          <w:sz w:val="22"/>
          <w:szCs w:val="22"/>
          <w:lang w:val="sr-Latn-ME" w:bidi="th-TH"/>
        </w:rPr>
        <w:t xml:space="preserve"> </w:t>
      </w:r>
      <w:proofErr w:type="spellStart"/>
      <w:r w:rsidRPr="003F7E57">
        <w:rPr>
          <w:sz w:val="22"/>
          <w:szCs w:val="22"/>
          <w:lang w:val="sr-Latn-ME" w:bidi="th-TH"/>
        </w:rPr>
        <w:t>acidozu</w:t>
      </w:r>
      <w:proofErr w:type="spellEnd"/>
      <w:r w:rsidRPr="003F7E57">
        <w:rPr>
          <w:sz w:val="22"/>
          <w:szCs w:val="22"/>
          <w:lang w:val="sr-Latn-ME" w:bidi="th-TH"/>
        </w:rPr>
        <w:t xml:space="preserve"> su prekomjeran unos alkohola, </w:t>
      </w:r>
      <w:proofErr w:type="spellStart"/>
      <w:r w:rsidRPr="003F7E57">
        <w:rPr>
          <w:sz w:val="22"/>
          <w:szCs w:val="22"/>
          <w:lang w:val="sr-Latn-ME" w:bidi="th-TH"/>
        </w:rPr>
        <w:t>insuficijencija</w:t>
      </w:r>
      <w:proofErr w:type="spellEnd"/>
      <w:r w:rsidRPr="003F7E57">
        <w:rPr>
          <w:sz w:val="22"/>
          <w:szCs w:val="22"/>
          <w:lang w:val="sr-Latn-ME" w:bidi="th-TH"/>
        </w:rPr>
        <w:t xml:space="preserve"> jetre, dijabetes koji nije adekvatno kontrolisan, </w:t>
      </w:r>
      <w:proofErr w:type="spellStart"/>
      <w:r w:rsidRPr="003F7E57">
        <w:rPr>
          <w:sz w:val="22"/>
          <w:szCs w:val="22"/>
          <w:lang w:val="sr-Latn-ME" w:bidi="th-TH"/>
        </w:rPr>
        <w:t>ketoza</w:t>
      </w:r>
      <w:proofErr w:type="spellEnd"/>
      <w:r w:rsidRPr="003F7E57">
        <w:rPr>
          <w:sz w:val="22"/>
          <w:szCs w:val="22"/>
          <w:lang w:val="sr-Latn-ME" w:bidi="th-TH"/>
        </w:rPr>
        <w:t xml:space="preserve">, dugo gladovanje ili bilo koje drugo stanje koje je povezano sa </w:t>
      </w:r>
      <w:proofErr w:type="spellStart"/>
      <w:r w:rsidRPr="003F7E57">
        <w:rPr>
          <w:sz w:val="22"/>
          <w:szCs w:val="22"/>
          <w:lang w:val="sr-Latn-ME" w:bidi="th-TH"/>
        </w:rPr>
        <w:t>hipoksijom</w:t>
      </w:r>
      <w:proofErr w:type="spellEnd"/>
      <w:r w:rsidRPr="003F7E57">
        <w:rPr>
          <w:sz w:val="22"/>
          <w:szCs w:val="22"/>
          <w:lang w:val="sr-Latn-ME" w:bidi="th-TH"/>
        </w:rPr>
        <w:t xml:space="preserve">, kao i </w:t>
      </w:r>
      <w:proofErr w:type="spellStart"/>
      <w:r w:rsidRPr="003F7E57">
        <w:rPr>
          <w:sz w:val="22"/>
          <w:szCs w:val="22"/>
          <w:lang w:val="sr-Latn-ME" w:bidi="th-TH"/>
        </w:rPr>
        <w:t>konkomitantna</w:t>
      </w:r>
      <w:proofErr w:type="spellEnd"/>
      <w:r w:rsidRPr="003F7E57">
        <w:rPr>
          <w:sz w:val="22"/>
          <w:szCs w:val="22"/>
          <w:lang w:val="sr-Latn-ME" w:bidi="th-TH"/>
        </w:rPr>
        <w:t xml:space="preserve"> (istovremena) upotreba ljekova koji mogu uzrokovati </w:t>
      </w:r>
      <w:proofErr w:type="spellStart"/>
      <w:r w:rsidRPr="003F7E57">
        <w:rPr>
          <w:sz w:val="22"/>
          <w:szCs w:val="22"/>
          <w:lang w:val="sr-Latn-ME" w:bidi="th-TH"/>
        </w:rPr>
        <w:t>laktatnu</w:t>
      </w:r>
      <w:proofErr w:type="spellEnd"/>
      <w:r w:rsidRPr="003F7E57">
        <w:rPr>
          <w:sz w:val="22"/>
          <w:szCs w:val="22"/>
          <w:lang w:val="sr-Latn-ME" w:bidi="th-TH"/>
        </w:rPr>
        <w:t xml:space="preserve"> </w:t>
      </w:r>
      <w:proofErr w:type="spellStart"/>
      <w:r w:rsidRPr="003F7E57">
        <w:rPr>
          <w:sz w:val="22"/>
          <w:szCs w:val="22"/>
          <w:lang w:val="sr-Latn-ME" w:bidi="th-TH"/>
        </w:rPr>
        <w:t>acidozu</w:t>
      </w:r>
      <w:proofErr w:type="spellEnd"/>
      <w:r w:rsidRPr="003F7E57">
        <w:rPr>
          <w:sz w:val="22"/>
          <w:szCs w:val="22"/>
          <w:lang w:val="sr-Latn-ME" w:bidi="th-TH"/>
        </w:rPr>
        <w:t xml:space="preserve"> (vidjeti </w:t>
      </w:r>
      <w:r w:rsidR="00522F79" w:rsidRPr="003F7E57">
        <w:rPr>
          <w:sz w:val="22"/>
          <w:szCs w:val="22"/>
          <w:lang w:val="sr-Latn-ME" w:bidi="th-TH"/>
        </w:rPr>
        <w:t xml:space="preserve">dijelove </w:t>
      </w:r>
      <w:r w:rsidRPr="003F7E57">
        <w:rPr>
          <w:sz w:val="22"/>
          <w:szCs w:val="22"/>
          <w:lang w:val="sr-Latn-ME" w:bidi="th-TH"/>
        </w:rPr>
        <w:t>4.3 i 4.5).</w:t>
      </w:r>
    </w:p>
    <w:p w14:paraId="3C5DA781" w14:textId="77777777" w:rsidR="007A2272" w:rsidRPr="003F7E57" w:rsidRDefault="007A2272">
      <w:pPr>
        <w:autoSpaceDE w:val="0"/>
        <w:autoSpaceDN w:val="0"/>
        <w:adjustRightInd w:val="0"/>
        <w:jc w:val="both"/>
        <w:rPr>
          <w:sz w:val="22"/>
          <w:szCs w:val="22"/>
          <w:lang w:val="sr-Latn-ME" w:bidi="th-TH"/>
        </w:rPr>
      </w:pPr>
    </w:p>
    <w:p w14:paraId="6FEFCF6F" w14:textId="514C02E4" w:rsidR="007A2272" w:rsidRPr="003F7E57" w:rsidRDefault="007A2272">
      <w:pPr>
        <w:autoSpaceDE w:val="0"/>
        <w:autoSpaceDN w:val="0"/>
        <w:adjustRightInd w:val="0"/>
        <w:jc w:val="both"/>
        <w:rPr>
          <w:sz w:val="22"/>
          <w:szCs w:val="22"/>
          <w:lang w:val="sr-Latn-ME" w:bidi="th-TH"/>
        </w:rPr>
      </w:pPr>
      <w:r w:rsidRPr="003F7E57">
        <w:rPr>
          <w:sz w:val="22"/>
          <w:szCs w:val="22"/>
          <w:lang w:val="sr-Latn-ME" w:bidi="th-TH"/>
        </w:rPr>
        <w:t xml:space="preserve">Pacijenti i/ili staratelji moraju biti upoznati sa rizikom od </w:t>
      </w:r>
      <w:proofErr w:type="spellStart"/>
      <w:r w:rsidRPr="003F7E57">
        <w:rPr>
          <w:sz w:val="22"/>
          <w:szCs w:val="22"/>
          <w:lang w:val="sr-Latn-ME" w:bidi="th-TH"/>
        </w:rPr>
        <w:t>laktatne</w:t>
      </w:r>
      <w:proofErr w:type="spellEnd"/>
      <w:r w:rsidRPr="003F7E57">
        <w:rPr>
          <w:sz w:val="22"/>
          <w:szCs w:val="22"/>
          <w:lang w:val="sr-Latn-ME" w:bidi="th-TH"/>
        </w:rPr>
        <w:t xml:space="preserve"> </w:t>
      </w:r>
      <w:proofErr w:type="spellStart"/>
      <w:r w:rsidRPr="003F7E57">
        <w:rPr>
          <w:sz w:val="22"/>
          <w:szCs w:val="22"/>
          <w:lang w:val="sr-Latn-ME" w:bidi="th-TH"/>
        </w:rPr>
        <w:t>acidoze</w:t>
      </w:r>
      <w:proofErr w:type="spellEnd"/>
      <w:r w:rsidRPr="003F7E57">
        <w:rPr>
          <w:sz w:val="22"/>
          <w:szCs w:val="22"/>
          <w:lang w:val="sr-Latn-ME" w:bidi="th-TH"/>
        </w:rPr>
        <w:t xml:space="preserve">. </w:t>
      </w:r>
      <w:proofErr w:type="spellStart"/>
      <w:r w:rsidRPr="003F7E57">
        <w:rPr>
          <w:sz w:val="22"/>
          <w:szCs w:val="22"/>
          <w:lang w:val="sr-Latn-ME" w:bidi="th-TH"/>
        </w:rPr>
        <w:t>Laktatnu</w:t>
      </w:r>
      <w:proofErr w:type="spellEnd"/>
      <w:r w:rsidRPr="003F7E57">
        <w:rPr>
          <w:sz w:val="22"/>
          <w:szCs w:val="22"/>
          <w:lang w:val="sr-Latn-ME" w:bidi="th-TH"/>
        </w:rPr>
        <w:t xml:space="preserve"> </w:t>
      </w:r>
      <w:proofErr w:type="spellStart"/>
      <w:r w:rsidRPr="003F7E57">
        <w:rPr>
          <w:sz w:val="22"/>
          <w:szCs w:val="22"/>
          <w:lang w:val="sr-Latn-ME" w:bidi="th-TH"/>
        </w:rPr>
        <w:t>acidozu</w:t>
      </w:r>
      <w:proofErr w:type="spellEnd"/>
      <w:r w:rsidRPr="003F7E57">
        <w:rPr>
          <w:sz w:val="22"/>
          <w:szCs w:val="22"/>
          <w:lang w:val="sr-Latn-ME" w:bidi="th-TH"/>
        </w:rPr>
        <w:t xml:space="preserve"> karakteriše </w:t>
      </w:r>
      <w:proofErr w:type="spellStart"/>
      <w:r w:rsidRPr="003F7E57">
        <w:rPr>
          <w:sz w:val="22"/>
          <w:szCs w:val="22"/>
          <w:lang w:val="sr-Latn-ME" w:bidi="th-TH"/>
        </w:rPr>
        <w:t>acidozna</w:t>
      </w:r>
      <w:proofErr w:type="spellEnd"/>
      <w:r w:rsidRPr="003F7E57">
        <w:rPr>
          <w:sz w:val="22"/>
          <w:szCs w:val="22"/>
          <w:lang w:val="sr-Latn-ME" w:bidi="th-TH"/>
        </w:rPr>
        <w:t xml:space="preserve"> </w:t>
      </w:r>
      <w:proofErr w:type="spellStart"/>
      <w:r w:rsidRPr="003F7E57">
        <w:rPr>
          <w:sz w:val="22"/>
          <w:szCs w:val="22"/>
          <w:lang w:val="sr-Latn-ME" w:bidi="th-TH"/>
        </w:rPr>
        <w:t>dispneja</w:t>
      </w:r>
      <w:proofErr w:type="spellEnd"/>
      <w:r w:rsidRPr="003F7E57">
        <w:rPr>
          <w:sz w:val="22"/>
          <w:szCs w:val="22"/>
          <w:lang w:val="sr-Latn-ME" w:bidi="th-TH"/>
        </w:rPr>
        <w:t xml:space="preserve">, bol u trbuhu, grčevi u mišićima, astenija i </w:t>
      </w:r>
      <w:proofErr w:type="spellStart"/>
      <w:r w:rsidRPr="003F7E57">
        <w:rPr>
          <w:sz w:val="22"/>
          <w:szCs w:val="22"/>
          <w:lang w:val="sr-Latn-ME" w:bidi="th-TH"/>
        </w:rPr>
        <w:t>hipotermija</w:t>
      </w:r>
      <w:proofErr w:type="spellEnd"/>
      <w:r w:rsidRPr="003F7E57">
        <w:rPr>
          <w:sz w:val="22"/>
          <w:szCs w:val="22"/>
          <w:lang w:val="sr-Latn-ME" w:bidi="th-TH"/>
        </w:rPr>
        <w:t xml:space="preserve"> praćena komom. U slučaju </w:t>
      </w:r>
      <w:r w:rsidRPr="003F7E57">
        <w:rPr>
          <w:sz w:val="22"/>
          <w:szCs w:val="22"/>
          <w:lang w:val="sr-Latn-ME" w:bidi="th-TH"/>
        </w:rPr>
        <w:lastRenderedPageBreak/>
        <w:t xml:space="preserve">sumnje na simptome, pacijent treba da prestane da uzima </w:t>
      </w:r>
      <w:proofErr w:type="spellStart"/>
      <w:r w:rsidRPr="003F7E57">
        <w:rPr>
          <w:sz w:val="22"/>
          <w:szCs w:val="22"/>
          <w:lang w:val="sr-Latn-ME" w:bidi="th-TH"/>
        </w:rPr>
        <w:t>metformin</w:t>
      </w:r>
      <w:proofErr w:type="spellEnd"/>
      <w:r w:rsidRPr="003F7E57">
        <w:rPr>
          <w:sz w:val="22"/>
          <w:szCs w:val="22"/>
          <w:lang w:val="sr-Latn-ME" w:bidi="th-TH"/>
        </w:rPr>
        <w:t xml:space="preserve"> i da odmah potraži medicinsku pomoć. Dijagnostički laboratorijski nalazi pokazuju smanjeni nivo </w:t>
      </w:r>
      <w:proofErr w:type="spellStart"/>
      <w:r w:rsidRPr="003F7E57">
        <w:rPr>
          <w:sz w:val="22"/>
          <w:szCs w:val="22"/>
          <w:lang w:val="sr-Latn-ME" w:bidi="th-TH"/>
        </w:rPr>
        <w:t>pH</w:t>
      </w:r>
      <w:proofErr w:type="spellEnd"/>
      <w:r w:rsidRPr="003F7E57">
        <w:rPr>
          <w:sz w:val="22"/>
          <w:szCs w:val="22"/>
          <w:lang w:val="sr-Latn-ME" w:bidi="th-TH"/>
        </w:rPr>
        <w:t xml:space="preserve"> krvi (&lt; 7,35), povećan nivo </w:t>
      </w:r>
      <w:proofErr w:type="spellStart"/>
      <w:r w:rsidRPr="003F7E57">
        <w:rPr>
          <w:sz w:val="22"/>
          <w:szCs w:val="22"/>
          <w:lang w:val="sr-Latn-ME" w:bidi="th-TH"/>
        </w:rPr>
        <w:t>laktata</w:t>
      </w:r>
      <w:proofErr w:type="spellEnd"/>
      <w:r w:rsidRPr="003F7E57">
        <w:rPr>
          <w:sz w:val="22"/>
          <w:szCs w:val="22"/>
          <w:lang w:val="sr-Latn-ME" w:bidi="th-TH"/>
        </w:rPr>
        <w:t xml:space="preserve"> u plazmi (&gt; 5 </w:t>
      </w:r>
      <w:proofErr w:type="spellStart"/>
      <w:r w:rsidRPr="003F7E57">
        <w:rPr>
          <w:sz w:val="22"/>
          <w:szCs w:val="22"/>
          <w:lang w:val="sr-Latn-ME" w:bidi="th-TH"/>
        </w:rPr>
        <w:t>mmo</w:t>
      </w:r>
      <w:r w:rsidR="00806C70" w:rsidRPr="003F7E57">
        <w:rPr>
          <w:sz w:val="22"/>
          <w:szCs w:val="22"/>
          <w:lang w:val="sr-Latn-ME" w:bidi="th-TH"/>
        </w:rPr>
        <w:t>l</w:t>
      </w:r>
      <w:proofErr w:type="spellEnd"/>
      <w:r w:rsidRPr="003F7E57">
        <w:rPr>
          <w:sz w:val="22"/>
          <w:szCs w:val="22"/>
          <w:lang w:val="sr-Latn-ME" w:bidi="th-TH"/>
        </w:rPr>
        <w:t xml:space="preserve">/l) i povišeni </w:t>
      </w:r>
      <w:proofErr w:type="spellStart"/>
      <w:r w:rsidRPr="003F7E57">
        <w:rPr>
          <w:sz w:val="22"/>
          <w:szCs w:val="22"/>
          <w:lang w:val="sr-Latn-ME" w:bidi="th-TH"/>
        </w:rPr>
        <w:t>anjonski</w:t>
      </w:r>
      <w:proofErr w:type="spellEnd"/>
      <w:r w:rsidRPr="003F7E57">
        <w:rPr>
          <w:sz w:val="22"/>
          <w:szCs w:val="22"/>
          <w:lang w:val="sr-Latn-ME" w:bidi="th-TH"/>
        </w:rPr>
        <w:t xml:space="preserve"> „</w:t>
      </w:r>
      <w:proofErr w:type="spellStart"/>
      <w:r w:rsidRPr="003F7E57">
        <w:rPr>
          <w:sz w:val="22"/>
          <w:szCs w:val="22"/>
          <w:lang w:val="sr-Latn-ME" w:bidi="th-TH"/>
        </w:rPr>
        <w:t>gap</w:t>
      </w:r>
      <w:proofErr w:type="spellEnd"/>
      <w:r w:rsidRPr="003F7E57">
        <w:rPr>
          <w:sz w:val="22"/>
          <w:szCs w:val="22"/>
          <w:lang w:val="sr-Latn-ME" w:bidi="th-TH"/>
        </w:rPr>
        <w:t xml:space="preserve">“ (praznina) i odnos </w:t>
      </w:r>
      <w:proofErr w:type="spellStart"/>
      <w:r w:rsidRPr="003F7E57">
        <w:rPr>
          <w:sz w:val="22"/>
          <w:szCs w:val="22"/>
          <w:lang w:val="sr-Latn-ME" w:bidi="th-TH"/>
        </w:rPr>
        <w:t>laktata</w:t>
      </w:r>
      <w:proofErr w:type="spellEnd"/>
      <w:r w:rsidRPr="003F7E57">
        <w:rPr>
          <w:sz w:val="22"/>
          <w:szCs w:val="22"/>
          <w:lang w:val="sr-Latn-ME" w:bidi="th-TH"/>
        </w:rPr>
        <w:t>/</w:t>
      </w:r>
      <w:proofErr w:type="spellStart"/>
      <w:r w:rsidRPr="003F7E57">
        <w:rPr>
          <w:sz w:val="22"/>
          <w:szCs w:val="22"/>
          <w:lang w:val="sr-Latn-ME" w:bidi="th-TH"/>
        </w:rPr>
        <w:t>piruvata</w:t>
      </w:r>
      <w:proofErr w:type="spellEnd"/>
      <w:r w:rsidRPr="003F7E57">
        <w:rPr>
          <w:sz w:val="22"/>
          <w:szCs w:val="22"/>
          <w:lang w:val="sr-Latn-ME" w:bidi="th-TH"/>
        </w:rPr>
        <w:t>.</w:t>
      </w:r>
    </w:p>
    <w:p w14:paraId="140674BB" w14:textId="77777777" w:rsidR="007A2272" w:rsidRPr="003F7E57" w:rsidRDefault="007A2272">
      <w:pPr>
        <w:tabs>
          <w:tab w:val="left" w:pos="540"/>
          <w:tab w:val="left" w:pos="569"/>
        </w:tabs>
        <w:jc w:val="both"/>
        <w:rPr>
          <w:sz w:val="22"/>
          <w:szCs w:val="22"/>
          <w:u w:val="single"/>
          <w:lang w:val="sr-Latn-ME"/>
        </w:rPr>
      </w:pPr>
    </w:p>
    <w:p w14:paraId="754FC3FF" w14:textId="77777777" w:rsidR="007A2272" w:rsidRPr="003F7E57" w:rsidRDefault="007A2272">
      <w:pPr>
        <w:autoSpaceDE w:val="0"/>
        <w:autoSpaceDN w:val="0"/>
        <w:adjustRightInd w:val="0"/>
        <w:jc w:val="both"/>
        <w:rPr>
          <w:i/>
          <w:sz w:val="22"/>
          <w:szCs w:val="22"/>
          <w:u w:val="single"/>
          <w:lang w:val="sr-Latn-ME" w:bidi="th-TH"/>
        </w:rPr>
      </w:pPr>
      <w:r w:rsidRPr="003F7E57">
        <w:rPr>
          <w:i/>
          <w:sz w:val="22"/>
          <w:szCs w:val="22"/>
          <w:u w:val="single"/>
          <w:lang w:val="sr-Latn-ME" w:bidi="th-TH"/>
        </w:rPr>
        <w:t>Primjena kontrastnih sredstava sa jodom</w:t>
      </w:r>
    </w:p>
    <w:p w14:paraId="101F0A52" w14:textId="6C17BF44" w:rsidR="007A2272" w:rsidRPr="003F7E57" w:rsidRDefault="007A2272">
      <w:pPr>
        <w:autoSpaceDE w:val="0"/>
        <w:autoSpaceDN w:val="0"/>
        <w:adjustRightInd w:val="0"/>
        <w:jc w:val="both"/>
        <w:rPr>
          <w:sz w:val="22"/>
          <w:szCs w:val="22"/>
          <w:lang w:val="sr-Latn-ME" w:bidi="th-TH"/>
        </w:rPr>
      </w:pPr>
      <w:proofErr w:type="spellStart"/>
      <w:r w:rsidRPr="003F7E57">
        <w:rPr>
          <w:sz w:val="22"/>
          <w:szCs w:val="22"/>
          <w:lang w:val="sr-Latn-ME" w:bidi="th-TH"/>
        </w:rPr>
        <w:t>Intravaskularna</w:t>
      </w:r>
      <w:proofErr w:type="spellEnd"/>
      <w:r w:rsidRPr="003F7E57">
        <w:rPr>
          <w:sz w:val="22"/>
          <w:szCs w:val="22"/>
          <w:lang w:val="sr-Latn-ME" w:bidi="th-TH"/>
        </w:rPr>
        <w:t xml:space="preserve"> primjena kontrastnih sredstava sa jodom mogu dovesti do kontrastom-indukovane (izazvane) </w:t>
      </w:r>
      <w:proofErr w:type="spellStart"/>
      <w:r w:rsidRPr="003F7E57">
        <w:rPr>
          <w:sz w:val="22"/>
          <w:szCs w:val="22"/>
          <w:lang w:val="sr-Latn-ME" w:bidi="th-TH"/>
        </w:rPr>
        <w:t>nefropatije</w:t>
      </w:r>
      <w:proofErr w:type="spellEnd"/>
      <w:r w:rsidRPr="003F7E57">
        <w:rPr>
          <w:sz w:val="22"/>
          <w:szCs w:val="22"/>
          <w:lang w:val="sr-Latn-ME" w:bidi="th-TH"/>
        </w:rPr>
        <w:t xml:space="preserve">, koja rezultuje nagomilavanjem </w:t>
      </w:r>
      <w:proofErr w:type="spellStart"/>
      <w:r w:rsidRPr="003F7E57">
        <w:rPr>
          <w:sz w:val="22"/>
          <w:szCs w:val="22"/>
          <w:lang w:val="sr-Latn-ME" w:bidi="th-TH"/>
        </w:rPr>
        <w:t>metformina</w:t>
      </w:r>
      <w:proofErr w:type="spellEnd"/>
      <w:r w:rsidRPr="003F7E57">
        <w:rPr>
          <w:sz w:val="22"/>
          <w:szCs w:val="22"/>
          <w:lang w:val="sr-Latn-ME" w:bidi="th-TH"/>
        </w:rPr>
        <w:t xml:space="preserve"> i povećanjem rizika od </w:t>
      </w:r>
      <w:proofErr w:type="spellStart"/>
      <w:r w:rsidRPr="003F7E57">
        <w:rPr>
          <w:sz w:val="22"/>
          <w:szCs w:val="22"/>
          <w:lang w:val="sr-Latn-ME" w:bidi="th-TH"/>
        </w:rPr>
        <w:t>laktatne</w:t>
      </w:r>
      <w:proofErr w:type="spellEnd"/>
      <w:r w:rsidRPr="003F7E57">
        <w:rPr>
          <w:sz w:val="22"/>
          <w:szCs w:val="22"/>
          <w:lang w:val="sr-Latn-ME" w:bidi="th-TH"/>
        </w:rPr>
        <w:t xml:space="preserve"> </w:t>
      </w:r>
      <w:proofErr w:type="spellStart"/>
      <w:r w:rsidRPr="003F7E57">
        <w:rPr>
          <w:sz w:val="22"/>
          <w:szCs w:val="22"/>
          <w:lang w:val="sr-Latn-ME" w:bidi="th-TH"/>
        </w:rPr>
        <w:t>acidoze</w:t>
      </w:r>
      <w:proofErr w:type="spellEnd"/>
      <w:r w:rsidRPr="003F7E57">
        <w:rPr>
          <w:sz w:val="22"/>
          <w:szCs w:val="22"/>
          <w:lang w:val="sr-Latn-ME" w:bidi="th-TH"/>
        </w:rPr>
        <w:t xml:space="preserve">. </w:t>
      </w:r>
      <w:proofErr w:type="spellStart"/>
      <w:r w:rsidRPr="003F7E57">
        <w:rPr>
          <w:sz w:val="22"/>
          <w:szCs w:val="22"/>
          <w:lang w:val="sr-Latn-ME" w:bidi="th-TH"/>
        </w:rPr>
        <w:t>Metformin</w:t>
      </w:r>
      <w:proofErr w:type="spellEnd"/>
      <w:r w:rsidRPr="003F7E57">
        <w:rPr>
          <w:sz w:val="22"/>
          <w:szCs w:val="22"/>
          <w:lang w:val="sr-Latn-ME" w:bidi="th-TH"/>
        </w:rPr>
        <w:t xml:space="preserve"> treba obustaviti prije ili za vrijeme procedura snimanja i ne započinjati ponovo primjenu najmanje 48 sati nakon procedure, i tada samo ako je </w:t>
      </w:r>
      <w:proofErr w:type="spellStart"/>
      <w:r w:rsidRPr="003F7E57">
        <w:rPr>
          <w:sz w:val="22"/>
          <w:szCs w:val="22"/>
          <w:lang w:val="sr-Latn-ME" w:bidi="th-TH"/>
        </w:rPr>
        <w:t>reevaluirana</w:t>
      </w:r>
      <w:proofErr w:type="spellEnd"/>
      <w:r w:rsidRPr="003F7E57">
        <w:rPr>
          <w:sz w:val="22"/>
          <w:szCs w:val="22"/>
          <w:lang w:val="sr-Latn-ME" w:bidi="th-TH"/>
        </w:rPr>
        <w:t xml:space="preserve"> funkcija bubrega i utvrđeno je da je stabilna (vidjeti </w:t>
      </w:r>
      <w:r w:rsidR="00522F79" w:rsidRPr="003F7E57">
        <w:rPr>
          <w:sz w:val="22"/>
          <w:szCs w:val="22"/>
          <w:lang w:val="sr-Latn-ME" w:bidi="th-TH"/>
        </w:rPr>
        <w:t xml:space="preserve">dijelove </w:t>
      </w:r>
      <w:r w:rsidRPr="003F7E57">
        <w:rPr>
          <w:sz w:val="22"/>
          <w:szCs w:val="22"/>
          <w:lang w:val="sr-Latn-ME" w:bidi="th-TH"/>
        </w:rPr>
        <w:t>4.2 i 4.5).</w:t>
      </w:r>
    </w:p>
    <w:p w14:paraId="5FBC6E44" w14:textId="77777777" w:rsidR="007A2272" w:rsidRPr="003F7E57" w:rsidRDefault="007A2272" w:rsidP="00991A59">
      <w:pPr>
        <w:tabs>
          <w:tab w:val="left" w:pos="540"/>
          <w:tab w:val="left" w:pos="569"/>
        </w:tabs>
        <w:jc w:val="both"/>
        <w:rPr>
          <w:sz w:val="22"/>
          <w:szCs w:val="22"/>
          <w:u w:val="single"/>
          <w:lang w:val="sr-Latn-ME"/>
        </w:rPr>
      </w:pPr>
    </w:p>
    <w:p w14:paraId="5DB9BC1F" w14:textId="77777777" w:rsidR="007A2272" w:rsidRPr="003F7E57" w:rsidRDefault="007A2272" w:rsidP="00CE2D38">
      <w:pPr>
        <w:tabs>
          <w:tab w:val="left" w:pos="567"/>
        </w:tabs>
        <w:ind w:left="567" w:hanging="567"/>
        <w:jc w:val="both"/>
        <w:outlineLvl w:val="0"/>
        <w:rPr>
          <w:sz w:val="22"/>
          <w:szCs w:val="22"/>
          <w:u w:val="single"/>
          <w:lang w:val="sr-Latn-ME"/>
        </w:rPr>
      </w:pPr>
      <w:r w:rsidRPr="003F7E57">
        <w:rPr>
          <w:noProof/>
          <w:sz w:val="22"/>
          <w:szCs w:val="22"/>
          <w:u w:val="single"/>
          <w:lang w:val="sr-Latn-ME"/>
        </w:rPr>
        <w:t>Funkcija bubrega</w:t>
      </w:r>
    </w:p>
    <w:p w14:paraId="3972C9E7" w14:textId="4705CF69" w:rsidR="007A2272" w:rsidRPr="003F7E57" w:rsidRDefault="007A2272">
      <w:pPr>
        <w:jc w:val="both"/>
        <w:rPr>
          <w:iCs/>
          <w:sz w:val="22"/>
          <w:szCs w:val="22"/>
          <w:lang w:val="sr-Latn-ME"/>
        </w:rPr>
      </w:pPr>
      <w:r w:rsidRPr="003F7E57">
        <w:rPr>
          <w:sz w:val="22"/>
          <w:szCs w:val="22"/>
          <w:lang w:val="sr-Latn-ME" w:bidi="th-TH"/>
        </w:rPr>
        <w:t>GFR</w:t>
      </w:r>
      <w:r w:rsidRPr="003F7E57">
        <w:rPr>
          <w:iCs/>
          <w:sz w:val="22"/>
          <w:szCs w:val="22"/>
          <w:lang w:val="sr-Latn-ME"/>
        </w:rPr>
        <w:t xml:space="preserve"> treba procijeniti prije početka liječenja i redovno nakon toga (vidjeti </w:t>
      </w:r>
      <w:r w:rsidR="00522F79" w:rsidRPr="003F7E57">
        <w:rPr>
          <w:iCs/>
          <w:sz w:val="22"/>
          <w:szCs w:val="22"/>
          <w:lang w:val="sr-Latn-ME"/>
        </w:rPr>
        <w:t xml:space="preserve">dio </w:t>
      </w:r>
      <w:r w:rsidRPr="003F7E57">
        <w:rPr>
          <w:iCs/>
          <w:sz w:val="22"/>
          <w:szCs w:val="22"/>
          <w:lang w:val="sr-Latn-ME"/>
        </w:rPr>
        <w:t xml:space="preserve">4.2). </w:t>
      </w:r>
      <w:proofErr w:type="spellStart"/>
      <w:r w:rsidRPr="003F7E57">
        <w:rPr>
          <w:iCs/>
          <w:sz w:val="22"/>
          <w:szCs w:val="22"/>
          <w:lang w:val="sr-Latn-ME"/>
        </w:rPr>
        <w:t>Metformin</w:t>
      </w:r>
      <w:proofErr w:type="spellEnd"/>
      <w:r w:rsidRPr="003F7E57">
        <w:rPr>
          <w:iCs/>
          <w:sz w:val="22"/>
          <w:szCs w:val="22"/>
          <w:lang w:val="sr-Latn-ME"/>
        </w:rPr>
        <w:t xml:space="preserve"> je kontraindikovan kod pacijenata sa </w:t>
      </w:r>
      <w:proofErr w:type="spellStart"/>
      <w:r w:rsidRPr="003F7E57">
        <w:rPr>
          <w:iCs/>
          <w:sz w:val="22"/>
          <w:szCs w:val="22"/>
          <w:lang w:val="sr-Latn-ME"/>
        </w:rPr>
        <w:t>GFR</w:t>
      </w:r>
      <w:proofErr w:type="spellEnd"/>
      <w:r w:rsidRPr="003F7E57">
        <w:rPr>
          <w:iCs/>
          <w:sz w:val="22"/>
          <w:szCs w:val="22"/>
          <w:lang w:val="sr-Latn-ME"/>
        </w:rPr>
        <w:t xml:space="preserve"> &lt; 30 </w:t>
      </w:r>
      <w:proofErr w:type="spellStart"/>
      <w:r w:rsidRPr="003F7E57">
        <w:rPr>
          <w:iCs/>
          <w:sz w:val="22"/>
          <w:szCs w:val="22"/>
          <w:lang w:val="sr-Latn-ME"/>
        </w:rPr>
        <w:t>mL</w:t>
      </w:r>
      <w:proofErr w:type="spellEnd"/>
      <w:r w:rsidRPr="003F7E57">
        <w:rPr>
          <w:iCs/>
          <w:sz w:val="22"/>
          <w:szCs w:val="22"/>
          <w:lang w:val="sr-Latn-ME"/>
        </w:rPr>
        <w:t xml:space="preserve">/min i treba ga privremeno obustaviti u slučaju prisustva stanja koja utiču na </w:t>
      </w:r>
      <w:proofErr w:type="spellStart"/>
      <w:r w:rsidRPr="003F7E57">
        <w:rPr>
          <w:iCs/>
          <w:sz w:val="22"/>
          <w:szCs w:val="22"/>
          <w:lang w:val="sr-Latn-ME"/>
        </w:rPr>
        <w:t>renalnu</w:t>
      </w:r>
      <w:proofErr w:type="spellEnd"/>
      <w:r w:rsidRPr="003F7E57">
        <w:rPr>
          <w:iCs/>
          <w:sz w:val="22"/>
          <w:szCs w:val="22"/>
          <w:lang w:val="sr-Latn-ME"/>
        </w:rPr>
        <w:t xml:space="preserve"> funkciju (vidjeti </w:t>
      </w:r>
      <w:r w:rsidR="00522F79" w:rsidRPr="003F7E57">
        <w:rPr>
          <w:iCs/>
          <w:sz w:val="22"/>
          <w:szCs w:val="22"/>
          <w:lang w:val="sr-Latn-ME"/>
        </w:rPr>
        <w:t xml:space="preserve">dio </w:t>
      </w:r>
      <w:r w:rsidRPr="003F7E57">
        <w:rPr>
          <w:iCs/>
          <w:sz w:val="22"/>
          <w:szCs w:val="22"/>
          <w:lang w:val="sr-Latn-ME"/>
        </w:rPr>
        <w:t>4.3).</w:t>
      </w:r>
    </w:p>
    <w:p w14:paraId="1006C060" w14:textId="6E0ECB1C" w:rsidR="007A2272" w:rsidRPr="003F7E57" w:rsidRDefault="007A2272">
      <w:pPr>
        <w:jc w:val="both"/>
        <w:rPr>
          <w:iCs/>
          <w:sz w:val="22"/>
          <w:szCs w:val="22"/>
          <w:lang w:val="sr-Latn-ME"/>
        </w:rPr>
      </w:pPr>
    </w:p>
    <w:p w14:paraId="459F3FF0" w14:textId="2C61C4F9" w:rsidR="007A2272" w:rsidRPr="003F7E57" w:rsidRDefault="007A2272">
      <w:pPr>
        <w:jc w:val="both"/>
        <w:rPr>
          <w:sz w:val="22"/>
          <w:szCs w:val="22"/>
          <w:lang w:val="sr-Latn-ME" w:bidi="th-TH"/>
        </w:rPr>
      </w:pPr>
      <w:r w:rsidRPr="003F7E57">
        <w:rPr>
          <w:iCs/>
          <w:sz w:val="22"/>
          <w:szCs w:val="22"/>
          <w:lang w:val="sr-Latn-ME"/>
        </w:rPr>
        <w:t>Istovremeno prim</w:t>
      </w:r>
      <w:r w:rsidR="00341B19" w:rsidRPr="003F7E57">
        <w:rPr>
          <w:iCs/>
          <w:sz w:val="22"/>
          <w:szCs w:val="22"/>
          <w:lang w:val="sr-Latn-ME"/>
        </w:rPr>
        <w:t>ij</w:t>
      </w:r>
      <w:r w:rsidRPr="003F7E57">
        <w:rPr>
          <w:iCs/>
          <w:sz w:val="22"/>
          <w:szCs w:val="22"/>
          <w:lang w:val="sr-Latn-ME"/>
        </w:rPr>
        <w:t>enjene l</w:t>
      </w:r>
      <w:r w:rsidR="00341B19" w:rsidRPr="003F7E57">
        <w:rPr>
          <w:iCs/>
          <w:sz w:val="22"/>
          <w:szCs w:val="22"/>
          <w:lang w:val="sr-Latn-ME"/>
        </w:rPr>
        <w:t>j</w:t>
      </w:r>
      <w:r w:rsidRPr="003F7E57">
        <w:rPr>
          <w:iCs/>
          <w:sz w:val="22"/>
          <w:szCs w:val="22"/>
          <w:lang w:val="sr-Latn-ME"/>
        </w:rPr>
        <w:t xml:space="preserve">ekove koji mogu da utiču na funkciju bubrega, da dovedu do značajne </w:t>
      </w:r>
      <w:proofErr w:type="spellStart"/>
      <w:r w:rsidRPr="003F7E57">
        <w:rPr>
          <w:iCs/>
          <w:sz w:val="22"/>
          <w:szCs w:val="22"/>
          <w:lang w:val="sr-Latn-ME"/>
        </w:rPr>
        <w:t>hemodinamske</w:t>
      </w:r>
      <w:proofErr w:type="spellEnd"/>
      <w:r w:rsidRPr="003F7E57">
        <w:rPr>
          <w:iCs/>
          <w:sz w:val="22"/>
          <w:szCs w:val="22"/>
          <w:lang w:val="sr-Latn-ME"/>
        </w:rPr>
        <w:t xml:space="preserve"> prom</w:t>
      </w:r>
      <w:r w:rsidR="00341B19" w:rsidRPr="003F7E57">
        <w:rPr>
          <w:iCs/>
          <w:sz w:val="22"/>
          <w:szCs w:val="22"/>
          <w:lang w:val="sr-Latn-ME"/>
        </w:rPr>
        <w:t>j</w:t>
      </w:r>
      <w:r w:rsidRPr="003F7E57">
        <w:rPr>
          <w:iCs/>
          <w:sz w:val="22"/>
          <w:szCs w:val="22"/>
          <w:lang w:val="sr-Latn-ME"/>
        </w:rPr>
        <w:t xml:space="preserve">ene ili da inhibiraju </w:t>
      </w:r>
      <w:proofErr w:type="spellStart"/>
      <w:r w:rsidRPr="003F7E57">
        <w:rPr>
          <w:iCs/>
          <w:sz w:val="22"/>
          <w:szCs w:val="22"/>
          <w:lang w:val="sr-Latn-ME"/>
        </w:rPr>
        <w:t>renalni</w:t>
      </w:r>
      <w:proofErr w:type="spellEnd"/>
      <w:r w:rsidRPr="003F7E57">
        <w:rPr>
          <w:iCs/>
          <w:sz w:val="22"/>
          <w:szCs w:val="22"/>
          <w:lang w:val="sr-Latn-ME"/>
        </w:rPr>
        <w:t xml:space="preserve"> transport i povećaju sistemsku izloženost </w:t>
      </w:r>
      <w:proofErr w:type="spellStart"/>
      <w:r w:rsidRPr="003F7E57">
        <w:rPr>
          <w:iCs/>
          <w:sz w:val="22"/>
          <w:szCs w:val="22"/>
          <w:lang w:val="sr-Latn-ME"/>
        </w:rPr>
        <w:t>metforminu</w:t>
      </w:r>
      <w:proofErr w:type="spellEnd"/>
      <w:r w:rsidRPr="003F7E57">
        <w:rPr>
          <w:iCs/>
          <w:sz w:val="22"/>
          <w:szCs w:val="22"/>
          <w:lang w:val="sr-Latn-ME"/>
        </w:rPr>
        <w:t>, treba koristiti uz oprez (vid</w:t>
      </w:r>
      <w:r w:rsidR="00341B19" w:rsidRPr="003F7E57">
        <w:rPr>
          <w:iCs/>
          <w:sz w:val="22"/>
          <w:szCs w:val="22"/>
          <w:lang w:val="sr-Latn-ME"/>
        </w:rPr>
        <w:t>j</w:t>
      </w:r>
      <w:r w:rsidRPr="003F7E57">
        <w:rPr>
          <w:iCs/>
          <w:sz w:val="22"/>
          <w:szCs w:val="22"/>
          <w:lang w:val="sr-Latn-ME"/>
        </w:rPr>
        <w:t xml:space="preserve">eti </w:t>
      </w:r>
      <w:r w:rsidR="00522F79" w:rsidRPr="003F7E57">
        <w:rPr>
          <w:iCs/>
          <w:sz w:val="22"/>
          <w:szCs w:val="22"/>
          <w:lang w:val="sr-Latn-ME"/>
        </w:rPr>
        <w:t xml:space="preserve">dio </w:t>
      </w:r>
      <w:r w:rsidRPr="003F7E57">
        <w:rPr>
          <w:iCs/>
          <w:sz w:val="22"/>
          <w:szCs w:val="22"/>
          <w:lang w:val="sr-Latn-ME"/>
        </w:rPr>
        <w:t>4.5):</w:t>
      </w:r>
    </w:p>
    <w:p w14:paraId="0964BCF2" w14:textId="77777777" w:rsidR="007A2272" w:rsidRPr="003F7E57" w:rsidRDefault="007A2272" w:rsidP="00991A59">
      <w:pPr>
        <w:jc w:val="both"/>
        <w:rPr>
          <w:sz w:val="22"/>
          <w:szCs w:val="22"/>
          <w:lang w:val="sr-Latn-ME"/>
        </w:rPr>
      </w:pPr>
    </w:p>
    <w:p w14:paraId="4F16DD80" w14:textId="77777777" w:rsidR="007A2272" w:rsidRPr="003F7E57" w:rsidRDefault="007A2272" w:rsidP="00CE2D38">
      <w:pPr>
        <w:tabs>
          <w:tab w:val="left" w:pos="567"/>
        </w:tabs>
        <w:ind w:left="567" w:hanging="567"/>
        <w:jc w:val="both"/>
        <w:outlineLvl w:val="0"/>
        <w:rPr>
          <w:sz w:val="22"/>
          <w:szCs w:val="22"/>
          <w:u w:val="single"/>
          <w:lang w:val="sr-Latn-ME"/>
        </w:rPr>
      </w:pPr>
      <w:r w:rsidRPr="003F7E57">
        <w:rPr>
          <w:noProof/>
          <w:sz w:val="22"/>
          <w:szCs w:val="22"/>
          <w:u w:val="single"/>
          <w:lang w:val="sr-Latn-ME"/>
        </w:rPr>
        <w:t>Oštećenje funkcije jetre</w:t>
      </w:r>
    </w:p>
    <w:p w14:paraId="3B3C5F0D" w14:textId="3DCE46EB" w:rsidR="007A2272" w:rsidRPr="003F7E57" w:rsidRDefault="007A2272">
      <w:pPr>
        <w:tabs>
          <w:tab w:val="left" w:pos="0"/>
        </w:tabs>
        <w:jc w:val="both"/>
        <w:outlineLvl w:val="0"/>
        <w:rPr>
          <w:sz w:val="22"/>
          <w:szCs w:val="22"/>
          <w:lang w:val="sr-Latn-ME"/>
        </w:rPr>
      </w:pPr>
      <w:r w:rsidRPr="003F7E57">
        <w:rPr>
          <w:sz w:val="22"/>
          <w:szCs w:val="22"/>
          <w:lang w:val="sr-Latn-ME"/>
        </w:rPr>
        <w:t xml:space="preserve">Lijek </w:t>
      </w:r>
      <w:proofErr w:type="spellStart"/>
      <w:r w:rsidRPr="003F7E57">
        <w:rPr>
          <w:sz w:val="22"/>
          <w:szCs w:val="22"/>
          <w:lang w:val="sr-Latn-ME"/>
        </w:rPr>
        <w:t>Eucreas</w:t>
      </w:r>
      <w:proofErr w:type="spellEnd"/>
      <w:r w:rsidRPr="003F7E57">
        <w:rPr>
          <w:sz w:val="22"/>
          <w:szCs w:val="22"/>
          <w:lang w:val="sr-Latn-ME"/>
        </w:rPr>
        <w:t xml:space="preserve"> se ne smije primjenjivati kod pacijenata sa oštećenjem funkcije jetre, uključujući one kod kojih su ALT ili AST prije početka liječenja bili &gt;3x GGN (vidjeti </w:t>
      </w:r>
      <w:r w:rsidR="00522F79" w:rsidRPr="003F7E57">
        <w:rPr>
          <w:sz w:val="22"/>
          <w:szCs w:val="22"/>
          <w:lang w:val="sr-Latn-ME"/>
        </w:rPr>
        <w:t xml:space="preserve">dijelove </w:t>
      </w:r>
      <w:r w:rsidRPr="003F7E57">
        <w:rPr>
          <w:sz w:val="22"/>
          <w:szCs w:val="22"/>
          <w:lang w:val="sr-Latn-ME"/>
        </w:rPr>
        <w:t>4.2, 4.3 i 4.8).</w:t>
      </w:r>
    </w:p>
    <w:p w14:paraId="4892DFC4" w14:textId="77777777" w:rsidR="007A2272" w:rsidRPr="003F7E57" w:rsidRDefault="007A2272">
      <w:pPr>
        <w:jc w:val="both"/>
        <w:rPr>
          <w:iCs/>
          <w:sz w:val="22"/>
          <w:szCs w:val="22"/>
          <w:lang w:val="sr-Latn-ME"/>
        </w:rPr>
      </w:pPr>
    </w:p>
    <w:p w14:paraId="75DA8D6B" w14:textId="77777777" w:rsidR="007A2272" w:rsidRPr="003F7E57" w:rsidRDefault="007A2272">
      <w:pPr>
        <w:tabs>
          <w:tab w:val="left" w:pos="567"/>
        </w:tabs>
        <w:ind w:left="567" w:hanging="567"/>
        <w:jc w:val="both"/>
        <w:outlineLvl w:val="0"/>
        <w:rPr>
          <w:i/>
          <w:sz w:val="22"/>
          <w:szCs w:val="22"/>
          <w:u w:val="single"/>
          <w:lang w:val="sr-Latn-ME"/>
        </w:rPr>
      </w:pPr>
      <w:r w:rsidRPr="003F7E57">
        <w:rPr>
          <w:i/>
          <w:sz w:val="22"/>
          <w:szCs w:val="22"/>
          <w:u w:val="single"/>
          <w:lang w:val="sr-Latn-ME"/>
        </w:rPr>
        <w:t>Praćenje enzima jetre</w:t>
      </w:r>
    </w:p>
    <w:p w14:paraId="6DC1E2A5" w14:textId="6D907D13" w:rsidR="00057E35" w:rsidRPr="003F7E57" w:rsidRDefault="007A2272">
      <w:pPr>
        <w:tabs>
          <w:tab w:val="left" w:pos="540"/>
          <w:tab w:val="left" w:pos="569"/>
        </w:tabs>
        <w:jc w:val="both"/>
        <w:rPr>
          <w:noProof/>
          <w:sz w:val="22"/>
          <w:szCs w:val="22"/>
          <w:lang w:val="sr-Latn-ME"/>
        </w:rPr>
      </w:pPr>
      <w:r w:rsidRPr="003F7E57">
        <w:rPr>
          <w:noProof/>
          <w:sz w:val="22"/>
          <w:szCs w:val="22"/>
          <w:lang w:val="sr-Latn-ME"/>
        </w:rPr>
        <w:t>Rijetko su bili prijavljeni slučajevi poremećaja jetrene funkcije (uključujući hepatitis) pri primjeni vildagliptina. U tim slučajevima pacijenti su bili bez simptoma i kliničkih posledica, a testovi jetrine funkcije su se vratili na normalu nakon prekida liječenja. Testove jetrine funkcije treba uraditi prije početka liječenja lijekom Eucreas kako bi se utvrdile početne vrijednosti. Jetrinu funkciju treba pratiti tokom liječenja lijekom Eucreas u razmacima od tri mjeseca tokom prve godine liječenja i povremeno nakon toga. Pacijente kod kojih se pojave povišene vrijednosti transaminaza treba pratiti sprovođenjem druge procjene jetrene funkcije u cilju potvrđivanja nalaza pa nakon toga kontrolisati čestim testovima hepatičke funkcije sve dok se abnormalna(e) vrijednost(i) ne vrati(e) na normalu. Ako povišene vrijednosti AST-a ili ALT-a ostanu</w:t>
      </w:r>
      <w:r w:rsidRPr="003F7E57">
        <w:rPr>
          <w:noProof/>
          <w:color w:val="FF0000"/>
          <w:sz w:val="22"/>
          <w:szCs w:val="22"/>
          <w:lang w:val="sr-Latn-ME"/>
        </w:rPr>
        <w:t xml:space="preserve"> </w:t>
      </w:r>
      <w:r w:rsidRPr="003F7E57">
        <w:rPr>
          <w:noProof/>
          <w:sz w:val="22"/>
          <w:szCs w:val="22"/>
          <w:lang w:val="sr-Latn-ME"/>
        </w:rPr>
        <w:t>na  nivou od 3 x GGN ili većoj, preporučuje se prekid terapije lijekom Eucreas. Kod pacijenata koji razviju žuticu ili druge znakove koji upućuju na poremećaj hepatičke funkcije treba prekinuti liječenje lijekom Eucreas.</w:t>
      </w:r>
    </w:p>
    <w:p w14:paraId="5B1B23FB" w14:textId="3B404B8C" w:rsidR="00CF5C69" w:rsidRPr="003F7E57" w:rsidRDefault="00CF5C69">
      <w:pPr>
        <w:tabs>
          <w:tab w:val="left" w:pos="540"/>
          <w:tab w:val="left" w:pos="569"/>
        </w:tabs>
        <w:jc w:val="both"/>
        <w:rPr>
          <w:noProof/>
          <w:sz w:val="22"/>
          <w:szCs w:val="22"/>
          <w:lang w:val="sr-Latn-ME"/>
        </w:rPr>
      </w:pPr>
    </w:p>
    <w:p w14:paraId="6A0C1681" w14:textId="77777777" w:rsidR="00CF5C69" w:rsidRPr="003F7E57" w:rsidRDefault="00CF5C69">
      <w:pPr>
        <w:tabs>
          <w:tab w:val="left" w:pos="567"/>
        </w:tabs>
        <w:autoSpaceDE w:val="0"/>
        <w:autoSpaceDN w:val="0"/>
        <w:adjustRightInd w:val="0"/>
        <w:jc w:val="both"/>
        <w:rPr>
          <w:noProof/>
          <w:sz w:val="22"/>
          <w:szCs w:val="22"/>
          <w:lang w:val="sr-Latn-ME"/>
        </w:rPr>
      </w:pPr>
      <w:r w:rsidRPr="003F7E57">
        <w:rPr>
          <w:noProof/>
          <w:sz w:val="22"/>
          <w:szCs w:val="22"/>
          <w:lang w:val="sr-Latn-ME"/>
        </w:rPr>
        <w:t>Nakon prekida liječenja lijekom Eucreas i normalizacije testova hepatičke funkcije, liječenje lijekom Eucreas se ne smije ponovno započeti.</w:t>
      </w:r>
    </w:p>
    <w:p w14:paraId="2C9EFAE6" w14:textId="13572E8A" w:rsidR="00CF5C69" w:rsidRPr="003F7E57" w:rsidRDefault="00CF5C69">
      <w:pPr>
        <w:tabs>
          <w:tab w:val="left" w:pos="540"/>
          <w:tab w:val="left" w:pos="569"/>
        </w:tabs>
        <w:jc w:val="both"/>
        <w:rPr>
          <w:noProof/>
          <w:sz w:val="22"/>
          <w:szCs w:val="22"/>
          <w:lang w:val="sr-Latn-ME"/>
        </w:rPr>
      </w:pPr>
    </w:p>
    <w:p w14:paraId="4839172C" w14:textId="77777777" w:rsidR="00CF5C69" w:rsidRPr="003F7E57" w:rsidRDefault="00CF5C69">
      <w:pPr>
        <w:tabs>
          <w:tab w:val="left" w:pos="567"/>
        </w:tabs>
        <w:autoSpaceDE w:val="0"/>
        <w:autoSpaceDN w:val="0"/>
        <w:adjustRightInd w:val="0"/>
        <w:jc w:val="both"/>
        <w:rPr>
          <w:sz w:val="22"/>
          <w:szCs w:val="22"/>
          <w:u w:val="single"/>
          <w:lang w:val="sr-Latn-ME" w:bidi="th-TH"/>
        </w:rPr>
      </w:pPr>
      <w:r w:rsidRPr="003F7E57">
        <w:rPr>
          <w:sz w:val="22"/>
          <w:szCs w:val="22"/>
          <w:u w:val="single"/>
          <w:lang w:val="sr-Latn-ME" w:bidi="th-TH"/>
        </w:rPr>
        <w:t>Poremećaji na nivou kože</w:t>
      </w:r>
    </w:p>
    <w:p w14:paraId="513AD2AB" w14:textId="0882B3D3" w:rsidR="00CF5C69" w:rsidRPr="003F7E57" w:rsidRDefault="00CF5C69">
      <w:pPr>
        <w:tabs>
          <w:tab w:val="left" w:pos="567"/>
        </w:tabs>
        <w:jc w:val="both"/>
        <w:rPr>
          <w:sz w:val="22"/>
          <w:szCs w:val="22"/>
          <w:lang w:val="sr-Latn-ME" w:bidi="th-TH"/>
        </w:rPr>
      </w:pPr>
      <w:r w:rsidRPr="003F7E57">
        <w:rPr>
          <w:sz w:val="22"/>
          <w:szCs w:val="22"/>
          <w:lang w:val="sr-Latn-ME" w:bidi="th-TH"/>
        </w:rPr>
        <w:t xml:space="preserve">U </w:t>
      </w:r>
      <w:proofErr w:type="spellStart"/>
      <w:r w:rsidRPr="003F7E57">
        <w:rPr>
          <w:sz w:val="22"/>
          <w:szCs w:val="22"/>
          <w:lang w:val="sr-Latn-ME" w:bidi="th-TH"/>
        </w:rPr>
        <w:t>pretkliničkim</w:t>
      </w:r>
      <w:proofErr w:type="spellEnd"/>
      <w:r w:rsidRPr="003F7E57">
        <w:rPr>
          <w:sz w:val="22"/>
          <w:szCs w:val="22"/>
          <w:lang w:val="sr-Latn-ME" w:bidi="th-TH"/>
        </w:rPr>
        <w:t xml:space="preserve"> </w:t>
      </w:r>
      <w:proofErr w:type="spellStart"/>
      <w:r w:rsidRPr="003F7E57">
        <w:rPr>
          <w:sz w:val="22"/>
          <w:szCs w:val="22"/>
          <w:lang w:val="sr-Latn-ME" w:bidi="th-TH"/>
        </w:rPr>
        <w:t>toksikološkim</w:t>
      </w:r>
      <w:proofErr w:type="spellEnd"/>
      <w:r w:rsidRPr="003F7E57">
        <w:rPr>
          <w:sz w:val="22"/>
          <w:szCs w:val="22"/>
          <w:lang w:val="sr-Latn-ME" w:bidi="th-TH"/>
        </w:rPr>
        <w:t xml:space="preserve"> ispitivanjima sa </w:t>
      </w:r>
      <w:proofErr w:type="spellStart"/>
      <w:r w:rsidRPr="003F7E57">
        <w:rPr>
          <w:sz w:val="22"/>
          <w:szCs w:val="22"/>
          <w:lang w:val="sr-Latn-ME" w:bidi="th-TH"/>
        </w:rPr>
        <w:t>vildagliptinom</w:t>
      </w:r>
      <w:proofErr w:type="spellEnd"/>
      <w:r w:rsidRPr="003F7E57">
        <w:rPr>
          <w:sz w:val="22"/>
          <w:szCs w:val="22"/>
          <w:lang w:val="sr-Latn-ME" w:bidi="th-TH"/>
        </w:rPr>
        <w:t xml:space="preserve"> zabilježene su kožne </w:t>
      </w:r>
      <w:proofErr w:type="spellStart"/>
      <w:r w:rsidRPr="003F7E57">
        <w:rPr>
          <w:sz w:val="22"/>
          <w:szCs w:val="22"/>
          <w:lang w:val="sr-Latn-ME" w:bidi="th-TH"/>
        </w:rPr>
        <w:t>lezije</w:t>
      </w:r>
      <w:proofErr w:type="spellEnd"/>
      <w:r w:rsidRPr="003F7E57">
        <w:rPr>
          <w:sz w:val="22"/>
          <w:szCs w:val="22"/>
          <w:lang w:val="sr-Latn-ME" w:bidi="th-TH"/>
        </w:rPr>
        <w:t>, uključujući pojavu pli</w:t>
      </w:r>
      <w:r w:rsidR="00CE108B" w:rsidRPr="003F7E57">
        <w:rPr>
          <w:sz w:val="22"/>
          <w:szCs w:val="22"/>
          <w:lang w:val="sr-Latn-ME" w:bidi="th-TH"/>
        </w:rPr>
        <w:t>k</w:t>
      </w:r>
      <w:r w:rsidRPr="003F7E57">
        <w:rPr>
          <w:sz w:val="22"/>
          <w:szCs w:val="22"/>
          <w:lang w:val="sr-Latn-ME" w:bidi="th-TH"/>
        </w:rPr>
        <w:t xml:space="preserve">ova i </w:t>
      </w:r>
      <w:proofErr w:type="spellStart"/>
      <w:r w:rsidRPr="003F7E57">
        <w:rPr>
          <w:sz w:val="22"/>
          <w:szCs w:val="22"/>
          <w:lang w:val="sr-Latn-ME" w:bidi="th-TH"/>
        </w:rPr>
        <w:t>ulceracija</w:t>
      </w:r>
      <w:proofErr w:type="spellEnd"/>
      <w:r w:rsidRPr="003F7E57">
        <w:rPr>
          <w:sz w:val="22"/>
          <w:szCs w:val="22"/>
          <w:lang w:val="sr-Latn-ME" w:bidi="th-TH"/>
        </w:rPr>
        <w:t xml:space="preserve"> na ekstremitetima majmuna (vidjeti </w:t>
      </w:r>
      <w:r w:rsidR="00522F79" w:rsidRPr="003F7E57">
        <w:rPr>
          <w:sz w:val="22"/>
          <w:szCs w:val="22"/>
          <w:lang w:val="sr-Latn-ME" w:bidi="th-TH"/>
        </w:rPr>
        <w:t xml:space="preserve">dio </w:t>
      </w:r>
      <w:r w:rsidRPr="003F7E57">
        <w:rPr>
          <w:sz w:val="22"/>
          <w:szCs w:val="22"/>
          <w:lang w:val="sr-Latn-ME" w:bidi="th-TH"/>
        </w:rPr>
        <w:t xml:space="preserve">5.3). Iako u kliničkim ispitivanjima nije uočena povećana </w:t>
      </w:r>
      <w:proofErr w:type="spellStart"/>
      <w:r w:rsidRPr="003F7E57">
        <w:rPr>
          <w:sz w:val="22"/>
          <w:szCs w:val="22"/>
          <w:lang w:val="sr-Latn-ME" w:bidi="th-TH"/>
        </w:rPr>
        <w:t>incidenca</w:t>
      </w:r>
      <w:proofErr w:type="spellEnd"/>
      <w:r w:rsidRPr="003F7E57">
        <w:rPr>
          <w:sz w:val="22"/>
          <w:szCs w:val="22"/>
          <w:lang w:val="sr-Latn-ME" w:bidi="th-TH"/>
        </w:rPr>
        <w:t xml:space="preserve"> kožnih </w:t>
      </w:r>
      <w:proofErr w:type="spellStart"/>
      <w:r w:rsidRPr="003F7E57">
        <w:rPr>
          <w:sz w:val="22"/>
          <w:szCs w:val="22"/>
          <w:lang w:val="sr-Latn-ME" w:bidi="th-TH"/>
        </w:rPr>
        <w:t>lezija</w:t>
      </w:r>
      <w:proofErr w:type="spellEnd"/>
      <w:r w:rsidRPr="003F7E57">
        <w:rPr>
          <w:sz w:val="22"/>
          <w:szCs w:val="22"/>
          <w:lang w:val="sr-Latn-ME" w:bidi="th-TH"/>
        </w:rPr>
        <w:t xml:space="preserve">, postojalo je ograničeno iskustvo kod pacijenata sa </w:t>
      </w:r>
      <w:proofErr w:type="spellStart"/>
      <w:r w:rsidRPr="003F7E57">
        <w:rPr>
          <w:sz w:val="22"/>
          <w:szCs w:val="22"/>
          <w:lang w:val="sr-Latn-ME" w:bidi="th-TH"/>
        </w:rPr>
        <w:t>dijabetičkim</w:t>
      </w:r>
      <w:proofErr w:type="spellEnd"/>
      <w:r w:rsidRPr="003F7E57">
        <w:rPr>
          <w:sz w:val="22"/>
          <w:szCs w:val="22"/>
          <w:lang w:val="sr-Latn-ME" w:bidi="th-TH"/>
        </w:rPr>
        <w:t xml:space="preserve"> komplikacijama na koži. Nadalje, nakon stavljanja lijeka u promet postoje izvještaji o </w:t>
      </w:r>
      <w:proofErr w:type="spellStart"/>
      <w:r w:rsidRPr="003F7E57">
        <w:rPr>
          <w:sz w:val="22"/>
          <w:szCs w:val="22"/>
          <w:lang w:val="sr-Latn-ME"/>
        </w:rPr>
        <w:t>buloznim</w:t>
      </w:r>
      <w:proofErr w:type="spellEnd"/>
      <w:r w:rsidRPr="003F7E57">
        <w:rPr>
          <w:sz w:val="22"/>
          <w:szCs w:val="22"/>
          <w:lang w:val="sr-Latn-ME"/>
        </w:rPr>
        <w:t xml:space="preserve"> i </w:t>
      </w:r>
      <w:proofErr w:type="spellStart"/>
      <w:r w:rsidRPr="003F7E57">
        <w:rPr>
          <w:sz w:val="22"/>
          <w:szCs w:val="22"/>
          <w:lang w:val="sr-Latn-ME"/>
        </w:rPr>
        <w:t>eksfolijativnim</w:t>
      </w:r>
      <w:proofErr w:type="spellEnd"/>
      <w:r w:rsidRPr="003F7E57">
        <w:rPr>
          <w:sz w:val="22"/>
          <w:szCs w:val="22"/>
          <w:lang w:val="sr-Latn-ME"/>
        </w:rPr>
        <w:t xml:space="preserve"> kožnim </w:t>
      </w:r>
      <w:proofErr w:type="spellStart"/>
      <w:r w:rsidRPr="003F7E57">
        <w:rPr>
          <w:sz w:val="22"/>
          <w:szCs w:val="22"/>
          <w:lang w:val="sr-Latn-ME"/>
        </w:rPr>
        <w:t>lezijama</w:t>
      </w:r>
      <w:proofErr w:type="spellEnd"/>
      <w:r w:rsidRPr="003F7E57">
        <w:rPr>
          <w:sz w:val="22"/>
          <w:szCs w:val="22"/>
          <w:lang w:val="sr-Latn-ME"/>
        </w:rPr>
        <w:t xml:space="preserve">. </w:t>
      </w:r>
      <w:r w:rsidRPr="003F7E57">
        <w:rPr>
          <w:sz w:val="22"/>
          <w:szCs w:val="22"/>
          <w:lang w:val="sr-Latn-ME" w:bidi="th-TH"/>
        </w:rPr>
        <w:t xml:space="preserve">Zbog toga se, sprovodeći rutinsku </w:t>
      </w:r>
      <w:proofErr w:type="spellStart"/>
      <w:r w:rsidRPr="003F7E57">
        <w:rPr>
          <w:sz w:val="22"/>
          <w:szCs w:val="22"/>
          <w:lang w:val="sr-Latn-ME" w:bidi="th-TH"/>
        </w:rPr>
        <w:t>njegu</w:t>
      </w:r>
      <w:proofErr w:type="spellEnd"/>
      <w:r w:rsidRPr="003F7E57">
        <w:rPr>
          <w:sz w:val="22"/>
          <w:szCs w:val="22"/>
          <w:lang w:val="sr-Latn-ME" w:bidi="th-TH"/>
        </w:rPr>
        <w:t xml:space="preserve"> </w:t>
      </w:r>
      <w:proofErr w:type="spellStart"/>
      <w:r w:rsidRPr="003F7E57">
        <w:rPr>
          <w:sz w:val="22"/>
          <w:szCs w:val="22"/>
          <w:lang w:val="sr-Latn-ME" w:bidi="th-TH"/>
        </w:rPr>
        <w:t>dijabetičkog</w:t>
      </w:r>
      <w:proofErr w:type="spellEnd"/>
      <w:r w:rsidRPr="003F7E57">
        <w:rPr>
          <w:sz w:val="22"/>
          <w:szCs w:val="22"/>
          <w:lang w:val="sr-Latn-ME" w:bidi="th-TH"/>
        </w:rPr>
        <w:t xml:space="preserve"> pacijenata, preporučuje praćenje kožnih poremećaja, kao što je pojava pli</w:t>
      </w:r>
      <w:r w:rsidR="00806C70" w:rsidRPr="003F7E57">
        <w:rPr>
          <w:sz w:val="22"/>
          <w:szCs w:val="22"/>
          <w:lang w:val="sr-Latn-ME" w:bidi="th-TH"/>
        </w:rPr>
        <w:t>k</w:t>
      </w:r>
      <w:r w:rsidRPr="003F7E57">
        <w:rPr>
          <w:sz w:val="22"/>
          <w:szCs w:val="22"/>
          <w:lang w:val="sr-Latn-ME" w:bidi="th-TH"/>
        </w:rPr>
        <w:t xml:space="preserve">ova ili </w:t>
      </w:r>
      <w:proofErr w:type="spellStart"/>
      <w:r w:rsidRPr="003F7E57">
        <w:rPr>
          <w:sz w:val="22"/>
          <w:szCs w:val="22"/>
          <w:lang w:val="sr-Latn-ME" w:bidi="th-TH"/>
        </w:rPr>
        <w:t>ulceracija</w:t>
      </w:r>
      <w:proofErr w:type="spellEnd"/>
      <w:r w:rsidRPr="003F7E57">
        <w:rPr>
          <w:sz w:val="22"/>
          <w:szCs w:val="22"/>
          <w:lang w:val="sr-Latn-ME" w:bidi="th-TH"/>
        </w:rPr>
        <w:t>.</w:t>
      </w:r>
    </w:p>
    <w:p w14:paraId="12A111EB" w14:textId="4F80A181" w:rsidR="00CF5C69" w:rsidRPr="003F7E57" w:rsidRDefault="00CF5C69">
      <w:pPr>
        <w:tabs>
          <w:tab w:val="left" w:pos="540"/>
          <w:tab w:val="left" w:pos="569"/>
        </w:tabs>
        <w:jc w:val="both"/>
        <w:rPr>
          <w:noProof/>
          <w:sz w:val="22"/>
          <w:szCs w:val="22"/>
          <w:lang w:val="sr-Latn-ME"/>
        </w:rPr>
      </w:pPr>
    </w:p>
    <w:p w14:paraId="5DB8A858" w14:textId="77777777" w:rsidR="00CF5C69" w:rsidRPr="003F7E57" w:rsidRDefault="00CF5C69">
      <w:pPr>
        <w:tabs>
          <w:tab w:val="left" w:pos="567"/>
        </w:tabs>
        <w:autoSpaceDE w:val="0"/>
        <w:autoSpaceDN w:val="0"/>
        <w:adjustRightInd w:val="0"/>
        <w:jc w:val="both"/>
        <w:rPr>
          <w:sz w:val="22"/>
          <w:szCs w:val="22"/>
          <w:u w:val="single"/>
          <w:lang w:val="sr-Latn-ME" w:bidi="th-TH"/>
        </w:rPr>
      </w:pPr>
      <w:r w:rsidRPr="003F7E57">
        <w:rPr>
          <w:sz w:val="22"/>
          <w:szCs w:val="22"/>
          <w:u w:val="single"/>
          <w:lang w:val="sr-Latn-ME" w:bidi="th-TH"/>
        </w:rPr>
        <w:t xml:space="preserve">Akutni </w:t>
      </w:r>
      <w:proofErr w:type="spellStart"/>
      <w:r w:rsidRPr="003F7E57">
        <w:rPr>
          <w:sz w:val="22"/>
          <w:szCs w:val="22"/>
          <w:u w:val="single"/>
          <w:lang w:val="sr-Latn-ME" w:bidi="th-TH"/>
        </w:rPr>
        <w:t>pankreatitis</w:t>
      </w:r>
      <w:proofErr w:type="spellEnd"/>
    </w:p>
    <w:p w14:paraId="101F29B7" w14:textId="77777777" w:rsidR="00CF5C69" w:rsidRPr="003F7E57" w:rsidRDefault="00CF5C69">
      <w:pPr>
        <w:tabs>
          <w:tab w:val="left" w:pos="567"/>
        </w:tabs>
        <w:autoSpaceDE w:val="0"/>
        <w:autoSpaceDN w:val="0"/>
        <w:adjustRightInd w:val="0"/>
        <w:jc w:val="both"/>
        <w:rPr>
          <w:sz w:val="22"/>
          <w:szCs w:val="22"/>
          <w:lang w:val="sr-Latn-ME" w:bidi="th-TH"/>
        </w:rPr>
      </w:pPr>
      <w:r w:rsidRPr="003F7E57">
        <w:rPr>
          <w:sz w:val="22"/>
          <w:szCs w:val="22"/>
          <w:lang w:val="sr-Latn-ME" w:bidi="th-TH"/>
        </w:rPr>
        <w:t xml:space="preserve">Primjena </w:t>
      </w:r>
      <w:proofErr w:type="spellStart"/>
      <w:r w:rsidRPr="003F7E57">
        <w:rPr>
          <w:sz w:val="22"/>
          <w:szCs w:val="22"/>
          <w:lang w:val="sr-Latn-ME" w:bidi="th-TH"/>
        </w:rPr>
        <w:t>vildagliptina</w:t>
      </w:r>
      <w:proofErr w:type="spellEnd"/>
      <w:r w:rsidRPr="003F7E57">
        <w:rPr>
          <w:sz w:val="22"/>
          <w:szCs w:val="22"/>
          <w:lang w:val="sr-Latn-ME" w:bidi="th-TH"/>
        </w:rPr>
        <w:t xml:space="preserve"> je povezana sa rizikom od nastanka </w:t>
      </w:r>
      <w:r w:rsidRPr="003F7E57">
        <w:rPr>
          <w:sz w:val="22"/>
          <w:szCs w:val="22"/>
          <w:lang w:val="sr-Latn-ME"/>
        </w:rPr>
        <w:t xml:space="preserve">akutnog </w:t>
      </w:r>
      <w:proofErr w:type="spellStart"/>
      <w:r w:rsidRPr="003F7E57">
        <w:rPr>
          <w:sz w:val="22"/>
          <w:szCs w:val="22"/>
          <w:lang w:val="sr-Latn-ME"/>
        </w:rPr>
        <w:t>pankreatitisa</w:t>
      </w:r>
      <w:proofErr w:type="spellEnd"/>
      <w:r w:rsidRPr="003F7E57">
        <w:rPr>
          <w:sz w:val="22"/>
          <w:szCs w:val="22"/>
          <w:lang w:val="sr-Latn-ME"/>
        </w:rPr>
        <w:t xml:space="preserve">. Pacijente treba obavijestiti o karakterističnom simptomu akutnog </w:t>
      </w:r>
      <w:proofErr w:type="spellStart"/>
      <w:r w:rsidRPr="003F7E57">
        <w:rPr>
          <w:sz w:val="22"/>
          <w:szCs w:val="22"/>
          <w:lang w:val="sr-Latn-ME"/>
        </w:rPr>
        <w:t>pankreatitisa</w:t>
      </w:r>
      <w:proofErr w:type="spellEnd"/>
      <w:r w:rsidRPr="003F7E57">
        <w:rPr>
          <w:sz w:val="22"/>
          <w:szCs w:val="22"/>
          <w:lang w:val="sr-Latn-ME"/>
        </w:rPr>
        <w:t>.</w:t>
      </w:r>
    </w:p>
    <w:p w14:paraId="14C0AC88" w14:textId="6654F91D" w:rsidR="00CF5C69" w:rsidRPr="003F7E57" w:rsidRDefault="00CF5C69" w:rsidP="00991A59">
      <w:pPr>
        <w:tabs>
          <w:tab w:val="left" w:pos="540"/>
          <w:tab w:val="left" w:pos="569"/>
        </w:tabs>
        <w:jc w:val="both"/>
        <w:rPr>
          <w:noProof/>
          <w:sz w:val="22"/>
          <w:szCs w:val="22"/>
          <w:lang w:val="sr-Latn-ME"/>
        </w:rPr>
      </w:pPr>
    </w:p>
    <w:p w14:paraId="4533E77A" w14:textId="77777777" w:rsidR="00CF5C69" w:rsidRPr="003F7E57" w:rsidRDefault="00CF5C69" w:rsidP="00CE2D38">
      <w:pPr>
        <w:tabs>
          <w:tab w:val="left" w:pos="567"/>
        </w:tabs>
        <w:autoSpaceDE w:val="0"/>
        <w:autoSpaceDN w:val="0"/>
        <w:adjustRightInd w:val="0"/>
        <w:jc w:val="both"/>
        <w:rPr>
          <w:sz w:val="22"/>
          <w:szCs w:val="22"/>
          <w:lang w:val="sr-Latn-ME" w:bidi="th-TH"/>
        </w:rPr>
      </w:pPr>
      <w:r w:rsidRPr="003F7E57">
        <w:rPr>
          <w:sz w:val="22"/>
          <w:szCs w:val="22"/>
          <w:lang w:val="sr-Latn-ME"/>
        </w:rPr>
        <w:t xml:space="preserve">Ako postoji sumnja na </w:t>
      </w:r>
      <w:proofErr w:type="spellStart"/>
      <w:r w:rsidRPr="003F7E57">
        <w:rPr>
          <w:sz w:val="22"/>
          <w:szCs w:val="22"/>
          <w:lang w:val="sr-Latn-ME"/>
        </w:rPr>
        <w:t>pankreatitis</w:t>
      </w:r>
      <w:proofErr w:type="spellEnd"/>
      <w:r w:rsidRPr="003F7E57">
        <w:rPr>
          <w:sz w:val="22"/>
          <w:szCs w:val="22"/>
          <w:lang w:val="sr-Latn-ME"/>
        </w:rPr>
        <w:t xml:space="preserve">, treba prestati sa uzimanjem </w:t>
      </w:r>
      <w:proofErr w:type="spellStart"/>
      <w:r w:rsidRPr="003F7E57">
        <w:rPr>
          <w:sz w:val="22"/>
          <w:szCs w:val="22"/>
          <w:lang w:val="sr-Latn-ME"/>
        </w:rPr>
        <w:t>vildagliptina</w:t>
      </w:r>
      <w:proofErr w:type="spellEnd"/>
      <w:r w:rsidRPr="003F7E57">
        <w:rPr>
          <w:sz w:val="22"/>
          <w:szCs w:val="22"/>
          <w:lang w:val="sr-Latn-ME"/>
        </w:rPr>
        <w:t xml:space="preserve">; ako je akutni </w:t>
      </w:r>
      <w:proofErr w:type="spellStart"/>
      <w:r w:rsidRPr="003F7E57">
        <w:rPr>
          <w:sz w:val="22"/>
          <w:szCs w:val="22"/>
          <w:lang w:val="sr-Latn-ME"/>
        </w:rPr>
        <w:t>pankreatitis</w:t>
      </w:r>
      <w:proofErr w:type="spellEnd"/>
      <w:r w:rsidRPr="003F7E57">
        <w:rPr>
          <w:sz w:val="22"/>
          <w:szCs w:val="22"/>
          <w:lang w:val="sr-Latn-ME"/>
        </w:rPr>
        <w:t xml:space="preserve"> potvrđen, ne treba ponovo uzimati </w:t>
      </w:r>
      <w:proofErr w:type="spellStart"/>
      <w:r w:rsidRPr="003F7E57">
        <w:rPr>
          <w:sz w:val="22"/>
          <w:szCs w:val="22"/>
          <w:lang w:val="sr-Latn-ME"/>
        </w:rPr>
        <w:t>vildagliptin</w:t>
      </w:r>
      <w:proofErr w:type="spellEnd"/>
      <w:r w:rsidRPr="003F7E57">
        <w:rPr>
          <w:sz w:val="22"/>
          <w:szCs w:val="22"/>
          <w:lang w:val="sr-Latn-ME"/>
        </w:rPr>
        <w:t xml:space="preserve">. Treba biti oprezan kod pacijenata sa akutnim </w:t>
      </w:r>
      <w:proofErr w:type="spellStart"/>
      <w:r w:rsidRPr="003F7E57">
        <w:rPr>
          <w:sz w:val="22"/>
          <w:szCs w:val="22"/>
          <w:lang w:val="sr-Latn-ME"/>
        </w:rPr>
        <w:t>pankreatitisom</w:t>
      </w:r>
      <w:proofErr w:type="spellEnd"/>
      <w:r w:rsidRPr="003F7E57">
        <w:rPr>
          <w:sz w:val="22"/>
          <w:szCs w:val="22"/>
          <w:lang w:val="sr-Latn-ME"/>
        </w:rPr>
        <w:t xml:space="preserve"> u anamnezi.</w:t>
      </w:r>
    </w:p>
    <w:p w14:paraId="64E5BA67" w14:textId="77777777" w:rsidR="00CF5C69" w:rsidRPr="003F7E57" w:rsidRDefault="00CF5C69">
      <w:pPr>
        <w:tabs>
          <w:tab w:val="left" w:pos="540"/>
          <w:tab w:val="left" w:pos="569"/>
        </w:tabs>
        <w:jc w:val="both"/>
        <w:rPr>
          <w:noProof/>
          <w:sz w:val="22"/>
          <w:szCs w:val="22"/>
          <w:lang w:val="sr-Latn-ME"/>
        </w:rPr>
      </w:pPr>
    </w:p>
    <w:p w14:paraId="7F7621E6" w14:textId="77777777" w:rsidR="00CF5C69" w:rsidRPr="003F7E57" w:rsidRDefault="00CF5C69">
      <w:pPr>
        <w:tabs>
          <w:tab w:val="left" w:pos="567"/>
        </w:tabs>
        <w:ind w:left="567" w:hanging="567"/>
        <w:jc w:val="both"/>
        <w:outlineLvl w:val="0"/>
        <w:rPr>
          <w:sz w:val="22"/>
          <w:szCs w:val="22"/>
          <w:u w:val="single"/>
          <w:lang w:val="sr-Latn-ME"/>
        </w:rPr>
      </w:pPr>
      <w:proofErr w:type="spellStart"/>
      <w:r w:rsidRPr="003F7E57">
        <w:rPr>
          <w:sz w:val="22"/>
          <w:szCs w:val="22"/>
          <w:u w:val="single"/>
          <w:lang w:val="sr-Latn-ME"/>
        </w:rPr>
        <w:t>Hipoglikemija</w:t>
      </w:r>
      <w:proofErr w:type="spellEnd"/>
    </w:p>
    <w:p w14:paraId="71FF5FB3" w14:textId="3F35CD5A" w:rsidR="00CF5C69" w:rsidRPr="003F7E57" w:rsidRDefault="00CF5C69">
      <w:pPr>
        <w:tabs>
          <w:tab w:val="left" w:pos="567"/>
        </w:tabs>
        <w:jc w:val="both"/>
        <w:rPr>
          <w:sz w:val="22"/>
          <w:szCs w:val="22"/>
          <w:lang w:val="sr-Latn-ME" w:eastAsia="x-none"/>
        </w:rPr>
      </w:pPr>
      <w:r w:rsidRPr="003F7E57">
        <w:rPr>
          <w:sz w:val="22"/>
          <w:szCs w:val="22"/>
          <w:lang w:val="sr-Latn-ME" w:eastAsia="x-none"/>
        </w:rPr>
        <w:lastRenderedPageBreak/>
        <w:t xml:space="preserve">Poznato je da </w:t>
      </w:r>
      <w:proofErr w:type="spellStart"/>
      <w:r w:rsidRPr="003F7E57">
        <w:rPr>
          <w:sz w:val="22"/>
          <w:szCs w:val="22"/>
          <w:lang w:val="sr-Latn-ME" w:eastAsia="x-none"/>
        </w:rPr>
        <w:t>sulfoniluree</w:t>
      </w:r>
      <w:proofErr w:type="spellEnd"/>
      <w:r w:rsidRPr="003F7E57">
        <w:rPr>
          <w:sz w:val="22"/>
          <w:szCs w:val="22"/>
          <w:lang w:val="sr-Latn-ME" w:eastAsia="x-none"/>
        </w:rPr>
        <w:t xml:space="preserve"> izazivaju </w:t>
      </w:r>
      <w:proofErr w:type="spellStart"/>
      <w:r w:rsidRPr="003F7E57">
        <w:rPr>
          <w:sz w:val="22"/>
          <w:szCs w:val="22"/>
          <w:lang w:val="sr-Latn-ME" w:eastAsia="x-none"/>
        </w:rPr>
        <w:t>hipoglikemiju</w:t>
      </w:r>
      <w:proofErr w:type="spellEnd"/>
      <w:r w:rsidRPr="003F7E57">
        <w:rPr>
          <w:sz w:val="22"/>
          <w:szCs w:val="22"/>
          <w:lang w:val="sr-Latn-ME" w:eastAsia="x-none"/>
        </w:rPr>
        <w:t xml:space="preserve">. Pacijenti koji primaju </w:t>
      </w:r>
      <w:proofErr w:type="spellStart"/>
      <w:r w:rsidRPr="003F7E57">
        <w:rPr>
          <w:sz w:val="22"/>
          <w:szCs w:val="22"/>
          <w:lang w:val="sr-Latn-ME" w:eastAsia="x-none"/>
        </w:rPr>
        <w:t>vildagliptin</w:t>
      </w:r>
      <w:proofErr w:type="spellEnd"/>
      <w:r w:rsidRPr="003F7E57">
        <w:rPr>
          <w:sz w:val="22"/>
          <w:szCs w:val="22"/>
          <w:lang w:val="sr-Latn-ME" w:eastAsia="x-none"/>
        </w:rPr>
        <w:t xml:space="preserve"> u kombinaciji sa </w:t>
      </w:r>
      <w:proofErr w:type="spellStart"/>
      <w:r w:rsidRPr="003F7E57">
        <w:rPr>
          <w:sz w:val="22"/>
          <w:szCs w:val="22"/>
          <w:lang w:val="sr-Latn-ME" w:eastAsia="x-none"/>
        </w:rPr>
        <w:t>sulfonilureom</w:t>
      </w:r>
      <w:proofErr w:type="spellEnd"/>
      <w:r w:rsidRPr="003F7E57">
        <w:rPr>
          <w:sz w:val="22"/>
          <w:szCs w:val="22"/>
          <w:lang w:val="sr-Latn-ME" w:eastAsia="x-none"/>
        </w:rPr>
        <w:t xml:space="preserve"> mogu biti izloženi riziku od </w:t>
      </w:r>
      <w:proofErr w:type="spellStart"/>
      <w:r w:rsidRPr="003F7E57">
        <w:rPr>
          <w:sz w:val="22"/>
          <w:szCs w:val="22"/>
          <w:lang w:val="sr-Latn-ME" w:eastAsia="x-none"/>
        </w:rPr>
        <w:t>hipoglikemije</w:t>
      </w:r>
      <w:proofErr w:type="spellEnd"/>
      <w:r w:rsidRPr="003F7E57">
        <w:rPr>
          <w:sz w:val="22"/>
          <w:szCs w:val="22"/>
          <w:lang w:val="sr-Latn-ME" w:eastAsia="x-none"/>
        </w:rPr>
        <w:t xml:space="preserve">. Stoga, niža doza </w:t>
      </w:r>
      <w:proofErr w:type="spellStart"/>
      <w:r w:rsidRPr="003F7E57">
        <w:rPr>
          <w:sz w:val="22"/>
          <w:szCs w:val="22"/>
          <w:lang w:val="sr-Latn-ME" w:eastAsia="x-none"/>
        </w:rPr>
        <w:t>sulfoniluree</w:t>
      </w:r>
      <w:proofErr w:type="spellEnd"/>
      <w:r w:rsidRPr="003F7E57">
        <w:rPr>
          <w:sz w:val="22"/>
          <w:szCs w:val="22"/>
          <w:lang w:val="sr-Latn-ME" w:eastAsia="x-none"/>
        </w:rPr>
        <w:t xml:space="preserve"> se može razmotriti kako bi se smanjio rizik od </w:t>
      </w:r>
      <w:proofErr w:type="spellStart"/>
      <w:r w:rsidRPr="003F7E57">
        <w:rPr>
          <w:sz w:val="22"/>
          <w:szCs w:val="22"/>
          <w:lang w:val="sr-Latn-ME" w:eastAsia="x-none"/>
        </w:rPr>
        <w:t>hipoglikemije</w:t>
      </w:r>
      <w:proofErr w:type="spellEnd"/>
      <w:r w:rsidRPr="003F7E57">
        <w:rPr>
          <w:sz w:val="22"/>
          <w:szCs w:val="22"/>
          <w:lang w:val="sr-Latn-ME" w:eastAsia="x-none"/>
        </w:rPr>
        <w:t>.</w:t>
      </w:r>
    </w:p>
    <w:p w14:paraId="0E13DB87" w14:textId="2AD977C0" w:rsidR="00CF5C69" w:rsidRPr="003F7E57" w:rsidRDefault="00CF5C69">
      <w:pPr>
        <w:tabs>
          <w:tab w:val="left" w:pos="567"/>
        </w:tabs>
        <w:jc w:val="both"/>
        <w:rPr>
          <w:sz w:val="22"/>
          <w:szCs w:val="22"/>
          <w:lang w:val="sr-Latn-ME" w:eastAsia="x-none"/>
        </w:rPr>
      </w:pPr>
    </w:p>
    <w:p w14:paraId="205071B9" w14:textId="77777777" w:rsidR="00CF5C69" w:rsidRPr="003F7E57" w:rsidRDefault="00CF5C69">
      <w:pPr>
        <w:tabs>
          <w:tab w:val="left" w:pos="567"/>
        </w:tabs>
        <w:adjustRightInd w:val="0"/>
        <w:jc w:val="both"/>
        <w:rPr>
          <w:sz w:val="22"/>
          <w:szCs w:val="22"/>
          <w:u w:val="single"/>
          <w:lang w:val="sr-Latn-ME" w:bidi="th-TH"/>
        </w:rPr>
      </w:pPr>
      <w:r w:rsidRPr="003F7E57">
        <w:rPr>
          <w:sz w:val="22"/>
          <w:szCs w:val="22"/>
          <w:u w:val="single"/>
          <w:lang w:val="sr-Latn-ME" w:bidi="th-TH"/>
        </w:rPr>
        <w:t>Hirurški zahvat</w:t>
      </w:r>
    </w:p>
    <w:p w14:paraId="66F5E9EF" w14:textId="1939639F" w:rsidR="00CF5C69" w:rsidRPr="003F7E57" w:rsidRDefault="00CF5C69" w:rsidP="00991A59">
      <w:pPr>
        <w:pStyle w:val="Header"/>
        <w:tabs>
          <w:tab w:val="left" w:pos="284"/>
        </w:tabs>
        <w:jc w:val="both"/>
        <w:rPr>
          <w:noProof/>
          <w:sz w:val="22"/>
          <w:szCs w:val="22"/>
          <w:lang w:val="sr-Latn-ME"/>
        </w:rPr>
      </w:pPr>
      <w:proofErr w:type="spellStart"/>
      <w:r w:rsidRPr="003F7E57">
        <w:rPr>
          <w:sz w:val="22"/>
          <w:szCs w:val="22"/>
          <w:lang w:val="sr-Latn-ME" w:bidi="th-TH"/>
        </w:rPr>
        <w:t>Metformin</w:t>
      </w:r>
      <w:proofErr w:type="spellEnd"/>
      <w:r w:rsidRPr="003F7E57">
        <w:rPr>
          <w:sz w:val="22"/>
          <w:szCs w:val="22"/>
          <w:lang w:val="sr-Latn-ME" w:bidi="th-TH"/>
        </w:rPr>
        <w:t xml:space="preserve"> se mora obustaviti za vrijeme </w:t>
      </w:r>
      <w:proofErr w:type="spellStart"/>
      <w:r w:rsidRPr="003F7E57">
        <w:rPr>
          <w:sz w:val="22"/>
          <w:szCs w:val="22"/>
          <w:lang w:val="sr-Latn-ME" w:bidi="th-TH"/>
        </w:rPr>
        <w:t>hiruškog</w:t>
      </w:r>
      <w:proofErr w:type="spellEnd"/>
      <w:r w:rsidRPr="003F7E57">
        <w:rPr>
          <w:sz w:val="22"/>
          <w:szCs w:val="22"/>
          <w:lang w:val="sr-Latn-ME" w:bidi="th-TH"/>
        </w:rPr>
        <w:t xml:space="preserve"> zahvata pod opštom, spinalnom ili </w:t>
      </w:r>
      <w:proofErr w:type="spellStart"/>
      <w:r w:rsidRPr="003F7E57">
        <w:rPr>
          <w:sz w:val="22"/>
          <w:szCs w:val="22"/>
          <w:lang w:val="sr-Latn-ME" w:bidi="th-TH"/>
        </w:rPr>
        <w:t>epiduralnom</w:t>
      </w:r>
      <w:proofErr w:type="spellEnd"/>
      <w:r w:rsidRPr="003F7E57">
        <w:rPr>
          <w:sz w:val="22"/>
          <w:szCs w:val="22"/>
          <w:lang w:val="sr-Latn-ME" w:bidi="th-TH"/>
        </w:rPr>
        <w:t xml:space="preserve"> anestezijom. Terapija se može ponovo započeti najranije </w:t>
      </w:r>
      <w:proofErr w:type="spellStart"/>
      <w:r w:rsidRPr="003F7E57">
        <w:rPr>
          <w:sz w:val="22"/>
          <w:szCs w:val="22"/>
          <w:lang w:val="sr-Latn-ME" w:bidi="th-TH"/>
        </w:rPr>
        <w:t>48h</w:t>
      </w:r>
      <w:proofErr w:type="spellEnd"/>
      <w:r w:rsidRPr="003F7E57">
        <w:rPr>
          <w:sz w:val="22"/>
          <w:szCs w:val="22"/>
          <w:lang w:val="sr-Latn-ME" w:bidi="th-TH"/>
        </w:rPr>
        <w:t xml:space="preserve"> nakon </w:t>
      </w:r>
      <w:proofErr w:type="spellStart"/>
      <w:r w:rsidRPr="003F7E57">
        <w:rPr>
          <w:sz w:val="22"/>
          <w:szCs w:val="22"/>
          <w:lang w:val="sr-Latn-ME" w:bidi="th-TH"/>
        </w:rPr>
        <w:t>hiruškog</w:t>
      </w:r>
      <w:proofErr w:type="spellEnd"/>
      <w:r w:rsidRPr="003F7E57">
        <w:rPr>
          <w:sz w:val="22"/>
          <w:szCs w:val="22"/>
          <w:lang w:val="sr-Latn-ME" w:bidi="th-TH"/>
        </w:rPr>
        <w:t xml:space="preserve"> zahvata ili kroz nastavak oralne ishrane, i tada samo ako je je </w:t>
      </w:r>
      <w:proofErr w:type="spellStart"/>
      <w:r w:rsidRPr="003F7E57">
        <w:rPr>
          <w:sz w:val="22"/>
          <w:szCs w:val="22"/>
          <w:lang w:val="sr-Latn-ME" w:bidi="th-TH"/>
        </w:rPr>
        <w:t>reevaluirana</w:t>
      </w:r>
      <w:proofErr w:type="spellEnd"/>
      <w:r w:rsidRPr="003F7E57">
        <w:rPr>
          <w:sz w:val="22"/>
          <w:szCs w:val="22"/>
          <w:lang w:val="sr-Latn-ME" w:bidi="th-TH"/>
        </w:rPr>
        <w:t xml:space="preserve"> funkcija bubrega i utvrđeno je da je stabilna.</w:t>
      </w:r>
    </w:p>
    <w:p w14:paraId="7CE331C0" w14:textId="77777777" w:rsidR="00CF5C69" w:rsidRPr="003F7E57" w:rsidRDefault="00CF5C69" w:rsidP="00991A59">
      <w:pPr>
        <w:tabs>
          <w:tab w:val="left" w:pos="540"/>
          <w:tab w:val="left" w:pos="569"/>
        </w:tabs>
        <w:jc w:val="both"/>
        <w:rPr>
          <w:bCs/>
          <w:sz w:val="22"/>
          <w:szCs w:val="22"/>
          <w:lang w:val="sr-Latn-ME"/>
        </w:rPr>
      </w:pPr>
    </w:p>
    <w:p w14:paraId="4220D591" w14:textId="77777777" w:rsidR="00411B4B" w:rsidRPr="003F7E57" w:rsidRDefault="00411B4B" w:rsidP="00CE2D38">
      <w:pPr>
        <w:tabs>
          <w:tab w:val="left" w:pos="540"/>
          <w:tab w:val="left" w:pos="569"/>
        </w:tabs>
        <w:jc w:val="both"/>
        <w:rPr>
          <w:b/>
          <w:bCs/>
          <w:sz w:val="22"/>
          <w:szCs w:val="22"/>
          <w:lang w:val="sr-Latn-ME"/>
        </w:rPr>
      </w:pPr>
      <w:r w:rsidRPr="003F7E57">
        <w:rPr>
          <w:b/>
          <w:bCs/>
          <w:sz w:val="22"/>
          <w:szCs w:val="22"/>
          <w:lang w:val="sr-Latn-ME"/>
        </w:rPr>
        <w:t>4.5.</w:t>
      </w:r>
      <w:r w:rsidR="000D60CC" w:rsidRPr="003F7E57">
        <w:rPr>
          <w:b/>
          <w:bCs/>
          <w:sz w:val="22"/>
          <w:szCs w:val="22"/>
          <w:lang w:val="sr-Latn-ME"/>
        </w:rPr>
        <w:tab/>
      </w:r>
      <w:r w:rsidRPr="003F7E57">
        <w:rPr>
          <w:b/>
          <w:bCs/>
          <w:sz w:val="22"/>
          <w:szCs w:val="22"/>
          <w:lang w:val="sr-Latn-ME"/>
        </w:rPr>
        <w:t>Interakcije sa drugim ljekovima i druge vrste interakcija</w:t>
      </w:r>
    </w:p>
    <w:p w14:paraId="00ADFECF" w14:textId="32F87D00" w:rsidR="0072020E" w:rsidRPr="003F7E57" w:rsidRDefault="0072020E">
      <w:pPr>
        <w:tabs>
          <w:tab w:val="left" w:pos="540"/>
          <w:tab w:val="left" w:pos="569"/>
        </w:tabs>
        <w:jc w:val="both"/>
        <w:rPr>
          <w:bCs/>
          <w:sz w:val="22"/>
          <w:szCs w:val="22"/>
          <w:lang w:val="sr-Latn-ME"/>
        </w:rPr>
      </w:pPr>
    </w:p>
    <w:p w14:paraId="22E8C458" w14:textId="77CC8330" w:rsidR="00CF5C69" w:rsidRPr="003F7E57" w:rsidRDefault="00CF5C69">
      <w:pPr>
        <w:jc w:val="both"/>
        <w:outlineLvl w:val="0"/>
        <w:rPr>
          <w:sz w:val="22"/>
          <w:szCs w:val="22"/>
          <w:lang w:val="sr-Latn-ME"/>
        </w:rPr>
      </w:pPr>
      <w:r w:rsidRPr="003F7E57">
        <w:rPr>
          <w:sz w:val="22"/>
          <w:szCs w:val="22"/>
          <w:lang w:val="sr-Latn-ME"/>
        </w:rPr>
        <w:t xml:space="preserve">Nijesu sprovedena formalna ispitivanja interakcija za lijek </w:t>
      </w:r>
      <w:proofErr w:type="spellStart"/>
      <w:r w:rsidRPr="003F7E57">
        <w:rPr>
          <w:sz w:val="22"/>
          <w:szCs w:val="22"/>
          <w:lang w:val="sr-Latn-ME"/>
        </w:rPr>
        <w:t>Eucreas</w:t>
      </w:r>
      <w:proofErr w:type="spellEnd"/>
      <w:r w:rsidRPr="003F7E57">
        <w:rPr>
          <w:sz w:val="22"/>
          <w:szCs w:val="22"/>
          <w:lang w:val="sr-Latn-ME"/>
        </w:rPr>
        <w:t>. Sljedeći navodi odražavaju informacije dostupne za svaku pojedinačnu aktivnu supstancu.</w:t>
      </w:r>
    </w:p>
    <w:p w14:paraId="01E0325C" w14:textId="38F0AE1E" w:rsidR="00CF5C69" w:rsidRPr="003F7E57" w:rsidRDefault="00CF5C69">
      <w:pPr>
        <w:tabs>
          <w:tab w:val="left" w:pos="540"/>
          <w:tab w:val="left" w:pos="569"/>
        </w:tabs>
        <w:jc w:val="both"/>
        <w:rPr>
          <w:bCs/>
          <w:sz w:val="22"/>
          <w:szCs w:val="22"/>
          <w:lang w:val="sr-Latn-ME"/>
        </w:rPr>
      </w:pPr>
    </w:p>
    <w:p w14:paraId="3BCF3081" w14:textId="77777777" w:rsidR="00CF5C69" w:rsidRPr="003F7E57" w:rsidRDefault="00CF5C69">
      <w:pPr>
        <w:autoSpaceDE w:val="0"/>
        <w:autoSpaceDN w:val="0"/>
        <w:adjustRightInd w:val="0"/>
        <w:jc w:val="both"/>
        <w:rPr>
          <w:sz w:val="22"/>
          <w:szCs w:val="22"/>
          <w:u w:val="single"/>
          <w:lang w:val="sr-Latn-ME" w:bidi="th-TH"/>
        </w:rPr>
      </w:pPr>
      <w:proofErr w:type="spellStart"/>
      <w:r w:rsidRPr="003F7E57">
        <w:rPr>
          <w:sz w:val="22"/>
          <w:szCs w:val="22"/>
          <w:u w:val="single"/>
          <w:lang w:val="sr-Latn-ME" w:bidi="th-TH"/>
        </w:rPr>
        <w:t>Vildagliptin</w:t>
      </w:r>
      <w:proofErr w:type="spellEnd"/>
    </w:p>
    <w:p w14:paraId="168497F6" w14:textId="77777777" w:rsidR="00CF5C69" w:rsidRPr="003F7E57" w:rsidRDefault="00CF5C69">
      <w:pPr>
        <w:tabs>
          <w:tab w:val="left" w:pos="567"/>
        </w:tabs>
        <w:autoSpaceDE w:val="0"/>
        <w:autoSpaceDN w:val="0"/>
        <w:adjustRightInd w:val="0"/>
        <w:jc w:val="both"/>
        <w:rPr>
          <w:noProof/>
          <w:sz w:val="22"/>
          <w:szCs w:val="22"/>
          <w:lang w:val="sr-Latn-ME"/>
        </w:rPr>
      </w:pPr>
      <w:r w:rsidRPr="003F7E57">
        <w:rPr>
          <w:noProof/>
          <w:sz w:val="22"/>
          <w:szCs w:val="22"/>
          <w:lang w:val="sr-Latn-ME"/>
        </w:rPr>
        <w:t>Vildagliptin ima nizak potencijal za interakcije sa ljekovima sa kojima se istovremeno primjenjuje. S obzirom da vildagliptin nije supstrat enzima citrohroma P (CYP) 450 i ne inhibira niti indukuje CYP 450 enzime, nije vjerovatno da će ući u interakciju sa aktivnim supstancama koje su supstrati, inhibitori ili induktori tih enzima.</w:t>
      </w:r>
    </w:p>
    <w:p w14:paraId="04549470" w14:textId="44E73EAC" w:rsidR="00CF5C69" w:rsidRPr="003F7E57" w:rsidRDefault="00CF5C69" w:rsidP="00991A59">
      <w:pPr>
        <w:tabs>
          <w:tab w:val="left" w:pos="540"/>
          <w:tab w:val="left" w:pos="569"/>
        </w:tabs>
        <w:jc w:val="both"/>
        <w:rPr>
          <w:bCs/>
          <w:sz w:val="22"/>
          <w:szCs w:val="22"/>
          <w:lang w:val="sr-Latn-ME"/>
        </w:rPr>
      </w:pPr>
    </w:p>
    <w:p w14:paraId="765C26D8" w14:textId="14CF6CBD" w:rsidR="00CF5C69" w:rsidRPr="003F7E57" w:rsidRDefault="00CF5C69" w:rsidP="00CE2D38">
      <w:pPr>
        <w:tabs>
          <w:tab w:val="left" w:pos="540"/>
          <w:tab w:val="left" w:pos="569"/>
        </w:tabs>
        <w:jc w:val="both"/>
        <w:rPr>
          <w:sz w:val="22"/>
          <w:szCs w:val="22"/>
          <w:lang w:val="sr-Latn-ME"/>
        </w:rPr>
      </w:pPr>
      <w:r w:rsidRPr="003F7E57">
        <w:rPr>
          <w:sz w:val="22"/>
          <w:szCs w:val="22"/>
          <w:lang w:val="sr-Latn-ME"/>
        </w:rPr>
        <w:t xml:space="preserve">Rezultati kliničkih ispitivanja sprovedenih sa oralnim </w:t>
      </w:r>
      <w:proofErr w:type="spellStart"/>
      <w:r w:rsidRPr="003F7E57">
        <w:rPr>
          <w:sz w:val="22"/>
          <w:szCs w:val="22"/>
          <w:lang w:val="sr-Latn-ME"/>
        </w:rPr>
        <w:t>antidijabeticima</w:t>
      </w:r>
      <w:proofErr w:type="spellEnd"/>
      <w:r w:rsidRPr="003F7E57">
        <w:rPr>
          <w:sz w:val="22"/>
          <w:szCs w:val="22"/>
          <w:lang w:val="sr-Latn-ME"/>
        </w:rPr>
        <w:t xml:space="preserve"> </w:t>
      </w:r>
      <w:proofErr w:type="spellStart"/>
      <w:r w:rsidRPr="003F7E57">
        <w:rPr>
          <w:sz w:val="22"/>
          <w:szCs w:val="22"/>
          <w:lang w:val="sr-Latn-ME"/>
        </w:rPr>
        <w:t>pioglitazonom</w:t>
      </w:r>
      <w:proofErr w:type="spellEnd"/>
      <w:r w:rsidRPr="003F7E57">
        <w:rPr>
          <w:sz w:val="22"/>
          <w:szCs w:val="22"/>
          <w:lang w:val="sr-Latn-ME"/>
        </w:rPr>
        <w:t xml:space="preserve">, </w:t>
      </w:r>
      <w:proofErr w:type="spellStart"/>
      <w:r w:rsidRPr="003F7E57">
        <w:rPr>
          <w:sz w:val="22"/>
          <w:szCs w:val="22"/>
          <w:lang w:val="sr-Latn-ME"/>
        </w:rPr>
        <w:t>metforminom</w:t>
      </w:r>
      <w:proofErr w:type="spellEnd"/>
      <w:r w:rsidRPr="003F7E57">
        <w:rPr>
          <w:sz w:val="22"/>
          <w:szCs w:val="22"/>
          <w:lang w:val="sr-Latn-ME"/>
        </w:rPr>
        <w:t xml:space="preserve"> i </w:t>
      </w:r>
      <w:proofErr w:type="spellStart"/>
      <w:r w:rsidRPr="003F7E57">
        <w:rPr>
          <w:sz w:val="22"/>
          <w:szCs w:val="22"/>
          <w:lang w:val="sr-Latn-ME"/>
        </w:rPr>
        <w:t>gliburidom</w:t>
      </w:r>
      <w:proofErr w:type="spellEnd"/>
      <w:r w:rsidRPr="003F7E57">
        <w:rPr>
          <w:sz w:val="22"/>
          <w:szCs w:val="22"/>
          <w:lang w:val="sr-Latn-ME"/>
        </w:rPr>
        <w:t xml:space="preserve"> u kombinaciji sa </w:t>
      </w:r>
      <w:proofErr w:type="spellStart"/>
      <w:r w:rsidRPr="003F7E57">
        <w:rPr>
          <w:sz w:val="22"/>
          <w:szCs w:val="22"/>
          <w:lang w:val="sr-Latn-ME"/>
        </w:rPr>
        <w:t>vildagliptinom</w:t>
      </w:r>
      <w:proofErr w:type="spellEnd"/>
      <w:r w:rsidRPr="003F7E57">
        <w:rPr>
          <w:sz w:val="22"/>
          <w:szCs w:val="22"/>
          <w:lang w:val="sr-Latn-ME"/>
        </w:rPr>
        <w:t xml:space="preserve"> nijesu pokazali klinički značajne </w:t>
      </w:r>
      <w:proofErr w:type="spellStart"/>
      <w:r w:rsidRPr="003F7E57">
        <w:rPr>
          <w:sz w:val="22"/>
          <w:szCs w:val="22"/>
          <w:lang w:val="sr-Latn-ME"/>
        </w:rPr>
        <w:t>farmakokinetičke</w:t>
      </w:r>
      <w:proofErr w:type="spellEnd"/>
      <w:r w:rsidRPr="003F7E57">
        <w:rPr>
          <w:sz w:val="22"/>
          <w:szCs w:val="22"/>
          <w:lang w:val="sr-Latn-ME"/>
        </w:rPr>
        <w:t xml:space="preserve"> interakcije u ciljnoj populaciji.</w:t>
      </w:r>
    </w:p>
    <w:p w14:paraId="748B48F4" w14:textId="1E7A9E9F" w:rsidR="00CF5C69" w:rsidRPr="003F7E57" w:rsidRDefault="00CF5C69">
      <w:pPr>
        <w:tabs>
          <w:tab w:val="left" w:pos="540"/>
          <w:tab w:val="left" w:pos="569"/>
        </w:tabs>
        <w:jc w:val="both"/>
        <w:rPr>
          <w:sz w:val="22"/>
          <w:szCs w:val="22"/>
          <w:lang w:val="sr-Latn-ME"/>
        </w:rPr>
      </w:pPr>
    </w:p>
    <w:p w14:paraId="3B8D409B" w14:textId="77777777" w:rsidR="00CF5C69" w:rsidRPr="003F7E57" w:rsidRDefault="00CF5C69">
      <w:pPr>
        <w:widowControl w:val="0"/>
        <w:adjustRightInd w:val="0"/>
        <w:jc w:val="both"/>
        <w:textAlignment w:val="baseline"/>
        <w:rPr>
          <w:sz w:val="22"/>
          <w:szCs w:val="22"/>
          <w:lang w:val="sr-Latn-ME"/>
        </w:rPr>
      </w:pPr>
      <w:r w:rsidRPr="003F7E57">
        <w:rPr>
          <w:sz w:val="22"/>
          <w:szCs w:val="22"/>
          <w:lang w:val="sr-Latn-ME"/>
        </w:rPr>
        <w:t xml:space="preserve">Ispitivanja interakcija među ljekovima sa </w:t>
      </w:r>
      <w:proofErr w:type="spellStart"/>
      <w:r w:rsidRPr="003F7E57">
        <w:rPr>
          <w:sz w:val="22"/>
          <w:szCs w:val="22"/>
          <w:lang w:val="sr-Latn-ME"/>
        </w:rPr>
        <w:t>digoksinom</w:t>
      </w:r>
      <w:proofErr w:type="spellEnd"/>
      <w:r w:rsidRPr="003F7E57">
        <w:rPr>
          <w:sz w:val="22"/>
          <w:szCs w:val="22"/>
          <w:lang w:val="sr-Latn-ME"/>
        </w:rPr>
        <w:t xml:space="preserve"> (P-</w:t>
      </w:r>
      <w:proofErr w:type="spellStart"/>
      <w:r w:rsidRPr="003F7E57">
        <w:rPr>
          <w:sz w:val="22"/>
          <w:szCs w:val="22"/>
          <w:lang w:val="sr-Latn-ME"/>
        </w:rPr>
        <w:t>glikoproteinski</w:t>
      </w:r>
      <w:proofErr w:type="spellEnd"/>
      <w:r w:rsidRPr="003F7E57">
        <w:rPr>
          <w:sz w:val="22"/>
          <w:szCs w:val="22"/>
          <w:lang w:val="sr-Latn-ME"/>
        </w:rPr>
        <w:t xml:space="preserve"> supstrat) i </w:t>
      </w:r>
      <w:proofErr w:type="spellStart"/>
      <w:r w:rsidRPr="003F7E57">
        <w:rPr>
          <w:sz w:val="22"/>
          <w:szCs w:val="22"/>
          <w:lang w:val="sr-Latn-ME"/>
        </w:rPr>
        <w:t>varfarinom</w:t>
      </w:r>
      <w:proofErr w:type="spellEnd"/>
      <w:r w:rsidRPr="003F7E57">
        <w:rPr>
          <w:sz w:val="22"/>
          <w:szCs w:val="22"/>
          <w:lang w:val="sr-Latn-ME"/>
        </w:rPr>
        <w:t xml:space="preserve"> (</w:t>
      </w:r>
      <w:proofErr w:type="spellStart"/>
      <w:r w:rsidRPr="003F7E57">
        <w:rPr>
          <w:sz w:val="22"/>
          <w:szCs w:val="22"/>
          <w:lang w:val="sr-Latn-ME"/>
        </w:rPr>
        <w:t>CYP2C9</w:t>
      </w:r>
      <w:proofErr w:type="spellEnd"/>
      <w:r w:rsidRPr="003F7E57">
        <w:rPr>
          <w:sz w:val="22"/>
          <w:szCs w:val="22"/>
          <w:lang w:val="sr-Latn-ME"/>
        </w:rPr>
        <w:t xml:space="preserve"> supstrat) na zdravim ispitanicima nijesu pokazala klinički značajne </w:t>
      </w:r>
      <w:proofErr w:type="spellStart"/>
      <w:r w:rsidRPr="003F7E57">
        <w:rPr>
          <w:sz w:val="22"/>
          <w:szCs w:val="22"/>
          <w:lang w:val="sr-Latn-ME"/>
        </w:rPr>
        <w:t>farmakokinetičke</w:t>
      </w:r>
      <w:proofErr w:type="spellEnd"/>
      <w:r w:rsidRPr="003F7E57">
        <w:rPr>
          <w:sz w:val="22"/>
          <w:szCs w:val="22"/>
          <w:lang w:val="sr-Latn-ME"/>
        </w:rPr>
        <w:t xml:space="preserve"> interakcije nakon istovremene primjene sa </w:t>
      </w:r>
      <w:proofErr w:type="spellStart"/>
      <w:r w:rsidRPr="003F7E57">
        <w:rPr>
          <w:sz w:val="22"/>
          <w:szCs w:val="22"/>
          <w:lang w:val="sr-Latn-ME"/>
        </w:rPr>
        <w:t>vildagliptinom</w:t>
      </w:r>
      <w:proofErr w:type="spellEnd"/>
      <w:r w:rsidRPr="003F7E57">
        <w:rPr>
          <w:sz w:val="22"/>
          <w:szCs w:val="22"/>
          <w:lang w:val="sr-Latn-ME"/>
        </w:rPr>
        <w:t>.</w:t>
      </w:r>
    </w:p>
    <w:p w14:paraId="34F45ABE" w14:textId="77777777" w:rsidR="00CF5C69" w:rsidRPr="003F7E57" w:rsidRDefault="00CF5C69">
      <w:pPr>
        <w:tabs>
          <w:tab w:val="left" w:pos="567"/>
        </w:tabs>
        <w:autoSpaceDE w:val="0"/>
        <w:autoSpaceDN w:val="0"/>
        <w:jc w:val="both"/>
        <w:rPr>
          <w:sz w:val="22"/>
          <w:szCs w:val="22"/>
          <w:lang w:val="sr-Latn-ME"/>
        </w:rPr>
      </w:pPr>
    </w:p>
    <w:p w14:paraId="1D49FC19" w14:textId="77777777" w:rsidR="00CF5C69" w:rsidRPr="003F7E57" w:rsidRDefault="00CF5C69">
      <w:pPr>
        <w:tabs>
          <w:tab w:val="left" w:pos="567"/>
        </w:tabs>
        <w:adjustRightInd w:val="0"/>
        <w:jc w:val="both"/>
        <w:rPr>
          <w:sz w:val="22"/>
          <w:szCs w:val="22"/>
          <w:lang w:val="sr-Latn-ME"/>
        </w:rPr>
      </w:pPr>
      <w:r w:rsidRPr="003F7E57">
        <w:rPr>
          <w:sz w:val="22"/>
          <w:szCs w:val="22"/>
          <w:lang w:val="sr-Latn-ME"/>
        </w:rPr>
        <w:t xml:space="preserve">Ispitivanja interakcija među ljekovima kod zdravih ispitanika sprovedena su sa </w:t>
      </w:r>
      <w:proofErr w:type="spellStart"/>
      <w:r w:rsidRPr="003F7E57">
        <w:rPr>
          <w:sz w:val="22"/>
          <w:szCs w:val="22"/>
          <w:lang w:val="sr-Latn-ME"/>
        </w:rPr>
        <w:t>amlodipinom</w:t>
      </w:r>
      <w:proofErr w:type="spellEnd"/>
      <w:r w:rsidRPr="003F7E57">
        <w:rPr>
          <w:sz w:val="22"/>
          <w:szCs w:val="22"/>
          <w:lang w:val="sr-Latn-ME"/>
        </w:rPr>
        <w:t xml:space="preserve">, </w:t>
      </w:r>
      <w:proofErr w:type="spellStart"/>
      <w:r w:rsidRPr="003F7E57">
        <w:rPr>
          <w:sz w:val="22"/>
          <w:szCs w:val="22"/>
          <w:lang w:val="sr-Latn-ME"/>
        </w:rPr>
        <w:t>ramiprilom</w:t>
      </w:r>
      <w:proofErr w:type="spellEnd"/>
      <w:r w:rsidRPr="003F7E57">
        <w:rPr>
          <w:sz w:val="22"/>
          <w:szCs w:val="22"/>
          <w:lang w:val="sr-Latn-ME"/>
        </w:rPr>
        <w:t xml:space="preserve">, </w:t>
      </w:r>
      <w:proofErr w:type="spellStart"/>
      <w:r w:rsidRPr="003F7E57">
        <w:rPr>
          <w:sz w:val="22"/>
          <w:szCs w:val="22"/>
          <w:lang w:val="sr-Latn-ME"/>
        </w:rPr>
        <w:t>valsartanom</w:t>
      </w:r>
      <w:proofErr w:type="spellEnd"/>
      <w:r w:rsidRPr="003F7E57">
        <w:rPr>
          <w:sz w:val="22"/>
          <w:szCs w:val="22"/>
          <w:lang w:val="sr-Latn-ME"/>
        </w:rPr>
        <w:t xml:space="preserve"> i </w:t>
      </w:r>
      <w:proofErr w:type="spellStart"/>
      <w:r w:rsidRPr="003F7E57">
        <w:rPr>
          <w:sz w:val="22"/>
          <w:szCs w:val="22"/>
          <w:lang w:val="sr-Latn-ME"/>
        </w:rPr>
        <w:t>simvastatinom</w:t>
      </w:r>
      <w:proofErr w:type="spellEnd"/>
      <w:r w:rsidRPr="003F7E57">
        <w:rPr>
          <w:sz w:val="22"/>
          <w:szCs w:val="22"/>
          <w:lang w:val="sr-Latn-ME"/>
        </w:rPr>
        <w:t xml:space="preserve">. U ovim ispitivanjima nijesu zapažene nikakve klinički značajne </w:t>
      </w:r>
      <w:proofErr w:type="spellStart"/>
      <w:r w:rsidRPr="003F7E57">
        <w:rPr>
          <w:sz w:val="22"/>
          <w:szCs w:val="22"/>
          <w:lang w:val="sr-Latn-ME"/>
        </w:rPr>
        <w:t>farmakokinetičke</w:t>
      </w:r>
      <w:proofErr w:type="spellEnd"/>
      <w:r w:rsidRPr="003F7E57">
        <w:rPr>
          <w:sz w:val="22"/>
          <w:szCs w:val="22"/>
          <w:lang w:val="sr-Latn-ME"/>
        </w:rPr>
        <w:t xml:space="preserve"> interakcije poslije istovremene primjene sa </w:t>
      </w:r>
      <w:proofErr w:type="spellStart"/>
      <w:r w:rsidRPr="003F7E57">
        <w:rPr>
          <w:sz w:val="22"/>
          <w:szCs w:val="22"/>
          <w:lang w:val="sr-Latn-ME"/>
        </w:rPr>
        <w:t>vildagliptinom</w:t>
      </w:r>
      <w:proofErr w:type="spellEnd"/>
      <w:r w:rsidRPr="003F7E57">
        <w:rPr>
          <w:sz w:val="22"/>
          <w:szCs w:val="22"/>
          <w:lang w:val="sr-Latn-ME"/>
        </w:rPr>
        <w:t>. Ovo, međutim, nije ustanovljeno u ciljnoj populaciji.</w:t>
      </w:r>
    </w:p>
    <w:p w14:paraId="6123F57A" w14:textId="57E6D3F3" w:rsidR="00CF5C69" w:rsidRPr="003F7E57" w:rsidRDefault="00CF5C69" w:rsidP="00991A59">
      <w:pPr>
        <w:tabs>
          <w:tab w:val="left" w:pos="540"/>
          <w:tab w:val="left" w:pos="569"/>
        </w:tabs>
        <w:jc w:val="both"/>
        <w:rPr>
          <w:bCs/>
          <w:sz w:val="22"/>
          <w:szCs w:val="22"/>
          <w:lang w:val="sr-Latn-ME"/>
        </w:rPr>
      </w:pPr>
    </w:p>
    <w:p w14:paraId="287BDF47" w14:textId="77777777" w:rsidR="00CF5C69" w:rsidRPr="003F7E57" w:rsidRDefault="00CF5C69" w:rsidP="00CE2D38">
      <w:pPr>
        <w:tabs>
          <w:tab w:val="left" w:pos="567"/>
        </w:tabs>
        <w:autoSpaceDE w:val="0"/>
        <w:autoSpaceDN w:val="0"/>
        <w:adjustRightInd w:val="0"/>
        <w:jc w:val="both"/>
        <w:rPr>
          <w:i/>
          <w:noProof/>
          <w:sz w:val="22"/>
          <w:szCs w:val="22"/>
          <w:u w:val="single"/>
          <w:lang w:val="sr-Latn-ME"/>
        </w:rPr>
      </w:pPr>
      <w:r w:rsidRPr="003F7E57">
        <w:rPr>
          <w:i/>
          <w:noProof/>
          <w:sz w:val="22"/>
          <w:szCs w:val="22"/>
          <w:u w:val="single"/>
          <w:lang w:val="sr-Latn-ME"/>
        </w:rPr>
        <w:t>Kombinacija sa ACE inhibitorima</w:t>
      </w:r>
    </w:p>
    <w:p w14:paraId="33316BA7" w14:textId="6DC9CD79" w:rsidR="00CF5C69" w:rsidRPr="003F7E57" w:rsidRDefault="00CF5C69">
      <w:pPr>
        <w:tabs>
          <w:tab w:val="left" w:pos="567"/>
        </w:tabs>
        <w:autoSpaceDE w:val="0"/>
        <w:autoSpaceDN w:val="0"/>
        <w:adjustRightInd w:val="0"/>
        <w:jc w:val="both"/>
        <w:rPr>
          <w:noProof/>
          <w:sz w:val="22"/>
          <w:szCs w:val="22"/>
          <w:lang w:val="sr-Latn-ME"/>
        </w:rPr>
      </w:pPr>
      <w:r w:rsidRPr="003F7E57">
        <w:rPr>
          <w:noProof/>
          <w:sz w:val="22"/>
          <w:szCs w:val="22"/>
          <w:lang w:val="sr-Latn-ME"/>
        </w:rPr>
        <w:t xml:space="preserve">Može postojati povećani rizik od angioedema kod pacijenata koji istovremeno uzimaju ACE inhibitore (vidjeti </w:t>
      </w:r>
      <w:r w:rsidR="00522F79" w:rsidRPr="003F7E57">
        <w:rPr>
          <w:noProof/>
          <w:sz w:val="22"/>
          <w:szCs w:val="22"/>
          <w:lang w:val="sr-Latn-ME"/>
        </w:rPr>
        <w:t xml:space="preserve">dio </w:t>
      </w:r>
      <w:r w:rsidRPr="003F7E57">
        <w:rPr>
          <w:noProof/>
          <w:sz w:val="22"/>
          <w:szCs w:val="22"/>
          <w:lang w:val="sr-Latn-ME"/>
        </w:rPr>
        <w:t>4.8).</w:t>
      </w:r>
    </w:p>
    <w:p w14:paraId="09FBBCBD" w14:textId="77777777" w:rsidR="00CF5C69" w:rsidRPr="003F7E57" w:rsidRDefault="00CF5C69" w:rsidP="00991A59">
      <w:pPr>
        <w:tabs>
          <w:tab w:val="left" w:pos="567"/>
        </w:tabs>
        <w:autoSpaceDE w:val="0"/>
        <w:autoSpaceDN w:val="0"/>
        <w:adjustRightInd w:val="0"/>
        <w:jc w:val="both"/>
        <w:rPr>
          <w:noProof/>
          <w:sz w:val="22"/>
          <w:szCs w:val="22"/>
          <w:lang w:val="sr-Latn-ME"/>
        </w:rPr>
      </w:pPr>
    </w:p>
    <w:p w14:paraId="198454B0" w14:textId="77777777" w:rsidR="00CF5C69" w:rsidRPr="003F7E57" w:rsidRDefault="00CF5C69" w:rsidP="00CE2D38">
      <w:pPr>
        <w:tabs>
          <w:tab w:val="left" w:pos="567"/>
        </w:tabs>
        <w:autoSpaceDE w:val="0"/>
        <w:autoSpaceDN w:val="0"/>
        <w:adjustRightInd w:val="0"/>
        <w:jc w:val="both"/>
        <w:rPr>
          <w:noProof/>
          <w:sz w:val="22"/>
          <w:szCs w:val="22"/>
          <w:lang w:val="sr-Latn-ME"/>
        </w:rPr>
      </w:pPr>
      <w:r w:rsidRPr="003F7E57">
        <w:rPr>
          <w:noProof/>
          <w:sz w:val="22"/>
          <w:szCs w:val="22"/>
          <w:lang w:val="sr-Latn-ME"/>
        </w:rPr>
        <w:t>Kao i sa drugim oralnim antidijabeticima, određene aktivne supstance, uključujući tiazide, kortikosteroide, ljekove za liječenje štitaste žlezde i simpatomimetike, mogu smanjiti hipoglikemijski efekat vildagliptina.</w:t>
      </w:r>
    </w:p>
    <w:p w14:paraId="79607480" w14:textId="0F112846" w:rsidR="00CA6FA3" w:rsidRPr="003F7E57" w:rsidRDefault="00CA6FA3" w:rsidP="000B7131">
      <w:pPr>
        <w:jc w:val="both"/>
        <w:outlineLvl w:val="0"/>
        <w:rPr>
          <w:bCs/>
          <w:sz w:val="22"/>
          <w:szCs w:val="22"/>
          <w:u w:val="single"/>
          <w:lang w:val="sr-Latn-ME"/>
        </w:rPr>
      </w:pPr>
    </w:p>
    <w:p w14:paraId="7F074789" w14:textId="548E7D0E" w:rsidR="00CF5C69" w:rsidRPr="003F7E57" w:rsidRDefault="00CF5C69">
      <w:pPr>
        <w:ind w:left="567" w:hanging="567"/>
        <w:jc w:val="both"/>
        <w:outlineLvl w:val="0"/>
        <w:rPr>
          <w:bCs/>
          <w:sz w:val="22"/>
          <w:szCs w:val="22"/>
          <w:u w:val="single"/>
          <w:lang w:val="sr-Latn-ME"/>
        </w:rPr>
      </w:pPr>
      <w:proofErr w:type="spellStart"/>
      <w:r w:rsidRPr="003F7E57">
        <w:rPr>
          <w:bCs/>
          <w:sz w:val="22"/>
          <w:szCs w:val="22"/>
          <w:u w:val="single"/>
          <w:lang w:val="sr-Latn-ME"/>
        </w:rPr>
        <w:t>Metformin</w:t>
      </w:r>
      <w:proofErr w:type="spellEnd"/>
    </w:p>
    <w:p w14:paraId="47655F3E" w14:textId="77777777" w:rsidR="00CA6FA3" w:rsidRPr="003F7E57" w:rsidRDefault="00CA6FA3">
      <w:pPr>
        <w:ind w:left="567" w:hanging="567"/>
        <w:jc w:val="both"/>
        <w:outlineLvl w:val="0"/>
        <w:rPr>
          <w:bCs/>
          <w:sz w:val="22"/>
          <w:szCs w:val="22"/>
          <w:u w:val="single"/>
          <w:lang w:val="sr-Latn-ME"/>
        </w:rPr>
      </w:pPr>
    </w:p>
    <w:p w14:paraId="55504542" w14:textId="4AE15B9B" w:rsidR="00CF5C69" w:rsidRPr="003F7E57" w:rsidRDefault="00CF5C69">
      <w:pPr>
        <w:tabs>
          <w:tab w:val="left" w:pos="567"/>
        </w:tabs>
        <w:jc w:val="both"/>
        <w:rPr>
          <w:i/>
          <w:noProof/>
          <w:sz w:val="22"/>
          <w:szCs w:val="22"/>
          <w:u w:val="single"/>
          <w:lang w:val="sr-Latn-ME"/>
        </w:rPr>
      </w:pPr>
      <w:r w:rsidRPr="003F7E57">
        <w:rPr>
          <w:i/>
          <w:noProof/>
          <w:sz w:val="22"/>
          <w:szCs w:val="22"/>
          <w:u w:val="single"/>
          <w:lang w:val="sr-Latn-ME"/>
        </w:rPr>
        <w:t>Kombinacije koje se ne preporučuju</w:t>
      </w:r>
    </w:p>
    <w:p w14:paraId="4284325C" w14:textId="77777777" w:rsidR="000B7131" w:rsidRPr="003F7E57" w:rsidRDefault="000B7131">
      <w:pPr>
        <w:tabs>
          <w:tab w:val="left" w:pos="567"/>
        </w:tabs>
        <w:jc w:val="both"/>
        <w:rPr>
          <w:noProof/>
          <w:sz w:val="22"/>
          <w:szCs w:val="22"/>
          <w:u w:val="single"/>
          <w:lang w:val="sr-Latn-ME"/>
        </w:rPr>
      </w:pPr>
    </w:p>
    <w:p w14:paraId="037DE3CD" w14:textId="77777777" w:rsidR="00CF5C69" w:rsidRPr="003F7E57" w:rsidRDefault="00CF5C69">
      <w:pPr>
        <w:tabs>
          <w:tab w:val="left" w:pos="567"/>
        </w:tabs>
        <w:jc w:val="both"/>
        <w:rPr>
          <w:i/>
          <w:noProof/>
          <w:sz w:val="22"/>
          <w:szCs w:val="22"/>
          <w:u w:val="single"/>
          <w:lang w:val="sr-Latn-ME"/>
        </w:rPr>
      </w:pPr>
      <w:r w:rsidRPr="003F7E57">
        <w:rPr>
          <w:i/>
          <w:noProof/>
          <w:sz w:val="22"/>
          <w:szCs w:val="22"/>
          <w:u w:val="single"/>
          <w:lang w:val="sr-Latn-ME"/>
        </w:rPr>
        <w:t>Alkohol</w:t>
      </w:r>
    </w:p>
    <w:p w14:paraId="0F98D564" w14:textId="77777777" w:rsidR="00CF5C69" w:rsidRPr="003F7E57" w:rsidRDefault="00CF5C69">
      <w:pPr>
        <w:tabs>
          <w:tab w:val="left" w:pos="567"/>
        </w:tabs>
        <w:jc w:val="both"/>
        <w:rPr>
          <w:noProof/>
          <w:sz w:val="22"/>
          <w:szCs w:val="22"/>
          <w:lang w:val="sr-Latn-ME"/>
        </w:rPr>
      </w:pPr>
      <w:r w:rsidRPr="003F7E57">
        <w:rPr>
          <w:noProof/>
          <w:sz w:val="22"/>
          <w:szCs w:val="22"/>
          <w:lang w:val="sr-Latn-ME"/>
        </w:rPr>
        <w:t>Intoksikacija alkoholom je u vezi sa povećanim rizikom od laktatne acidoze, naročito u slučajevima posta, malnutricije ili insuficijencije jetre.</w:t>
      </w:r>
    </w:p>
    <w:p w14:paraId="753F0D5B" w14:textId="77777777" w:rsidR="00CF5C69" w:rsidRPr="003F7E57" w:rsidRDefault="00CF5C69">
      <w:pPr>
        <w:tabs>
          <w:tab w:val="left" w:pos="567"/>
        </w:tabs>
        <w:jc w:val="both"/>
        <w:rPr>
          <w:i/>
          <w:noProof/>
          <w:sz w:val="22"/>
          <w:szCs w:val="22"/>
          <w:lang w:val="sr-Latn-ME"/>
        </w:rPr>
      </w:pPr>
    </w:p>
    <w:p w14:paraId="0EF04676" w14:textId="77777777" w:rsidR="00CF5C69" w:rsidRPr="003F7E57" w:rsidRDefault="00CF5C69">
      <w:pPr>
        <w:tabs>
          <w:tab w:val="left" w:pos="567"/>
        </w:tabs>
        <w:jc w:val="both"/>
        <w:rPr>
          <w:i/>
          <w:noProof/>
          <w:sz w:val="22"/>
          <w:szCs w:val="22"/>
          <w:lang w:val="sr-Latn-ME"/>
        </w:rPr>
      </w:pPr>
      <w:r w:rsidRPr="003F7E57">
        <w:rPr>
          <w:i/>
          <w:noProof/>
          <w:sz w:val="22"/>
          <w:szCs w:val="22"/>
          <w:lang w:val="sr-Latn-ME"/>
        </w:rPr>
        <w:t>Kontrastna sredstva sa jodom</w:t>
      </w:r>
    </w:p>
    <w:p w14:paraId="32CBCDA6" w14:textId="71DC9DA1" w:rsidR="00CF5C69" w:rsidRPr="003F7E57" w:rsidRDefault="00CF5C69">
      <w:pPr>
        <w:tabs>
          <w:tab w:val="left" w:pos="567"/>
        </w:tabs>
        <w:jc w:val="both"/>
        <w:rPr>
          <w:noProof/>
          <w:sz w:val="22"/>
          <w:szCs w:val="22"/>
          <w:lang w:val="sr-Latn-ME"/>
        </w:rPr>
      </w:pPr>
      <w:r w:rsidRPr="003F7E57">
        <w:rPr>
          <w:noProof/>
          <w:sz w:val="22"/>
          <w:szCs w:val="22"/>
          <w:lang w:val="sr-Latn-ME"/>
        </w:rPr>
        <w:t xml:space="preserve">Metformin se mora obustaviti prije ili za vrijeme procedura snimanja i ne započinjati ponovo terapiju najmanje 48 sati nakon, i tada samo ako je reevaluirana funkcija bubrega i utvrđeno je da je stabilna (vidjeti </w:t>
      </w:r>
      <w:r w:rsidR="00522F79" w:rsidRPr="003F7E57">
        <w:rPr>
          <w:noProof/>
          <w:sz w:val="22"/>
          <w:szCs w:val="22"/>
          <w:lang w:val="sr-Latn-ME"/>
        </w:rPr>
        <w:t xml:space="preserve">dijelove </w:t>
      </w:r>
      <w:r w:rsidRPr="003F7E57">
        <w:rPr>
          <w:noProof/>
          <w:sz w:val="22"/>
          <w:szCs w:val="22"/>
          <w:lang w:val="sr-Latn-ME"/>
        </w:rPr>
        <w:t>4.2 i 4.4).</w:t>
      </w:r>
    </w:p>
    <w:p w14:paraId="2B0C24E5" w14:textId="77777777" w:rsidR="00CF5C69" w:rsidRPr="003F7E57" w:rsidRDefault="00CF5C69" w:rsidP="00991A59">
      <w:pPr>
        <w:jc w:val="both"/>
        <w:rPr>
          <w:sz w:val="22"/>
          <w:szCs w:val="22"/>
          <w:lang w:val="sr-Latn-ME"/>
        </w:rPr>
      </w:pPr>
    </w:p>
    <w:p w14:paraId="11409AC4" w14:textId="77777777" w:rsidR="00CF5C69" w:rsidRPr="003F7E57" w:rsidRDefault="00CF5C69" w:rsidP="00CE2D38">
      <w:pPr>
        <w:jc w:val="both"/>
        <w:rPr>
          <w:i/>
          <w:noProof/>
          <w:sz w:val="22"/>
          <w:szCs w:val="22"/>
          <w:u w:val="single"/>
          <w:lang w:val="sr-Latn-ME"/>
        </w:rPr>
      </w:pPr>
      <w:r w:rsidRPr="003F7E57">
        <w:rPr>
          <w:i/>
          <w:noProof/>
          <w:sz w:val="22"/>
          <w:szCs w:val="22"/>
          <w:u w:val="single"/>
          <w:lang w:val="sr-Latn-ME"/>
        </w:rPr>
        <w:t>Kombinacije koje treba primjenjivati sa oprezom</w:t>
      </w:r>
    </w:p>
    <w:p w14:paraId="767E1B01" w14:textId="14E7AAA0" w:rsidR="00CF5C69" w:rsidRPr="003F7E57" w:rsidRDefault="00CF5C69">
      <w:pPr>
        <w:jc w:val="both"/>
        <w:rPr>
          <w:noProof/>
          <w:sz w:val="22"/>
          <w:szCs w:val="22"/>
          <w:lang w:val="sr-Latn-ME"/>
        </w:rPr>
      </w:pPr>
      <w:r w:rsidRPr="003F7E57">
        <w:rPr>
          <w:noProof/>
          <w:sz w:val="22"/>
          <w:szCs w:val="22"/>
          <w:lang w:val="sr-Latn-ME"/>
        </w:rPr>
        <w:t xml:space="preserve">Neki ljekovi mogu neželjeno da utiču na funkciju bubrega, što može dovesti do povećanog rizika od laktatne acidoze, npr. NSAIL, uključujući i selektivne inhibitore ciklooksigenaze-II, ACE inhibitori, </w:t>
      </w:r>
      <w:r w:rsidRPr="003F7E57">
        <w:rPr>
          <w:noProof/>
          <w:sz w:val="22"/>
          <w:szCs w:val="22"/>
          <w:lang w:val="sr-Latn-ME"/>
        </w:rPr>
        <w:lastRenderedPageBreak/>
        <w:t xml:space="preserve">antagonisti angiotenzin II receptora i diuretici, naročito diuretici Henleove petlje. Kada se započinje ili koristi takav lijek u kombinaciji sa metforminom, neophodan je pažljiv monitoring (praćenje) renalne funkcije. </w:t>
      </w:r>
    </w:p>
    <w:p w14:paraId="168988B4" w14:textId="354E2D4B" w:rsidR="00CF5C69" w:rsidRPr="003F7E57" w:rsidRDefault="00CF5C69">
      <w:pPr>
        <w:jc w:val="both"/>
        <w:rPr>
          <w:noProof/>
          <w:sz w:val="22"/>
          <w:szCs w:val="22"/>
          <w:lang w:val="sr-Latn-ME"/>
        </w:rPr>
      </w:pPr>
    </w:p>
    <w:p w14:paraId="2AD7AD89" w14:textId="77777777" w:rsidR="00CF5C69" w:rsidRPr="003F7E57" w:rsidRDefault="00CF5C69">
      <w:pPr>
        <w:autoSpaceDE w:val="0"/>
        <w:autoSpaceDN w:val="0"/>
        <w:adjustRightInd w:val="0"/>
        <w:jc w:val="both"/>
        <w:rPr>
          <w:noProof/>
          <w:sz w:val="22"/>
          <w:szCs w:val="22"/>
          <w:lang w:val="sr-Latn-ME"/>
        </w:rPr>
      </w:pPr>
      <w:r w:rsidRPr="003F7E57">
        <w:rPr>
          <w:noProof/>
          <w:sz w:val="22"/>
          <w:szCs w:val="22"/>
          <w:lang w:val="sr-Latn-ME"/>
        </w:rPr>
        <w:t>Glukokortikoidi, beta-2-agonisti i diuretici poseduju intrinzičko hiperglikemijsko dejstvo. Pacijenti se moraju informisati i češće im se kontrolisati glukoza u krvi, posebno na početku liječenja. Ako je potrebno, dozu lijeka Eucreas treba prilagoditi za vrijeme istovremene primjene i poslije  njenog završetka.</w:t>
      </w:r>
    </w:p>
    <w:p w14:paraId="132C702A" w14:textId="56857EDD" w:rsidR="00CF5C69" w:rsidRPr="003F7E57" w:rsidRDefault="00CF5C69">
      <w:pPr>
        <w:jc w:val="both"/>
        <w:rPr>
          <w:noProof/>
          <w:sz w:val="22"/>
          <w:szCs w:val="22"/>
          <w:lang w:val="sr-Latn-ME"/>
        </w:rPr>
      </w:pPr>
    </w:p>
    <w:p w14:paraId="50923372" w14:textId="77777777" w:rsidR="00CF5C69" w:rsidRPr="003F7E57" w:rsidRDefault="00CF5C69">
      <w:pPr>
        <w:autoSpaceDE w:val="0"/>
        <w:autoSpaceDN w:val="0"/>
        <w:adjustRightInd w:val="0"/>
        <w:jc w:val="both"/>
        <w:rPr>
          <w:noProof/>
          <w:sz w:val="22"/>
          <w:szCs w:val="22"/>
          <w:lang w:val="sr-Latn-ME"/>
        </w:rPr>
      </w:pPr>
      <w:r w:rsidRPr="003F7E57">
        <w:rPr>
          <w:noProof/>
          <w:sz w:val="22"/>
          <w:szCs w:val="22"/>
          <w:lang w:val="sr-Latn-ME"/>
        </w:rPr>
        <w:t>Inhibitori angiotenzin konvertirajućeg enzima (ACE) mogu sniziti koncentraciju glukoze u krvi. Ako je potrebno, dozu antihiperglikemijskog lijeka treba prilagoditi tokom terapije sa drugim lijekom i poslije njenog završetka.</w:t>
      </w:r>
    </w:p>
    <w:p w14:paraId="5A60D9D9" w14:textId="77777777" w:rsidR="00CF5C69" w:rsidRPr="003F7E57" w:rsidRDefault="00CF5C69">
      <w:pPr>
        <w:jc w:val="both"/>
        <w:rPr>
          <w:noProof/>
          <w:sz w:val="22"/>
          <w:szCs w:val="22"/>
          <w:lang w:val="sr-Latn-ME"/>
        </w:rPr>
      </w:pPr>
    </w:p>
    <w:p w14:paraId="59D1E684" w14:textId="309AE1D7" w:rsidR="00CF5C69" w:rsidRPr="003F7E57" w:rsidRDefault="00CF5C69">
      <w:pPr>
        <w:jc w:val="both"/>
        <w:rPr>
          <w:sz w:val="22"/>
          <w:szCs w:val="22"/>
          <w:lang w:val="sr-Latn-ME"/>
        </w:rPr>
      </w:pPr>
      <w:r w:rsidRPr="003F7E57">
        <w:rPr>
          <w:sz w:val="22"/>
          <w:szCs w:val="22"/>
          <w:lang w:val="sr-Latn-ME"/>
        </w:rPr>
        <w:t>Istovremena prim</w:t>
      </w:r>
      <w:r w:rsidR="00341B19" w:rsidRPr="003F7E57">
        <w:rPr>
          <w:sz w:val="22"/>
          <w:szCs w:val="22"/>
          <w:lang w:val="sr-Latn-ME"/>
        </w:rPr>
        <w:t>j</w:t>
      </w:r>
      <w:r w:rsidRPr="003F7E57">
        <w:rPr>
          <w:sz w:val="22"/>
          <w:szCs w:val="22"/>
          <w:lang w:val="sr-Latn-ME"/>
        </w:rPr>
        <w:t>ena l</w:t>
      </w:r>
      <w:r w:rsidR="00341B19" w:rsidRPr="003F7E57">
        <w:rPr>
          <w:sz w:val="22"/>
          <w:szCs w:val="22"/>
          <w:lang w:val="sr-Latn-ME"/>
        </w:rPr>
        <w:t>j</w:t>
      </w:r>
      <w:r w:rsidRPr="003F7E57">
        <w:rPr>
          <w:sz w:val="22"/>
          <w:szCs w:val="22"/>
          <w:lang w:val="sr-Latn-ME"/>
        </w:rPr>
        <w:t xml:space="preserve">ekova koji ometaju zajedničke bubrežne </w:t>
      </w:r>
      <w:proofErr w:type="spellStart"/>
      <w:r w:rsidRPr="003F7E57">
        <w:rPr>
          <w:sz w:val="22"/>
          <w:szCs w:val="22"/>
          <w:lang w:val="sr-Latn-ME"/>
        </w:rPr>
        <w:t>tubularne</w:t>
      </w:r>
      <w:proofErr w:type="spellEnd"/>
      <w:r w:rsidRPr="003F7E57">
        <w:rPr>
          <w:sz w:val="22"/>
          <w:szCs w:val="22"/>
          <w:lang w:val="sr-Latn-ME"/>
        </w:rPr>
        <w:t xml:space="preserve"> transportne sisteme uključene u eliminaciju </w:t>
      </w:r>
      <w:proofErr w:type="spellStart"/>
      <w:r w:rsidRPr="003F7E57">
        <w:rPr>
          <w:sz w:val="22"/>
          <w:szCs w:val="22"/>
          <w:lang w:val="sr-Latn-ME"/>
        </w:rPr>
        <w:t>metformina</w:t>
      </w:r>
      <w:proofErr w:type="spellEnd"/>
      <w:r w:rsidRPr="003F7E57">
        <w:rPr>
          <w:sz w:val="22"/>
          <w:szCs w:val="22"/>
          <w:lang w:val="sr-Latn-ME"/>
        </w:rPr>
        <w:t xml:space="preserve"> putem bubrega (npr. </w:t>
      </w:r>
      <w:proofErr w:type="spellStart"/>
      <w:r w:rsidRPr="003F7E57">
        <w:rPr>
          <w:sz w:val="22"/>
          <w:szCs w:val="22"/>
          <w:lang w:val="sr-Latn-ME"/>
        </w:rPr>
        <w:t>inhibitori</w:t>
      </w:r>
      <w:proofErr w:type="spellEnd"/>
      <w:r w:rsidRPr="003F7E57">
        <w:rPr>
          <w:sz w:val="22"/>
          <w:szCs w:val="22"/>
          <w:lang w:val="sr-Latn-ME"/>
        </w:rPr>
        <w:t xml:space="preserve"> transportera organskih katjona-2 [</w:t>
      </w:r>
      <w:proofErr w:type="spellStart"/>
      <w:r w:rsidRPr="003F7E57">
        <w:rPr>
          <w:sz w:val="22"/>
          <w:szCs w:val="22"/>
          <w:lang w:val="sr-Latn-ME"/>
        </w:rPr>
        <w:t>OCT2</w:t>
      </w:r>
      <w:proofErr w:type="spellEnd"/>
      <w:r w:rsidRPr="003F7E57">
        <w:rPr>
          <w:sz w:val="22"/>
          <w:szCs w:val="22"/>
          <w:lang w:val="sr-Latn-ME"/>
        </w:rPr>
        <w:t xml:space="preserve">] / </w:t>
      </w:r>
      <w:proofErr w:type="spellStart"/>
      <w:r w:rsidRPr="003F7E57">
        <w:rPr>
          <w:sz w:val="22"/>
          <w:szCs w:val="22"/>
          <w:lang w:val="sr-Latn-ME"/>
        </w:rPr>
        <w:t>inhibitori</w:t>
      </w:r>
      <w:proofErr w:type="spellEnd"/>
      <w:r w:rsidRPr="003F7E57">
        <w:rPr>
          <w:sz w:val="22"/>
          <w:szCs w:val="22"/>
          <w:lang w:val="sr-Latn-ME"/>
        </w:rPr>
        <w:t xml:space="preserve"> proteina za </w:t>
      </w:r>
      <w:proofErr w:type="spellStart"/>
      <w:r w:rsidRPr="003F7E57">
        <w:rPr>
          <w:sz w:val="22"/>
          <w:szCs w:val="22"/>
          <w:lang w:val="sr-Latn-ME"/>
        </w:rPr>
        <w:t>ekstruziju</w:t>
      </w:r>
      <w:proofErr w:type="spellEnd"/>
      <w:r w:rsidRPr="003F7E57">
        <w:rPr>
          <w:sz w:val="22"/>
          <w:szCs w:val="22"/>
          <w:lang w:val="sr-Latn-ME"/>
        </w:rPr>
        <w:t xml:space="preserve"> više l</w:t>
      </w:r>
      <w:r w:rsidR="00341B19" w:rsidRPr="003F7E57">
        <w:rPr>
          <w:sz w:val="22"/>
          <w:szCs w:val="22"/>
          <w:lang w:val="sr-Latn-ME"/>
        </w:rPr>
        <w:t>j</w:t>
      </w:r>
      <w:r w:rsidRPr="003F7E57">
        <w:rPr>
          <w:sz w:val="22"/>
          <w:szCs w:val="22"/>
          <w:lang w:val="sr-Latn-ME"/>
        </w:rPr>
        <w:t xml:space="preserve">ekova i toksina [MATE] kao što su </w:t>
      </w:r>
      <w:proofErr w:type="spellStart"/>
      <w:r w:rsidRPr="003F7E57">
        <w:rPr>
          <w:sz w:val="22"/>
          <w:szCs w:val="22"/>
          <w:lang w:val="sr-Latn-ME"/>
        </w:rPr>
        <w:t>ranolazin</w:t>
      </w:r>
      <w:proofErr w:type="spellEnd"/>
      <w:r w:rsidRPr="003F7E57">
        <w:rPr>
          <w:sz w:val="22"/>
          <w:szCs w:val="22"/>
          <w:lang w:val="sr-Latn-ME"/>
        </w:rPr>
        <w:t xml:space="preserve">, </w:t>
      </w:r>
      <w:proofErr w:type="spellStart"/>
      <w:r w:rsidRPr="003F7E57">
        <w:rPr>
          <w:sz w:val="22"/>
          <w:szCs w:val="22"/>
          <w:lang w:val="sr-Latn-ME"/>
        </w:rPr>
        <w:t>vandetanib</w:t>
      </w:r>
      <w:proofErr w:type="spellEnd"/>
      <w:r w:rsidRPr="003F7E57">
        <w:rPr>
          <w:sz w:val="22"/>
          <w:szCs w:val="22"/>
          <w:lang w:val="sr-Latn-ME"/>
        </w:rPr>
        <w:t xml:space="preserve">, </w:t>
      </w:r>
      <w:proofErr w:type="spellStart"/>
      <w:r w:rsidRPr="003F7E57">
        <w:rPr>
          <w:sz w:val="22"/>
          <w:szCs w:val="22"/>
          <w:lang w:val="sr-Latn-ME"/>
        </w:rPr>
        <w:t>dolutegravir</w:t>
      </w:r>
      <w:proofErr w:type="spellEnd"/>
      <w:r w:rsidRPr="003F7E57">
        <w:rPr>
          <w:sz w:val="22"/>
          <w:szCs w:val="22"/>
          <w:lang w:val="sr-Latn-ME"/>
        </w:rPr>
        <w:t xml:space="preserve"> i </w:t>
      </w:r>
      <w:proofErr w:type="spellStart"/>
      <w:r w:rsidRPr="003F7E57">
        <w:rPr>
          <w:sz w:val="22"/>
          <w:szCs w:val="22"/>
          <w:lang w:val="sr-Latn-ME"/>
        </w:rPr>
        <w:t>cimetidin</w:t>
      </w:r>
      <w:proofErr w:type="spellEnd"/>
      <w:r w:rsidRPr="003F7E57">
        <w:rPr>
          <w:sz w:val="22"/>
          <w:szCs w:val="22"/>
          <w:lang w:val="sr-Latn-ME"/>
        </w:rPr>
        <w:t xml:space="preserve">) može povećati sistemsku izloženost </w:t>
      </w:r>
      <w:proofErr w:type="spellStart"/>
      <w:r w:rsidRPr="003F7E57">
        <w:rPr>
          <w:sz w:val="22"/>
          <w:szCs w:val="22"/>
          <w:lang w:val="sr-Latn-ME"/>
        </w:rPr>
        <w:t>metforminu</w:t>
      </w:r>
      <w:proofErr w:type="spellEnd"/>
      <w:r w:rsidRPr="003F7E57">
        <w:rPr>
          <w:sz w:val="22"/>
          <w:szCs w:val="22"/>
          <w:lang w:val="sr-Latn-ME"/>
        </w:rPr>
        <w:t>.</w:t>
      </w:r>
    </w:p>
    <w:p w14:paraId="2D27C2BE" w14:textId="77777777" w:rsidR="00CF5C69" w:rsidRPr="003F7E57" w:rsidRDefault="00CF5C69" w:rsidP="00991A59">
      <w:pPr>
        <w:tabs>
          <w:tab w:val="left" w:pos="540"/>
          <w:tab w:val="left" w:pos="569"/>
        </w:tabs>
        <w:jc w:val="both"/>
        <w:rPr>
          <w:bCs/>
          <w:sz w:val="22"/>
          <w:szCs w:val="22"/>
          <w:lang w:val="sr-Latn-ME"/>
        </w:rPr>
      </w:pPr>
    </w:p>
    <w:p w14:paraId="2E150A97" w14:textId="1FAAA862" w:rsidR="0072020E" w:rsidRPr="003F7E57" w:rsidRDefault="0072020E" w:rsidP="00CE2D38">
      <w:pPr>
        <w:tabs>
          <w:tab w:val="left" w:pos="540"/>
          <w:tab w:val="left" w:pos="569"/>
        </w:tabs>
        <w:jc w:val="both"/>
        <w:rPr>
          <w:b/>
          <w:bCs/>
          <w:sz w:val="22"/>
          <w:szCs w:val="22"/>
          <w:lang w:val="sr-Latn-ME"/>
        </w:rPr>
      </w:pPr>
      <w:r w:rsidRPr="003F7E57">
        <w:rPr>
          <w:b/>
          <w:bCs/>
          <w:sz w:val="22"/>
          <w:szCs w:val="22"/>
          <w:lang w:val="sr-Latn-ME"/>
        </w:rPr>
        <w:t xml:space="preserve">4.6. </w:t>
      </w:r>
      <w:r w:rsidR="00480FB1" w:rsidRPr="003F7E57">
        <w:rPr>
          <w:b/>
          <w:bCs/>
          <w:sz w:val="22"/>
          <w:szCs w:val="22"/>
          <w:lang w:val="sr-Latn-ME"/>
        </w:rPr>
        <w:tab/>
      </w:r>
      <w:r w:rsidR="006D20A5" w:rsidRPr="003F7E57">
        <w:rPr>
          <w:b/>
          <w:sz w:val="22"/>
          <w:szCs w:val="22"/>
          <w:lang w:val="sr-Latn-ME"/>
        </w:rPr>
        <w:t>Plodnost, trudnoća i dojenje</w:t>
      </w:r>
    </w:p>
    <w:p w14:paraId="333F02B1" w14:textId="13572216" w:rsidR="00CF5C69" w:rsidRPr="003F7E57" w:rsidRDefault="00CF5C69">
      <w:pPr>
        <w:tabs>
          <w:tab w:val="left" w:pos="540"/>
          <w:tab w:val="left" w:pos="569"/>
        </w:tabs>
        <w:jc w:val="both"/>
        <w:rPr>
          <w:b/>
          <w:bCs/>
          <w:sz w:val="22"/>
          <w:szCs w:val="22"/>
          <w:lang w:val="sr-Latn-ME"/>
        </w:rPr>
      </w:pPr>
    </w:p>
    <w:p w14:paraId="532F86C2" w14:textId="77777777" w:rsidR="007A3ECB" w:rsidRPr="003F7E57" w:rsidRDefault="007A3ECB">
      <w:pPr>
        <w:tabs>
          <w:tab w:val="left" w:pos="540"/>
          <w:tab w:val="left" w:pos="569"/>
        </w:tabs>
        <w:jc w:val="both"/>
        <w:rPr>
          <w:sz w:val="22"/>
          <w:szCs w:val="22"/>
          <w:u w:val="single"/>
          <w:lang w:val="sr-Latn-ME"/>
        </w:rPr>
      </w:pPr>
      <w:r w:rsidRPr="003F7E57">
        <w:rPr>
          <w:sz w:val="22"/>
          <w:szCs w:val="22"/>
          <w:u w:val="single"/>
          <w:lang w:val="sr-Latn-ME"/>
        </w:rPr>
        <w:t>Trudnoća</w:t>
      </w:r>
    </w:p>
    <w:p w14:paraId="7AB2214C" w14:textId="3798214D" w:rsidR="00CF5C69" w:rsidRPr="003F7E57" w:rsidRDefault="00CF5C69">
      <w:pPr>
        <w:jc w:val="both"/>
        <w:rPr>
          <w:sz w:val="22"/>
          <w:szCs w:val="22"/>
          <w:lang w:val="sr-Latn-ME"/>
        </w:rPr>
      </w:pPr>
      <w:r w:rsidRPr="003F7E57">
        <w:rPr>
          <w:iCs/>
          <w:noProof/>
          <w:sz w:val="22"/>
          <w:szCs w:val="22"/>
          <w:lang w:val="sr-Latn-ME"/>
        </w:rPr>
        <w:t xml:space="preserve">Nema odgovarajućih podataka o primjeni lijeka </w:t>
      </w:r>
      <w:proofErr w:type="spellStart"/>
      <w:r w:rsidRPr="003F7E57">
        <w:rPr>
          <w:sz w:val="22"/>
          <w:szCs w:val="22"/>
          <w:lang w:val="sr-Latn-ME"/>
        </w:rPr>
        <w:t>Eucreas</w:t>
      </w:r>
      <w:proofErr w:type="spellEnd"/>
      <w:r w:rsidRPr="003F7E57">
        <w:rPr>
          <w:sz w:val="22"/>
          <w:szCs w:val="22"/>
          <w:lang w:val="sr-Latn-ME"/>
        </w:rPr>
        <w:t xml:space="preserve"> kod trudnica. </w:t>
      </w:r>
      <w:r w:rsidRPr="003F7E57">
        <w:rPr>
          <w:iCs/>
          <w:noProof/>
          <w:sz w:val="22"/>
          <w:szCs w:val="22"/>
          <w:lang w:val="sr-Latn-ME"/>
        </w:rPr>
        <w:t>Ispitivanja vildagliptina na životinjama pokazala su reproduktivnu toksičnost pri visokim dozama</w:t>
      </w:r>
      <w:r w:rsidRPr="003F7E57">
        <w:rPr>
          <w:bCs/>
          <w:sz w:val="22"/>
          <w:szCs w:val="22"/>
          <w:lang w:val="sr-Latn-ME" w:bidi="th-TH"/>
        </w:rPr>
        <w:t xml:space="preserve">. </w:t>
      </w:r>
      <w:r w:rsidRPr="003F7E57">
        <w:rPr>
          <w:iCs/>
          <w:noProof/>
          <w:sz w:val="22"/>
          <w:szCs w:val="22"/>
          <w:lang w:val="sr-Latn-ME"/>
        </w:rPr>
        <w:t xml:space="preserve">Ispitivanja metformina na životinjama nijesu pokazala reproduktivnu toksičnost. Ispitivanja vildagliptina i metformina na životinjama nijesu pokazala teratogenost, ali je toksični efekat na fetus dokazan pri dozama toksičnim za majku (vidjeti </w:t>
      </w:r>
      <w:r w:rsidR="00522F79" w:rsidRPr="003F7E57">
        <w:rPr>
          <w:iCs/>
          <w:noProof/>
          <w:sz w:val="22"/>
          <w:szCs w:val="22"/>
          <w:lang w:val="sr-Latn-ME"/>
        </w:rPr>
        <w:t xml:space="preserve">dio </w:t>
      </w:r>
      <w:r w:rsidRPr="003F7E57">
        <w:rPr>
          <w:iCs/>
          <w:noProof/>
          <w:sz w:val="22"/>
          <w:szCs w:val="22"/>
          <w:lang w:val="sr-Latn-ME"/>
        </w:rPr>
        <w:t>5.3</w:t>
      </w:r>
      <w:r w:rsidRPr="003F7E57">
        <w:rPr>
          <w:bCs/>
          <w:sz w:val="22"/>
          <w:szCs w:val="22"/>
          <w:lang w:val="sr-Latn-ME" w:bidi="th-TH"/>
        </w:rPr>
        <w:t>).</w:t>
      </w:r>
      <w:r w:rsidRPr="003F7E57">
        <w:rPr>
          <w:iCs/>
          <w:noProof/>
          <w:sz w:val="22"/>
          <w:szCs w:val="22"/>
          <w:lang w:val="sr-Latn-ME"/>
        </w:rPr>
        <w:t xml:space="preserve"> Potencijalni rizik za ljude nije poznat.</w:t>
      </w:r>
      <w:r w:rsidRPr="003F7E57">
        <w:rPr>
          <w:bCs/>
          <w:sz w:val="22"/>
          <w:szCs w:val="22"/>
          <w:lang w:val="sr-Latn-ME" w:bidi="th-TH"/>
        </w:rPr>
        <w:t xml:space="preserve"> </w:t>
      </w:r>
      <w:proofErr w:type="spellStart"/>
      <w:r w:rsidRPr="003F7E57">
        <w:rPr>
          <w:bCs/>
          <w:sz w:val="22"/>
          <w:szCs w:val="22"/>
          <w:lang w:val="sr-Latn-ME" w:bidi="th-TH"/>
        </w:rPr>
        <w:t>Eucreas</w:t>
      </w:r>
      <w:proofErr w:type="spellEnd"/>
      <w:r w:rsidRPr="003F7E57">
        <w:rPr>
          <w:bCs/>
          <w:sz w:val="22"/>
          <w:szCs w:val="22"/>
          <w:lang w:val="sr-Latn-ME" w:bidi="th-TH"/>
        </w:rPr>
        <w:t xml:space="preserve"> </w:t>
      </w:r>
      <w:r w:rsidRPr="003F7E57">
        <w:rPr>
          <w:iCs/>
          <w:noProof/>
          <w:sz w:val="22"/>
          <w:szCs w:val="22"/>
          <w:lang w:val="sr-Latn-ME"/>
        </w:rPr>
        <w:t>se ne smije primjenjivati tokom trudnoće</w:t>
      </w:r>
      <w:r w:rsidRPr="003F7E57">
        <w:rPr>
          <w:bCs/>
          <w:sz w:val="22"/>
          <w:szCs w:val="22"/>
          <w:lang w:val="sr-Latn-ME" w:bidi="th-TH"/>
        </w:rPr>
        <w:t>.</w:t>
      </w:r>
    </w:p>
    <w:p w14:paraId="6151A15B" w14:textId="77777777" w:rsidR="002031B3" w:rsidRPr="003F7E57" w:rsidRDefault="002031B3">
      <w:pPr>
        <w:tabs>
          <w:tab w:val="left" w:pos="540"/>
          <w:tab w:val="left" w:pos="569"/>
        </w:tabs>
        <w:jc w:val="both"/>
        <w:rPr>
          <w:sz w:val="22"/>
          <w:szCs w:val="22"/>
          <w:u w:val="single"/>
          <w:lang w:val="sr-Latn-ME"/>
        </w:rPr>
      </w:pPr>
    </w:p>
    <w:p w14:paraId="13A81AF2" w14:textId="77777777" w:rsidR="0072020E" w:rsidRPr="003F7E57" w:rsidRDefault="007A3ECB">
      <w:pPr>
        <w:tabs>
          <w:tab w:val="left" w:pos="540"/>
          <w:tab w:val="left" w:pos="569"/>
        </w:tabs>
        <w:jc w:val="both"/>
        <w:rPr>
          <w:b/>
          <w:bCs/>
          <w:sz w:val="22"/>
          <w:szCs w:val="22"/>
          <w:lang w:val="sr-Latn-ME"/>
        </w:rPr>
      </w:pPr>
      <w:r w:rsidRPr="003F7E57">
        <w:rPr>
          <w:sz w:val="22"/>
          <w:szCs w:val="22"/>
          <w:u w:val="single"/>
          <w:lang w:val="sr-Latn-ME"/>
        </w:rPr>
        <w:t xml:space="preserve">Dojenje </w:t>
      </w:r>
    </w:p>
    <w:p w14:paraId="107BAECB" w14:textId="62424B88" w:rsidR="00CF5C69" w:rsidRPr="003F7E57" w:rsidRDefault="00CF5C69">
      <w:pPr>
        <w:tabs>
          <w:tab w:val="left" w:pos="567"/>
        </w:tabs>
        <w:adjustRightInd w:val="0"/>
        <w:jc w:val="both"/>
        <w:rPr>
          <w:noProof/>
          <w:sz w:val="22"/>
          <w:szCs w:val="22"/>
          <w:lang w:val="sr-Latn-ME"/>
        </w:rPr>
      </w:pPr>
      <w:r w:rsidRPr="003F7E57">
        <w:rPr>
          <w:iCs/>
          <w:noProof/>
          <w:sz w:val="22"/>
          <w:szCs w:val="22"/>
          <w:lang w:val="sr-Latn-ME"/>
        </w:rPr>
        <w:t>Ispitivanja na životinjama pokazala su da se i metformin i vildagliptin izlučuju u mlijeko</w:t>
      </w:r>
      <w:r w:rsidRPr="003F7E57">
        <w:rPr>
          <w:noProof/>
          <w:sz w:val="22"/>
          <w:szCs w:val="22"/>
          <w:lang w:val="sr-Latn-ME"/>
        </w:rPr>
        <w:t xml:space="preserve">. </w:t>
      </w:r>
      <w:r w:rsidRPr="003F7E57">
        <w:rPr>
          <w:iCs/>
          <w:noProof/>
          <w:sz w:val="22"/>
          <w:szCs w:val="22"/>
          <w:lang w:val="sr-Latn-ME"/>
        </w:rPr>
        <w:t>Nije poznato da li se vildagliptin izlučuje u humano mlijeko</w:t>
      </w:r>
      <w:r w:rsidRPr="003F7E57">
        <w:rPr>
          <w:noProof/>
          <w:sz w:val="22"/>
          <w:szCs w:val="22"/>
          <w:lang w:val="sr-Latn-ME"/>
        </w:rPr>
        <w:t xml:space="preserve">, </w:t>
      </w:r>
      <w:r w:rsidRPr="003F7E57">
        <w:rPr>
          <w:iCs/>
          <w:noProof/>
          <w:sz w:val="22"/>
          <w:szCs w:val="22"/>
          <w:lang w:val="sr-Latn-ME"/>
        </w:rPr>
        <w:t>ali se metformin izlučuje u malim količinama u humano mlijeko</w:t>
      </w:r>
      <w:r w:rsidRPr="003F7E57">
        <w:rPr>
          <w:noProof/>
          <w:sz w:val="22"/>
          <w:szCs w:val="22"/>
          <w:lang w:val="sr-Latn-ME"/>
        </w:rPr>
        <w:t xml:space="preserve">. </w:t>
      </w:r>
      <w:r w:rsidRPr="003F7E57">
        <w:rPr>
          <w:iCs/>
          <w:noProof/>
          <w:sz w:val="22"/>
          <w:szCs w:val="22"/>
          <w:lang w:val="sr-Latn-ME"/>
        </w:rPr>
        <w:t xml:space="preserve">Zbog mogućeg rizika za hipoglikemiju kod novorođenčeta povezanu sa metforminom, kao i zbog nedovoljno podataka kod ljudi vezanih za </w:t>
      </w:r>
      <w:r w:rsidRPr="003F7E57">
        <w:rPr>
          <w:noProof/>
          <w:sz w:val="22"/>
          <w:szCs w:val="22"/>
          <w:lang w:val="sr-Latn-ME"/>
        </w:rPr>
        <w:t>vildagliptin, lijek Eucreas</w:t>
      </w:r>
      <w:r w:rsidRPr="003F7E57">
        <w:rPr>
          <w:iCs/>
          <w:noProof/>
          <w:sz w:val="22"/>
          <w:szCs w:val="22"/>
          <w:lang w:val="sr-Latn-ME"/>
        </w:rPr>
        <w:t xml:space="preserve"> se ne smije primjenjivati tokom dojenja</w:t>
      </w:r>
      <w:r w:rsidRPr="003F7E57">
        <w:rPr>
          <w:noProof/>
          <w:sz w:val="22"/>
          <w:szCs w:val="22"/>
          <w:lang w:val="sr-Latn-ME"/>
        </w:rPr>
        <w:t xml:space="preserve"> (vidjeti </w:t>
      </w:r>
      <w:r w:rsidR="00522F79" w:rsidRPr="003F7E57">
        <w:rPr>
          <w:noProof/>
          <w:sz w:val="22"/>
          <w:szCs w:val="22"/>
          <w:lang w:val="sr-Latn-ME"/>
        </w:rPr>
        <w:t xml:space="preserve">dio </w:t>
      </w:r>
      <w:r w:rsidRPr="003F7E57">
        <w:rPr>
          <w:noProof/>
          <w:sz w:val="22"/>
          <w:szCs w:val="22"/>
          <w:lang w:val="sr-Latn-ME"/>
        </w:rPr>
        <w:t>4.3).</w:t>
      </w:r>
    </w:p>
    <w:p w14:paraId="12EDDFD4" w14:textId="77777777" w:rsidR="00575CB7" w:rsidRPr="003F7E57" w:rsidRDefault="00575CB7">
      <w:pPr>
        <w:tabs>
          <w:tab w:val="left" w:pos="567"/>
        </w:tabs>
        <w:adjustRightInd w:val="0"/>
        <w:jc w:val="both"/>
        <w:rPr>
          <w:iCs/>
          <w:noProof/>
          <w:sz w:val="22"/>
          <w:szCs w:val="22"/>
          <w:lang w:val="sr-Latn-ME"/>
        </w:rPr>
      </w:pPr>
    </w:p>
    <w:p w14:paraId="531FC9AB" w14:textId="77777777" w:rsidR="00575CB7" w:rsidRPr="003F7E57" w:rsidRDefault="00575CB7">
      <w:pPr>
        <w:tabs>
          <w:tab w:val="left" w:pos="540"/>
          <w:tab w:val="left" w:pos="569"/>
        </w:tabs>
        <w:jc w:val="both"/>
        <w:rPr>
          <w:sz w:val="22"/>
          <w:szCs w:val="22"/>
          <w:u w:val="single"/>
          <w:lang w:val="sr-Latn-ME"/>
        </w:rPr>
      </w:pPr>
      <w:r w:rsidRPr="003F7E57">
        <w:rPr>
          <w:sz w:val="22"/>
          <w:szCs w:val="22"/>
          <w:u w:val="single"/>
          <w:lang w:val="sr-Latn-ME"/>
        </w:rPr>
        <w:t>Plodnost</w:t>
      </w:r>
    </w:p>
    <w:p w14:paraId="05888961" w14:textId="245881F7" w:rsidR="00575CB7" w:rsidRPr="003F7E57" w:rsidRDefault="00575CB7">
      <w:pPr>
        <w:tabs>
          <w:tab w:val="left" w:pos="567"/>
        </w:tabs>
        <w:autoSpaceDE w:val="0"/>
        <w:autoSpaceDN w:val="0"/>
        <w:adjustRightInd w:val="0"/>
        <w:jc w:val="both"/>
        <w:rPr>
          <w:iCs/>
          <w:noProof/>
          <w:sz w:val="22"/>
          <w:szCs w:val="22"/>
          <w:lang w:val="sr-Latn-ME"/>
        </w:rPr>
      </w:pPr>
      <w:r w:rsidRPr="003F7E57">
        <w:rPr>
          <w:noProof/>
          <w:sz w:val="22"/>
          <w:szCs w:val="22"/>
          <w:lang w:val="sr-Latn-ME"/>
        </w:rPr>
        <w:t xml:space="preserve">Nijesu sprovedena nikakva ispitivanja o djelovanju lijeka Eucreas na plodnost kod ljudi (vidjeti </w:t>
      </w:r>
      <w:r w:rsidR="00522F79" w:rsidRPr="003F7E57">
        <w:rPr>
          <w:noProof/>
          <w:sz w:val="22"/>
          <w:szCs w:val="22"/>
          <w:lang w:val="sr-Latn-ME"/>
        </w:rPr>
        <w:t xml:space="preserve">dio </w:t>
      </w:r>
      <w:r w:rsidRPr="003F7E57">
        <w:rPr>
          <w:noProof/>
          <w:sz w:val="22"/>
          <w:szCs w:val="22"/>
          <w:lang w:val="sr-Latn-ME"/>
        </w:rPr>
        <w:t>5.3).</w:t>
      </w:r>
    </w:p>
    <w:p w14:paraId="09F31BDC" w14:textId="16D23273" w:rsidR="00CA6FA3" w:rsidRPr="003F7E57" w:rsidRDefault="00CA6FA3" w:rsidP="000B7131">
      <w:pPr>
        <w:tabs>
          <w:tab w:val="left" w:pos="540"/>
          <w:tab w:val="left" w:pos="569"/>
        </w:tabs>
        <w:jc w:val="both"/>
        <w:rPr>
          <w:b/>
          <w:bCs/>
          <w:sz w:val="22"/>
          <w:szCs w:val="22"/>
          <w:lang w:val="sr-Latn-ME"/>
        </w:rPr>
      </w:pPr>
    </w:p>
    <w:p w14:paraId="301CFA3E" w14:textId="48B2AF12" w:rsidR="0072020E" w:rsidRPr="003F7E57" w:rsidRDefault="0072020E" w:rsidP="00CE2D38">
      <w:pPr>
        <w:tabs>
          <w:tab w:val="left" w:pos="540"/>
          <w:tab w:val="left" w:pos="569"/>
        </w:tabs>
        <w:ind w:left="540" w:hanging="540"/>
        <w:jc w:val="both"/>
        <w:rPr>
          <w:b/>
          <w:bCs/>
          <w:spacing w:val="-8"/>
          <w:sz w:val="22"/>
          <w:szCs w:val="22"/>
          <w:lang w:val="sr-Latn-ME"/>
        </w:rPr>
      </w:pPr>
      <w:r w:rsidRPr="003F7E57">
        <w:rPr>
          <w:b/>
          <w:bCs/>
          <w:sz w:val="22"/>
          <w:szCs w:val="22"/>
          <w:lang w:val="sr-Latn-ME"/>
        </w:rPr>
        <w:t xml:space="preserve">4.7. </w:t>
      </w:r>
      <w:r w:rsidR="00480FB1" w:rsidRPr="003F7E57">
        <w:rPr>
          <w:b/>
          <w:bCs/>
          <w:sz w:val="22"/>
          <w:szCs w:val="22"/>
          <w:lang w:val="sr-Latn-ME"/>
        </w:rPr>
        <w:tab/>
      </w:r>
      <w:r w:rsidRPr="003F7E57">
        <w:rPr>
          <w:b/>
          <w:bCs/>
          <w:sz w:val="22"/>
          <w:szCs w:val="22"/>
          <w:lang w:val="sr-Latn-ME"/>
        </w:rPr>
        <w:t xml:space="preserve">Uticaj na </w:t>
      </w:r>
      <w:r w:rsidR="002031B3" w:rsidRPr="003F7E57">
        <w:rPr>
          <w:b/>
          <w:bCs/>
          <w:sz w:val="22"/>
          <w:szCs w:val="22"/>
          <w:lang w:val="sr-Latn-ME"/>
        </w:rPr>
        <w:t xml:space="preserve">sposobnost </w:t>
      </w:r>
      <w:r w:rsidR="00F34554" w:rsidRPr="003F7E57">
        <w:rPr>
          <w:b/>
          <w:bCs/>
          <w:sz w:val="22"/>
          <w:szCs w:val="22"/>
          <w:lang w:val="sr-Latn-ME"/>
        </w:rPr>
        <w:t>upravljanja vozili</w:t>
      </w:r>
      <w:r w:rsidRPr="003F7E57">
        <w:rPr>
          <w:b/>
          <w:bCs/>
          <w:sz w:val="22"/>
          <w:szCs w:val="22"/>
          <w:lang w:val="sr-Latn-ME"/>
        </w:rPr>
        <w:t>m</w:t>
      </w:r>
      <w:r w:rsidR="00F34554" w:rsidRPr="003F7E57">
        <w:rPr>
          <w:b/>
          <w:bCs/>
          <w:sz w:val="22"/>
          <w:szCs w:val="22"/>
          <w:lang w:val="sr-Latn-ME"/>
        </w:rPr>
        <w:t>a</w:t>
      </w:r>
      <w:r w:rsidRPr="003F7E57">
        <w:rPr>
          <w:b/>
          <w:bCs/>
          <w:sz w:val="22"/>
          <w:szCs w:val="22"/>
          <w:lang w:val="sr-Latn-ME"/>
        </w:rPr>
        <w:t xml:space="preserve"> i </w:t>
      </w:r>
      <w:r w:rsidR="000D3449" w:rsidRPr="003F7E57">
        <w:rPr>
          <w:b/>
          <w:bCs/>
          <w:sz w:val="22"/>
          <w:szCs w:val="22"/>
          <w:lang w:val="sr-Latn-ME"/>
        </w:rPr>
        <w:t xml:space="preserve">rukovanje </w:t>
      </w:r>
      <w:r w:rsidRPr="003F7E57">
        <w:rPr>
          <w:b/>
          <w:bCs/>
          <w:sz w:val="22"/>
          <w:szCs w:val="22"/>
          <w:lang w:val="sr-Latn-ME"/>
        </w:rPr>
        <w:t>mašinama</w:t>
      </w:r>
    </w:p>
    <w:p w14:paraId="39E74E95" w14:textId="79BE7A26" w:rsidR="00CF5C69" w:rsidRPr="003F7E57" w:rsidRDefault="00CF5C69" w:rsidP="00991A59">
      <w:pPr>
        <w:tabs>
          <w:tab w:val="left" w:pos="540"/>
          <w:tab w:val="left" w:pos="569"/>
        </w:tabs>
        <w:ind w:left="540" w:hanging="540"/>
        <w:jc w:val="both"/>
        <w:rPr>
          <w:b/>
          <w:bCs/>
          <w:sz w:val="22"/>
          <w:szCs w:val="22"/>
          <w:lang w:val="sr-Latn-ME"/>
        </w:rPr>
      </w:pPr>
    </w:p>
    <w:p w14:paraId="70EF08DE" w14:textId="77777777" w:rsidR="00CF5C69" w:rsidRPr="003F7E57" w:rsidRDefault="00CF5C69" w:rsidP="00CE2D38">
      <w:pPr>
        <w:tabs>
          <w:tab w:val="left" w:pos="567"/>
        </w:tabs>
        <w:autoSpaceDE w:val="0"/>
        <w:autoSpaceDN w:val="0"/>
        <w:adjustRightInd w:val="0"/>
        <w:jc w:val="both"/>
        <w:rPr>
          <w:noProof/>
          <w:sz w:val="22"/>
          <w:szCs w:val="22"/>
          <w:lang w:val="sr-Latn-ME"/>
        </w:rPr>
      </w:pPr>
      <w:r w:rsidRPr="003F7E57">
        <w:rPr>
          <w:noProof/>
          <w:sz w:val="22"/>
          <w:szCs w:val="22"/>
          <w:lang w:val="sr-Latn-ME"/>
        </w:rPr>
        <w:t>Nijesu sprovedena ispitivanja o djelovanju na sposobnost upravljanja vozilima i rukovanja mašinama. Pacijenti koji osjete vrtoglavicu kao neželjeno dejstvo treba da izbjegavaju upravljanje vozilima ili rad na mašinama.</w:t>
      </w:r>
    </w:p>
    <w:p w14:paraId="62B8F683" w14:textId="77777777" w:rsidR="0072020E" w:rsidRPr="003F7E57" w:rsidRDefault="0072020E">
      <w:pPr>
        <w:tabs>
          <w:tab w:val="left" w:pos="540"/>
          <w:tab w:val="left" w:pos="569"/>
        </w:tabs>
        <w:jc w:val="both"/>
        <w:rPr>
          <w:b/>
          <w:bCs/>
          <w:sz w:val="22"/>
          <w:szCs w:val="22"/>
          <w:lang w:val="sr-Latn-ME"/>
        </w:rPr>
      </w:pPr>
    </w:p>
    <w:p w14:paraId="6CD5DF32" w14:textId="2BA603F5" w:rsidR="0072020E" w:rsidRPr="003F7E57" w:rsidRDefault="0072020E">
      <w:pPr>
        <w:tabs>
          <w:tab w:val="left" w:pos="540"/>
          <w:tab w:val="left" w:pos="569"/>
        </w:tabs>
        <w:jc w:val="both"/>
        <w:rPr>
          <w:b/>
          <w:bCs/>
          <w:sz w:val="22"/>
          <w:szCs w:val="22"/>
          <w:lang w:val="sr-Latn-ME"/>
        </w:rPr>
      </w:pPr>
      <w:r w:rsidRPr="003F7E57">
        <w:rPr>
          <w:b/>
          <w:bCs/>
          <w:sz w:val="22"/>
          <w:szCs w:val="22"/>
          <w:lang w:val="sr-Latn-ME"/>
        </w:rPr>
        <w:t xml:space="preserve">4.8. </w:t>
      </w:r>
      <w:r w:rsidR="00480FB1" w:rsidRPr="003F7E57">
        <w:rPr>
          <w:b/>
          <w:bCs/>
          <w:sz w:val="22"/>
          <w:szCs w:val="22"/>
          <w:lang w:val="sr-Latn-ME"/>
        </w:rPr>
        <w:tab/>
      </w:r>
      <w:r w:rsidRPr="003F7E57">
        <w:rPr>
          <w:b/>
          <w:bCs/>
          <w:sz w:val="22"/>
          <w:szCs w:val="22"/>
          <w:lang w:val="sr-Latn-ME"/>
        </w:rPr>
        <w:t>Neželjena dejstva</w:t>
      </w:r>
    </w:p>
    <w:p w14:paraId="2CCDF774" w14:textId="77777777" w:rsidR="00CF5C69" w:rsidRPr="003F7E57" w:rsidRDefault="00CF5C69">
      <w:pPr>
        <w:tabs>
          <w:tab w:val="left" w:pos="540"/>
          <w:tab w:val="left" w:pos="569"/>
        </w:tabs>
        <w:jc w:val="both"/>
        <w:rPr>
          <w:b/>
          <w:bCs/>
          <w:sz w:val="22"/>
          <w:szCs w:val="22"/>
          <w:lang w:val="sr-Latn-ME"/>
        </w:rPr>
      </w:pPr>
    </w:p>
    <w:p w14:paraId="6C62B609" w14:textId="1FF3E997" w:rsidR="009972F4" w:rsidRPr="003F7E57" w:rsidRDefault="009972F4">
      <w:pPr>
        <w:autoSpaceDE w:val="0"/>
        <w:autoSpaceDN w:val="0"/>
        <w:adjustRightInd w:val="0"/>
        <w:jc w:val="both"/>
        <w:rPr>
          <w:sz w:val="22"/>
          <w:szCs w:val="22"/>
          <w:u w:val="single"/>
          <w:lang w:val="sr-Latn-ME" w:bidi="th-TH"/>
        </w:rPr>
      </w:pPr>
      <w:r w:rsidRPr="003F7E57">
        <w:rPr>
          <w:sz w:val="22"/>
          <w:szCs w:val="22"/>
          <w:u w:val="single"/>
          <w:lang w:val="sr-Latn-ME" w:bidi="th-TH"/>
        </w:rPr>
        <w:t xml:space="preserve">Sažetak </w:t>
      </w:r>
      <w:proofErr w:type="spellStart"/>
      <w:r w:rsidRPr="003F7E57">
        <w:rPr>
          <w:sz w:val="22"/>
          <w:szCs w:val="22"/>
          <w:u w:val="single"/>
          <w:lang w:val="sr-Latn-ME" w:bidi="th-TH"/>
        </w:rPr>
        <w:t>bezbjednosnog</w:t>
      </w:r>
      <w:proofErr w:type="spellEnd"/>
      <w:r w:rsidRPr="003F7E57">
        <w:rPr>
          <w:sz w:val="22"/>
          <w:szCs w:val="22"/>
          <w:u w:val="single"/>
          <w:lang w:val="sr-Latn-ME" w:bidi="th-TH"/>
        </w:rPr>
        <w:t xml:space="preserve"> profila</w:t>
      </w:r>
    </w:p>
    <w:p w14:paraId="6B551A86" w14:textId="3AE76A43" w:rsidR="009972F4" w:rsidRPr="003F7E57" w:rsidRDefault="009972F4">
      <w:pPr>
        <w:autoSpaceDE w:val="0"/>
        <w:autoSpaceDN w:val="0"/>
        <w:adjustRightInd w:val="0"/>
        <w:jc w:val="both"/>
        <w:rPr>
          <w:sz w:val="22"/>
          <w:szCs w:val="22"/>
          <w:u w:val="single"/>
          <w:lang w:val="sr-Latn-ME" w:bidi="th-TH"/>
        </w:rPr>
      </w:pPr>
    </w:p>
    <w:p w14:paraId="5AE44F40" w14:textId="33545C2D" w:rsidR="009972F4" w:rsidRPr="003F7E57" w:rsidRDefault="009972F4" w:rsidP="00CA6FA3">
      <w:pPr>
        <w:autoSpaceDE w:val="0"/>
        <w:autoSpaceDN w:val="0"/>
        <w:adjustRightInd w:val="0"/>
        <w:jc w:val="both"/>
        <w:rPr>
          <w:sz w:val="22"/>
          <w:szCs w:val="22"/>
          <w:lang w:val="sr-Latn-ME" w:bidi="th-TH"/>
        </w:rPr>
      </w:pPr>
      <w:r w:rsidRPr="003F7E57">
        <w:rPr>
          <w:sz w:val="22"/>
          <w:szCs w:val="22"/>
          <w:lang w:val="sr-Latn-ME" w:bidi="th-TH"/>
        </w:rPr>
        <w:t>Podaci</w:t>
      </w:r>
      <w:r w:rsidR="00CA6FA3" w:rsidRPr="003F7E57">
        <w:rPr>
          <w:sz w:val="22"/>
          <w:szCs w:val="22"/>
          <w:lang w:val="sr-Latn-ME" w:bidi="th-TH"/>
        </w:rPr>
        <w:t xml:space="preserve"> </w:t>
      </w:r>
      <w:r w:rsidRPr="003F7E57">
        <w:rPr>
          <w:sz w:val="22"/>
          <w:szCs w:val="22"/>
          <w:lang w:val="sr-Latn-ME" w:bidi="th-TH"/>
        </w:rPr>
        <w:t xml:space="preserve">o bezbjednosti dobijeni su na ukupno 6197 pacijenata koji su bili izloženi </w:t>
      </w:r>
      <w:proofErr w:type="spellStart"/>
      <w:r w:rsidRPr="003F7E57">
        <w:rPr>
          <w:sz w:val="22"/>
          <w:szCs w:val="22"/>
          <w:lang w:val="sr-Latn-ME" w:bidi="th-TH"/>
        </w:rPr>
        <w:t>vildagliptinu</w:t>
      </w:r>
      <w:proofErr w:type="spellEnd"/>
      <w:r w:rsidRPr="003F7E57">
        <w:rPr>
          <w:sz w:val="22"/>
          <w:szCs w:val="22"/>
          <w:lang w:val="sr-Latn-ME" w:bidi="th-TH"/>
        </w:rPr>
        <w:t>/</w:t>
      </w:r>
      <w:proofErr w:type="spellStart"/>
      <w:r w:rsidRPr="003F7E57">
        <w:rPr>
          <w:sz w:val="22"/>
          <w:szCs w:val="22"/>
          <w:lang w:val="sr-Latn-ME" w:bidi="th-TH"/>
        </w:rPr>
        <w:t>metforminu</w:t>
      </w:r>
      <w:proofErr w:type="spellEnd"/>
      <w:r w:rsidRPr="003F7E57">
        <w:rPr>
          <w:sz w:val="22"/>
          <w:szCs w:val="22"/>
          <w:lang w:val="sr-Latn-ME" w:bidi="th-TH"/>
        </w:rPr>
        <w:t xml:space="preserve"> u </w:t>
      </w:r>
      <w:proofErr w:type="spellStart"/>
      <w:r w:rsidRPr="003F7E57">
        <w:rPr>
          <w:sz w:val="22"/>
          <w:szCs w:val="22"/>
          <w:lang w:val="sr-Latn-ME" w:bidi="th-TH"/>
        </w:rPr>
        <w:t>randomizovanim</w:t>
      </w:r>
      <w:proofErr w:type="spellEnd"/>
      <w:r w:rsidRPr="003F7E57">
        <w:rPr>
          <w:sz w:val="22"/>
          <w:szCs w:val="22"/>
          <w:lang w:val="sr-Latn-ME" w:bidi="th-TH"/>
        </w:rPr>
        <w:t xml:space="preserve"> </w:t>
      </w:r>
      <w:proofErr w:type="spellStart"/>
      <w:r w:rsidRPr="003F7E57">
        <w:rPr>
          <w:sz w:val="22"/>
          <w:szCs w:val="22"/>
          <w:lang w:val="sr-Latn-ME" w:bidi="th-TH"/>
        </w:rPr>
        <w:t>placebom</w:t>
      </w:r>
      <w:proofErr w:type="spellEnd"/>
      <w:r w:rsidRPr="003F7E57">
        <w:rPr>
          <w:sz w:val="22"/>
          <w:szCs w:val="22"/>
          <w:lang w:val="sr-Latn-ME" w:bidi="th-TH"/>
        </w:rPr>
        <w:t xml:space="preserve"> kontrolisanim ispitivanjima. Od tih pacijenata je 3698 primalo </w:t>
      </w:r>
      <w:proofErr w:type="spellStart"/>
      <w:r w:rsidRPr="003F7E57">
        <w:rPr>
          <w:sz w:val="22"/>
          <w:szCs w:val="22"/>
          <w:lang w:val="sr-Latn-ME" w:bidi="th-TH"/>
        </w:rPr>
        <w:t>vildagliptin</w:t>
      </w:r>
      <w:proofErr w:type="spellEnd"/>
      <w:r w:rsidRPr="003F7E57">
        <w:rPr>
          <w:sz w:val="22"/>
          <w:szCs w:val="22"/>
          <w:lang w:val="sr-Latn-ME" w:bidi="th-TH"/>
        </w:rPr>
        <w:t>/</w:t>
      </w:r>
      <w:proofErr w:type="spellStart"/>
      <w:r w:rsidRPr="003F7E57">
        <w:rPr>
          <w:sz w:val="22"/>
          <w:szCs w:val="22"/>
          <w:lang w:val="sr-Latn-ME" w:bidi="th-TH"/>
        </w:rPr>
        <w:t>metformin</w:t>
      </w:r>
      <w:proofErr w:type="spellEnd"/>
      <w:r w:rsidRPr="003F7E57">
        <w:rPr>
          <w:sz w:val="22"/>
          <w:szCs w:val="22"/>
          <w:lang w:val="sr-Latn-ME" w:bidi="th-TH"/>
        </w:rPr>
        <w:t xml:space="preserve">, a 2499 pacijenata je primalo </w:t>
      </w:r>
      <w:proofErr w:type="spellStart"/>
      <w:r w:rsidRPr="003F7E57">
        <w:rPr>
          <w:sz w:val="22"/>
          <w:szCs w:val="22"/>
          <w:lang w:val="sr-Latn-ME" w:bidi="th-TH"/>
        </w:rPr>
        <w:t>placebo</w:t>
      </w:r>
      <w:proofErr w:type="spellEnd"/>
      <w:r w:rsidRPr="003F7E57">
        <w:rPr>
          <w:sz w:val="22"/>
          <w:szCs w:val="22"/>
          <w:lang w:val="sr-Latn-ME" w:bidi="th-TH"/>
        </w:rPr>
        <w:t>/</w:t>
      </w:r>
      <w:proofErr w:type="spellStart"/>
      <w:r w:rsidRPr="003F7E57">
        <w:rPr>
          <w:sz w:val="22"/>
          <w:szCs w:val="22"/>
          <w:lang w:val="sr-Latn-ME" w:bidi="th-TH"/>
        </w:rPr>
        <w:t>metformin</w:t>
      </w:r>
      <w:proofErr w:type="spellEnd"/>
      <w:r w:rsidRPr="003F7E57">
        <w:rPr>
          <w:sz w:val="22"/>
          <w:szCs w:val="22"/>
          <w:lang w:val="sr-Latn-ME" w:bidi="th-TH"/>
        </w:rPr>
        <w:t>.</w:t>
      </w:r>
    </w:p>
    <w:p w14:paraId="52424789" w14:textId="77777777" w:rsidR="009972F4" w:rsidRPr="003F7E57" w:rsidRDefault="009972F4">
      <w:pPr>
        <w:autoSpaceDE w:val="0"/>
        <w:autoSpaceDN w:val="0"/>
        <w:adjustRightInd w:val="0"/>
        <w:jc w:val="both"/>
        <w:rPr>
          <w:sz w:val="22"/>
          <w:szCs w:val="22"/>
          <w:lang w:val="sr-Latn-ME" w:bidi="th-TH"/>
        </w:rPr>
      </w:pPr>
    </w:p>
    <w:p w14:paraId="37ADCFF1" w14:textId="727EA73C" w:rsidR="00CF5C69" w:rsidRPr="003F7E57" w:rsidRDefault="00CF5C69">
      <w:pPr>
        <w:autoSpaceDE w:val="0"/>
        <w:autoSpaceDN w:val="0"/>
        <w:adjustRightInd w:val="0"/>
        <w:jc w:val="both"/>
        <w:rPr>
          <w:sz w:val="22"/>
          <w:szCs w:val="22"/>
          <w:lang w:val="sr-Latn-ME" w:bidi="th-TH"/>
        </w:rPr>
      </w:pPr>
      <w:r w:rsidRPr="003F7E57">
        <w:rPr>
          <w:sz w:val="22"/>
          <w:szCs w:val="22"/>
          <w:lang w:val="sr-Latn-ME" w:bidi="th-TH"/>
        </w:rPr>
        <w:t xml:space="preserve">Nijesu sprovedena terapijska klinička ispitivanja sa lijekom </w:t>
      </w:r>
      <w:proofErr w:type="spellStart"/>
      <w:r w:rsidRPr="003F7E57">
        <w:rPr>
          <w:sz w:val="22"/>
          <w:szCs w:val="22"/>
          <w:lang w:val="sr-Latn-ME" w:bidi="th-TH"/>
        </w:rPr>
        <w:t>Eucreas</w:t>
      </w:r>
      <w:proofErr w:type="spellEnd"/>
      <w:r w:rsidRPr="003F7E57">
        <w:rPr>
          <w:sz w:val="22"/>
          <w:szCs w:val="22"/>
          <w:lang w:val="sr-Latn-ME" w:bidi="th-TH"/>
        </w:rPr>
        <w:t xml:space="preserve">. Međutim, biološka </w:t>
      </w:r>
      <w:proofErr w:type="spellStart"/>
      <w:r w:rsidRPr="003F7E57">
        <w:rPr>
          <w:sz w:val="22"/>
          <w:szCs w:val="22"/>
          <w:lang w:val="sr-Latn-ME" w:bidi="th-TH"/>
        </w:rPr>
        <w:t>ekvivalentnost</w:t>
      </w:r>
      <w:proofErr w:type="spellEnd"/>
      <w:r w:rsidRPr="003F7E57">
        <w:rPr>
          <w:sz w:val="22"/>
          <w:szCs w:val="22"/>
          <w:lang w:val="sr-Latn-ME" w:bidi="th-TH"/>
        </w:rPr>
        <w:t xml:space="preserve"> lijeka </w:t>
      </w:r>
      <w:proofErr w:type="spellStart"/>
      <w:r w:rsidRPr="003F7E57">
        <w:rPr>
          <w:sz w:val="22"/>
          <w:szCs w:val="22"/>
          <w:lang w:val="sr-Latn-ME" w:bidi="th-TH"/>
        </w:rPr>
        <w:t>Eucreas</w:t>
      </w:r>
      <w:proofErr w:type="spellEnd"/>
      <w:r w:rsidRPr="003F7E57">
        <w:rPr>
          <w:sz w:val="22"/>
          <w:szCs w:val="22"/>
          <w:lang w:val="sr-Latn-ME" w:bidi="th-TH"/>
        </w:rPr>
        <w:t xml:space="preserve"> sa istovremeno primijenjenim </w:t>
      </w:r>
      <w:proofErr w:type="spellStart"/>
      <w:r w:rsidRPr="003F7E57">
        <w:rPr>
          <w:sz w:val="22"/>
          <w:szCs w:val="22"/>
          <w:lang w:val="sr-Latn-ME" w:bidi="th-TH"/>
        </w:rPr>
        <w:t>vildagliptinom</w:t>
      </w:r>
      <w:proofErr w:type="spellEnd"/>
      <w:r w:rsidRPr="003F7E57">
        <w:rPr>
          <w:sz w:val="22"/>
          <w:szCs w:val="22"/>
          <w:lang w:val="sr-Latn-ME" w:bidi="th-TH"/>
        </w:rPr>
        <w:t xml:space="preserve"> i </w:t>
      </w:r>
      <w:proofErr w:type="spellStart"/>
      <w:r w:rsidRPr="003F7E57">
        <w:rPr>
          <w:sz w:val="22"/>
          <w:szCs w:val="22"/>
          <w:lang w:val="sr-Latn-ME" w:bidi="th-TH"/>
        </w:rPr>
        <w:t>metforminom</w:t>
      </w:r>
      <w:proofErr w:type="spellEnd"/>
      <w:r w:rsidRPr="003F7E57">
        <w:rPr>
          <w:sz w:val="22"/>
          <w:szCs w:val="22"/>
          <w:lang w:val="sr-Latn-ME" w:bidi="th-TH"/>
        </w:rPr>
        <w:t xml:space="preserve"> je dokazana (vidjeti </w:t>
      </w:r>
      <w:r w:rsidR="00522F79" w:rsidRPr="003F7E57">
        <w:rPr>
          <w:sz w:val="22"/>
          <w:szCs w:val="22"/>
          <w:lang w:val="sr-Latn-ME" w:bidi="th-TH"/>
        </w:rPr>
        <w:t xml:space="preserve">dio </w:t>
      </w:r>
      <w:r w:rsidRPr="003F7E57">
        <w:rPr>
          <w:sz w:val="22"/>
          <w:szCs w:val="22"/>
          <w:lang w:val="sr-Latn-ME" w:bidi="th-TH"/>
        </w:rPr>
        <w:t xml:space="preserve">5.2). </w:t>
      </w:r>
    </w:p>
    <w:p w14:paraId="1C280F94" w14:textId="77777777" w:rsidR="00CE108B" w:rsidRPr="003F7E57" w:rsidRDefault="00CE108B">
      <w:pPr>
        <w:autoSpaceDE w:val="0"/>
        <w:autoSpaceDN w:val="0"/>
        <w:adjustRightInd w:val="0"/>
        <w:jc w:val="both"/>
        <w:rPr>
          <w:noProof/>
          <w:sz w:val="22"/>
          <w:szCs w:val="22"/>
          <w:u w:val="single"/>
          <w:lang w:val="sr-Latn-ME"/>
        </w:rPr>
      </w:pPr>
    </w:p>
    <w:p w14:paraId="220F188F" w14:textId="4A3FC6DE" w:rsidR="00CF5C69" w:rsidRPr="003F7E57" w:rsidRDefault="00CF5C69">
      <w:pPr>
        <w:tabs>
          <w:tab w:val="left" w:pos="567"/>
        </w:tabs>
        <w:autoSpaceDE w:val="0"/>
        <w:autoSpaceDN w:val="0"/>
        <w:adjustRightInd w:val="0"/>
        <w:jc w:val="both"/>
        <w:rPr>
          <w:noProof/>
          <w:sz w:val="22"/>
          <w:szCs w:val="22"/>
          <w:lang w:val="sr-Latn-ME"/>
        </w:rPr>
      </w:pPr>
      <w:r w:rsidRPr="003F7E57">
        <w:rPr>
          <w:noProof/>
          <w:sz w:val="22"/>
          <w:szCs w:val="22"/>
          <w:lang w:val="sr-Latn-ME"/>
        </w:rPr>
        <w:lastRenderedPageBreak/>
        <w:t>Većina neželjenih dejstava je bila blaga i prolazna i nije bilo potrebno prekidati liječenje. Nije utvrđena povezanost između neželjenih dejstava i starosne dobi, etničke pripadnosti, trajanja izloženosti ili dnevne doze.</w:t>
      </w:r>
    </w:p>
    <w:p w14:paraId="0BBD1748" w14:textId="7032D675" w:rsidR="00CF5C69" w:rsidRPr="003F7E57" w:rsidRDefault="00CF5C69">
      <w:pPr>
        <w:tabs>
          <w:tab w:val="left" w:pos="567"/>
        </w:tabs>
        <w:autoSpaceDE w:val="0"/>
        <w:autoSpaceDN w:val="0"/>
        <w:adjustRightInd w:val="0"/>
        <w:jc w:val="both"/>
        <w:rPr>
          <w:noProof/>
          <w:sz w:val="22"/>
          <w:szCs w:val="22"/>
          <w:lang w:val="sr-Latn-ME"/>
        </w:rPr>
      </w:pPr>
    </w:p>
    <w:p w14:paraId="2B90E4DB" w14:textId="5F109AB0" w:rsidR="00CF5C69" w:rsidRPr="003F7E57" w:rsidRDefault="009972F4">
      <w:pPr>
        <w:tabs>
          <w:tab w:val="left" w:pos="567"/>
        </w:tabs>
        <w:autoSpaceDE w:val="0"/>
        <w:autoSpaceDN w:val="0"/>
        <w:adjustRightInd w:val="0"/>
        <w:jc w:val="both"/>
        <w:rPr>
          <w:noProof/>
          <w:sz w:val="22"/>
          <w:szCs w:val="22"/>
          <w:lang w:val="sr-Latn-ME"/>
        </w:rPr>
      </w:pPr>
      <w:r w:rsidRPr="003F7E57">
        <w:rPr>
          <w:noProof/>
          <w:sz w:val="22"/>
          <w:szCs w:val="22"/>
          <w:lang w:val="sr-Latn-ME"/>
        </w:rPr>
        <w:t xml:space="preserve">Primjena vildagliptina povezana je s rizikom od razvoja pankreatititsa. </w:t>
      </w:r>
      <w:r w:rsidR="00D56654" w:rsidRPr="003F7E57">
        <w:rPr>
          <w:noProof/>
          <w:sz w:val="22"/>
          <w:szCs w:val="22"/>
          <w:lang w:val="sr-Latn-ME"/>
        </w:rPr>
        <w:t>Prijavljena</w:t>
      </w:r>
      <w:r w:rsidRPr="003F7E57">
        <w:rPr>
          <w:noProof/>
          <w:sz w:val="22"/>
          <w:szCs w:val="22"/>
          <w:lang w:val="sr-Latn-ME"/>
        </w:rPr>
        <w:t xml:space="preserve"> je lakta</w:t>
      </w:r>
      <w:r w:rsidR="00D56654" w:rsidRPr="003F7E57">
        <w:rPr>
          <w:noProof/>
          <w:sz w:val="22"/>
          <w:szCs w:val="22"/>
          <w:lang w:val="sr-Latn-ME"/>
        </w:rPr>
        <w:t>tna a</w:t>
      </w:r>
      <w:r w:rsidRPr="003F7E57">
        <w:rPr>
          <w:noProof/>
          <w:sz w:val="22"/>
          <w:szCs w:val="22"/>
          <w:lang w:val="sr-Latn-ME"/>
        </w:rPr>
        <w:t xml:space="preserve">cidoza nakon primjene metformina, pogotovo kod pacijenata </w:t>
      </w:r>
      <w:r w:rsidR="00D56654" w:rsidRPr="003F7E57">
        <w:rPr>
          <w:noProof/>
          <w:sz w:val="22"/>
          <w:szCs w:val="22"/>
          <w:lang w:val="sr-Latn-ME"/>
        </w:rPr>
        <w:t xml:space="preserve">s osnovnim </w:t>
      </w:r>
      <w:r w:rsidRPr="003F7E57">
        <w:rPr>
          <w:noProof/>
          <w:sz w:val="22"/>
          <w:szCs w:val="22"/>
          <w:lang w:val="sr-Latn-ME"/>
        </w:rPr>
        <w:t>oštećenjem funkcije bubrega (vidjeti dio 4.4).</w:t>
      </w:r>
    </w:p>
    <w:p w14:paraId="1B0B4B19" w14:textId="77777777" w:rsidR="00731F8A" w:rsidRPr="003F7E57" w:rsidRDefault="00731F8A">
      <w:pPr>
        <w:tabs>
          <w:tab w:val="left" w:pos="567"/>
        </w:tabs>
        <w:autoSpaceDE w:val="0"/>
        <w:autoSpaceDN w:val="0"/>
        <w:adjustRightInd w:val="0"/>
        <w:jc w:val="both"/>
        <w:rPr>
          <w:noProof/>
          <w:sz w:val="22"/>
          <w:szCs w:val="22"/>
          <w:lang w:val="sr-Latn-ME"/>
        </w:rPr>
      </w:pPr>
    </w:p>
    <w:p w14:paraId="6FCFC956" w14:textId="61F7884B" w:rsidR="00CF5C69" w:rsidRPr="003F7E57" w:rsidRDefault="00CF5C69">
      <w:pPr>
        <w:tabs>
          <w:tab w:val="left" w:pos="567"/>
        </w:tabs>
        <w:autoSpaceDE w:val="0"/>
        <w:autoSpaceDN w:val="0"/>
        <w:adjustRightInd w:val="0"/>
        <w:jc w:val="both"/>
        <w:rPr>
          <w:noProof/>
          <w:sz w:val="22"/>
          <w:szCs w:val="22"/>
          <w:u w:val="single"/>
          <w:lang w:val="sr-Latn-ME"/>
        </w:rPr>
      </w:pPr>
      <w:r w:rsidRPr="003F7E57">
        <w:rPr>
          <w:noProof/>
          <w:sz w:val="22"/>
          <w:szCs w:val="22"/>
          <w:u w:val="single"/>
          <w:lang w:val="sr-Latn-ME"/>
        </w:rPr>
        <w:t>Tabelarni prikaz neželjenih dejstava</w:t>
      </w:r>
    </w:p>
    <w:p w14:paraId="70348E38" w14:textId="77777777" w:rsidR="00D56654" w:rsidRPr="003F7E57" w:rsidRDefault="00D56654">
      <w:pPr>
        <w:tabs>
          <w:tab w:val="left" w:pos="567"/>
        </w:tabs>
        <w:autoSpaceDE w:val="0"/>
        <w:autoSpaceDN w:val="0"/>
        <w:adjustRightInd w:val="0"/>
        <w:jc w:val="both"/>
        <w:rPr>
          <w:noProof/>
          <w:sz w:val="22"/>
          <w:szCs w:val="22"/>
          <w:u w:val="single"/>
          <w:lang w:val="sr-Latn-ME"/>
        </w:rPr>
      </w:pPr>
    </w:p>
    <w:p w14:paraId="116BE18E" w14:textId="6EF8EFB3" w:rsidR="00CF5C69" w:rsidRPr="003F7E57" w:rsidRDefault="00CF5C69">
      <w:pPr>
        <w:tabs>
          <w:tab w:val="left" w:pos="567"/>
        </w:tabs>
        <w:autoSpaceDE w:val="0"/>
        <w:autoSpaceDN w:val="0"/>
        <w:adjustRightInd w:val="0"/>
        <w:jc w:val="both"/>
        <w:rPr>
          <w:noProof/>
          <w:sz w:val="22"/>
          <w:szCs w:val="22"/>
          <w:lang w:val="sr-Latn-ME"/>
        </w:rPr>
      </w:pPr>
      <w:r w:rsidRPr="003F7E57">
        <w:rPr>
          <w:noProof/>
          <w:sz w:val="22"/>
          <w:szCs w:val="22"/>
          <w:lang w:val="sr-Latn-ME"/>
        </w:rPr>
        <w:t xml:space="preserve">Neželjena dejstva zabilježena kod pacijenata koji su primali vildagliptin u dvostruko slijepim </w:t>
      </w:r>
      <w:r w:rsidR="00C10CDE" w:rsidRPr="003F7E57">
        <w:rPr>
          <w:noProof/>
          <w:sz w:val="22"/>
          <w:szCs w:val="22"/>
          <w:lang w:val="sr-Latn-ME"/>
        </w:rPr>
        <w:t xml:space="preserve">kliničkim </w:t>
      </w:r>
      <w:r w:rsidRPr="003F7E57">
        <w:rPr>
          <w:noProof/>
          <w:sz w:val="22"/>
          <w:szCs w:val="22"/>
          <w:lang w:val="sr-Latn-ME"/>
        </w:rPr>
        <w:t>ispitivanjima kao monoterapiju i kao dodatnu terapiju navedene su ispod za svaku indikaciju prema klasifikaciji organskih sistema i apsolutnoj učestalosti. Učestalost se definiše kao veoma česta (≥ 1/10), česta (≥ 1/100 i &lt; 1/10), povremena (≥ 1/1000 i &lt; 1/100), rijetka (≥ 1/10000 i &lt; 1/1000), veoma rijetka (&lt; 1/10000), nepoznato (ne može se procijeniti iz dostupnih podataka). U okviru svake grupe učestalosti neželjene reakcije su prikazane u opadajućem nizu prema ozbiljnosti.</w:t>
      </w:r>
    </w:p>
    <w:p w14:paraId="186629A4" w14:textId="22584455" w:rsidR="00C10CDE" w:rsidRPr="003F7E57" w:rsidRDefault="00C10CDE">
      <w:pPr>
        <w:tabs>
          <w:tab w:val="left" w:pos="567"/>
        </w:tabs>
        <w:autoSpaceDE w:val="0"/>
        <w:autoSpaceDN w:val="0"/>
        <w:adjustRightInd w:val="0"/>
        <w:jc w:val="both"/>
        <w:rPr>
          <w:noProof/>
          <w:sz w:val="22"/>
          <w:szCs w:val="22"/>
          <w:lang w:val="sr-Latn-ME"/>
        </w:rPr>
      </w:pPr>
    </w:p>
    <w:p w14:paraId="2F423CDC" w14:textId="7FE2A613" w:rsidR="00C10CDE" w:rsidRPr="003F7E57" w:rsidRDefault="00C10CDE" w:rsidP="00991A59">
      <w:pPr>
        <w:autoSpaceDE w:val="0"/>
        <w:autoSpaceDN w:val="0"/>
        <w:adjustRightInd w:val="0"/>
        <w:ind w:left="1134" w:hanging="1134"/>
        <w:jc w:val="both"/>
        <w:rPr>
          <w:noProof/>
          <w:sz w:val="22"/>
          <w:szCs w:val="22"/>
          <w:lang w:val="sr-Latn-ME"/>
        </w:rPr>
      </w:pPr>
      <w:r w:rsidRPr="003F7E57">
        <w:rPr>
          <w:b/>
          <w:noProof/>
          <w:sz w:val="22"/>
          <w:szCs w:val="22"/>
          <w:lang w:val="sr-Latn-ME"/>
        </w:rPr>
        <w:t>Tabela 1</w:t>
      </w:r>
      <w:r w:rsidRPr="003F7E57">
        <w:rPr>
          <w:b/>
          <w:noProof/>
          <w:sz w:val="22"/>
          <w:szCs w:val="22"/>
          <w:lang w:val="sr-Latn-ME"/>
        </w:rPr>
        <w:tab/>
      </w:r>
      <w:r w:rsidRPr="003F7E57">
        <w:rPr>
          <w:b/>
          <w:sz w:val="22"/>
          <w:szCs w:val="22"/>
          <w:lang w:val="sr-Latn-ME"/>
        </w:rPr>
        <w:t xml:space="preserve">Neželjene reakcije </w:t>
      </w:r>
      <w:r w:rsidR="00D56654" w:rsidRPr="003F7E57">
        <w:rPr>
          <w:b/>
          <w:sz w:val="22"/>
          <w:szCs w:val="22"/>
          <w:lang w:val="sr-Latn-ME"/>
        </w:rPr>
        <w:t>prijavljene</w:t>
      </w:r>
      <w:r w:rsidRPr="003F7E57">
        <w:rPr>
          <w:b/>
          <w:sz w:val="22"/>
          <w:szCs w:val="22"/>
          <w:lang w:val="sr-Latn-ME"/>
        </w:rPr>
        <w:t xml:space="preserve"> kod pacijenata koji su primali </w:t>
      </w:r>
      <w:proofErr w:type="spellStart"/>
      <w:r w:rsidRPr="003F7E57">
        <w:rPr>
          <w:b/>
          <w:sz w:val="22"/>
          <w:szCs w:val="22"/>
          <w:lang w:val="sr-Latn-ME"/>
        </w:rPr>
        <w:t>vildagliptin</w:t>
      </w:r>
      <w:proofErr w:type="spellEnd"/>
      <w:r w:rsidRPr="003F7E57">
        <w:rPr>
          <w:b/>
          <w:sz w:val="22"/>
          <w:szCs w:val="22"/>
          <w:lang w:val="sr-Latn-ME"/>
        </w:rPr>
        <w:t xml:space="preserve"> i </w:t>
      </w:r>
      <w:proofErr w:type="spellStart"/>
      <w:r w:rsidRPr="003F7E57">
        <w:rPr>
          <w:b/>
          <w:sz w:val="22"/>
          <w:szCs w:val="22"/>
          <w:lang w:val="sr-Latn-ME"/>
        </w:rPr>
        <w:t>metformin</w:t>
      </w:r>
      <w:proofErr w:type="spellEnd"/>
      <w:r w:rsidRPr="003F7E57">
        <w:rPr>
          <w:b/>
          <w:sz w:val="22"/>
          <w:szCs w:val="22"/>
          <w:lang w:val="sr-Latn-ME"/>
        </w:rPr>
        <w:t xml:space="preserve"> (kao </w:t>
      </w:r>
      <w:proofErr w:type="spellStart"/>
      <w:r w:rsidRPr="003F7E57">
        <w:rPr>
          <w:b/>
          <w:sz w:val="22"/>
          <w:szCs w:val="22"/>
          <w:lang w:val="sr-Latn-ME"/>
        </w:rPr>
        <w:t>monokomponente</w:t>
      </w:r>
      <w:proofErr w:type="spellEnd"/>
      <w:r w:rsidRPr="003F7E57">
        <w:rPr>
          <w:b/>
          <w:sz w:val="22"/>
          <w:szCs w:val="22"/>
          <w:lang w:val="sr-Latn-ME"/>
        </w:rPr>
        <w:t xml:space="preserve"> ili fiksne kombinacije doza), ili u kombinaciji s drugim </w:t>
      </w:r>
      <w:proofErr w:type="spellStart"/>
      <w:r w:rsidRPr="003F7E57">
        <w:rPr>
          <w:b/>
          <w:sz w:val="22"/>
          <w:szCs w:val="22"/>
          <w:lang w:val="sr-Latn-ME"/>
        </w:rPr>
        <w:t>antidijabetičkim</w:t>
      </w:r>
      <w:proofErr w:type="spellEnd"/>
      <w:r w:rsidRPr="003F7E57">
        <w:rPr>
          <w:b/>
          <w:sz w:val="22"/>
          <w:szCs w:val="22"/>
          <w:lang w:val="sr-Latn-ME"/>
        </w:rPr>
        <w:t xml:space="preserve"> liječenjem, u kliničkim ispitivanjima i iz iskustva nakon stavljanja lijeka u promet</w:t>
      </w:r>
    </w:p>
    <w:p w14:paraId="36C599B8" w14:textId="31CE8513" w:rsidR="00CF5C69" w:rsidRPr="003F7E57" w:rsidRDefault="00CF5C69" w:rsidP="00991A59">
      <w:pPr>
        <w:tabs>
          <w:tab w:val="left" w:pos="567"/>
        </w:tabs>
        <w:autoSpaceDE w:val="0"/>
        <w:autoSpaceDN w:val="0"/>
        <w:adjustRightInd w:val="0"/>
        <w:jc w:val="both"/>
        <w:rPr>
          <w:noProof/>
          <w:sz w:val="22"/>
          <w:szCs w:val="22"/>
          <w:lang w:val="sr-Latn-ME"/>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21"/>
        <w:gridCol w:w="3546"/>
      </w:tblGrid>
      <w:tr w:rsidR="00C10CDE" w:rsidRPr="003F7E57" w14:paraId="0909644E" w14:textId="77777777" w:rsidTr="007A2CE8">
        <w:trPr>
          <w:cantSplit/>
        </w:trPr>
        <w:tc>
          <w:tcPr>
            <w:tcW w:w="5548" w:type="dxa"/>
            <w:shd w:val="clear" w:color="auto" w:fill="auto"/>
            <w:vAlign w:val="center"/>
            <w:hideMark/>
          </w:tcPr>
          <w:p w14:paraId="0E8730E7" w14:textId="5B2065D1" w:rsidR="00C10CDE" w:rsidRPr="003F7E57" w:rsidRDefault="00C10CDE" w:rsidP="00991A59">
            <w:pPr>
              <w:keepNext/>
              <w:jc w:val="both"/>
              <w:rPr>
                <w:b/>
                <w:bCs/>
                <w:color w:val="000000"/>
                <w:sz w:val="22"/>
                <w:szCs w:val="22"/>
                <w:highlight w:val="yellow"/>
                <w:lang w:val="sr-Latn-ME"/>
              </w:rPr>
            </w:pPr>
            <w:r w:rsidRPr="003F7E57">
              <w:rPr>
                <w:rFonts w:eastAsia="Calibri"/>
                <w:b/>
                <w:bCs/>
                <w:color w:val="000000"/>
                <w:spacing w:val="-1"/>
                <w:sz w:val="22"/>
                <w:szCs w:val="22"/>
                <w:lang w:val="sr-Latn-ME"/>
              </w:rPr>
              <w:t>Klasifikacija organskih sistema – neželjen</w:t>
            </w:r>
            <w:r w:rsidR="00D56654" w:rsidRPr="003F7E57">
              <w:rPr>
                <w:rFonts w:eastAsia="Calibri"/>
                <w:b/>
                <w:bCs/>
                <w:color w:val="000000"/>
                <w:spacing w:val="-1"/>
                <w:sz w:val="22"/>
                <w:szCs w:val="22"/>
                <w:lang w:val="sr-Latn-ME"/>
              </w:rPr>
              <w:t>a reakcija</w:t>
            </w:r>
          </w:p>
        </w:tc>
        <w:tc>
          <w:tcPr>
            <w:tcW w:w="3517" w:type="dxa"/>
            <w:shd w:val="clear" w:color="auto" w:fill="auto"/>
            <w:vAlign w:val="center"/>
            <w:hideMark/>
          </w:tcPr>
          <w:p w14:paraId="736BC8F5" w14:textId="77777777" w:rsidR="00C10CDE" w:rsidRPr="003F7E57" w:rsidRDefault="00C10CDE" w:rsidP="00991A59">
            <w:pPr>
              <w:keepNext/>
              <w:jc w:val="both"/>
              <w:rPr>
                <w:b/>
                <w:bCs/>
                <w:color w:val="000000"/>
                <w:sz w:val="22"/>
                <w:szCs w:val="22"/>
                <w:lang w:val="sr-Latn-ME"/>
              </w:rPr>
            </w:pPr>
            <w:r w:rsidRPr="003F7E57">
              <w:rPr>
                <w:rFonts w:eastAsia="Calibri"/>
                <w:b/>
                <w:bCs/>
                <w:color w:val="000000"/>
                <w:spacing w:val="-1"/>
                <w:sz w:val="22"/>
                <w:szCs w:val="22"/>
                <w:lang w:val="sr-Latn-ME"/>
              </w:rPr>
              <w:t>Učestalost</w:t>
            </w:r>
          </w:p>
        </w:tc>
      </w:tr>
      <w:tr w:rsidR="00C10CDE" w:rsidRPr="003F7E57" w14:paraId="35BC6EED" w14:textId="77777777" w:rsidTr="007A2CE8">
        <w:trPr>
          <w:cantSplit/>
        </w:trPr>
        <w:tc>
          <w:tcPr>
            <w:tcW w:w="0" w:type="auto"/>
            <w:gridSpan w:val="2"/>
            <w:shd w:val="clear" w:color="auto" w:fill="auto"/>
            <w:vAlign w:val="center"/>
          </w:tcPr>
          <w:p w14:paraId="4859BD35" w14:textId="77777777" w:rsidR="00C10CDE" w:rsidRPr="003F7E57" w:rsidRDefault="00C10CDE" w:rsidP="00991A59">
            <w:pPr>
              <w:keepNext/>
              <w:jc w:val="both"/>
              <w:rPr>
                <w:b/>
                <w:bCs/>
                <w:color w:val="000000"/>
                <w:spacing w:val="-1"/>
                <w:sz w:val="22"/>
                <w:szCs w:val="22"/>
                <w:lang w:val="sr-Latn-ME"/>
              </w:rPr>
            </w:pPr>
            <w:r w:rsidRPr="003F7E57">
              <w:rPr>
                <w:rFonts w:eastAsia="Calibri"/>
                <w:b/>
                <w:bCs/>
                <w:color w:val="000000"/>
                <w:spacing w:val="-1"/>
                <w:sz w:val="22"/>
                <w:szCs w:val="22"/>
                <w:lang w:val="sr-Latn-ME"/>
              </w:rPr>
              <w:t xml:space="preserve">Infekcije i </w:t>
            </w:r>
            <w:proofErr w:type="spellStart"/>
            <w:r w:rsidRPr="003F7E57">
              <w:rPr>
                <w:rFonts w:eastAsia="Calibri"/>
                <w:b/>
                <w:bCs/>
                <w:color w:val="000000"/>
                <w:spacing w:val="-1"/>
                <w:sz w:val="22"/>
                <w:szCs w:val="22"/>
                <w:lang w:val="sr-Latn-ME"/>
              </w:rPr>
              <w:t>infestacije</w:t>
            </w:r>
            <w:proofErr w:type="spellEnd"/>
          </w:p>
        </w:tc>
      </w:tr>
      <w:tr w:rsidR="00C10CDE" w:rsidRPr="003F7E57" w14:paraId="09C4A215" w14:textId="77777777" w:rsidTr="007A2CE8">
        <w:trPr>
          <w:cantSplit/>
        </w:trPr>
        <w:tc>
          <w:tcPr>
            <w:tcW w:w="5548" w:type="dxa"/>
            <w:shd w:val="clear" w:color="auto" w:fill="auto"/>
            <w:vAlign w:val="center"/>
          </w:tcPr>
          <w:p w14:paraId="18F83751" w14:textId="38BB0514" w:rsidR="00C10CDE" w:rsidRPr="003F7E57" w:rsidRDefault="00C10CDE" w:rsidP="00991A59">
            <w:pPr>
              <w:keepNext/>
              <w:jc w:val="both"/>
              <w:rPr>
                <w:b/>
                <w:bCs/>
                <w:color w:val="000000"/>
                <w:spacing w:val="-1"/>
                <w:sz w:val="22"/>
                <w:szCs w:val="22"/>
                <w:lang w:val="sr-Latn-ME"/>
              </w:rPr>
            </w:pPr>
            <w:r w:rsidRPr="003F7E57">
              <w:rPr>
                <w:sz w:val="22"/>
                <w:szCs w:val="22"/>
                <w:lang w:val="sr-Latn-ME"/>
              </w:rPr>
              <w:t>Infekcija gornjih disajnih puteva</w:t>
            </w:r>
          </w:p>
        </w:tc>
        <w:tc>
          <w:tcPr>
            <w:tcW w:w="3517" w:type="dxa"/>
            <w:shd w:val="clear" w:color="auto" w:fill="auto"/>
            <w:vAlign w:val="center"/>
          </w:tcPr>
          <w:p w14:paraId="056EE144" w14:textId="77777777" w:rsidR="00C10CDE" w:rsidRPr="003F7E57" w:rsidRDefault="00C10CDE" w:rsidP="00991A59">
            <w:pPr>
              <w:keepNext/>
              <w:jc w:val="both"/>
              <w:rPr>
                <w:b/>
                <w:bCs/>
                <w:color w:val="000000"/>
                <w:spacing w:val="-1"/>
                <w:sz w:val="22"/>
                <w:szCs w:val="22"/>
                <w:lang w:val="sr-Latn-ME"/>
              </w:rPr>
            </w:pPr>
            <w:r w:rsidRPr="003F7E57">
              <w:rPr>
                <w:sz w:val="22"/>
                <w:szCs w:val="22"/>
                <w:lang w:val="sr-Latn-ME"/>
              </w:rPr>
              <w:t>Često</w:t>
            </w:r>
          </w:p>
        </w:tc>
      </w:tr>
      <w:tr w:rsidR="00C10CDE" w:rsidRPr="003F7E57" w14:paraId="4D6E13EE" w14:textId="77777777" w:rsidTr="007A2CE8">
        <w:trPr>
          <w:cantSplit/>
        </w:trPr>
        <w:tc>
          <w:tcPr>
            <w:tcW w:w="5548" w:type="dxa"/>
            <w:shd w:val="clear" w:color="auto" w:fill="auto"/>
            <w:vAlign w:val="center"/>
          </w:tcPr>
          <w:p w14:paraId="578AB1D4" w14:textId="77777777" w:rsidR="00C10CDE" w:rsidRPr="003F7E57" w:rsidRDefault="00C10CDE" w:rsidP="00991A59">
            <w:pPr>
              <w:jc w:val="both"/>
              <w:rPr>
                <w:color w:val="000000"/>
                <w:sz w:val="22"/>
                <w:szCs w:val="22"/>
                <w:lang w:val="sr-Latn-ME"/>
              </w:rPr>
            </w:pPr>
            <w:proofErr w:type="spellStart"/>
            <w:r w:rsidRPr="003F7E57">
              <w:rPr>
                <w:color w:val="000000"/>
                <w:sz w:val="22"/>
                <w:szCs w:val="22"/>
                <w:lang w:val="sr-Latn-ME"/>
              </w:rPr>
              <w:t>Nazofaringitis</w:t>
            </w:r>
            <w:proofErr w:type="spellEnd"/>
          </w:p>
        </w:tc>
        <w:tc>
          <w:tcPr>
            <w:tcW w:w="3517" w:type="dxa"/>
            <w:shd w:val="clear" w:color="auto" w:fill="auto"/>
            <w:vAlign w:val="center"/>
          </w:tcPr>
          <w:p w14:paraId="7ED506AD" w14:textId="77777777" w:rsidR="00C10CDE" w:rsidRPr="003F7E57" w:rsidRDefault="00C10CDE" w:rsidP="00991A59">
            <w:pPr>
              <w:jc w:val="both"/>
              <w:rPr>
                <w:color w:val="000000"/>
                <w:sz w:val="22"/>
                <w:szCs w:val="22"/>
                <w:lang w:val="sr-Latn-ME"/>
              </w:rPr>
            </w:pPr>
            <w:r w:rsidRPr="003F7E57">
              <w:rPr>
                <w:sz w:val="22"/>
                <w:szCs w:val="22"/>
                <w:lang w:val="sr-Latn-ME"/>
              </w:rPr>
              <w:t>Često</w:t>
            </w:r>
          </w:p>
        </w:tc>
      </w:tr>
      <w:tr w:rsidR="00C10CDE" w:rsidRPr="003F7E57" w14:paraId="6ED21777" w14:textId="77777777" w:rsidTr="007A2CE8">
        <w:trPr>
          <w:cantSplit/>
        </w:trPr>
        <w:tc>
          <w:tcPr>
            <w:tcW w:w="0" w:type="auto"/>
            <w:gridSpan w:val="2"/>
            <w:shd w:val="clear" w:color="auto" w:fill="auto"/>
            <w:vAlign w:val="center"/>
            <w:hideMark/>
          </w:tcPr>
          <w:p w14:paraId="12FF7FAF" w14:textId="08B978BE" w:rsidR="00C10CDE" w:rsidRPr="003F7E57" w:rsidRDefault="00C10CDE" w:rsidP="00991A59">
            <w:pPr>
              <w:keepNext/>
              <w:jc w:val="both"/>
              <w:rPr>
                <w:b/>
                <w:bCs/>
                <w:color w:val="000000"/>
                <w:sz w:val="22"/>
                <w:szCs w:val="22"/>
                <w:lang w:val="sr-Latn-ME"/>
              </w:rPr>
            </w:pPr>
            <w:r w:rsidRPr="003F7E57">
              <w:rPr>
                <w:b/>
                <w:bCs/>
                <w:color w:val="000000"/>
                <w:spacing w:val="-1"/>
                <w:sz w:val="22"/>
                <w:szCs w:val="22"/>
                <w:lang w:val="sr-Latn-ME"/>
              </w:rPr>
              <w:t>Poremećaji metabolizma i ishrane</w:t>
            </w:r>
          </w:p>
        </w:tc>
      </w:tr>
      <w:tr w:rsidR="00C10CDE" w:rsidRPr="003F7E57" w14:paraId="3A0E97CD" w14:textId="77777777" w:rsidTr="007A2CE8">
        <w:trPr>
          <w:cantSplit/>
        </w:trPr>
        <w:tc>
          <w:tcPr>
            <w:tcW w:w="5548" w:type="dxa"/>
            <w:shd w:val="clear" w:color="auto" w:fill="auto"/>
            <w:vAlign w:val="center"/>
          </w:tcPr>
          <w:p w14:paraId="0CDB2798" w14:textId="77777777" w:rsidR="00C10CDE" w:rsidRPr="003F7E57" w:rsidRDefault="00C10CDE" w:rsidP="00991A59">
            <w:pPr>
              <w:keepNext/>
              <w:jc w:val="both"/>
              <w:rPr>
                <w:b/>
                <w:bCs/>
                <w:color w:val="000000"/>
                <w:spacing w:val="-1"/>
                <w:sz w:val="22"/>
                <w:szCs w:val="22"/>
                <w:lang w:val="sr-Latn-ME"/>
              </w:rPr>
            </w:pPr>
            <w:proofErr w:type="spellStart"/>
            <w:r w:rsidRPr="003F7E57">
              <w:rPr>
                <w:rFonts w:eastAsia="Calibri"/>
                <w:color w:val="000000"/>
                <w:spacing w:val="-1"/>
                <w:sz w:val="22"/>
                <w:szCs w:val="22"/>
                <w:lang w:val="sr-Latn-ME"/>
              </w:rPr>
              <w:t>Hipoglikemija</w:t>
            </w:r>
            <w:proofErr w:type="spellEnd"/>
          </w:p>
        </w:tc>
        <w:tc>
          <w:tcPr>
            <w:tcW w:w="3517" w:type="dxa"/>
            <w:shd w:val="clear" w:color="auto" w:fill="auto"/>
            <w:vAlign w:val="center"/>
          </w:tcPr>
          <w:p w14:paraId="4E8AB355" w14:textId="0343271F" w:rsidR="00C10CDE" w:rsidRPr="003F7E57" w:rsidRDefault="00C10CDE" w:rsidP="00991A59">
            <w:pPr>
              <w:keepNext/>
              <w:jc w:val="both"/>
              <w:rPr>
                <w:b/>
                <w:bCs/>
                <w:color w:val="000000"/>
                <w:spacing w:val="-1"/>
                <w:sz w:val="22"/>
                <w:szCs w:val="22"/>
                <w:lang w:val="sr-Latn-ME"/>
              </w:rPr>
            </w:pPr>
            <w:r w:rsidRPr="003F7E57">
              <w:rPr>
                <w:rFonts w:eastAsia="Calibri"/>
                <w:color w:val="000000"/>
                <w:spacing w:val="-1"/>
                <w:sz w:val="22"/>
                <w:szCs w:val="22"/>
                <w:lang w:val="sr-Latn-ME"/>
              </w:rPr>
              <w:t>Povremeno</w:t>
            </w:r>
          </w:p>
        </w:tc>
      </w:tr>
      <w:tr w:rsidR="00C10CDE" w:rsidRPr="003F7E57" w14:paraId="7DC9502C" w14:textId="77777777" w:rsidTr="007A2CE8">
        <w:trPr>
          <w:cantSplit/>
        </w:trPr>
        <w:tc>
          <w:tcPr>
            <w:tcW w:w="5548" w:type="dxa"/>
            <w:shd w:val="clear" w:color="auto" w:fill="auto"/>
            <w:vAlign w:val="center"/>
          </w:tcPr>
          <w:p w14:paraId="5CE257BB" w14:textId="77777777" w:rsidR="00C10CDE" w:rsidRPr="003F7E57" w:rsidRDefault="00C10CDE" w:rsidP="00991A59">
            <w:pPr>
              <w:keepNext/>
              <w:jc w:val="both"/>
              <w:rPr>
                <w:rFonts w:eastAsia="Calibri"/>
                <w:color w:val="000000"/>
                <w:spacing w:val="-1"/>
                <w:sz w:val="22"/>
                <w:szCs w:val="22"/>
                <w:lang w:val="sr-Latn-ME"/>
              </w:rPr>
            </w:pPr>
            <w:r w:rsidRPr="003F7E57">
              <w:rPr>
                <w:rFonts w:eastAsia="Calibri"/>
                <w:color w:val="000000"/>
                <w:spacing w:val="-1"/>
                <w:sz w:val="22"/>
                <w:szCs w:val="22"/>
                <w:lang w:val="sr-Latn-ME"/>
              </w:rPr>
              <w:t>Gubitak apetita</w:t>
            </w:r>
          </w:p>
        </w:tc>
        <w:tc>
          <w:tcPr>
            <w:tcW w:w="3517" w:type="dxa"/>
            <w:shd w:val="clear" w:color="auto" w:fill="auto"/>
            <w:vAlign w:val="center"/>
          </w:tcPr>
          <w:p w14:paraId="724C8CFA" w14:textId="350A1BB7" w:rsidR="00C10CDE" w:rsidRPr="003F7E57" w:rsidRDefault="00C10CDE" w:rsidP="00991A59">
            <w:pPr>
              <w:keepNext/>
              <w:jc w:val="both"/>
              <w:rPr>
                <w:rFonts w:eastAsia="Calibri"/>
                <w:color w:val="000000"/>
                <w:spacing w:val="-1"/>
                <w:sz w:val="22"/>
                <w:szCs w:val="22"/>
                <w:lang w:val="sr-Latn-ME"/>
              </w:rPr>
            </w:pPr>
            <w:r w:rsidRPr="003F7E57">
              <w:rPr>
                <w:rFonts w:eastAsia="Calibri"/>
                <w:color w:val="000000"/>
                <w:spacing w:val="-1"/>
                <w:sz w:val="22"/>
                <w:szCs w:val="22"/>
                <w:lang w:val="sr-Latn-ME"/>
              </w:rPr>
              <w:t>Povremen</w:t>
            </w:r>
            <w:r w:rsidR="00CE108B" w:rsidRPr="003F7E57">
              <w:rPr>
                <w:rFonts w:eastAsia="Calibri"/>
                <w:color w:val="000000"/>
                <w:spacing w:val="-1"/>
                <w:sz w:val="22"/>
                <w:szCs w:val="22"/>
                <w:lang w:val="sr-Latn-ME"/>
              </w:rPr>
              <w:t>o</w:t>
            </w:r>
          </w:p>
        </w:tc>
      </w:tr>
      <w:tr w:rsidR="00C10CDE" w:rsidRPr="003F7E57" w14:paraId="3ADFECC6" w14:textId="77777777" w:rsidTr="007A2CE8">
        <w:trPr>
          <w:cantSplit/>
        </w:trPr>
        <w:tc>
          <w:tcPr>
            <w:tcW w:w="5548" w:type="dxa"/>
            <w:shd w:val="clear" w:color="auto" w:fill="auto"/>
            <w:vAlign w:val="center"/>
          </w:tcPr>
          <w:p w14:paraId="2F15A3D8" w14:textId="77777777" w:rsidR="00C10CDE" w:rsidRPr="003F7E57" w:rsidRDefault="00C10CDE" w:rsidP="00991A59">
            <w:pPr>
              <w:jc w:val="both"/>
              <w:rPr>
                <w:b/>
                <w:bCs/>
                <w:color w:val="000000"/>
                <w:spacing w:val="-1"/>
                <w:sz w:val="22"/>
                <w:szCs w:val="22"/>
                <w:lang w:val="sr-Latn-ME"/>
              </w:rPr>
            </w:pPr>
            <w:r w:rsidRPr="003F7E57">
              <w:rPr>
                <w:sz w:val="22"/>
                <w:szCs w:val="22"/>
                <w:lang w:val="sr-Latn-ME"/>
              </w:rPr>
              <w:t xml:space="preserve">Smanjena apsorpcija vitamina </w:t>
            </w:r>
            <w:proofErr w:type="spellStart"/>
            <w:r w:rsidRPr="003F7E57">
              <w:rPr>
                <w:sz w:val="22"/>
                <w:szCs w:val="22"/>
                <w:lang w:val="sr-Latn-ME"/>
              </w:rPr>
              <w:t>B</w:t>
            </w:r>
            <w:r w:rsidRPr="003F7E57">
              <w:rPr>
                <w:sz w:val="22"/>
                <w:szCs w:val="22"/>
                <w:vertAlign w:val="subscript"/>
                <w:lang w:val="sr-Latn-ME"/>
              </w:rPr>
              <w:t>12</w:t>
            </w:r>
            <w:proofErr w:type="spellEnd"/>
            <w:r w:rsidRPr="003F7E57">
              <w:rPr>
                <w:sz w:val="22"/>
                <w:szCs w:val="22"/>
                <w:lang w:val="sr-Latn-ME"/>
              </w:rPr>
              <w:t xml:space="preserve"> i </w:t>
            </w:r>
            <w:proofErr w:type="spellStart"/>
            <w:r w:rsidRPr="003F7E57">
              <w:rPr>
                <w:sz w:val="22"/>
                <w:szCs w:val="22"/>
                <w:lang w:val="sr-Latn-ME"/>
              </w:rPr>
              <w:t>laktacidoza</w:t>
            </w:r>
            <w:proofErr w:type="spellEnd"/>
          </w:p>
        </w:tc>
        <w:tc>
          <w:tcPr>
            <w:tcW w:w="3517" w:type="dxa"/>
            <w:shd w:val="clear" w:color="auto" w:fill="auto"/>
            <w:vAlign w:val="center"/>
          </w:tcPr>
          <w:p w14:paraId="6C3B52AF" w14:textId="74BCB86F" w:rsidR="00C10CDE" w:rsidRPr="003F7E57" w:rsidRDefault="00C10CDE" w:rsidP="00991A59">
            <w:pPr>
              <w:jc w:val="both"/>
              <w:rPr>
                <w:b/>
                <w:bCs/>
                <w:color w:val="000000"/>
                <w:spacing w:val="-1"/>
                <w:sz w:val="22"/>
                <w:szCs w:val="22"/>
                <w:lang w:val="sr-Latn-ME"/>
              </w:rPr>
            </w:pPr>
            <w:r w:rsidRPr="003F7E57">
              <w:rPr>
                <w:rFonts w:eastAsia="Calibri"/>
                <w:color w:val="000000"/>
                <w:spacing w:val="-1"/>
                <w:sz w:val="22"/>
                <w:szCs w:val="22"/>
                <w:lang w:val="sr-Latn-ME"/>
              </w:rPr>
              <w:t>Veoma rijetko*</w:t>
            </w:r>
          </w:p>
        </w:tc>
      </w:tr>
      <w:tr w:rsidR="00C10CDE" w:rsidRPr="003F7E57" w14:paraId="688972AF" w14:textId="77777777" w:rsidTr="007A2CE8">
        <w:trPr>
          <w:cantSplit/>
        </w:trPr>
        <w:tc>
          <w:tcPr>
            <w:tcW w:w="0" w:type="auto"/>
            <w:gridSpan w:val="2"/>
            <w:shd w:val="clear" w:color="auto" w:fill="auto"/>
            <w:vAlign w:val="center"/>
          </w:tcPr>
          <w:p w14:paraId="3B8B42AB" w14:textId="711D2A8B" w:rsidR="00C10CDE" w:rsidRPr="003F7E57" w:rsidRDefault="00C10CDE" w:rsidP="00991A59">
            <w:pPr>
              <w:keepNext/>
              <w:jc w:val="both"/>
              <w:rPr>
                <w:b/>
                <w:bCs/>
                <w:color w:val="000000"/>
                <w:spacing w:val="-1"/>
                <w:sz w:val="22"/>
                <w:szCs w:val="22"/>
                <w:lang w:val="sr-Latn-ME"/>
              </w:rPr>
            </w:pPr>
            <w:r w:rsidRPr="003F7E57">
              <w:rPr>
                <w:b/>
                <w:bCs/>
                <w:color w:val="000000"/>
                <w:spacing w:val="-1"/>
                <w:sz w:val="22"/>
                <w:szCs w:val="22"/>
                <w:lang w:val="sr-Latn-ME"/>
              </w:rPr>
              <w:t>Poremećaji nervnog sistema</w:t>
            </w:r>
          </w:p>
        </w:tc>
      </w:tr>
      <w:tr w:rsidR="00C10CDE" w:rsidRPr="003F7E57" w14:paraId="27255BF6" w14:textId="77777777" w:rsidTr="007A2CE8">
        <w:trPr>
          <w:cantSplit/>
        </w:trPr>
        <w:tc>
          <w:tcPr>
            <w:tcW w:w="5548" w:type="dxa"/>
            <w:shd w:val="clear" w:color="auto" w:fill="auto"/>
            <w:vAlign w:val="center"/>
          </w:tcPr>
          <w:p w14:paraId="7C01983C" w14:textId="77777777" w:rsidR="00C10CDE" w:rsidRPr="003F7E57" w:rsidRDefault="00C10CDE" w:rsidP="00991A59">
            <w:pPr>
              <w:keepNext/>
              <w:jc w:val="both"/>
              <w:rPr>
                <w:b/>
                <w:bCs/>
                <w:color w:val="000000"/>
                <w:spacing w:val="-1"/>
                <w:sz w:val="22"/>
                <w:szCs w:val="22"/>
                <w:lang w:val="sr-Latn-ME"/>
              </w:rPr>
            </w:pPr>
            <w:r w:rsidRPr="003F7E57">
              <w:rPr>
                <w:rFonts w:eastAsia="Calibri"/>
                <w:color w:val="000000"/>
                <w:sz w:val="22"/>
                <w:szCs w:val="22"/>
                <w:lang w:val="sr-Latn-ME"/>
              </w:rPr>
              <w:t>Omaglica</w:t>
            </w:r>
          </w:p>
        </w:tc>
        <w:tc>
          <w:tcPr>
            <w:tcW w:w="3517" w:type="dxa"/>
            <w:shd w:val="clear" w:color="auto" w:fill="auto"/>
            <w:vAlign w:val="center"/>
          </w:tcPr>
          <w:p w14:paraId="643A2EE1" w14:textId="77777777" w:rsidR="00C10CDE" w:rsidRPr="003F7E57" w:rsidRDefault="00C10CDE" w:rsidP="00991A59">
            <w:pPr>
              <w:keepNext/>
              <w:jc w:val="both"/>
              <w:rPr>
                <w:b/>
                <w:bCs/>
                <w:color w:val="000000"/>
                <w:spacing w:val="-1"/>
                <w:sz w:val="22"/>
                <w:szCs w:val="22"/>
                <w:lang w:val="sr-Latn-ME"/>
              </w:rPr>
            </w:pPr>
            <w:r w:rsidRPr="003F7E57">
              <w:rPr>
                <w:sz w:val="22"/>
                <w:szCs w:val="22"/>
                <w:lang w:val="sr-Latn-ME"/>
              </w:rPr>
              <w:t>Često</w:t>
            </w:r>
          </w:p>
        </w:tc>
      </w:tr>
      <w:tr w:rsidR="00C10CDE" w:rsidRPr="003F7E57" w14:paraId="29E478A5" w14:textId="77777777" w:rsidTr="007A2CE8">
        <w:trPr>
          <w:cantSplit/>
        </w:trPr>
        <w:tc>
          <w:tcPr>
            <w:tcW w:w="5548" w:type="dxa"/>
            <w:shd w:val="clear" w:color="auto" w:fill="auto"/>
            <w:vAlign w:val="center"/>
          </w:tcPr>
          <w:p w14:paraId="5F45A742" w14:textId="77777777" w:rsidR="00C10CDE" w:rsidRPr="003F7E57" w:rsidRDefault="00C10CDE" w:rsidP="00991A59">
            <w:pPr>
              <w:keepNext/>
              <w:jc w:val="both"/>
              <w:rPr>
                <w:b/>
                <w:bCs/>
                <w:color w:val="000000"/>
                <w:spacing w:val="-1"/>
                <w:sz w:val="22"/>
                <w:szCs w:val="22"/>
                <w:lang w:val="sr-Latn-ME"/>
              </w:rPr>
            </w:pPr>
            <w:r w:rsidRPr="003F7E57">
              <w:rPr>
                <w:rFonts w:eastAsia="Calibri"/>
                <w:color w:val="000000"/>
                <w:sz w:val="22"/>
                <w:szCs w:val="22"/>
                <w:lang w:val="sr-Latn-ME"/>
              </w:rPr>
              <w:t>Glavobolja</w:t>
            </w:r>
          </w:p>
        </w:tc>
        <w:tc>
          <w:tcPr>
            <w:tcW w:w="3517" w:type="dxa"/>
            <w:shd w:val="clear" w:color="auto" w:fill="auto"/>
            <w:vAlign w:val="center"/>
          </w:tcPr>
          <w:p w14:paraId="0E2E8657" w14:textId="77777777" w:rsidR="00C10CDE" w:rsidRPr="003F7E57" w:rsidRDefault="00C10CDE" w:rsidP="00991A59">
            <w:pPr>
              <w:keepNext/>
              <w:jc w:val="both"/>
              <w:rPr>
                <w:b/>
                <w:bCs/>
                <w:color w:val="000000"/>
                <w:spacing w:val="-1"/>
                <w:sz w:val="22"/>
                <w:szCs w:val="22"/>
                <w:lang w:val="sr-Latn-ME"/>
              </w:rPr>
            </w:pPr>
            <w:r w:rsidRPr="003F7E57">
              <w:rPr>
                <w:sz w:val="22"/>
                <w:szCs w:val="22"/>
                <w:lang w:val="sr-Latn-ME"/>
              </w:rPr>
              <w:t>Često</w:t>
            </w:r>
          </w:p>
        </w:tc>
      </w:tr>
      <w:tr w:rsidR="00C10CDE" w:rsidRPr="003F7E57" w14:paraId="2E8F6FB6" w14:textId="77777777" w:rsidTr="007A2CE8">
        <w:trPr>
          <w:cantSplit/>
        </w:trPr>
        <w:tc>
          <w:tcPr>
            <w:tcW w:w="5548" w:type="dxa"/>
            <w:shd w:val="clear" w:color="auto" w:fill="auto"/>
            <w:vAlign w:val="center"/>
          </w:tcPr>
          <w:p w14:paraId="3CF51EE5" w14:textId="77777777" w:rsidR="00C10CDE" w:rsidRPr="003F7E57" w:rsidRDefault="00C10CDE" w:rsidP="00991A59">
            <w:pPr>
              <w:keepNext/>
              <w:jc w:val="both"/>
              <w:rPr>
                <w:b/>
                <w:bCs/>
                <w:color w:val="000000"/>
                <w:spacing w:val="-1"/>
                <w:sz w:val="22"/>
                <w:szCs w:val="22"/>
                <w:lang w:val="sr-Latn-ME"/>
              </w:rPr>
            </w:pPr>
            <w:proofErr w:type="spellStart"/>
            <w:r w:rsidRPr="003F7E57">
              <w:rPr>
                <w:rFonts w:eastAsia="Calibri"/>
                <w:color w:val="000000"/>
                <w:sz w:val="22"/>
                <w:szCs w:val="22"/>
                <w:lang w:val="sr-Latn-ME"/>
              </w:rPr>
              <w:t>Tremor</w:t>
            </w:r>
            <w:proofErr w:type="spellEnd"/>
          </w:p>
        </w:tc>
        <w:tc>
          <w:tcPr>
            <w:tcW w:w="3517" w:type="dxa"/>
            <w:shd w:val="clear" w:color="auto" w:fill="auto"/>
            <w:vAlign w:val="center"/>
          </w:tcPr>
          <w:p w14:paraId="22AEFF93" w14:textId="77777777" w:rsidR="00C10CDE" w:rsidRPr="003F7E57" w:rsidRDefault="00C10CDE" w:rsidP="00991A59">
            <w:pPr>
              <w:keepNext/>
              <w:jc w:val="both"/>
              <w:rPr>
                <w:b/>
                <w:bCs/>
                <w:color w:val="000000"/>
                <w:spacing w:val="-1"/>
                <w:sz w:val="22"/>
                <w:szCs w:val="22"/>
                <w:lang w:val="sr-Latn-ME"/>
              </w:rPr>
            </w:pPr>
            <w:r w:rsidRPr="003F7E57">
              <w:rPr>
                <w:sz w:val="22"/>
                <w:szCs w:val="22"/>
                <w:lang w:val="sr-Latn-ME"/>
              </w:rPr>
              <w:t>Često</w:t>
            </w:r>
          </w:p>
        </w:tc>
      </w:tr>
      <w:tr w:rsidR="00C10CDE" w:rsidRPr="003F7E57" w14:paraId="3DB76941" w14:textId="77777777" w:rsidTr="007A2CE8">
        <w:trPr>
          <w:cantSplit/>
        </w:trPr>
        <w:tc>
          <w:tcPr>
            <w:tcW w:w="5548" w:type="dxa"/>
            <w:shd w:val="clear" w:color="auto" w:fill="auto"/>
            <w:vAlign w:val="center"/>
          </w:tcPr>
          <w:p w14:paraId="4FBD73A1" w14:textId="29FFA0B5" w:rsidR="00C10CDE" w:rsidRPr="003F7E57" w:rsidRDefault="00C10CDE" w:rsidP="00991A59">
            <w:pPr>
              <w:jc w:val="both"/>
              <w:rPr>
                <w:b/>
                <w:bCs/>
                <w:color w:val="000000"/>
                <w:spacing w:val="-1"/>
                <w:sz w:val="22"/>
                <w:szCs w:val="22"/>
                <w:lang w:val="sr-Latn-ME"/>
              </w:rPr>
            </w:pPr>
            <w:r w:rsidRPr="003F7E57">
              <w:rPr>
                <w:rFonts w:eastAsia="Calibri"/>
                <w:color w:val="000000"/>
                <w:sz w:val="22"/>
                <w:szCs w:val="22"/>
                <w:lang w:val="sr-Latn-ME"/>
              </w:rPr>
              <w:t>Metalni ukus</w:t>
            </w:r>
          </w:p>
        </w:tc>
        <w:tc>
          <w:tcPr>
            <w:tcW w:w="3517" w:type="dxa"/>
            <w:shd w:val="clear" w:color="auto" w:fill="auto"/>
            <w:vAlign w:val="center"/>
          </w:tcPr>
          <w:p w14:paraId="3209D183" w14:textId="5733D2FB" w:rsidR="00C10CDE" w:rsidRPr="003F7E57" w:rsidRDefault="00C10CDE" w:rsidP="00991A59">
            <w:pPr>
              <w:jc w:val="both"/>
              <w:rPr>
                <w:b/>
                <w:bCs/>
                <w:color w:val="000000"/>
                <w:spacing w:val="-1"/>
                <w:sz w:val="22"/>
                <w:szCs w:val="22"/>
                <w:lang w:val="sr-Latn-ME"/>
              </w:rPr>
            </w:pPr>
            <w:r w:rsidRPr="003F7E57">
              <w:rPr>
                <w:sz w:val="22"/>
                <w:szCs w:val="22"/>
                <w:lang w:val="sr-Latn-ME"/>
              </w:rPr>
              <w:t>Povremeno</w:t>
            </w:r>
          </w:p>
        </w:tc>
      </w:tr>
      <w:tr w:rsidR="00C10CDE" w:rsidRPr="003F7E57" w14:paraId="00074E0B" w14:textId="77777777" w:rsidTr="007A2CE8">
        <w:trPr>
          <w:cantSplit/>
        </w:trPr>
        <w:tc>
          <w:tcPr>
            <w:tcW w:w="0" w:type="auto"/>
            <w:gridSpan w:val="2"/>
            <w:shd w:val="clear" w:color="auto" w:fill="auto"/>
            <w:vAlign w:val="center"/>
          </w:tcPr>
          <w:p w14:paraId="404DB436" w14:textId="2B31A39F" w:rsidR="00C10CDE" w:rsidRPr="003F7E57" w:rsidRDefault="00F803AA" w:rsidP="00991A59">
            <w:pPr>
              <w:keepNext/>
              <w:jc w:val="both"/>
              <w:rPr>
                <w:b/>
                <w:bCs/>
                <w:color w:val="000000"/>
                <w:spacing w:val="-1"/>
                <w:sz w:val="22"/>
                <w:szCs w:val="22"/>
                <w:lang w:val="sr-Latn-ME"/>
              </w:rPr>
            </w:pPr>
            <w:proofErr w:type="spellStart"/>
            <w:r w:rsidRPr="003F7E57">
              <w:rPr>
                <w:b/>
                <w:bCs/>
                <w:color w:val="000000"/>
                <w:spacing w:val="-1"/>
                <w:sz w:val="22"/>
                <w:szCs w:val="22"/>
                <w:lang w:val="sr-Latn-ME"/>
              </w:rPr>
              <w:t>Gatrointestinalni</w:t>
            </w:r>
            <w:proofErr w:type="spellEnd"/>
            <w:r w:rsidRPr="003F7E57">
              <w:rPr>
                <w:b/>
                <w:bCs/>
                <w:color w:val="000000"/>
                <w:spacing w:val="-1"/>
                <w:sz w:val="22"/>
                <w:szCs w:val="22"/>
                <w:lang w:val="sr-Latn-ME"/>
              </w:rPr>
              <w:t xml:space="preserve"> poremećaji</w:t>
            </w:r>
          </w:p>
        </w:tc>
      </w:tr>
      <w:tr w:rsidR="00C10CDE" w:rsidRPr="003F7E57" w14:paraId="36015873" w14:textId="77777777" w:rsidTr="007A2CE8">
        <w:trPr>
          <w:cantSplit/>
        </w:trPr>
        <w:tc>
          <w:tcPr>
            <w:tcW w:w="5548" w:type="dxa"/>
            <w:shd w:val="clear" w:color="auto" w:fill="auto"/>
            <w:vAlign w:val="center"/>
          </w:tcPr>
          <w:p w14:paraId="3349A7FB" w14:textId="77777777" w:rsidR="00C10CDE" w:rsidRPr="003F7E57" w:rsidRDefault="00C10CDE" w:rsidP="00991A59">
            <w:pPr>
              <w:keepNext/>
              <w:jc w:val="both"/>
              <w:rPr>
                <w:rFonts w:eastAsia="Calibri"/>
                <w:color w:val="000000"/>
                <w:spacing w:val="-1"/>
                <w:sz w:val="22"/>
                <w:szCs w:val="22"/>
                <w:lang w:val="sr-Latn-ME"/>
              </w:rPr>
            </w:pPr>
            <w:r w:rsidRPr="003F7E57">
              <w:rPr>
                <w:rFonts w:eastAsia="Calibri"/>
                <w:color w:val="000000"/>
                <w:spacing w:val="-1"/>
                <w:sz w:val="22"/>
                <w:szCs w:val="22"/>
                <w:lang w:val="sr-Latn-ME"/>
              </w:rPr>
              <w:t>Povraćanje</w:t>
            </w:r>
          </w:p>
        </w:tc>
        <w:tc>
          <w:tcPr>
            <w:tcW w:w="3517" w:type="dxa"/>
            <w:shd w:val="clear" w:color="auto" w:fill="auto"/>
            <w:vAlign w:val="center"/>
          </w:tcPr>
          <w:p w14:paraId="2BBE1390" w14:textId="77777777" w:rsidR="00C10CDE" w:rsidRPr="003F7E57" w:rsidRDefault="00C10CDE" w:rsidP="00991A59">
            <w:pPr>
              <w:keepNext/>
              <w:jc w:val="both"/>
              <w:rPr>
                <w:color w:val="000000"/>
                <w:sz w:val="22"/>
                <w:szCs w:val="22"/>
                <w:lang w:val="sr-Latn-ME"/>
              </w:rPr>
            </w:pPr>
            <w:r w:rsidRPr="003F7E57">
              <w:rPr>
                <w:color w:val="000000"/>
                <w:sz w:val="22"/>
                <w:szCs w:val="22"/>
                <w:lang w:val="sr-Latn-ME"/>
              </w:rPr>
              <w:t>Često</w:t>
            </w:r>
          </w:p>
        </w:tc>
      </w:tr>
      <w:tr w:rsidR="00C10CDE" w:rsidRPr="003F7E57" w14:paraId="02FD265D" w14:textId="77777777" w:rsidTr="007A2CE8">
        <w:trPr>
          <w:cantSplit/>
        </w:trPr>
        <w:tc>
          <w:tcPr>
            <w:tcW w:w="5548" w:type="dxa"/>
            <w:shd w:val="clear" w:color="auto" w:fill="auto"/>
            <w:vAlign w:val="center"/>
          </w:tcPr>
          <w:p w14:paraId="6CAB0526" w14:textId="77CA8647" w:rsidR="00C10CDE" w:rsidRPr="003F7E57" w:rsidRDefault="00C10CDE" w:rsidP="00991A59">
            <w:pPr>
              <w:keepNext/>
              <w:jc w:val="both"/>
              <w:rPr>
                <w:rFonts w:eastAsia="Calibri"/>
                <w:color w:val="000000"/>
                <w:spacing w:val="-1"/>
                <w:sz w:val="22"/>
                <w:szCs w:val="22"/>
                <w:lang w:val="sr-Latn-ME"/>
              </w:rPr>
            </w:pPr>
            <w:r w:rsidRPr="003F7E57">
              <w:rPr>
                <w:rFonts w:eastAsia="Calibri"/>
                <w:color w:val="000000"/>
                <w:spacing w:val="-1"/>
                <w:sz w:val="22"/>
                <w:szCs w:val="22"/>
                <w:lang w:val="sr-Latn-ME"/>
              </w:rPr>
              <w:t>Proliv</w:t>
            </w:r>
          </w:p>
        </w:tc>
        <w:tc>
          <w:tcPr>
            <w:tcW w:w="3517" w:type="dxa"/>
            <w:shd w:val="clear" w:color="auto" w:fill="auto"/>
            <w:vAlign w:val="center"/>
          </w:tcPr>
          <w:p w14:paraId="77F166AE" w14:textId="77777777" w:rsidR="00C10CDE" w:rsidRPr="003F7E57" w:rsidRDefault="00C10CDE" w:rsidP="00991A59">
            <w:pPr>
              <w:keepNext/>
              <w:jc w:val="both"/>
              <w:rPr>
                <w:color w:val="000000"/>
                <w:sz w:val="22"/>
                <w:szCs w:val="22"/>
                <w:lang w:val="sr-Latn-ME"/>
              </w:rPr>
            </w:pPr>
            <w:r w:rsidRPr="003F7E57">
              <w:rPr>
                <w:color w:val="000000"/>
                <w:sz w:val="22"/>
                <w:szCs w:val="22"/>
                <w:lang w:val="sr-Latn-ME"/>
              </w:rPr>
              <w:t>Često</w:t>
            </w:r>
          </w:p>
        </w:tc>
      </w:tr>
      <w:tr w:rsidR="00C10CDE" w:rsidRPr="003F7E57" w14:paraId="718AE0F2" w14:textId="77777777" w:rsidTr="007A2CE8">
        <w:trPr>
          <w:cantSplit/>
        </w:trPr>
        <w:tc>
          <w:tcPr>
            <w:tcW w:w="5548" w:type="dxa"/>
            <w:shd w:val="clear" w:color="auto" w:fill="auto"/>
            <w:vAlign w:val="center"/>
            <w:hideMark/>
          </w:tcPr>
          <w:p w14:paraId="44B568B8" w14:textId="77777777" w:rsidR="00C10CDE" w:rsidRPr="003F7E57" w:rsidRDefault="00C10CDE" w:rsidP="00991A59">
            <w:pPr>
              <w:keepNext/>
              <w:jc w:val="both"/>
              <w:rPr>
                <w:color w:val="000000"/>
                <w:sz w:val="22"/>
                <w:szCs w:val="22"/>
                <w:lang w:val="sr-Latn-ME"/>
              </w:rPr>
            </w:pPr>
            <w:r w:rsidRPr="003F7E57">
              <w:rPr>
                <w:rFonts w:eastAsia="Calibri"/>
                <w:color w:val="000000"/>
                <w:spacing w:val="-1"/>
                <w:sz w:val="22"/>
                <w:szCs w:val="22"/>
                <w:lang w:val="sr-Latn-ME"/>
              </w:rPr>
              <w:t>Mučnina</w:t>
            </w:r>
          </w:p>
        </w:tc>
        <w:tc>
          <w:tcPr>
            <w:tcW w:w="3517" w:type="dxa"/>
            <w:shd w:val="clear" w:color="auto" w:fill="auto"/>
            <w:vAlign w:val="center"/>
            <w:hideMark/>
          </w:tcPr>
          <w:p w14:paraId="7E7F37C1"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4A971AAC" w14:textId="77777777" w:rsidTr="007A2CE8">
        <w:trPr>
          <w:cantSplit/>
        </w:trPr>
        <w:tc>
          <w:tcPr>
            <w:tcW w:w="5548" w:type="dxa"/>
            <w:shd w:val="clear" w:color="auto" w:fill="auto"/>
            <w:vAlign w:val="center"/>
            <w:hideMark/>
          </w:tcPr>
          <w:p w14:paraId="77E48B3D" w14:textId="77777777" w:rsidR="00C10CDE" w:rsidRPr="003F7E57" w:rsidRDefault="00C10CDE" w:rsidP="00991A59">
            <w:pPr>
              <w:keepNext/>
              <w:jc w:val="both"/>
              <w:rPr>
                <w:color w:val="000000"/>
                <w:sz w:val="22"/>
                <w:szCs w:val="22"/>
                <w:lang w:val="sr-Latn-ME"/>
              </w:rPr>
            </w:pPr>
            <w:proofErr w:type="spellStart"/>
            <w:r w:rsidRPr="003F7E57">
              <w:rPr>
                <w:rFonts w:eastAsia="Calibri"/>
                <w:bCs/>
                <w:color w:val="000000"/>
                <w:sz w:val="22"/>
                <w:szCs w:val="22"/>
                <w:lang w:val="sr-Latn-ME"/>
              </w:rPr>
              <w:t>Gastroezofagealna</w:t>
            </w:r>
            <w:proofErr w:type="spellEnd"/>
            <w:r w:rsidRPr="003F7E57">
              <w:rPr>
                <w:rFonts w:eastAsia="Calibri"/>
                <w:bCs/>
                <w:color w:val="000000"/>
                <w:sz w:val="22"/>
                <w:szCs w:val="22"/>
                <w:lang w:val="sr-Latn-ME"/>
              </w:rPr>
              <w:t xml:space="preserve"> </w:t>
            </w:r>
            <w:proofErr w:type="spellStart"/>
            <w:r w:rsidRPr="003F7E57">
              <w:rPr>
                <w:rFonts w:eastAsia="Calibri"/>
                <w:bCs/>
                <w:color w:val="000000"/>
                <w:sz w:val="22"/>
                <w:szCs w:val="22"/>
                <w:lang w:val="sr-Latn-ME"/>
              </w:rPr>
              <w:t>refluksna</w:t>
            </w:r>
            <w:proofErr w:type="spellEnd"/>
            <w:r w:rsidRPr="003F7E57">
              <w:rPr>
                <w:rFonts w:eastAsia="Calibri"/>
                <w:bCs/>
                <w:color w:val="000000"/>
                <w:sz w:val="22"/>
                <w:szCs w:val="22"/>
                <w:lang w:val="sr-Latn-ME"/>
              </w:rPr>
              <w:t xml:space="preserve"> bolest</w:t>
            </w:r>
          </w:p>
        </w:tc>
        <w:tc>
          <w:tcPr>
            <w:tcW w:w="3517" w:type="dxa"/>
            <w:shd w:val="clear" w:color="auto" w:fill="auto"/>
            <w:vAlign w:val="center"/>
            <w:hideMark/>
          </w:tcPr>
          <w:p w14:paraId="15BE8F96"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14404F6A" w14:textId="77777777" w:rsidTr="007A2CE8">
        <w:trPr>
          <w:cantSplit/>
        </w:trPr>
        <w:tc>
          <w:tcPr>
            <w:tcW w:w="5548" w:type="dxa"/>
            <w:shd w:val="clear" w:color="auto" w:fill="auto"/>
            <w:vAlign w:val="center"/>
            <w:hideMark/>
          </w:tcPr>
          <w:p w14:paraId="21E726A2" w14:textId="77777777" w:rsidR="00C10CDE" w:rsidRPr="003F7E57" w:rsidRDefault="00C10CDE" w:rsidP="00991A59">
            <w:pPr>
              <w:keepNext/>
              <w:jc w:val="both"/>
              <w:rPr>
                <w:color w:val="000000"/>
                <w:sz w:val="22"/>
                <w:szCs w:val="22"/>
                <w:lang w:val="sr-Latn-ME"/>
              </w:rPr>
            </w:pPr>
            <w:r w:rsidRPr="003F7E57">
              <w:rPr>
                <w:rFonts w:eastAsia="Calibri"/>
                <w:color w:val="000000"/>
                <w:sz w:val="22"/>
                <w:szCs w:val="22"/>
                <w:lang w:val="sr-Latn-ME"/>
              </w:rPr>
              <w:t>Flatulencija</w:t>
            </w:r>
          </w:p>
        </w:tc>
        <w:tc>
          <w:tcPr>
            <w:tcW w:w="3517" w:type="dxa"/>
            <w:shd w:val="clear" w:color="auto" w:fill="auto"/>
            <w:vAlign w:val="center"/>
            <w:hideMark/>
          </w:tcPr>
          <w:p w14:paraId="3BC1C8C7"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1D67B37F" w14:textId="77777777" w:rsidTr="007A2CE8">
        <w:trPr>
          <w:cantSplit/>
        </w:trPr>
        <w:tc>
          <w:tcPr>
            <w:tcW w:w="5548" w:type="dxa"/>
            <w:shd w:val="clear" w:color="auto" w:fill="auto"/>
            <w:vAlign w:val="center"/>
            <w:hideMark/>
          </w:tcPr>
          <w:p w14:paraId="0233562D" w14:textId="77777777" w:rsidR="00C10CDE" w:rsidRPr="003F7E57" w:rsidRDefault="00C10CDE" w:rsidP="00991A59">
            <w:pPr>
              <w:keepNext/>
              <w:jc w:val="both"/>
              <w:rPr>
                <w:color w:val="000000"/>
                <w:sz w:val="22"/>
                <w:szCs w:val="22"/>
                <w:lang w:val="sr-Latn-ME"/>
              </w:rPr>
            </w:pPr>
            <w:r w:rsidRPr="003F7E57">
              <w:rPr>
                <w:rFonts w:eastAsia="Calibri"/>
                <w:color w:val="000000"/>
                <w:sz w:val="22"/>
                <w:szCs w:val="22"/>
                <w:lang w:val="sr-Latn-ME"/>
              </w:rPr>
              <w:t>Konstipacija</w:t>
            </w:r>
          </w:p>
        </w:tc>
        <w:tc>
          <w:tcPr>
            <w:tcW w:w="3517" w:type="dxa"/>
            <w:shd w:val="clear" w:color="auto" w:fill="auto"/>
            <w:vAlign w:val="center"/>
            <w:hideMark/>
          </w:tcPr>
          <w:p w14:paraId="067DA676"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1EAE2105" w14:textId="77777777" w:rsidTr="007A2CE8">
        <w:trPr>
          <w:cantSplit/>
        </w:trPr>
        <w:tc>
          <w:tcPr>
            <w:tcW w:w="5548" w:type="dxa"/>
            <w:shd w:val="clear" w:color="auto" w:fill="auto"/>
            <w:vAlign w:val="center"/>
            <w:hideMark/>
          </w:tcPr>
          <w:p w14:paraId="2E5DC334" w14:textId="77777777" w:rsidR="00C10CDE" w:rsidRPr="003F7E57" w:rsidRDefault="00C10CDE" w:rsidP="00991A59">
            <w:pPr>
              <w:keepNext/>
              <w:jc w:val="both"/>
              <w:rPr>
                <w:color w:val="000000"/>
                <w:sz w:val="22"/>
                <w:szCs w:val="22"/>
                <w:lang w:val="sr-Latn-ME"/>
              </w:rPr>
            </w:pPr>
            <w:r w:rsidRPr="003F7E57">
              <w:rPr>
                <w:color w:val="000000"/>
                <w:sz w:val="22"/>
                <w:szCs w:val="22"/>
                <w:lang w:val="sr-Latn-ME"/>
              </w:rPr>
              <w:t>Bol u abdomenu uključujući gornji dio</w:t>
            </w:r>
          </w:p>
        </w:tc>
        <w:tc>
          <w:tcPr>
            <w:tcW w:w="3517" w:type="dxa"/>
            <w:shd w:val="clear" w:color="auto" w:fill="auto"/>
            <w:vAlign w:val="center"/>
            <w:hideMark/>
          </w:tcPr>
          <w:p w14:paraId="5E1675B2"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0CA0A138" w14:textId="77777777" w:rsidTr="007A2CE8">
        <w:trPr>
          <w:cantSplit/>
        </w:trPr>
        <w:tc>
          <w:tcPr>
            <w:tcW w:w="5548" w:type="dxa"/>
            <w:shd w:val="clear" w:color="auto" w:fill="auto"/>
            <w:vAlign w:val="center"/>
            <w:hideMark/>
          </w:tcPr>
          <w:p w14:paraId="19357577" w14:textId="77777777" w:rsidR="00C10CDE" w:rsidRPr="003F7E57" w:rsidRDefault="00C10CDE" w:rsidP="00991A59">
            <w:pPr>
              <w:jc w:val="both"/>
              <w:rPr>
                <w:color w:val="000000"/>
                <w:sz w:val="22"/>
                <w:szCs w:val="22"/>
                <w:lang w:val="sr-Latn-ME"/>
              </w:rPr>
            </w:pPr>
            <w:proofErr w:type="spellStart"/>
            <w:r w:rsidRPr="003F7E57">
              <w:rPr>
                <w:rFonts w:eastAsia="Calibri"/>
                <w:color w:val="000000"/>
                <w:sz w:val="22"/>
                <w:szCs w:val="22"/>
                <w:lang w:val="sr-Latn-ME"/>
              </w:rPr>
              <w:t>Pankreatitis</w:t>
            </w:r>
            <w:proofErr w:type="spellEnd"/>
          </w:p>
        </w:tc>
        <w:tc>
          <w:tcPr>
            <w:tcW w:w="3517" w:type="dxa"/>
            <w:shd w:val="clear" w:color="auto" w:fill="auto"/>
            <w:vAlign w:val="center"/>
            <w:hideMark/>
          </w:tcPr>
          <w:p w14:paraId="32E815FF" w14:textId="0D228720" w:rsidR="00C10CDE" w:rsidRPr="003F7E57" w:rsidRDefault="00C10CDE" w:rsidP="00991A59">
            <w:pPr>
              <w:jc w:val="both"/>
              <w:rPr>
                <w:color w:val="000000"/>
                <w:sz w:val="22"/>
                <w:szCs w:val="22"/>
                <w:lang w:val="sr-Latn-ME"/>
              </w:rPr>
            </w:pPr>
            <w:r w:rsidRPr="003F7E57">
              <w:rPr>
                <w:rFonts w:eastAsia="Calibri"/>
                <w:color w:val="000000"/>
                <w:spacing w:val="-1"/>
                <w:sz w:val="22"/>
                <w:szCs w:val="22"/>
                <w:lang w:val="sr-Latn-ME"/>
              </w:rPr>
              <w:t>Povremeno</w:t>
            </w:r>
          </w:p>
        </w:tc>
      </w:tr>
      <w:tr w:rsidR="00C10CDE" w:rsidRPr="003F7E57" w14:paraId="355D3564" w14:textId="77777777" w:rsidTr="007A2CE8">
        <w:trPr>
          <w:cantSplit/>
        </w:trPr>
        <w:tc>
          <w:tcPr>
            <w:tcW w:w="0" w:type="auto"/>
            <w:gridSpan w:val="2"/>
            <w:shd w:val="clear" w:color="auto" w:fill="auto"/>
            <w:vAlign w:val="center"/>
            <w:hideMark/>
          </w:tcPr>
          <w:p w14:paraId="0955A30F" w14:textId="10E8389C" w:rsidR="00C10CDE" w:rsidRPr="003F7E57" w:rsidRDefault="00F803AA" w:rsidP="00991A59">
            <w:pPr>
              <w:keepNext/>
              <w:jc w:val="both"/>
              <w:rPr>
                <w:b/>
                <w:bCs/>
                <w:color w:val="000000"/>
                <w:sz w:val="22"/>
                <w:szCs w:val="22"/>
                <w:lang w:val="sr-Latn-ME"/>
              </w:rPr>
            </w:pPr>
            <w:proofErr w:type="spellStart"/>
            <w:r w:rsidRPr="003F7E57">
              <w:rPr>
                <w:b/>
                <w:bCs/>
                <w:color w:val="000000"/>
                <w:spacing w:val="-1"/>
                <w:sz w:val="22"/>
                <w:szCs w:val="22"/>
                <w:lang w:val="sr-Latn-ME"/>
              </w:rPr>
              <w:t>Hepatobilijarni</w:t>
            </w:r>
            <w:proofErr w:type="spellEnd"/>
            <w:r w:rsidRPr="003F7E57">
              <w:rPr>
                <w:b/>
                <w:bCs/>
                <w:color w:val="000000"/>
                <w:spacing w:val="-1"/>
                <w:sz w:val="22"/>
                <w:szCs w:val="22"/>
                <w:lang w:val="sr-Latn-ME"/>
              </w:rPr>
              <w:t xml:space="preserve"> poremećaji</w:t>
            </w:r>
          </w:p>
        </w:tc>
      </w:tr>
      <w:tr w:rsidR="00C10CDE" w:rsidRPr="003F7E57" w14:paraId="4CB32440" w14:textId="77777777" w:rsidTr="007A2CE8">
        <w:trPr>
          <w:cantSplit/>
        </w:trPr>
        <w:tc>
          <w:tcPr>
            <w:tcW w:w="5548" w:type="dxa"/>
            <w:shd w:val="clear" w:color="auto" w:fill="auto"/>
            <w:hideMark/>
          </w:tcPr>
          <w:p w14:paraId="53D606FB" w14:textId="77777777" w:rsidR="00C10CDE" w:rsidRPr="003F7E57" w:rsidRDefault="00C10CDE" w:rsidP="00991A59">
            <w:pPr>
              <w:jc w:val="both"/>
              <w:rPr>
                <w:color w:val="000000"/>
                <w:sz w:val="22"/>
                <w:szCs w:val="22"/>
                <w:lang w:val="sr-Latn-ME"/>
              </w:rPr>
            </w:pPr>
            <w:r w:rsidRPr="003F7E57">
              <w:rPr>
                <w:color w:val="000000"/>
                <w:spacing w:val="-1"/>
                <w:sz w:val="22"/>
                <w:szCs w:val="22"/>
                <w:lang w:val="sr-Latn-ME"/>
              </w:rPr>
              <w:t>Hepatitis</w:t>
            </w:r>
          </w:p>
        </w:tc>
        <w:tc>
          <w:tcPr>
            <w:tcW w:w="3517" w:type="dxa"/>
            <w:shd w:val="clear" w:color="auto" w:fill="auto"/>
            <w:vAlign w:val="center"/>
            <w:hideMark/>
          </w:tcPr>
          <w:p w14:paraId="54D6BA3A" w14:textId="771B1CF3" w:rsidR="00C10CDE" w:rsidRPr="003F7E57" w:rsidRDefault="00C10CDE" w:rsidP="00991A59">
            <w:pPr>
              <w:jc w:val="both"/>
              <w:rPr>
                <w:color w:val="000000"/>
                <w:sz w:val="22"/>
                <w:szCs w:val="22"/>
                <w:lang w:val="sr-Latn-ME"/>
              </w:rPr>
            </w:pPr>
            <w:r w:rsidRPr="003F7E57">
              <w:rPr>
                <w:rFonts w:eastAsia="Calibri"/>
                <w:color w:val="000000"/>
                <w:spacing w:val="-1"/>
                <w:sz w:val="22"/>
                <w:szCs w:val="22"/>
                <w:lang w:val="sr-Latn-ME"/>
              </w:rPr>
              <w:t>Povremeno</w:t>
            </w:r>
          </w:p>
        </w:tc>
      </w:tr>
      <w:tr w:rsidR="00C10CDE" w:rsidRPr="003F7E57" w14:paraId="2099CE1A" w14:textId="77777777" w:rsidTr="007A2CE8">
        <w:trPr>
          <w:cantSplit/>
        </w:trPr>
        <w:tc>
          <w:tcPr>
            <w:tcW w:w="0" w:type="auto"/>
            <w:gridSpan w:val="2"/>
            <w:shd w:val="clear" w:color="auto" w:fill="auto"/>
            <w:vAlign w:val="center"/>
          </w:tcPr>
          <w:p w14:paraId="0F829BA5" w14:textId="77777777" w:rsidR="00C10CDE" w:rsidRPr="003F7E57" w:rsidRDefault="00C10CDE" w:rsidP="00991A59">
            <w:pPr>
              <w:keepNext/>
              <w:jc w:val="both"/>
              <w:rPr>
                <w:rFonts w:eastAsia="Calibri"/>
                <w:b/>
                <w:bCs/>
                <w:color w:val="000000"/>
                <w:spacing w:val="-1"/>
                <w:sz w:val="22"/>
                <w:szCs w:val="22"/>
                <w:lang w:val="sr-Latn-ME"/>
              </w:rPr>
            </w:pPr>
            <w:r w:rsidRPr="003F7E57">
              <w:rPr>
                <w:b/>
                <w:bCs/>
                <w:color w:val="000000"/>
                <w:spacing w:val="-1"/>
                <w:sz w:val="22"/>
                <w:szCs w:val="22"/>
                <w:lang w:val="sr-Latn-ME"/>
              </w:rPr>
              <w:t>Poremećaji kože i potkožnog tkiva</w:t>
            </w:r>
          </w:p>
        </w:tc>
      </w:tr>
      <w:tr w:rsidR="00C10CDE" w:rsidRPr="003F7E57" w14:paraId="6EEC718A" w14:textId="77777777" w:rsidTr="007A2CE8">
        <w:trPr>
          <w:cantSplit/>
        </w:trPr>
        <w:tc>
          <w:tcPr>
            <w:tcW w:w="5548" w:type="dxa"/>
            <w:shd w:val="clear" w:color="auto" w:fill="auto"/>
            <w:vAlign w:val="center"/>
          </w:tcPr>
          <w:p w14:paraId="47848806" w14:textId="77777777" w:rsidR="00C10CDE" w:rsidRPr="003F7E57" w:rsidRDefault="00C10CDE" w:rsidP="00991A59">
            <w:pPr>
              <w:keepNext/>
              <w:jc w:val="both"/>
              <w:rPr>
                <w:b/>
                <w:bCs/>
                <w:color w:val="000000"/>
                <w:spacing w:val="-1"/>
                <w:sz w:val="22"/>
                <w:szCs w:val="22"/>
                <w:lang w:val="sr-Latn-ME"/>
              </w:rPr>
            </w:pPr>
            <w:proofErr w:type="spellStart"/>
            <w:r w:rsidRPr="003F7E57">
              <w:rPr>
                <w:rFonts w:eastAsia="Calibri"/>
                <w:bCs/>
                <w:color w:val="000000"/>
                <w:sz w:val="22"/>
                <w:szCs w:val="22"/>
                <w:lang w:val="sr-Latn-ME"/>
              </w:rPr>
              <w:t>Hiperhidroza</w:t>
            </w:r>
            <w:proofErr w:type="spellEnd"/>
          </w:p>
        </w:tc>
        <w:tc>
          <w:tcPr>
            <w:tcW w:w="3517" w:type="dxa"/>
            <w:shd w:val="clear" w:color="auto" w:fill="auto"/>
            <w:vAlign w:val="center"/>
          </w:tcPr>
          <w:p w14:paraId="42631A15" w14:textId="77777777" w:rsidR="00C10CDE" w:rsidRPr="003F7E57" w:rsidRDefault="00C10CDE" w:rsidP="00991A59">
            <w:pPr>
              <w:keepNext/>
              <w:jc w:val="both"/>
              <w:rPr>
                <w:b/>
                <w:bCs/>
                <w:color w:val="000000"/>
                <w:spacing w:val="-1"/>
                <w:sz w:val="22"/>
                <w:szCs w:val="22"/>
                <w:lang w:val="sr-Latn-ME"/>
              </w:rPr>
            </w:pPr>
            <w:r w:rsidRPr="003F7E57">
              <w:rPr>
                <w:sz w:val="22"/>
                <w:szCs w:val="22"/>
                <w:lang w:val="sr-Latn-ME"/>
              </w:rPr>
              <w:t>Često</w:t>
            </w:r>
          </w:p>
        </w:tc>
      </w:tr>
      <w:tr w:rsidR="00C10CDE" w:rsidRPr="003F7E57" w14:paraId="62A86317" w14:textId="77777777" w:rsidTr="007A2CE8">
        <w:trPr>
          <w:cantSplit/>
        </w:trPr>
        <w:tc>
          <w:tcPr>
            <w:tcW w:w="5548" w:type="dxa"/>
            <w:shd w:val="clear" w:color="auto" w:fill="auto"/>
            <w:vAlign w:val="center"/>
          </w:tcPr>
          <w:p w14:paraId="7FCCBA22" w14:textId="47CD6417" w:rsidR="00C10CDE" w:rsidRPr="003F7E57" w:rsidRDefault="00C10CDE" w:rsidP="00991A59">
            <w:pPr>
              <w:keepNext/>
              <w:jc w:val="both"/>
              <w:rPr>
                <w:rFonts w:eastAsia="Calibri"/>
                <w:color w:val="000000"/>
                <w:sz w:val="22"/>
                <w:szCs w:val="22"/>
                <w:lang w:val="sr-Latn-ME"/>
              </w:rPr>
            </w:pPr>
            <w:r w:rsidRPr="003F7E57">
              <w:rPr>
                <w:rFonts w:eastAsia="Calibri"/>
                <w:color w:val="000000"/>
                <w:sz w:val="22"/>
                <w:szCs w:val="22"/>
                <w:lang w:val="sr-Latn-ME"/>
              </w:rPr>
              <w:t>Svrab</w:t>
            </w:r>
          </w:p>
        </w:tc>
        <w:tc>
          <w:tcPr>
            <w:tcW w:w="3517" w:type="dxa"/>
            <w:shd w:val="clear" w:color="auto" w:fill="auto"/>
            <w:vAlign w:val="center"/>
          </w:tcPr>
          <w:p w14:paraId="6C0DA60E"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23BBEEBC" w14:textId="77777777" w:rsidTr="007A2CE8">
        <w:trPr>
          <w:cantSplit/>
        </w:trPr>
        <w:tc>
          <w:tcPr>
            <w:tcW w:w="5548" w:type="dxa"/>
            <w:shd w:val="clear" w:color="auto" w:fill="auto"/>
            <w:vAlign w:val="center"/>
          </w:tcPr>
          <w:p w14:paraId="70EE5ADF" w14:textId="77777777" w:rsidR="00C10CDE" w:rsidRPr="003F7E57" w:rsidRDefault="00C10CDE" w:rsidP="00991A59">
            <w:pPr>
              <w:keepNext/>
              <w:jc w:val="both"/>
              <w:rPr>
                <w:rFonts w:eastAsia="Calibri"/>
                <w:color w:val="000000"/>
                <w:sz w:val="22"/>
                <w:szCs w:val="22"/>
                <w:lang w:val="sr-Latn-ME"/>
              </w:rPr>
            </w:pPr>
            <w:r w:rsidRPr="003F7E57">
              <w:rPr>
                <w:rFonts w:eastAsia="Calibri"/>
                <w:color w:val="000000"/>
                <w:sz w:val="22"/>
                <w:szCs w:val="22"/>
                <w:lang w:val="sr-Latn-ME"/>
              </w:rPr>
              <w:t>Osip</w:t>
            </w:r>
          </w:p>
        </w:tc>
        <w:tc>
          <w:tcPr>
            <w:tcW w:w="3517" w:type="dxa"/>
            <w:shd w:val="clear" w:color="auto" w:fill="auto"/>
            <w:vAlign w:val="center"/>
          </w:tcPr>
          <w:p w14:paraId="0320FDF9"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298A916F" w14:textId="77777777" w:rsidTr="007A2CE8">
        <w:trPr>
          <w:cantSplit/>
        </w:trPr>
        <w:tc>
          <w:tcPr>
            <w:tcW w:w="5548" w:type="dxa"/>
            <w:shd w:val="clear" w:color="auto" w:fill="auto"/>
            <w:vAlign w:val="center"/>
          </w:tcPr>
          <w:p w14:paraId="7BC25B64" w14:textId="77777777" w:rsidR="00C10CDE" w:rsidRPr="003F7E57" w:rsidRDefault="00C10CDE" w:rsidP="00991A59">
            <w:pPr>
              <w:keepNext/>
              <w:widowControl w:val="0"/>
              <w:jc w:val="both"/>
              <w:rPr>
                <w:rFonts w:eastAsia="Calibri"/>
                <w:color w:val="000000"/>
                <w:sz w:val="22"/>
                <w:szCs w:val="22"/>
                <w:lang w:val="sr-Latn-ME"/>
              </w:rPr>
            </w:pPr>
            <w:r w:rsidRPr="003F7E57">
              <w:rPr>
                <w:rFonts w:eastAsia="Calibri"/>
                <w:color w:val="000000"/>
                <w:sz w:val="22"/>
                <w:szCs w:val="22"/>
                <w:lang w:val="sr-Latn-ME"/>
              </w:rPr>
              <w:t>Dermatitis</w:t>
            </w:r>
          </w:p>
        </w:tc>
        <w:tc>
          <w:tcPr>
            <w:tcW w:w="3517" w:type="dxa"/>
            <w:shd w:val="clear" w:color="auto" w:fill="auto"/>
            <w:vAlign w:val="center"/>
          </w:tcPr>
          <w:p w14:paraId="6A390BE7" w14:textId="77777777" w:rsidR="00C10CDE" w:rsidRPr="003F7E57" w:rsidRDefault="00C10CDE" w:rsidP="00991A59">
            <w:pPr>
              <w:keepNext/>
              <w:widowControl w:val="0"/>
              <w:jc w:val="both"/>
              <w:rPr>
                <w:color w:val="000000"/>
                <w:sz w:val="22"/>
                <w:szCs w:val="22"/>
                <w:lang w:val="sr-Latn-ME"/>
              </w:rPr>
            </w:pPr>
            <w:r w:rsidRPr="003F7E57">
              <w:rPr>
                <w:sz w:val="22"/>
                <w:szCs w:val="22"/>
                <w:lang w:val="sr-Latn-ME"/>
              </w:rPr>
              <w:t>Često</w:t>
            </w:r>
          </w:p>
        </w:tc>
      </w:tr>
      <w:tr w:rsidR="00C10CDE" w:rsidRPr="003F7E57" w14:paraId="62AEA592" w14:textId="77777777" w:rsidTr="007A2CE8">
        <w:trPr>
          <w:cantSplit/>
        </w:trPr>
        <w:tc>
          <w:tcPr>
            <w:tcW w:w="5548" w:type="dxa"/>
            <w:shd w:val="clear" w:color="auto" w:fill="auto"/>
            <w:vAlign w:val="center"/>
          </w:tcPr>
          <w:p w14:paraId="43FA141C" w14:textId="77777777" w:rsidR="00C10CDE" w:rsidRPr="003F7E57" w:rsidRDefault="00C10CDE" w:rsidP="00991A59">
            <w:pPr>
              <w:keepNext/>
              <w:jc w:val="both"/>
              <w:rPr>
                <w:rFonts w:eastAsia="Calibri"/>
                <w:color w:val="000000"/>
                <w:sz w:val="22"/>
                <w:szCs w:val="22"/>
                <w:lang w:val="sr-Latn-ME"/>
              </w:rPr>
            </w:pPr>
            <w:proofErr w:type="spellStart"/>
            <w:r w:rsidRPr="003F7E57">
              <w:rPr>
                <w:color w:val="000000"/>
                <w:sz w:val="22"/>
                <w:szCs w:val="22"/>
                <w:lang w:val="sr-Latn-ME"/>
              </w:rPr>
              <w:t>Eritem</w:t>
            </w:r>
            <w:proofErr w:type="spellEnd"/>
          </w:p>
        </w:tc>
        <w:tc>
          <w:tcPr>
            <w:tcW w:w="3517" w:type="dxa"/>
            <w:shd w:val="clear" w:color="auto" w:fill="auto"/>
            <w:vAlign w:val="center"/>
          </w:tcPr>
          <w:p w14:paraId="6BE24645" w14:textId="4984289E" w:rsidR="00C10CDE" w:rsidRPr="003F7E57" w:rsidRDefault="00C10CDE" w:rsidP="00991A59">
            <w:pPr>
              <w:keepNext/>
              <w:jc w:val="both"/>
              <w:rPr>
                <w:color w:val="000000"/>
                <w:sz w:val="22"/>
                <w:szCs w:val="22"/>
                <w:lang w:val="sr-Latn-ME"/>
              </w:rPr>
            </w:pPr>
            <w:r w:rsidRPr="003F7E57">
              <w:rPr>
                <w:rFonts w:eastAsia="Calibri"/>
                <w:color w:val="000000"/>
                <w:spacing w:val="-1"/>
                <w:sz w:val="22"/>
                <w:szCs w:val="22"/>
                <w:lang w:val="sr-Latn-ME"/>
              </w:rPr>
              <w:t>Povremeno</w:t>
            </w:r>
          </w:p>
        </w:tc>
      </w:tr>
      <w:tr w:rsidR="00C10CDE" w:rsidRPr="003F7E57" w14:paraId="2E7B782E" w14:textId="77777777" w:rsidTr="007A2CE8">
        <w:trPr>
          <w:cantSplit/>
        </w:trPr>
        <w:tc>
          <w:tcPr>
            <w:tcW w:w="5548" w:type="dxa"/>
            <w:shd w:val="clear" w:color="auto" w:fill="auto"/>
            <w:vAlign w:val="center"/>
          </w:tcPr>
          <w:p w14:paraId="6112D071" w14:textId="77777777" w:rsidR="00C10CDE" w:rsidRPr="003F7E57" w:rsidRDefault="00C10CDE" w:rsidP="00991A59">
            <w:pPr>
              <w:keepNext/>
              <w:jc w:val="both"/>
              <w:rPr>
                <w:b/>
                <w:bCs/>
                <w:color w:val="000000"/>
                <w:spacing w:val="-1"/>
                <w:sz w:val="22"/>
                <w:szCs w:val="22"/>
                <w:lang w:val="sr-Latn-ME"/>
              </w:rPr>
            </w:pPr>
            <w:r w:rsidRPr="003F7E57">
              <w:rPr>
                <w:rFonts w:eastAsia="Calibri"/>
                <w:color w:val="000000"/>
                <w:sz w:val="22"/>
                <w:szCs w:val="22"/>
                <w:lang w:val="sr-Latn-ME"/>
              </w:rPr>
              <w:t>Urtikarija</w:t>
            </w:r>
          </w:p>
        </w:tc>
        <w:tc>
          <w:tcPr>
            <w:tcW w:w="3517" w:type="dxa"/>
            <w:shd w:val="clear" w:color="auto" w:fill="auto"/>
            <w:vAlign w:val="center"/>
          </w:tcPr>
          <w:p w14:paraId="29D3694D" w14:textId="4F019EE4" w:rsidR="00C10CDE" w:rsidRPr="003F7E57" w:rsidRDefault="00C10CDE" w:rsidP="00991A59">
            <w:pPr>
              <w:keepNext/>
              <w:jc w:val="both"/>
              <w:rPr>
                <w:b/>
                <w:bCs/>
                <w:color w:val="000000"/>
                <w:spacing w:val="-1"/>
                <w:sz w:val="22"/>
                <w:szCs w:val="22"/>
                <w:lang w:val="sr-Latn-ME"/>
              </w:rPr>
            </w:pPr>
            <w:r w:rsidRPr="003F7E57">
              <w:rPr>
                <w:rFonts w:eastAsia="Calibri"/>
                <w:color w:val="000000"/>
                <w:spacing w:val="-1"/>
                <w:sz w:val="22"/>
                <w:szCs w:val="22"/>
                <w:lang w:val="sr-Latn-ME"/>
              </w:rPr>
              <w:t>Povremeno</w:t>
            </w:r>
          </w:p>
        </w:tc>
      </w:tr>
      <w:tr w:rsidR="00C10CDE" w:rsidRPr="003F7E57" w14:paraId="68BBDAA5" w14:textId="77777777" w:rsidTr="007A2CE8">
        <w:trPr>
          <w:cantSplit/>
        </w:trPr>
        <w:tc>
          <w:tcPr>
            <w:tcW w:w="5548" w:type="dxa"/>
            <w:shd w:val="clear" w:color="auto" w:fill="auto"/>
            <w:vAlign w:val="center"/>
          </w:tcPr>
          <w:p w14:paraId="51BE41F2" w14:textId="77777777" w:rsidR="00C10CDE" w:rsidRPr="003F7E57" w:rsidRDefault="00C10CDE" w:rsidP="00991A59">
            <w:pPr>
              <w:jc w:val="both"/>
              <w:rPr>
                <w:rFonts w:eastAsia="Calibri"/>
                <w:color w:val="000000"/>
                <w:sz w:val="22"/>
                <w:szCs w:val="22"/>
                <w:lang w:val="sr-Latn-ME"/>
              </w:rPr>
            </w:pPr>
            <w:proofErr w:type="spellStart"/>
            <w:r w:rsidRPr="003F7E57">
              <w:rPr>
                <w:color w:val="000000"/>
                <w:sz w:val="22"/>
                <w:szCs w:val="22"/>
                <w:lang w:val="sr-Latn-ME"/>
              </w:rPr>
              <w:t>Eksfolijativne</w:t>
            </w:r>
            <w:proofErr w:type="spellEnd"/>
            <w:r w:rsidRPr="003F7E57">
              <w:rPr>
                <w:color w:val="000000"/>
                <w:sz w:val="22"/>
                <w:szCs w:val="22"/>
                <w:lang w:val="sr-Latn-ME"/>
              </w:rPr>
              <w:t xml:space="preserve"> i </w:t>
            </w:r>
            <w:proofErr w:type="spellStart"/>
            <w:r w:rsidRPr="003F7E57">
              <w:rPr>
                <w:color w:val="000000"/>
                <w:sz w:val="22"/>
                <w:szCs w:val="22"/>
                <w:lang w:val="sr-Latn-ME"/>
              </w:rPr>
              <w:t>bulozne</w:t>
            </w:r>
            <w:proofErr w:type="spellEnd"/>
            <w:r w:rsidRPr="003F7E57">
              <w:rPr>
                <w:color w:val="000000"/>
                <w:sz w:val="22"/>
                <w:szCs w:val="22"/>
                <w:lang w:val="sr-Latn-ME"/>
              </w:rPr>
              <w:t xml:space="preserve"> kožne </w:t>
            </w:r>
            <w:proofErr w:type="spellStart"/>
            <w:r w:rsidRPr="003F7E57">
              <w:rPr>
                <w:color w:val="000000"/>
                <w:sz w:val="22"/>
                <w:szCs w:val="22"/>
                <w:lang w:val="sr-Latn-ME"/>
              </w:rPr>
              <w:t>lezije</w:t>
            </w:r>
            <w:proofErr w:type="spellEnd"/>
            <w:r w:rsidRPr="003F7E57">
              <w:rPr>
                <w:color w:val="000000"/>
                <w:sz w:val="22"/>
                <w:szCs w:val="22"/>
                <w:lang w:val="sr-Latn-ME"/>
              </w:rPr>
              <w:t xml:space="preserve">, uključujući </w:t>
            </w:r>
            <w:proofErr w:type="spellStart"/>
            <w:r w:rsidRPr="003F7E57">
              <w:rPr>
                <w:color w:val="000000"/>
                <w:sz w:val="22"/>
                <w:szCs w:val="22"/>
                <w:lang w:val="sr-Latn-ME"/>
              </w:rPr>
              <w:t>bulozni</w:t>
            </w:r>
            <w:proofErr w:type="spellEnd"/>
            <w:r w:rsidRPr="003F7E57">
              <w:rPr>
                <w:color w:val="000000"/>
                <w:sz w:val="22"/>
                <w:szCs w:val="22"/>
                <w:lang w:val="sr-Latn-ME"/>
              </w:rPr>
              <w:t xml:space="preserve"> </w:t>
            </w:r>
            <w:proofErr w:type="spellStart"/>
            <w:r w:rsidRPr="003F7E57">
              <w:rPr>
                <w:color w:val="000000"/>
                <w:sz w:val="22"/>
                <w:szCs w:val="22"/>
                <w:lang w:val="sr-Latn-ME"/>
              </w:rPr>
              <w:t>pemfigoid</w:t>
            </w:r>
            <w:proofErr w:type="spellEnd"/>
          </w:p>
        </w:tc>
        <w:tc>
          <w:tcPr>
            <w:tcW w:w="3517" w:type="dxa"/>
            <w:shd w:val="clear" w:color="auto" w:fill="auto"/>
            <w:vAlign w:val="center"/>
          </w:tcPr>
          <w:p w14:paraId="0AF4B476" w14:textId="77777777" w:rsidR="00C10CDE" w:rsidRPr="003F7E57" w:rsidRDefault="00C10CDE" w:rsidP="00991A59">
            <w:pPr>
              <w:jc w:val="both"/>
              <w:rPr>
                <w:color w:val="000000"/>
                <w:sz w:val="22"/>
                <w:szCs w:val="22"/>
                <w:lang w:val="sr-Latn-ME"/>
              </w:rPr>
            </w:pPr>
            <w:r w:rsidRPr="003F7E57">
              <w:rPr>
                <w:color w:val="000000"/>
                <w:sz w:val="22"/>
                <w:szCs w:val="22"/>
                <w:lang w:val="sr-Latn-ME"/>
              </w:rPr>
              <w:t>Nepoznato</w:t>
            </w:r>
            <w:r w:rsidRPr="003F7E57">
              <w:rPr>
                <w:color w:val="000000"/>
                <w:sz w:val="22"/>
                <w:szCs w:val="22"/>
                <w:vertAlign w:val="superscript"/>
                <w:lang w:val="sr-Latn-ME"/>
              </w:rPr>
              <w:t>†</w:t>
            </w:r>
          </w:p>
        </w:tc>
      </w:tr>
      <w:tr w:rsidR="006B039A" w:rsidRPr="003F7E57" w14:paraId="34E42024" w14:textId="77777777" w:rsidTr="007A2CE8">
        <w:trPr>
          <w:cantSplit/>
        </w:trPr>
        <w:tc>
          <w:tcPr>
            <w:tcW w:w="5548" w:type="dxa"/>
            <w:shd w:val="clear" w:color="auto" w:fill="auto"/>
            <w:vAlign w:val="center"/>
          </w:tcPr>
          <w:p w14:paraId="3B232049" w14:textId="36481393" w:rsidR="006B039A" w:rsidRPr="003F7E57" w:rsidRDefault="006B039A" w:rsidP="00991A59">
            <w:pPr>
              <w:jc w:val="both"/>
              <w:rPr>
                <w:color w:val="000000"/>
                <w:sz w:val="22"/>
                <w:szCs w:val="22"/>
                <w:lang w:val="sr-Latn-ME"/>
              </w:rPr>
            </w:pPr>
            <w:proofErr w:type="spellStart"/>
            <w:r w:rsidRPr="003F7E57">
              <w:rPr>
                <w:color w:val="000000"/>
                <w:sz w:val="22"/>
                <w:szCs w:val="22"/>
                <w:lang w:val="sr-Latn-ME"/>
              </w:rPr>
              <w:t>Kutani</w:t>
            </w:r>
            <w:proofErr w:type="spellEnd"/>
            <w:r w:rsidRPr="003F7E57">
              <w:rPr>
                <w:color w:val="000000"/>
                <w:sz w:val="22"/>
                <w:szCs w:val="22"/>
                <w:lang w:val="sr-Latn-ME"/>
              </w:rPr>
              <w:t xml:space="preserve"> </w:t>
            </w:r>
            <w:proofErr w:type="spellStart"/>
            <w:r w:rsidRPr="003F7E57">
              <w:rPr>
                <w:color w:val="000000"/>
                <w:sz w:val="22"/>
                <w:szCs w:val="22"/>
                <w:lang w:val="sr-Latn-ME"/>
              </w:rPr>
              <w:t>vaskulitis</w:t>
            </w:r>
            <w:proofErr w:type="spellEnd"/>
          </w:p>
        </w:tc>
        <w:tc>
          <w:tcPr>
            <w:tcW w:w="3517" w:type="dxa"/>
            <w:shd w:val="clear" w:color="auto" w:fill="auto"/>
            <w:vAlign w:val="center"/>
          </w:tcPr>
          <w:p w14:paraId="4D9A560D" w14:textId="1DB32889" w:rsidR="006B039A" w:rsidRPr="003F7E57" w:rsidRDefault="006B039A" w:rsidP="00991A59">
            <w:pPr>
              <w:jc w:val="both"/>
              <w:rPr>
                <w:color w:val="000000"/>
                <w:sz w:val="22"/>
                <w:szCs w:val="22"/>
                <w:lang w:val="sr-Latn-ME"/>
              </w:rPr>
            </w:pPr>
            <w:r w:rsidRPr="003F7E57">
              <w:rPr>
                <w:color w:val="000000"/>
                <w:sz w:val="22"/>
                <w:szCs w:val="22"/>
                <w:lang w:val="sr-Latn-ME"/>
              </w:rPr>
              <w:t>Nepoznato</w:t>
            </w:r>
            <w:r w:rsidRPr="003F7E57">
              <w:rPr>
                <w:color w:val="000000"/>
                <w:sz w:val="22"/>
                <w:szCs w:val="22"/>
                <w:vertAlign w:val="superscript"/>
                <w:lang w:val="sr-Latn-ME"/>
              </w:rPr>
              <w:t>†</w:t>
            </w:r>
          </w:p>
        </w:tc>
      </w:tr>
      <w:tr w:rsidR="00C10CDE" w:rsidRPr="003F7E57" w14:paraId="22E45857" w14:textId="77777777" w:rsidTr="007A2CE8">
        <w:trPr>
          <w:cantSplit/>
        </w:trPr>
        <w:tc>
          <w:tcPr>
            <w:tcW w:w="0" w:type="auto"/>
            <w:gridSpan w:val="2"/>
            <w:shd w:val="clear" w:color="auto" w:fill="auto"/>
            <w:vAlign w:val="center"/>
            <w:hideMark/>
          </w:tcPr>
          <w:p w14:paraId="09BFEC99" w14:textId="5B407C6D" w:rsidR="00C10CDE" w:rsidRPr="003F7E57" w:rsidRDefault="00C10CDE" w:rsidP="00991A59">
            <w:pPr>
              <w:keepNext/>
              <w:jc w:val="both"/>
              <w:rPr>
                <w:b/>
                <w:bCs/>
                <w:color w:val="000000"/>
                <w:sz w:val="22"/>
                <w:szCs w:val="22"/>
                <w:lang w:val="sr-Latn-ME"/>
              </w:rPr>
            </w:pPr>
            <w:r w:rsidRPr="003F7E57">
              <w:rPr>
                <w:b/>
                <w:bCs/>
                <w:color w:val="000000"/>
                <w:spacing w:val="-1"/>
                <w:sz w:val="22"/>
                <w:szCs w:val="22"/>
                <w:lang w:val="sr-Latn-ME"/>
              </w:rPr>
              <w:lastRenderedPageBreak/>
              <w:t>Poremećaji mišićno-koštanog sistema i vezivnog tkiva</w:t>
            </w:r>
          </w:p>
        </w:tc>
      </w:tr>
      <w:tr w:rsidR="00C10CDE" w:rsidRPr="003F7E57" w14:paraId="04EC081F" w14:textId="77777777" w:rsidTr="007A2CE8">
        <w:trPr>
          <w:cantSplit/>
        </w:trPr>
        <w:tc>
          <w:tcPr>
            <w:tcW w:w="5548" w:type="dxa"/>
            <w:shd w:val="clear" w:color="auto" w:fill="auto"/>
            <w:vAlign w:val="center"/>
          </w:tcPr>
          <w:p w14:paraId="2D1DC245" w14:textId="77777777" w:rsidR="00C10CDE" w:rsidRPr="003F7E57" w:rsidRDefault="00C10CDE" w:rsidP="00991A59">
            <w:pPr>
              <w:keepNext/>
              <w:jc w:val="both"/>
              <w:rPr>
                <w:rFonts w:eastAsia="Calibri"/>
                <w:color w:val="000000"/>
                <w:spacing w:val="-1"/>
                <w:sz w:val="22"/>
                <w:szCs w:val="22"/>
                <w:lang w:val="sr-Latn-ME"/>
              </w:rPr>
            </w:pPr>
            <w:proofErr w:type="spellStart"/>
            <w:r w:rsidRPr="003F7E57">
              <w:rPr>
                <w:rFonts w:eastAsia="Calibri"/>
                <w:color w:val="000000"/>
                <w:spacing w:val="-1"/>
                <w:sz w:val="22"/>
                <w:szCs w:val="22"/>
                <w:lang w:val="sr-Latn-ME"/>
              </w:rPr>
              <w:t>Artralgija</w:t>
            </w:r>
            <w:proofErr w:type="spellEnd"/>
          </w:p>
        </w:tc>
        <w:tc>
          <w:tcPr>
            <w:tcW w:w="3517" w:type="dxa"/>
            <w:shd w:val="clear" w:color="auto" w:fill="auto"/>
            <w:vAlign w:val="center"/>
          </w:tcPr>
          <w:p w14:paraId="69B2A18A" w14:textId="77777777" w:rsidR="00C10CDE" w:rsidRPr="003F7E57" w:rsidRDefault="00C10CDE" w:rsidP="00991A59">
            <w:pPr>
              <w:keepNext/>
              <w:jc w:val="both"/>
              <w:rPr>
                <w:rFonts w:eastAsia="Calibri"/>
                <w:color w:val="000000"/>
                <w:spacing w:val="-1"/>
                <w:sz w:val="22"/>
                <w:szCs w:val="22"/>
                <w:lang w:val="sr-Latn-ME"/>
              </w:rPr>
            </w:pPr>
            <w:r w:rsidRPr="003F7E57">
              <w:rPr>
                <w:sz w:val="22"/>
                <w:szCs w:val="22"/>
                <w:lang w:val="sr-Latn-ME"/>
              </w:rPr>
              <w:t>Često</w:t>
            </w:r>
          </w:p>
        </w:tc>
      </w:tr>
      <w:tr w:rsidR="00C10CDE" w:rsidRPr="003F7E57" w14:paraId="226C050F" w14:textId="77777777" w:rsidTr="007A2CE8">
        <w:trPr>
          <w:cantSplit/>
        </w:trPr>
        <w:tc>
          <w:tcPr>
            <w:tcW w:w="5548" w:type="dxa"/>
            <w:shd w:val="clear" w:color="auto" w:fill="auto"/>
            <w:vAlign w:val="center"/>
            <w:hideMark/>
          </w:tcPr>
          <w:p w14:paraId="6E0050B2" w14:textId="77777777" w:rsidR="00C10CDE" w:rsidRPr="003F7E57" w:rsidRDefault="00C10CDE" w:rsidP="00991A59">
            <w:pPr>
              <w:jc w:val="both"/>
              <w:rPr>
                <w:color w:val="000000"/>
                <w:sz w:val="22"/>
                <w:szCs w:val="22"/>
                <w:lang w:val="sr-Latn-ME"/>
              </w:rPr>
            </w:pPr>
            <w:proofErr w:type="spellStart"/>
            <w:r w:rsidRPr="003F7E57">
              <w:rPr>
                <w:rFonts w:eastAsia="Calibri"/>
                <w:color w:val="000000"/>
                <w:spacing w:val="-1"/>
                <w:sz w:val="22"/>
                <w:szCs w:val="22"/>
                <w:lang w:val="sr-Latn-ME"/>
              </w:rPr>
              <w:t>Mijalgija</w:t>
            </w:r>
            <w:proofErr w:type="spellEnd"/>
          </w:p>
        </w:tc>
        <w:tc>
          <w:tcPr>
            <w:tcW w:w="3517" w:type="dxa"/>
            <w:shd w:val="clear" w:color="auto" w:fill="auto"/>
            <w:vAlign w:val="center"/>
            <w:hideMark/>
          </w:tcPr>
          <w:p w14:paraId="1D24A8CA" w14:textId="0EBA28A2" w:rsidR="00C10CDE" w:rsidRPr="003F7E57" w:rsidRDefault="00C10CDE" w:rsidP="00991A59">
            <w:pPr>
              <w:jc w:val="both"/>
              <w:rPr>
                <w:color w:val="000000"/>
                <w:sz w:val="22"/>
                <w:szCs w:val="22"/>
                <w:lang w:val="sr-Latn-ME"/>
              </w:rPr>
            </w:pPr>
            <w:r w:rsidRPr="003F7E57">
              <w:rPr>
                <w:rFonts w:eastAsia="Calibri"/>
                <w:color w:val="000000"/>
                <w:spacing w:val="-1"/>
                <w:sz w:val="22"/>
                <w:szCs w:val="22"/>
                <w:lang w:val="sr-Latn-ME"/>
              </w:rPr>
              <w:t>Povremeno</w:t>
            </w:r>
          </w:p>
        </w:tc>
      </w:tr>
      <w:tr w:rsidR="00C10CDE" w:rsidRPr="003F7E57" w14:paraId="28CECF7D" w14:textId="77777777" w:rsidTr="007A2CE8">
        <w:trPr>
          <w:cantSplit/>
        </w:trPr>
        <w:tc>
          <w:tcPr>
            <w:tcW w:w="0" w:type="auto"/>
            <w:gridSpan w:val="2"/>
            <w:shd w:val="clear" w:color="auto" w:fill="auto"/>
            <w:vAlign w:val="center"/>
            <w:hideMark/>
          </w:tcPr>
          <w:p w14:paraId="250AC25A" w14:textId="6ED5F556" w:rsidR="00C10CDE" w:rsidRPr="003F7E57" w:rsidRDefault="00C10CDE" w:rsidP="00991A59">
            <w:pPr>
              <w:keepNext/>
              <w:jc w:val="both"/>
              <w:rPr>
                <w:rFonts w:eastAsia="Calibri"/>
                <w:b/>
                <w:bCs/>
                <w:color w:val="000000"/>
                <w:spacing w:val="-1"/>
                <w:sz w:val="22"/>
                <w:szCs w:val="22"/>
                <w:lang w:val="sr-Latn-ME"/>
              </w:rPr>
            </w:pPr>
            <w:r w:rsidRPr="003F7E57">
              <w:rPr>
                <w:rFonts w:eastAsia="Calibri"/>
                <w:b/>
                <w:bCs/>
                <w:color w:val="000000"/>
                <w:spacing w:val="-1"/>
                <w:sz w:val="22"/>
                <w:szCs w:val="22"/>
                <w:lang w:val="sr-Latn-ME"/>
              </w:rPr>
              <w:t>Opšti poremećaji i reakcije na mjestu primjene</w:t>
            </w:r>
          </w:p>
        </w:tc>
      </w:tr>
      <w:tr w:rsidR="00C10CDE" w:rsidRPr="003F7E57" w14:paraId="53E0F370" w14:textId="77777777" w:rsidTr="007A2CE8">
        <w:trPr>
          <w:cantSplit/>
        </w:trPr>
        <w:tc>
          <w:tcPr>
            <w:tcW w:w="5548" w:type="dxa"/>
            <w:shd w:val="clear" w:color="auto" w:fill="auto"/>
            <w:vAlign w:val="center"/>
          </w:tcPr>
          <w:p w14:paraId="20FAAB41" w14:textId="77777777" w:rsidR="00C10CDE" w:rsidRPr="003F7E57" w:rsidRDefault="00C10CDE" w:rsidP="00991A59">
            <w:pPr>
              <w:keepNext/>
              <w:jc w:val="both"/>
              <w:rPr>
                <w:color w:val="000000"/>
                <w:sz w:val="22"/>
                <w:szCs w:val="22"/>
                <w:lang w:val="sr-Latn-ME"/>
              </w:rPr>
            </w:pPr>
            <w:r w:rsidRPr="003F7E57">
              <w:rPr>
                <w:rFonts w:eastAsia="Calibri"/>
                <w:color w:val="000000"/>
                <w:sz w:val="22"/>
                <w:szCs w:val="22"/>
                <w:lang w:val="sr-Latn-ME"/>
              </w:rPr>
              <w:t>Astenija</w:t>
            </w:r>
          </w:p>
        </w:tc>
        <w:tc>
          <w:tcPr>
            <w:tcW w:w="3517" w:type="dxa"/>
            <w:shd w:val="clear" w:color="auto" w:fill="auto"/>
            <w:vAlign w:val="center"/>
          </w:tcPr>
          <w:p w14:paraId="4B88A2F8" w14:textId="77777777" w:rsidR="00C10CDE" w:rsidRPr="003F7E57" w:rsidRDefault="00C10CDE" w:rsidP="00991A59">
            <w:pPr>
              <w:keepNext/>
              <w:jc w:val="both"/>
              <w:rPr>
                <w:color w:val="000000"/>
                <w:sz w:val="22"/>
                <w:szCs w:val="22"/>
                <w:lang w:val="sr-Latn-ME"/>
              </w:rPr>
            </w:pPr>
            <w:r w:rsidRPr="003F7E57">
              <w:rPr>
                <w:sz w:val="22"/>
                <w:szCs w:val="22"/>
                <w:lang w:val="sr-Latn-ME"/>
              </w:rPr>
              <w:t>Često</w:t>
            </w:r>
          </w:p>
        </w:tc>
      </w:tr>
      <w:tr w:rsidR="00C10CDE" w:rsidRPr="003F7E57" w14:paraId="797F3375" w14:textId="77777777" w:rsidTr="007A2CE8">
        <w:trPr>
          <w:cantSplit/>
        </w:trPr>
        <w:tc>
          <w:tcPr>
            <w:tcW w:w="5548" w:type="dxa"/>
            <w:shd w:val="clear" w:color="auto" w:fill="auto"/>
            <w:vAlign w:val="center"/>
          </w:tcPr>
          <w:p w14:paraId="77E7E660" w14:textId="77777777" w:rsidR="00C10CDE" w:rsidRPr="003F7E57" w:rsidRDefault="00C10CDE" w:rsidP="00991A59">
            <w:pPr>
              <w:keepNext/>
              <w:jc w:val="both"/>
              <w:rPr>
                <w:rFonts w:eastAsia="Calibri"/>
                <w:color w:val="000000"/>
                <w:sz w:val="22"/>
                <w:szCs w:val="22"/>
                <w:lang w:val="sr-Latn-ME"/>
              </w:rPr>
            </w:pPr>
            <w:r w:rsidRPr="003F7E57">
              <w:rPr>
                <w:rFonts w:eastAsia="Calibri"/>
                <w:color w:val="000000"/>
                <w:sz w:val="22"/>
                <w:szCs w:val="22"/>
                <w:lang w:val="sr-Latn-ME"/>
              </w:rPr>
              <w:t>Umor</w:t>
            </w:r>
          </w:p>
        </w:tc>
        <w:tc>
          <w:tcPr>
            <w:tcW w:w="3517" w:type="dxa"/>
            <w:shd w:val="clear" w:color="auto" w:fill="auto"/>
            <w:vAlign w:val="center"/>
          </w:tcPr>
          <w:p w14:paraId="167DF726" w14:textId="4125D9AE" w:rsidR="00C10CDE" w:rsidRPr="003F7E57" w:rsidRDefault="00C10CDE" w:rsidP="00991A59">
            <w:pPr>
              <w:keepNext/>
              <w:jc w:val="both"/>
              <w:rPr>
                <w:sz w:val="22"/>
                <w:szCs w:val="22"/>
                <w:lang w:val="sr-Latn-ME"/>
              </w:rPr>
            </w:pPr>
            <w:r w:rsidRPr="003F7E57">
              <w:rPr>
                <w:rFonts w:eastAsia="Calibri"/>
                <w:color w:val="000000"/>
                <w:spacing w:val="-1"/>
                <w:sz w:val="22"/>
                <w:szCs w:val="22"/>
                <w:lang w:val="sr-Latn-ME"/>
              </w:rPr>
              <w:t>Povremeno</w:t>
            </w:r>
          </w:p>
        </w:tc>
      </w:tr>
      <w:tr w:rsidR="00C10CDE" w:rsidRPr="003F7E57" w14:paraId="4E8F10A8" w14:textId="77777777" w:rsidTr="007A2CE8">
        <w:trPr>
          <w:cantSplit/>
        </w:trPr>
        <w:tc>
          <w:tcPr>
            <w:tcW w:w="5548" w:type="dxa"/>
            <w:shd w:val="clear" w:color="auto" w:fill="auto"/>
            <w:vAlign w:val="center"/>
          </w:tcPr>
          <w:p w14:paraId="1FE61AB9" w14:textId="6DE52592" w:rsidR="00C10CDE" w:rsidRPr="003F7E57" w:rsidRDefault="00D56654" w:rsidP="00991A59">
            <w:pPr>
              <w:keepNext/>
              <w:jc w:val="both"/>
              <w:rPr>
                <w:rFonts w:eastAsia="Calibri"/>
                <w:color w:val="000000"/>
                <w:sz w:val="22"/>
                <w:szCs w:val="22"/>
                <w:lang w:val="sr-Latn-ME"/>
              </w:rPr>
            </w:pPr>
            <w:r w:rsidRPr="003F7E57">
              <w:rPr>
                <w:rFonts w:eastAsia="Calibri"/>
                <w:color w:val="000000"/>
                <w:sz w:val="22"/>
                <w:szCs w:val="22"/>
                <w:lang w:val="sr-Latn-ME"/>
              </w:rPr>
              <w:t>Jeza</w:t>
            </w:r>
          </w:p>
        </w:tc>
        <w:tc>
          <w:tcPr>
            <w:tcW w:w="3517" w:type="dxa"/>
            <w:shd w:val="clear" w:color="auto" w:fill="auto"/>
            <w:vAlign w:val="center"/>
          </w:tcPr>
          <w:p w14:paraId="599BF190" w14:textId="73266ADB" w:rsidR="00C10CDE" w:rsidRPr="003F7E57" w:rsidRDefault="00C10CDE" w:rsidP="00991A59">
            <w:pPr>
              <w:keepNext/>
              <w:jc w:val="both"/>
              <w:rPr>
                <w:sz w:val="22"/>
                <w:szCs w:val="22"/>
                <w:lang w:val="sr-Latn-ME"/>
              </w:rPr>
            </w:pPr>
            <w:r w:rsidRPr="003F7E57">
              <w:rPr>
                <w:rFonts w:eastAsia="Calibri"/>
                <w:color w:val="000000"/>
                <w:spacing w:val="-1"/>
                <w:sz w:val="22"/>
                <w:szCs w:val="22"/>
                <w:lang w:val="sr-Latn-ME"/>
              </w:rPr>
              <w:t>Povremeno</w:t>
            </w:r>
          </w:p>
        </w:tc>
      </w:tr>
      <w:tr w:rsidR="00C10CDE" w:rsidRPr="003F7E57" w14:paraId="1AE1858F" w14:textId="77777777" w:rsidTr="007A2CE8">
        <w:trPr>
          <w:cantSplit/>
        </w:trPr>
        <w:tc>
          <w:tcPr>
            <w:tcW w:w="5548" w:type="dxa"/>
            <w:shd w:val="clear" w:color="auto" w:fill="auto"/>
            <w:vAlign w:val="center"/>
          </w:tcPr>
          <w:p w14:paraId="617ED3B9" w14:textId="77777777" w:rsidR="00C10CDE" w:rsidRPr="003F7E57" w:rsidRDefault="00C10CDE" w:rsidP="00991A59">
            <w:pPr>
              <w:keepNext/>
              <w:jc w:val="both"/>
              <w:rPr>
                <w:rFonts w:eastAsia="Calibri"/>
                <w:color w:val="000000"/>
                <w:sz w:val="22"/>
                <w:szCs w:val="22"/>
                <w:lang w:val="sr-Latn-ME"/>
              </w:rPr>
            </w:pPr>
            <w:r w:rsidRPr="003F7E57">
              <w:rPr>
                <w:rFonts w:eastAsia="Calibri"/>
                <w:color w:val="000000"/>
                <w:sz w:val="22"/>
                <w:szCs w:val="22"/>
                <w:lang w:val="sr-Latn-ME"/>
              </w:rPr>
              <w:t xml:space="preserve">Periferni </w:t>
            </w:r>
            <w:proofErr w:type="spellStart"/>
            <w:r w:rsidRPr="003F7E57">
              <w:rPr>
                <w:rFonts w:eastAsia="Calibri"/>
                <w:color w:val="000000"/>
                <w:sz w:val="22"/>
                <w:szCs w:val="22"/>
                <w:lang w:val="sr-Latn-ME"/>
              </w:rPr>
              <w:t>edem</w:t>
            </w:r>
            <w:proofErr w:type="spellEnd"/>
          </w:p>
        </w:tc>
        <w:tc>
          <w:tcPr>
            <w:tcW w:w="3517" w:type="dxa"/>
            <w:shd w:val="clear" w:color="auto" w:fill="auto"/>
            <w:vAlign w:val="center"/>
          </w:tcPr>
          <w:p w14:paraId="598D401D" w14:textId="59206C40" w:rsidR="00C10CDE" w:rsidRPr="003F7E57" w:rsidRDefault="00C10CDE" w:rsidP="00991A59">
            <w:pPr>
              <w:keepNext/>
              <w:jc w:val="both"/>
              <w:rPr>
                <w:sz w:val="22"/>
                <w:szCs w:val="22"/>
                <w:lang w:val="sr-Latn-ME"/>
              </w:rPr>
            </w:pPr>
            <w:r w:rsidRPr="003F7E57">
              <w:rPr>
                <w:rFonts w:eastAsia="Calibri"/>
                <w:color w:val="000000"/>
                <w:spacing w:val="-1"/>
                <w:sz w:val="22"/>
                <w:szCs w:val="22"/>
                <w:lang w:val="sr-Latn-ME"/>
              </w:rPr>
              <w:t>Povremeno</w:t>
            </w:r>
          </w:p>
        </w:tc>
      </w:tr>
      <w:tr w:rsidR="00C10CDE" w:rsidRPr="003F7E57" w14:paraId="5E521E42" w14:textId="77777777" w:rsidTr="007A2CE8">
        <w:trPr>
          <w:cantSplit/>
        </w:trPr>
        <w:tc>
          <w:tcPr>
            <w:tcW w:w="9065" w:type="dxa"/>
            <w:gridSpan w:val="2"/>
            <w:shd w:val="clear" w:color="auto" w:fill="auto"/>
            <w:vAlign w:val="center"/>
          </w:tcPr>
          <w:p w14:paraId="58CD7D70" w14:textId="66220E9D" w:rsidR="00C10CDE" w:rsidRPr="003F7E57" w:rsidRDefault="00C10CDE" w:rsidP="00991A59">
            <w:pPr>
              <w:keepNext/>
              <w:jc w:val="both"/>
              <w:rPr>
                <w:b/>
                <w:bCs/>
                <w:sz w:val="22"/>
                <w:szCs w:val="22"/>
                <w:lang w:val="sr-Latn-ME"/>
              </w:rPr>
            </w:pPr>
            <w:r w:rsidRPr="003F7E57">
              <w:rPr>
                <w:rFonts w:eastAsia="Calibri"/>
                <w:b/>
                <w:bCs/>
                <w:color w:val="000000"/>
                <w:sz w:val="22"/>
                <w:szCs w:val="22"/>
                <w:lang w:val="sr-Latn-ME"/>
              </w:rPr>
              <w:t>Ispitivanja</w:t>
            </w:r>
          </w:p>
        </w:tc>
      </w:tr>
      <w:tr w:rsidR="00C10CDE" w:rsidRPr="003F7E57" w14:paraId="53943FED" w14:textId="77777777" w:rsidTr="007A2CE8">
        <w:trPr>
          <w:cantSplit/>
        </w:trPr>
        <w:tc>
          <w:tcPr>
            <w:tcW w:w="5548" w:type="dxa"/>
            <w:shd w:val="clear" w:color="auto" w:fill="auto"/>
            <w:vAlign w:val="center"/>
          </w:tcPr>
          <w:p w14:paraId="0F5FAB63" w14:textId="19A74243" w:rsidR="00C10CDE" w:rsidRPr="003F7E57" w:rsidRDefault="00C10CDE" w:rsidP="00991A59">
            <w:pPr>
              <w:keepNext/>
              <w:jc w:val="both"/>
              <w:rPr>
                <w:rFonts w:eastAsia="Calibri"/>
                <w:color w:val="000000"/>
                <w:sz w:val="22"/>
                <w:szCs w:val="22"/>
                <w:lang w:val="sr-Latn-ME"/>
              </w:rPr>
            </w:pPr>
            <w:r w:rsidRPr="003F7E57">
              <w:rPr>
                <w:noProof/>
                <w:sz w:val="22"/>
                <w:szCs w:val="22"/>
                <w:lang w:val="sr-Latn-ME"/>
              </w:rPr>
              <w:t xml:space="preserve">Poremećeni rezultati testova </w:t>
            </w:r>
            <w:r w:rsidR="00D56654" w:rsidRPr="003F7E57">
              <w:rPr>
                <w:noProof/>
                <w:sz w:val="22"/>
                <w:szCs w:val="22"/>
                <w:lang w:val="sr-Latn-ME"/>
              </w:rPr>
              <w:t>f</w:t>
            </w:r>
            <w:r w:rsidRPr="003F7E57">
              <w:rPr>
                <w:noProof/>
                <w:sz w:val="22"/>
                <w:szCs w:val="22"/>
                <w:lang w:val="sr-Latn-ME"/>
              </w:rPr>
              <w:t>unkcije</w:t>
            </w:r>
            <w:r w:rsidR="00D56654" w:rsidRPr="003F7E57">
              <w:rPr>
                <w:noProof/>
                <w:sz w:val="22"/>
                <w:szCs w:val="22"/>
                <w:lang w:val="sr-Latn-ME"/>
              </w:rPr>
              <w:t xml:space="preserve"> jetre</w:t>
            </w:r>
          </w:p>
        </w:tc>
        <w:tc>
          <w:tcPr>
            <w:tcW w:w="3517" w:type="dxa"/>
            <w:shd w:val="clear" w:color="auto" w:fill="auto"/>
            <w:vAlign w:val="center"/>
          </w:tcPr>
          <w:p w14:paraId="643EAD89" w14:textId="63BF3D68" w:rsidR="00C10CDE" w:rsidRPr="003F7E57" w:rsidRDefault="00C10CDE" w:rsidP="00991A59">
            <w:pPr>
              <w:keepNext/>
              <w:jc w:val="both"/>
              <w:rPr>
                <w:sz w:val="22"/>
                <w:szCs w:val="22"/>
                <w:lang w:val="sr-Latn-ME"/>
              </w:rPr>
            </w:pPr>
            <w:r w:rsidRPr="003F7E57">
              <w:rPr>
                <w:rFonts w:eastAsia="Calibri"/>
                <w:color w:val="000000"/>
                <w:spacing w:val="-1"/>
                <w:sz w:val="22"/>
                <w:szCs w:val="22"/>
                <w:lang w:val="sr-Latn-ME"/>
              </w:rPr>
              <w:t>Povremeno</w:t>
            </w:r>
          </w:p>
        </w:tc>
      </w:tr>
      <w:tr w:rsidR="00C10CDE" w:rsidRPr="003F7E57" w14:paraId="4E9A7F0B" w14:textId="77777777" w:rsidTr="007A2CE8">
        <w:trPr>
          <w:cantSplit/>
        </w:trPr>
        <w:tc>
          <w:tcPr>
            <w:tcW w:w="0" w:type="auto"/>
            <w:gridSpan w:val="2"/>
            <w:shd w:val="clear" w:color="auto" w:fill="auto"/>
            <w:vAlign w:val="center"/>
          </w:tcPr>
          <w:p w14:paraId="79655B29" w14:textId="0E011AF5" w:rsidR="00C10CDE" w:rsidRPr="003F7E57" w:rsidRDefault="00C10CDE" w:rsidP="00991A59">
            <w:pPr>
              <w:autoSpaceDE w:val="0"/>
              <w:autoSpaceDN w:val="0"/>
              <w:adjustRightInd w:val="0"/>
              <w:ind w:left="550" w:hanging="550"/>
              <w:jc w:val="both"/>
              <w:rPr>
                <w:sz w:val="22"/>
                <w:szCs w:val="22"/>
                <w:lang w:val="sr-Latn-ME"/>
              </w:rPr>
            </w:pPr>
            <w:r w:rsidRPr="003F7E57">
              <w:rPr>
                <w:sz w:val="22"/>
                <w:szCs w:val="22"/>
                <w:lang w:val="sr-Latn-ME"/>
              </w:rPr>
              <w:t>*</w:t>
            </w:r>
            <w:r w:rsidRPr="003F7E57">
              <w:rPr>
                <w:sz w:val="22"/>
                <w:szCs w:val="22"/>
                <w:lang w:val="sr-Latn-ME"/>
              </w:rPr>
              <w:tab/>
              <w:t xml:space="preserve">Neželjene reakcije </w:t>
            </w:r>
            <w:r w:rsidR="00D56654" w:rsidRPr="003F7E57">
              <w:rPr>
                <w:sz w:val="22"/>
                <w:szCs w:val="22"/>
                <w:lang w:val="sr-Latn-ME"/>
              </w:rPr>
              <w:t xml:space="preserve">prijavljene </w:t>
            </w:r>
            <w:r w:rsidRPr="003F7E57">
              <w:rPr>
                <w:sz w:val="22"/>
                <w:szCs w:val="22"/>
                <w:lang w:val="sr-Latn-ME"/>
              </w:rPr>
              <w:t xml:space="preserve">kod pacijenata koji su primali </w:t>
            </w:r>
            <w:proofErr w:type="spellStart"/>
            <w:r w:rsidRPr="003F7E57">
              <w:rPr>
                <w:sz w:val="22"/>
                <w:szCs w:val="22"/>
                <w:lang w:val="sr-Latn-ME"/>
              </w:rPr>
              <w:t>metformin</w:t>
            </w:r>
            <w:proofErr w:type="spellEnd"/>
            <w:r w:rsidRPr="003F7E57">
              <w:rPr>
                <w:sz w:val="22"/>
                <w:szCs w:val="22"/>
                <w:lang w:val="sr-Latn-ME"/>
              </w:rPr>
              <w:t xml:space="preserve"> kao </w:t>
            </w:r>
            <w:proofErr w:type="spellStart"/>
            <w:r w:rsidRPr="003F7E57">
              <w:rPr>
                <w:sz w:val="22"/>
                <w:szCs w:val="22"/>
                <w:lang w:val="sr-Latn-ME"/>
              </w:rPr>
              <w:t>monoterapiju</w:t>
            </w:r>
            <w:proofErr w:type="spellEnd"/>
            <w:r w:rsidRPr="003F7E57">
              <w:rPr>
                <w:sz w:val="22"/>
                <w:szCs w:val="22"/>
                <w:lang w:val="sr-Latn-ME"/>
              </w:rPr>
              <w:t xml:space="preserve"> i koje ni</w:t>
            </w:r>
            <w:r w:rsidR="00522F79" w:rsidRPr="003F7E57">
              <w:rPr>
                <w:sz w:val="22"/>
                <w:szCs w:val="22"/>
                <w:lang w:val="sr-Latn-ME"/>
              </w:rPr>
              <w:t>je</w:t>
            </w:r>
            <w:r w:rsidRPr="003F7E57">
              <w:rPr>
                <w:sz w:val="22"/>
                <w:szCs w:val="22"/>
                <w:lang w:val="sr-Latn-ME"/>
              </w:rPr>
              <w:t xml:space="preserve">su primećene kod pacijenata koji su primali fiksne kombinacije doza </w:t>
            </w:r>
            <w:proofErr w:type="spellStart"/>
            <w:r w:rsidRPr="003F7E57">
              <w:rPr>
                <w:sz w:val="22"/>
                <w:szCs w:val="22"/>
                <w:lang w:val="sr-Latn-ME"/>
              </w:rPr>
              <w:t>vildagliptin</w:t>
            </w:r>
            <w:proofErr w:type="spellEnd"/>
            <w:r w:rsidR="00806C70" w:rsidRPr="003F7E57">
              <w:rPr>
                <w:sz w:val="22"/>
                <w:szCs w:val="22"/>
                <w:lang w:val="sr-Latn-ME"/>
              </w:rPr>
              <w:t xml:space="preserve"> </w:t>
            </w:r>
            <w:r w:rsidRPr="003F7E57">
              <w:rPr>
                <w:sz w:val="22"/>
                <w:szCs w:val="22"/>
                <w:lang w:val="sr-Latn-ME"/>
              </w:rPr>
              <w:t>+</w:t>
            </w:r>
            <w:r w:rsidR="00806C70" w:rsidRPr="003F7E57">
              <w:rPr>
                <w:sz w:val="22"/>
                <w:szCs w:val="22"/>
                <w:lang w:val="sr-Latn-ME"/>
              </w:rPr>
              <w:t xml:space="preserve"> </w:t>
            </w:r>
            <w:proofErr w:type="spellStart"/>
            <w:r w:rsidRPr="003F7E57">
              <w:rPr>
                <w:sz w:val="22"/>
                <w:szCs w:val="22"/>
                <w:lang w:val="sr-Latn-ME"/>
              </w:rPr>
              <w:t>metformin</w:t>
            </w:r>
            <w:proofErr w:type="spellEnd"/>
            <w:r w:rsidRPr="003F7E57">
              <w:rPr>
                <w:sz w:val="22"/>
                <w:szCs w:val="22"/>
                <w:lang w:val="sr-Latn-ME"/>
              </w:rPr>
              <w:t xml:space="preserve">. Vidjeti Sažetak karakteristika lijeka za </w:t>
            </w:r>
            <w:proofErr w:type="spellStart"/>
            <w:r w:rsidRPr="003F7E57">
              <w:rPr>
                <w:sz w:val="22"/>
                <w:szCs w:val="22"/>
                <w:lang w:val="sr-Latn-ME"/>
              </w:rPr>
              <w:t>metformin</w:t>
            </w:r>
            <w:proofErr w:type="spellEnd"/>
            <w:r w:rsidRPr="003F7E57">
              <w:rPr>
                <w:sz w:val="22"/>
                <w:szCs w:val="22"/>
                <w:lang w:val="sr-Latn-ME"/>
              </w:rPr>
              <w:t xml:space="preserve"> za dodatne informacije.</w:t>
            </w:r>
          </w:p>
          <w:p w14:paraId="40671B98" w14:textId="4B234EF7" w:rsidR="00C10CDE" w:rsidRPr="003F7E57" w:rsidRDefault="00C10CDE" w:rsidP="00991A59">
            <w:pPr>
              <w:autoSpaceDE w:val="0"/>
              <w:autoSpaceDN w:val="0"/>
              <w:adjustRightInd w:val="0"/>
              <w:ind w:left="550" w:hanging="550"/>
              <w:jc w:val="both"/>
              <w:rPr>
                <w:rFonts w:eastAsia="Calibri"/>
                <w:color w:val="000000"/>
                <w:spacing w:val="-1"/>
                <w:sz w:val="22"/>
                <w:szCs w:val="22"/>
                <w:lang w:val="sr-Latn-ME"/>
              </w:rPr>
            </w:pPr>
            <w:r w:rsidRPr="003F7E57">
              <w:rPr>
                <w:noProof/>
                <w:sz w:val="22"/>
                <w:szCs w:val="22"/>
                <w:vertAlign w:val="superscript"/>
                <w:lang w:val="sr-Latn-ME"/>
              </w:rPr>
              <w:t>†</w:t>
            </w:r>
            <w:r w:rsidRPr="003F7E57">
              <w:rPr>
                <w:noProof/>
                <w:sz w:val="22"/>
                <w:szCs w:val="22"/>
                <w:lang w:val="sr-Latn-ME"/>
              </w:rPr>
              <w:tab/>
              <w:t>Na osnovu iskustva nakon stavljanja lijeka u promet.</w:t>
            </w:r>
          </w:p>
        </w:tc>
      </w:tr>
    </w:tbl>
    <w:p w14:paraId="6CDE5386" w14:textId="64D58684" w:rsidR="0091202D" w:rsidRPr="003F7E57" w:rsidRDefault="0091202D" w:rsidP="00991A59">
      <w:pPr>
        <w:tabs>
          <w:tab w:val="left" w:pos="540"/>
          <w:tab w:val="left" w:pos="569"/>
        </w:tabs>
        <w:jc w:val="both"/>
        <w:rPr>
          <w:b/>
          <w:bCs/>
          <w:sz w:val="22"/>
          <w:szCs w:val="22"/>
          <w:lang w:val="sr-Latn-ME"/>
        </w:rPr>
      </w:pPr>
    </w:p>
    <w:p w14:paraId="6809B6E2" w14:textId="72AA921D" w:rsidR="00C10CDE" w:rsidRPr="003F7E57" w:rsidRDefault="00C10CDE" w:rsidP="00991A59">
      <w:pPr>
        <w:keepNext/>
        <w:keepLines/>
        <w:tabs>
          <w:tab w:val="left" w:pos="567"/>
        </w:tabs>
        <w:autoSpaceDE w:val="0"/>
        <w:autoSpaceDN w:val="0"/>
        <w:adjustRightInd w:val="0"/>
        <w:jc w:val="both"/>
        <w:rPr>
          <w:noProof/>
          <w:sz w:val="22"/>
          <w:szCs w:val="22"/>
          <w:u w:val="single"/>
          <w:lang w:val="sr-Latn-ME"/>
        </w:rPr>
      </w:pPr>
      <w:r w:rsidRPr="003F7E57">
        <w:rPr>
          <w:noProof/>
          <w:sz w:val="22"/>
          <w:szCs w:val="22"/>
          <w:u w:val="single"/>
          <w:lang w:val="sr-Latn-ME"/>
        </w:rPr>
        <w:t>Opis odabranih neželjenih reakcija</w:t>
      </w:r>
    </w:p>
    <w:p w14:paraId="57B9E872" w14:textId="77777777" w:rsidR="00C10CDE" w:rsidRPr="003F7E57" w:rsidRDefault="00C10CDE" w:rsidP="00991A59">
      <w:pPr>
        <w:keepNext/>
        <w:widowControl w:val="0"/>
        <w:tabs>
          <w:tab w:val="left" w:pos="567"/>
        </w:tabs>
        <w:autoSpaceDE w:val="0"/>
        <w:autoSpaceDN w:val="0"/>
        <w:adjustRightInd w:val="0"/>
        <w:jc w:val="both"/>
        <w:rPr>
          <w:sz w:val="22"/>
          <w:szCs w:val="22"/>
          <w:lang w:val="sr-Latn-ME"/>
        </w:rPr>
      </w:pPr>
    </w:p>
    <w:p w14:paraId="12175048" w14:textId="77777777" w:rsidR="00C10CDE" w:rsidRPr="003F7E57" w:rsidRDefault="00C10CDE" w:rsidP="00991A59">
      <w:pPr>
        <w:keepNext/>
        <w:widowControl w:val="0"/>
        <w:tabs>
          <w:tab w:val="left" w:pos="567"/>
        </w:tabs>
        <w:autoSpaceDE w:val="0"/>
        <w:autoSpaceDN w:val="0"/>
        <w:adjustRightInd w:val="0"/>
        <w:jc w:val="both"/>
        <w:rPr>
          <w:i/>
          <w:iCs/>
          <w:noProof/>
          <w:sz w:val="22"/>
          <w:szCs w:val="22"/>
          <w:u w:val="single"/>
          <w:lang w:val="sr-Latn-ME"/>
        </w:rPr>
      </w:pPr>
      <w:r w:rsidRPr="003F7E57">
        <w:rPr>
          <w:i/>
          <w:iCs/>
          <w:noProof/>
          <w:sz w:val="22"/>
          <w:szCs w:val="22"/>
          <w:u w:val="single"/>
          <w:lang w:val="sr-Latn-ME"/>
        </w:rPr>
        <w:t>Vildagliptin</w:t>
      </w:r>
    </w:p>
    <w:p w14:paraId="236F9F18" w14:textId="77777777" w:rsidR="00C10CDE" w:rsidRPr="003F7E57" w:rsidRDefault="00C10CDE" w:rsidP="00991A59">
      <w:pPr>
        <w:keepNext/>
        <w:widowControl w:val="0"/>
        <w:tabs>
          <w:tab w:val="left" w:pos="567"/>
        </w:tabs>
        <w:autoSpaceDE w:val="0"/>
        <w:autoSpaceDN w:val="0"/>
        <w:adjustRightInd w:val="0"/>
        <w:jc w:val="both"/>
        <w:rPr>
          <w:i/>
          <w:iCs/>
          <w:noProof/>
          <w:sz w:val="22"/>
          <w:szCs w:val="22"/>
          <w:lang w:val="sr-Latn-ME"/>
        </w:rPr>
      </w:pPr>
      <w:r w:rsidRPr="003F7E57">
        <w:rPr>
          <w:i/>
          <w:iCs/>
          <w:noProof/>
          <w:sz w:val="22"/>
          <w:szCs w:val="22"/>
          <w:lang w:val="sr-Latn-ME"/>
        </w:rPr>
        <w:t>Oštećenje funkcije jetre</w:t>
      </w:r>
    </w:p>
    <w:p w14:paraId="0C371365" w14:textId="54A59CA5" w:rsidR="00C10CDE" w:rsidRPr="003F7E57" w:rsidRDefault="00D56654" w:rsidP="00991A59">
      <w:pPr>
        <w:widowControl w:val="0"/>
        <w:tabs>
          <w:tab w:val="left" w:pos="567"/>
        </w:tabs>
        <w:autoSpaceDE w:val="0"/>
        <w:autoSpaceDN w:val="0"/>
        <w:adjustRightInd w:val="0"/>
        <w:jc w:val="both"/>
        <w:rPr>
          <w:noProof/>
          <w:sz w:val="22"/>
          <w:szCs w:val="22"/>
          <w:lang w:val="sr-Latn-ME"/>
        </w:rPr>
      </w:pPr>
      <w:r w:rsidRPr="003F7E57">
        <w:rPr>
          <w:noProof/>
          <w:sz w:val="22"/>
          <w:szCs w:val="22"/>
          <w:lang w:val="sr-Latn-ME"/>
        </w:rPr>
        <w:t>Prijavljeni</w:t>
      </w:r>
      <w:r w:rsidR="00C10CDE" w:rsidRPr="003F7E57">
        <w:rPr>
          <w:noProof/>
          <w:sz w:val="22"/>
          <w:szCs w:val="22"/>
          <w:lang w:val="sr-Latn-ME"/>
        </w:rPr>
        <w:t xml:space="preserve"> su rijetki slučajevi poremećaja funkcije jetre (uključujući hepatitis) s vildagliptinom. U tim slučajevima, pacijenti su uopšteno bili bez simptoma i kliničkih posljedica, a funkcija jetre se vratila na normalu nakon prekida liječenja. U podacima iz kontroli</w:t>
      </w:r>
      <w:r w:rsidRPr="003F7E57">
        <w:rPr>
          <w:noProof/>
          <w:sz w:val="22"/>
          <w:szCs w:val="22"/>
          <w:lang w:val="sr-Latn-ME"/>
        </w:rPr>
        <w:t>s</w:t>
      </w:r>
      <w:r w:rsidR="00C10CDE" w:rsidRPr="003F7E57">
        <w:rPr>
          <w:noProof/>
          <w:sz w:val="22"/>
          <w:szCs w:val="22"/>
          <w:lang w:val="sr-Latn-ME"/>
        </w:rPr>
        <w:t>anih ispitivanja monoterapije i ispitivanja lijeka kao dodatne terapije u trajanju do 24 nedjelje, incidenca povećanja ALT</w:t>
      </w:r>
      <w:r w:rsidR="00C10CDE" w:rsidRPr="003F7E57">
        <w:rPr>
          <w:noProof/>
          <w:sz w:val="22"/>
          <w:szCs w:val="22"/>
          <w:lang w:val="sr-Latn-ME"/>
        </w:rPr>
        <w:noBreakHyphen/>
        <w:t>a ili AST</w:t>
      </w:r>
      <w:r w:rsidR="00C10CDE" w:rsidRPr="003F7E57">
        <w:rPr>
          <w:noProof/>
          <w:sz w:val="22"/>
          <w:szCs w:val="22"/>
          <w:lang w:val="sr-Latn-ME"/>
        </w:rPr>
        <w:noBreakHyphen/>
        <w:t>a ≥3x GGN (klasifikovano kao prisutnost u najmanje 2 uzastopna mjerenja ili na završnoj posjeti tijekom liječenja) bila je 0,2% za 50 mg vildagliptina jednom dnevno, 0,3% za 50 mg vildagliptina dvaput dnevno i 0,2% za sve komparatore. Ova povišenja transaminaza su uopšteno bila asimptomatska, neprogresivna i ni</w:t>
      </w:r>
      <w:r w:rsidR="00522F79" w:rsidRPr="003F7E57">
        <w:rPr>
          <w:noProof/>
          <w:sz w:val="22"/>
          <w:szCs w:val="22"/>
          <w:lang w:val="sr-Latn-ME"/>
        </w:rPr>
        <w:t>je</w:t>
      </w:r>
      <w:r w:rsidR="00C10CDE" w:rsidRPr="003F7E57">
        <w:rPr>
          <w:noProof/>
          <w:sz w:val="22"/>
          <w:szCs w:val="22"/>
          <w:lang w:val="sr-Latn-ME"/>
        </w:rPr>
        <w:t>su bila povezana s kolestazom ili žuticom.</w:t>
      </w:r>
    </w:p>
    <w:p w14:paraId="37EFBB98" w14:textId="77777777" w:rsidR="00C10CDE" w:rsidRPr="003F7E57" w:rsidRDefault="00C10CDE" w:rsidP="00991A59">
      <w:pPr>
        <w:widowControl w:val="0"/>
        <w:tabs>
          <w:tab w:val="left" w:pos="567"/>
        </w:tabs>
        <w:autoSpaceDE w:val="0"/>
        <w:autoSpaceDN w:val="0"/>
        <w:adjustRightInd w:val="0"/>
        <w:jc w:val="both"/>
        <w:rPr>
          <w:noProof/>
          <w:sz w:val="22"/>
          <w:szCs w:val="22"/>
          <w:u w:val="single"/>
          <w:lang w:val="sr-Latn-ME"/>
        </w:rPr>
      </w:pPr>
    </w:p>
    <w:p w14:paraId="02FC8F03" w14:textId="77777777" w:rsidR="00C10CDE" w:rsidRPr="003F7E57" w:rsidRDefault="00C10CDE" w:rsidP="00991A59">
      <w:pPr>
        <w:keepNext/>
        <w:widowControl w:val="0"/>
        <w:tabs>
          <w:tab w:val="left" w:pos="567"/>
        </w:tabs>
        <w:autoSpaceDE w:val="0"/>
        <w:autoSpaceDN w:val="0"/>
        <w:adjustRightInd w:val="0"/>
        <w:jc w:val="both"/>
        <w:rPr>
          <w:i/>
          <w:iCs/>
          <w:noProof/>
          <w:sz w:val="22"/>
          <w:szCs w:val="22"/>
          <w:lang w:val="sr-Latn-ME"/>
        </w:rPr>
      </w:pPr>
      <w:r w:rsidRPr="003F7E57">
        <w:rPr>
          <w:i/>
          <w:iCs/>
          <w:noProof/>
          <w:sz w:val="22"/>
          <w:szCs w:val="22"/>
          <w:lang w:val="sr-Latn-ME"/>
        </w:rPr>
        <w:t>Angioedem</w:t>
      </w:r>
    </w:p>
    <w:p w14:paraId="2E0722EF" w14:textId="104F0739" w:rsidR="00C10CDE" w:rsidRPr="003F7E57" w:rsidRDefault="00C10CDE" w:rsidP="00991A59">
      <w:pPr>
        <w:widowControl w:val="0"/>
        <w:tabs>
          <w:tab w:val="left" w:pos="567"/>
        </w:tabs>
        <w:autoSpaceDE w:val="0"/>
        <w:autoSpaceDN w:val="0"/>
        <w:adjustRightInd w:val="0"/>
        <w:jc w:val="both"/>
        <w:rPr>
          <w:noProof/>
          <w:sz w:val="22"/>
          <w:szCs w:val="22"/>
          <w:u w:val="single"/>
          <w:lang w:val="sr-Latn-ME"/>
        </w:rPr>
      </w:pPr>
      <w:r w:rsidRPr="003F7E57">
        <w:rPr>
          <w:sz w:val="22"/>
          <w:szCs w:val="22"/>
          <w:lang w:val="sr-Latn-ME"/>
        </w:rPr>
        <w:t xml:space="preserve">Kod pacijenata liječenih </w:t>
      </w:r>
      <w:proofErr w:type="spellStart"/>
      <w:r w:rsidRPr="003F7E57">
        <w:rPr>
          <w:sz w:val="22"/>
          <w:szCs w:val="22"/>
          <w:lang w:val="sr-Latn-ME"/>
        </w:rPr>
        <w:t>vildagliptinom</w:t>
      </w:r>
      <w:proofErr w:type="spellEnd"/>
      <w:r w:rsidRPr="003F7E57">
        <w:rPr>
          <w:sz w:val="22"/>
          <w:szCs w:val="22"/>
          <w:lang w:val="sr-Latn-ME"/>
        </w:rPr>
        <w:t xml:space="preserve"> </w:t>
      </w:r>
      <w:r w:rsidR="00D56654" w:rsidRPr="003F7E57">
        <w:rPr>
          <w:sz w:val="22"/>
          <w:szCs w:val="22"/>
          <w:lang w:val="sr-Latn-ME"/>
        </w:rPr>
        <w:t>prijavljeni</w:t>
      </w:r>
      <w:r w:rsidRPr="003F7E57">
        <w:rPr>
          <w:sz w:val="22"/>
          <w:szCs w:val="22"/>
          <w:lang w:val="sr-Latn-ME"/>
        </w:rPr>
        <w:t xml:space="preserve"> su rijetki slučajevi </w:t>
      </w:r>
      <w:proofErr w:type="spellStart"/>
      <w:r w:rsidRPr="003F7E57">
        <w:rPr>
          <w:sz w:val="22"/>
          <w:szCs w:val="22"/>
          <w:lang w:val="sr-Latn-ME"/>
        </w:rPr>
        <w:t>angioedema</w:t>
      </w:r>
      <w:proofErr w:type="spellEnd"/>
      <w:r w:rsidRPr="003F7E57">
        <w:rPr>
          <w:sz w:val="22"/>
          <w:szCs w:val="22"/>
          <w:lang w:val="sr-Latn-ME"/>
        </w:rPr>
        <w:t xml:space="preserve"> sa sličnom stopom učestalosti kao u kontrolnim grupama. Veći</w:t>
      </w:r>
      <w:r w:rsidR="00D56654" w:rsidRPr="003F7E57">
        <w:rPr>
          <w:sz w:val="22"/>
          <w:szCs w:val="22"/>
          <w:lang w:val="sr-Latn-ME"/>
        </w:rPr>
        <w:t>na</w:t>
      </w:r>
      <w:r w:rsidRPr="003F7E57">
        <w:rPr>
          <w:sz w:val="22"/>
          <w:szCs w:val="22"/>
          <w:lang w:val="sr-Latn-ME"/>
        </w:rPr>
        <w:t xml:space="preserve"> slučajeva je </w:t>
      </w:r>
      <w:r w:rsidR="00D56654" w:rsidRPr="003F7E57">
        <w:rPr>
          <w:sz w:val="22"/>
          <w:szCs w:val="22"/>
          <w:lang w:val="sr-Latn-ME"/>
        </w:rPr>
        <w:t>prijavljena</w:t>
      </w:r>
      <w:r w:rsidRPr="003F7E57">
        <w:rPr>
          <w:sz w:val="22"/>
          <w:szCs w:val="22"/>
          <w:lang w:val="sr-Latn-ME"/>
        </w:rPr>
        <w:t xml:space="preserve"> kada se </w:t>
      </w:r>
      <w:proofErr w:type="spellStart"/>
      <w:r w:rsidRPr="003F7E57">
        <w:rPr>
          <w:sz w:val="22"/>
          <w:szCs w:val="22"/>
          <w:lang w:val="sr-Latn-ME"/>
        </w:rPr>
        <w:t>vildagliptin</w:t>
      </w:r>
      <w:proofErr w:type="spellEnd"/>
      <w:r w:rsidRPr="003F7E57">
        <w:rPr>
          <w:sz w:val="22"/>
          <w:szCs w:val="22"/>
          <w:lang w:val="sr-Latn-ME"/>
        </w:rPr>
        <w:t xml:space="preserve"> davao u kombinaciji s ACE </w:t>
      </w:r>
      <w:proofErr w:type="spellStart"/>
      <w:r w:rsidRPr="003F7E57">
        <w:rPr>
          <w:sz w:val="22"/>
          <w:szCs w:val="22"/>
          <w:lang w:val="sr-Latn-ME"/>
        </w:rPr>
        <w:t>inhibitorom</w:t>
      </w:r>
      <w:proofErr w:type="spellEnd"/>
      <w:r w:rsidRPr="003F7E57">
        <w:rPr>
          <w:sz w:val="22"/>
          <w:szCs w:val="22"/>
          <w:lang w:val="sr-Latn-ME"/>
        </w:rPr>
        <w:t xml:space="preserve">. Većina događaja je bila blagog intenziteta i povukla se tokom daljeg liječenja </w:t>
      </w:r>
      <w:proofErr w:type="spellStart"/>
      <w:r w:rsidRPr="003F7E57">
        <w:rPr>
          <w:sz w:val="22"/>
          <w:szCs w:val="22"/>
          <w:lang w:val="sr-Latn-ME"/>
        </w:rPr>
        <w:t>vildagliptinom</w:t>
      </w:r>
      <w:proofErr w:type="spellEnd"/>
      <w:r w:rsidRPr="003F7E57">
        <w:rPr>
          <w:sz w:val="22"/>
          <w:szCs w:val="22"/>
          <w:lang w:val="sr-Latn-ME"/>
        </w:rPr>
        <w:t>.</w:t>
      </w:r>
    </w:p>
    <w:p w14:paraId="62D3F12F" w14:textId="77777777" w:rsidR="00C10CDE" w:rsidRPr="003F7E57" w:rsidRDefault="00C10CDE" w:rsidP="00991A59">
      <w:pPr>
        <w:widowControl w:val="0"/>
        <w:tabs>
          <w:tab w:val="left" w:pos="567"/>
        </w:tabs>
        <w:autoSpaceDE w:val="0"/>
        <w:autoSpaceDN w:val="0"/>
        <w:adjustRightInd w:val="0"/>
        <w:jc w:val="both"/>
        <w:rPr>
          <w:noProof/>
          <w:sz w:val="22"/>
          <w:szCs w:val="22"/>
          <w:u w:val="single"/>
          <w:lang w:val="sr-Latn-ME"/>
        </w:rPr>
      </w:pPr>
    </w:p>
    <w:p w14:paraId="77D8780E" w14:textId="77777777" w:rsidR="00C10CDE" w:rsidRPr="003F7E57" w:rsidRDefault="00C10CDE" w:rsidP="00991A59">
      <w:pPr>
        <w:keepNext/>
        <w:widowControl w:val="0"/>
        <w:tabs>
          <w:tab w:val="left" w:pos="567"/>
        </w:tabs>
        <w:autoSpaceDE w:val="0"/>
        <w:autoSpaceDN w:val="0"/>
        <w:adjustRightInd w:val="0"/>
        <w:jc w:val="both"/>
        <w:rPr>
          <w:i/>
          <w:iCs/>
          <w:noProof/>
          <w:sz w:val="22"/>
          <w:szCs w:val="22"/>
          <w:lang w:val="sr-Latn-ME"/>
        </w:rPr>
      </w:pPr>
      <w:r w:rsidRPr="003F7E57">
        <w:rPr>
          <w:i/>
          <w:iCs/>
          <w:noProof/>
          <w:sz w:val="22"/>
          <w:szCs w:val="22"/>
          <w:lang w:val="sr-Latn-ME"/>
        </w:rPr>
        <w:t>Hipoglikemija</w:t>
      </w:r>
    </w:p>
    <w:p w14:paraId="4682A513" w14:textId="04A339C5" w:rsidR="00C10CDE" w:rsidRPr="003F7E57" w:rsidRDefault="00C10CDE" w:rsidP="00991A59">
      <w:pPr>
        <w:widowControl w:val="0"/>
        <w:tabs>
          <w:tab w:val="left" w:pos="567"/>
        </w:tabs>
        <w:autoSpaceDE w:val="0"/>
        <w:autoSpaceDN w:val="0"/>
        <w:adjustRightInd w:val="0"/>
        <w:jc w:val="both"/>
        <w:rPr>
          <w:noProof/>
          <w:sz w:val="22"/>
          <w:szCs w:val="22"/>
          <w:lang w:val="sr-Latn-ME"/>
        </w:rPr>
      </w:pPr>
      <w:r w:rsidRPr="003F7E57">
        <w:rPr>
          <w:noProof/>
          <w:sz w:val="22"/>
          <w:szCs w:val="22"/>
          <w:lang w:val="sr-Latn-ME"/>
        </w:rPr>
        <w:t xml:space="preserve">Učestalost hipoglikemije je bila </w:t>
      </w:r>
      <w:r w:rsidR="00D56654" w:rsidRPr="003F7E57">
        <w:rPr>
          <w:noProof/>
          <w:sz w:val="22"/>
          <w:szCs w:val="22"/>
          <w:lang w:val="sr-Latn-ME"/>
        </w:rPr>
        <w:t>povremena</w:t>
      </w:r>
      <w:r w:rsidRPr="003F7E57">
        <w:rPr>
          <w:noProof/>
          <w:sz w:val="22"/>
          <w:szCs w:val="22"/>
          <w:lang w:val="sr-Latn-ME"/>
        </w:rPr>
        <w:t xml:space="preserve"> kad se vildagliptin (0,4%) koristio kao monoterapija u </w:t>
      </w:r>
      <w:r w:rsidR="00D56654" w:rsidRPr="003F7E57">
        <w:rPr>
          <w:noProof/>
          <w:sz w:val="22"/>
          <w:szCs w:val="22"/>
          <w:lang w:val="sr-Latn-ME"/>
        </w:rPr>
        <w:t>komparativnim</w:t>
      </w:r>
      <w:r w:rsidRPr="003F7E57">
        <w:rPr>
          <w:noProof/>
          <w:sz w:val="22"/>
          <w:szCs w:val="22"/>
          <w:lang w:val="sr-Latn-ME"/>
        </w:rPr>
        <w:t xml:space="preserve"> kontroli</w:t>
      </w:r>
      <w:r w:rsidR="00D56654" w:rsidRPr="003F7E57">
        <w:rPr>
          <w:noProof/>
          <w:sz w:val="22"/>
          <w:szCs w:val="22"/>
          <w:lang w:val="sr-Latn-ME"/>
        </w:rPr>
        <w:t>s</w:t>
      </w:r>
      <w:r w:rsidRPr="003F7E57">
        <w:rPr>
          <w:noProof/>
          <w:sz w:val="22"/>
          <w:szCs w:val="22"/>
          <w:lang w:val="sr-Latn-ME"/>
        </w:rPr>
        <w:t>anim ispitivanjima monoterapije s aktivnim komparatorom ili placebom (0,2%). Nisu</w:t>
      </w:r>
      <w:r w:rsidR="00D56654" w:rsidRPr="003F7E57">
        <w:rPr>
          <w:noProof/>
          <w:sz w:val="22"/>
          <w:szCs w:val="22"/>
          <w:lang w:val="sr-Latn-ME"/>
        </w:rPr>
        <w:t xml:space="preserve"> prijavljeni </w:t>
      </w:r>
      <w:r w:rsidRPr="003F7E57">
        <w:rPr>
          <w:noProof/>
          <w:sz w:val="22"/>
          <w:szCs w:val="22"/>
          <w:lang w:val="sr-Latn-ME"/>
        </w:rPr>
        <w:t xml:space="preserve">teški ili ozbiljni događaji hipoglikemije. Kad se koristio kao dodatak metforminu, hipoglikemija se pojavila </w:t>
      </w:r>
      <w:r w:rsidR="00780614" w:rsidRPr="003F7E57">
        <w:rPr>
          <w:noProof/>
          <w:sz w:val="22"/>
          <w:szCs w:val="22"/>
          <w:lang w:val="sr-Latn-ME"/>
        </w:rPr>
        <w:t>kod</w:t>
      </w:r>
      <w:r w:rsidRPr="003F7E57">
        <w:rPr>
          <w:noProof/>
          <w:sz w:val="22"/>
          <w:szCs w:val="22"/>
          <w:lang w:val="sr-Latn-ME"/>
        </w:rPr>
        <w:t xml:space="preserve"> 1% </w:t>
      </w:r>
      <w:r w:rsidR="00780614" w:rsidRPr="003F7E57">
        <w:rPr>
          <w:noProof/>
          <w:sz w:val="22"/>
          <w:szCs w:val="22"/>
          <w:lang w:val="sr-Latn-ME"/>
        </w:rPr>
        <w:t>pacijenata</w:t>
      </w:r>
      <w:r w:rsidRPr="003F7E57">
        <w:rPr>
          <w:noProof/>
          <w:sz w:val="22"/>
          <w:szCs w:val="22"/>
          <w:lang w:val="sr-Latn-ME"/>
        </w:rPr>
        <w:t xml:space="preserve"> liječenih vildagliptinom i </w:t>
      </w:r>
      <w:r w:rsidR="00780614" w:rsidRPr="003F7E57">
        <w:rPr>
          <w:noProof/>
          <w:sz w:val="22"/>
          <w:szCs w:val="22"/>
          <w:lang w:val="sr-Latn-ME"/>
        </w:rPr>
        <w:t>kod</w:t>
      </w:r>
      <w:r w:rsidRPr="003F7E57">
        <w:rPr>
          <w:noProof/>
          <w:sz w:val="22"/>
          <w:szCs w:val="22"/>
          <w:lang w:val="sr-Latn-ME"/>
        </w:rPr>
        <w:t xml:space="preserve"> 0,4% </w:t>
      </w:r>
      <w:r w:rsidR="00780614" w:rsidRPr="003F7E57">
        <w:rPr>
          <w:noProof/>
          <w:sz w:val="22"/>
          <w:szCs w:val="22"/>
          <w:lang w:val="sr-Latn-ME"/>
        </w:rPr>
        <w:t>pacijenata</w:t>
      </w:r>
      <w:r w:rsidRPr="003F7E57">
        <w:rPr>
          <w:noProof/>
          <w:sz w:val="22"/>
          <w:szCs w:val="22"/>
          <w:lang w:val="sr-Latn-ME"/>
        </w:rPr>
        <w:t xml:space="preserve"> liječenih placebom. </w:t>
      </w:r>
      <w:r w:rsidR="00D56654" w:rsidRPr="003F7E57">
        <w:rPr>
          <w:noProof/>
          <w:sz w:val="22"/>
          <w:szCs w:val="22"/>
          <w:lang w:val="sr-Latn-ME"/>
        </w:rPr>
        <w:t xml:space="preserve">Kada je dodat </w:t>
      </w:r>
      <w:r w:rsidRPr="003F7E57">
        <w:rPr>
          <w:noProof/>
          <w:sz w:val="22"/>
          <w:szCs w:val="22"/>
          <w:lang w:val="sr-Latn-ME"/>
        </w:rPr>
        <w:t xml:space="preserve">pioglitazon, hipoglikemija se pojavila </w:t>
      </w:r>
      <w:r w:rsidR="00780614" w:rsidRPr="003F7E57">
        <w:rPr>
          <w:noProof/>
          <w:sz w:val="22"/>
          <w:szCs w:val="22"/>
          <w:lang w:val="sr-Latn-ME"/>
        </w:rPr>
        <w:t>kod</w:t>
      </w:r>
      <w:r w:rsidRPr="003F7E57">
        <w:rPr>
          <w:noProof/>
          <w:sz w:val="22"/>
          <w:szCs w:val="22"/>
          <w:lang w:val="sr-Latn-ME"/>
        </w:rPr>
        <w:t xml:space="preserve"> 0,6% </w:t>
      </w:r>
      <w:r w:rsidR="00780614" w:rsidRPr="003F7E57">
        <w:rPr>
          <w:noProof/>
          <w:sz w:val="22"/>
          <w:szCs w:val="22"/>
          <w:lang w:val="sr-Latn-ME"/>
        </w:rPr>
        <w:t>pacijenata</w:t>
      </w:r>
      <w:r w:rsidRPr="003F7E57">
        <w:rPr>
          <w:noProof/>
          <w:sz w:val="22"/>
          <w:szCs w:val="22"/>
          <w:lang w:val="sr-Latn-ME"/>
        </w:rPr>
        <w:t xml:space="preserve"> liječenih vildagliptinom i </w:t>
      </w:r>
      <w:r w:rsidR="00780614" w:rsidRPr="003F7E57">
        <w:rPr>
          <w:noProof/>
          <w:sz w:val="22"/>
          <w:szCs w:val="22"/>
          <w:lang w:val="sr-Latn-ME"/>
        </w:rPr>
        <w:t>kod</w:t>
      </w:r>
      <w:r w:rsidRPr="003F7E57">
        <w:rPr>
          <w:noProof/>
          <w:sz w:val="22"/>
          <w:szCs w:val="22"/>
          <w:lang w:val="sr-Latn-ME"/>
        </w:rPr>
        <w:t xml:space="preserve"> 1,9% </w:t>
      </w:r>
      <w:r w:rsidR="00780614" w:rsidRPr="003F7E57">
        <w:rPr>
          <w:noProof/>
          <w:sz w:val="22"/>
          <w:szCs w:val="22"/>
          <w:lang w:val="sr-Latn-ME"/>
        </w:rPr>
        <w:t>pacijenata</w:t>
      </w:r>
      <w:r w:rsidRPr="003F7E57">
        <w:rPr>
          <w:noProof/>
          <w:sz w:val="22"/>
          <w:szCs w:val="22"/>
          <w:lang w:val="sr-Latn-ME"/>
        </w:rPr>
        <w:t xml:space="preserve"> liječenih placebom. </w:t>
      </w:r>
      <w:r w:rsidR="00D56654" w:rsidRPr="003F7E57">
        <w:rPr>
          <w:noProof/>
          <w:sz w:val="22"/>
          <w:szCs w:val="22"/>
          <w:lang w:val="sr-Latn-ME"/>
        </w:rPr>
        <w:t xml:space="preserve"> Kada je dodata </w:t>
      </w:r>
      <w:r w:rsidRPr="003F7E57">
        <w:rPr>
          <w:noProof/>
          <w:sz w:val="22"/>
          <w:szCs w:val="22"/>
          <w:lang w:val="sr-Latn-ME"/>
        </w:rPr>
        <w:t>sulfonilurej</w:t>
      </w:r>
      <w:r w:rsidR="00D56654" w:rsidRPr="003F7E57">
        <w:rPr>
          <w:noProof/>
          <w:sz w:val="22"/>
          <w:szCs w:val="22"/>
          <w:lang w:val="sr-Latn-ME"/>
        </w:rPr>
        <w:t>a</w:t>
      </w:r>
      <w:r w:rsidRPr="003F7E57">
        <w:rPr>
          <w:noProof/>
          <w:sz w:val="22"/>
          <w:szCs w:val="22"/>
          <w:lang w:val="sr-Latn-ME"/>
        </w:rPr>
        <w:t xml:space="preserve">, hipoglikemija se pojavila </w:t>
      </w:r>
      <w:r w:rsidR="00780614" w:rsidRPr="003F7E57">
        <w:rPr>
          <w:noProof/>
          <w:sz w:val="22"/>
          <w:szCs w:val="22"/>
          <w:lang w:val="sr-Latn-ME"/>
        </w:rPr>
        <w:t>kod</w:t>
      </w:r>
      <w:r w:rsidRPr="003F7E57">
        <w:rPr>
          <w:noProof/>
          <w:sz w:val="22"/>
          <w:szCs w:val="22"/>
          <w:lang w:val="sr-Latn-ME"/>
        </w:rPr>
        <w:t xml:space="preserve"> 1,2% </w:t>
      </w:r>
      <w:r w:rsidR="00780614" w:rsidRPr="003F7E57">
        <w:rPr>
          <w:noProof/>
          <w:sz w:val="22"/>
          <w:szCs w:val="22"/>
          <w:lang w:val="sr-Latn-ME"/>
        </w:rPr>
        <w:t>pacijenata</w:t>
      </w:r>
      <w:r w:rsidRPr="003F7E57">
        <w:rPr>
          <w:noProof/>
          <w:sz w:val="22"/>
          <w:szCs w:val="22"/>
          <w:lang w:val="sr-Latn-ME"/>
        </w:rPr>
        <w:t xml:space="preserve"> liječenih vildagliptinom i </w:t>
      </w:r>
      <w:r w:rsidR="00780614" w:rsidRPr="003F7E57">
        <w:rPr>
          <w:noProof/>
          <w:sz w:val="22"/>
          <w:szCs w:val="22"/>
          <w:lang w:val="sr-Latn-ME"/>
        </w:rPr>
        <w:t>kod</w:t>
      </w:r>
      <w:r w:rsidRPr="003F7E57">
        <w:rPr>
          <w:noProof/>
          <w:sz w:val="22"/>
          <w:szCs w:val="22"/>
          <w:lang w:val="sr-Latn-ME"/>
        </w:rPr>
        <w:t xml:space="preserve"> 0,6% </w:t>
      </w:r>
      <w:r w:rsidR="00780614" w:rsidRPr="003F7E57">
        <w:rPr>
          <w:noProof/>
          <w:sz w:val="22"/>
          <w:szCs w:val="22"/>
          <w:lang w:val="sr-Latn-ME"/>
        </w:rPr>
        <w:t>pacijenata</w:t>
      </w:r>
      <w:r w:rsidRPr="003F7E57">
        <w:rPr>
          <w:noProof/>
          <w:sz w:val="22"/>
          <w:szCs w:val="22"/>
          <w:lang w:val="sr-Latn-ME"/>
        </w:rPr>
        <w:t xml:space="preserve"> liječenih placebom. Kad su doda</w:t>
      </w:r>
      <w:r w:rsidR="00D56654" w:rsidRPr="003F7E57">
        <w:rPr>
          <w:noProof/>
          <w:sz w:val="22"/>
          <w:szCs w:val="22"/>
          <w:lang w:val="sr-Latn-ME"/>
        </w:rPr>
        <w:t>t</w:t>
      </w:r>
      <w:r w:rsidRPr="003F7E57">
        <w:rPr>
          <w:noProof/>
          <w:sz w:val="22"/>
          <w:szCs w:val="22"/>
          <w:lang w:val="sr-Latn-ME"/>
        </w:rPr>
        <w:t xml:space="preserve">i sulfonilureja i metformin, hipoglikemija se pojavila </w:t>
      </w:r>
      <w:r w:rsidR="00780614" w:rsidRPr="003F7E57">
        <w:rPr>
          <w:noProof/>
          <w:sz w:val="22"/>
          <w:szCs w:val="22"/>
          <w:lang w:val="sr-Latn-ME"/>
        </w:rPr>
        <w:t>kod</w:t>
      </w:r>
      <w:r w:rsidRPr="003F7E57">
        <w:rPr>
          <w:noProof/>
          <w:sz w:val="22"/>
          <w:szCs w:val="22"/>
          <w:lang w:val="sr-Latn-ME"/>
        </w:rPr>
        <w:t xml:space="preserve"> 5,1% </w:t>
      </w:r>
      <w:r w:rsidR="00780614" w:rsidRPr="003F7E57">
        <w:rPr>
          <w:noProof/>
          <w:sz w:val="22"/>
          <w:szCs w:val="22"/>
          <w:lang w:val="sr-Latn-ME"/>
        </w:rPr>
        <w:t>pacijenata</w:t>
      </w:r>
      <w:r w:rsidRPr="003F7E57">
        <w:rPr>
          <w:noProof/>
          <w:sz w:val="22"/>
          <w:szCs w:val="22"/>
          <w:lang w:val="sr-Latn-ME"/>
        </w:rPr>
        <w:t xml:space="preserve"> liječenih vildagliptinom i </w:t>
      </w:r>
      <w:r w:rsidR="00780614" w:rsidRPr="003F7E57">
        <w:rPr>
          <w:noProof/>
          <w:sz w:val="22"/>
          <w:szCs w:val="22"/>
          <w:lang w:val="sr-Latn-ME"/>
        </w:rPr>
        <w:t>kod</w:t>
      </w:r>
      <w:r w:rsidRPr="003F7E57">
        <w:rPr>
          <w:noProof/>
          <w:sz w:val="22"/>
          <w:szCs w:val="22"/>
          <w:lang w:val="sr-Latn-ME"/>
        </w:rPr>
        <w:t xml:space="preserve"> 1,9% </w:t>
      </w:r>
      <w:r w:rsidR="00780614" w:rsidRPr="003F7E57">
        <w:rPr>
          <w:noProof/>
          <w:sz w:val="22"/>
          <w:szCs w:val="22"/>
          <w:lang w:val="sr-Latn-ME"/>
        </w:rPr>
        <w:t>pacijenata</w:t>
      </w:r>
      <w:r w:rsidRPr="003F7E57">
        <w:rPr>
          <w:noProof/>
          <w:sz w:val="22"/>
          <w:szCs w:val="22"/>
          <w:lang w:val="sr-Latn-ME"/>
        </w:rPr>
        <w:t xml:space="preserve"> liječenih placebom. </w:t>
      </w:r>
      <w:r w:rsidR="00780614" w:rsidRPr="003F7E57">
        <w:rPr>
          <w:noProof/>
          <w:sz w:val="22"/>
          <w:szCs w:val="22"/>
          <w:lang w:val="sr-Latn-ME"/>
        </w:rPr>
        <w:t>Kod</w:t>
      </w:r>
      <w:r w:rsidRPr="003F7E57">
        <w:rPr>
          <w:noProof/>
          <w:sz w:val="22"/>
          <w:szCs w:val="22"/>
          <w:lang w:val="sr-Latn-ME"/>
        </w:rPr>
        <w:t xml:space="preserve"> </w:t>
      </w:r>
      <w:r w:rsidR="00780614" w:rsidRPr="003F7E57">
        <w:rPr>
          <w:noProof/>
          <w:sz w:val="22"/>
          <w:szCs w:val="22"/>
          <w:lang w:val="sr-Latn-ME"/>
        </w:rPr>
        <w:t>pacijenata</w:t>
      </w:r>
      <w:r w:rsidRPr="003F7E57">
        <w:rPr>
          <w:noProof/>
          <w:sz w:val="22"/>
          <w:szCs w:val="22"/>
          <w:lang w:val="sr-Latn-ME"/>
        </w:rPr>
        <w:t xml:space="preserve"> koji su uzimali vildagliptin u kombinaciji s in</w:t>
      </w:r>
      <w:r w:rsidR="00780614" w:rsidRPr="003F7E57">
        <w:rPr>
          <w:noProof/>
          <w:sz w:val="22"/>
          <w:szCs w:val="22"/>
          <w:lang w:val="sr-Latn-ME"/>
        </w:rPr>
        <w:t>s</w:t>
      </w:r>
      <w:r w:rsidRPr="003F7E57">
        <w:rPr>
          <w:noProof/>
          <w:sz w:val="22"/>
          <w:szCs w:val="22"/>
          <w:lang w:val="sr-Latn-ME"/>
        </w:rPr>
        <w:t>ulinom, incidenca hipoglikemije je bila 14% za vildagliptin i 16% za placebo.</w:t>
      </w:r>
    </w:p>
    <w:p w14:paraId="1D03AAA3" w14:textId="77777777" w:rsidR="00C10CDE" w:rsidRPr="003F7E57" w:rsidRDefault="00C10CDE" w:rsidP="00991A59">
      <w:pPr>
        <w:widowControl w:val="0"/>
        <w:tabs>
          <w:tab w:val="left" w:pos="567"/>
        </w:tabs>
        <w:autoSpaceDE w:val="0"/>
        <w:autoSpaceDN w:val="0"/>
        <w:adjustRightInd w:val="0"/>
        <w:jc w:val="both"/>
        <w:rPr>
          <w:noProof/>
          <w:sz w:val="22"/>
          <w:szCs w:val="22"/>
          <w:lang w:val="sr-Latn-ME"/>
        </w:rPr>
      </w:pPr>
    </w:p>
    <w:p w14:paraId="30B5F5CC" w14:textId="77777777" w:rsidR="00C10CDE" w:rsidRPr="003F7E57" w:rsidRDefault="00C10CDE" w:rsidP="00991A59">
      <w:pPr>
        <w:keepNext/>
        <w:widowControl w:val="0"/>
        <w:tabs>
          <w:tab w:val="left" w:pos="567"/>
        </w:tabs>
        <w:autoSpaceDE w:val="0"/>
        <w:autoSpaceDN w:val="0"/>
        <w:adjustRightInd w:val="0"/>
        <w:jc w:val="both"/>
        <w:rPr>
          <w:i/>
          <w:iCs/>
          <w:noProof/>
          <w:sz w:val="22"/>
          <w:szCs w:val="22"/>
          <w:u w:val="single"/>
          <w:lang w:val="sr-Latn-ME"/>
        </w:rPr>
      </w:pPr>
      <w:r w:rsidRPr="003F7E57">
        <w:rPr>
          <w:i/>
          <w:iCs/>
          <w:noProof/>
          <w:sz w:val="22"/>
          <w:szCs w:val="22"/>
          <w:u w:val="single"/>
          <w:lang w:val="sr-Latn-ME"/>
        </w:rPr>
        <w:t>Metformin</w:t>
      </w:r>
    </w:p>
    <w:p w14:paraId="4FA370FE" w14:textId="77777777" w:rsidR="00C10CDE" w:rsidRPr="003F7E57" w:rsidRDefault="00C10CDE" w:rsidP="00991A59">
      <w:pPr>
        <w:keepNext/>
        <w:widowControl w:val="0"/>
        <w:tabs>
          <w:tab w:val="left" w:pos="567"/>
        </w:tabs>
        <w:autoSpaceDE w:val="0"/>
        <w:autoSpaceDN w:val="0"/>
        <w:adjustRightInd w:val="0"/>
        <w:jc w:val="both"/>
        <w:rPr>
          <w:i/>
          <w:iCs/>
          <w:sz w:val="22"/>
          <w:szCs w:val="22"/>
          <w:lang w:val="sr-Latn-ME"/>
        </w:rPr>
      </w:pPr>
      <w:r w:rsidRPr="003F7E57">
        <w:rPr>
          <w:i/>
          <w:iCs/>
          <w:sz w:val="22"/>
          <w:szCs w:val="22"/>
          <w:lang w:val="sr-Latn-ME"/>
        </w:rPr>
        <w:t>Smanjena apsorpcija vitamina B</w:t>
      </w:r>
      <w:r w:rsidRPr="003F7E57">
        <w:rPr>
          <w:i/>
          <w:iCs/>
          <w:sz w:val="22"/>
          <w:szCs w:val="22"/>
          <w:vertAlign w:val="subscript"/>
          <w:lang w:val="sr-Latn-ME"/>
        </w:rPr>
        <w:t>12</w:t>
      </w:r>
    </w:p>
    <w:p w14:paraId="4C32B0F7" w14:textId="5FD61C36" w:rsidR="00C10CDE" w:rsidRPr="003F7E57" w:rsidRDefault="00C10CDE" w:rsidP="00991A59">
      <w:pPr>
        <w:widowControl w:val="0"/>
        <w:tabs>
          <w:tab w:val="left" w:pos="567"/>
        </w:tabs>
        <w:autoSpaceDE w:val="0"/>
        <w:autoSpaceDN w:val="0"/>
        <w:adjustRightInd w:val="0"/>
        <w:jc w:val="both"/>
        <w:rPr>
          <w:sz w:val="22"/>
          <w:szCs w:val="22"/>
          <w:lang w:val="sr-Latn-ME"/>
        </w:rPr>
      </w:pPr>
      <w:r w:rsidRPr="003F7E57">
        <w:rPr>
          <w:sz w:val="22"/>
          <w:szCs w:val="22"/>
          <w:lang w:val="sr-Latn-ME"/>
        </w:rPr>
        <w:t>Smanjena apsorpcija vitamina B</w:t>
      </w:r>
      <w:r w:rsidRPr="003F7E57">
        <w:rPr>
          <w:sz w:val="22"/>
          <w:szCs w:val="22"/>
          <w:vertAlign w:val="subscript"/>
          <w:lang w:val="sr-Latn-ME"/>
        </w:rPr>
        <w:t>12</w:t>
      </w:r>
      <w:r w:rsidRPr="003F7E57">
        <w:rPr>
          <w:sz w:val="22"/>
          <w:szCs w:val="22"/>
          <w:lang w:val="sr-Latn-ME"/>
        </w:rPr>
        <w:t xml:space="preserve"> uz pad</w:t>
      </w:r>
      <w:r w:rsidR="00D56654" w:rsidRPr="003F7E57">
        <w:rPr>
          <w:sz w:val="22"/>
          <w:szCs w:val="22"/>
          <w:lang w:val="sr-Latn-ME"/>
        </w:rPr>
        <w:t xml:space="preserve"> nivoa</w:t>
      </w:r>
      <w:r w:rsidRPr="003F7E57">
        <w:rPr>
          <w:sz w:val="22"/>
          <w:szCs w:val="22"/>
          <w:lang w:val="sr-Latn-ME"/>
        </w:rPr>
        <w:t xml:space="preserve"> u serumu</w:t>
      </w:r>
      <w:r w:rsidR="00D56654" w:rsidRPr="003F7E57">
        <w:rPr>
          <w:sz w:val="22"/>
          <w:szCs w:val="22"/>
          <w:lang w:val="sr-Latn-ME"/>
        </w:rPr>
        <w:t xml:space="preserve"> je veoma rijetko</w:t>
      </w:r>
      <w:r w:rsidRPr="003F7E57">
        <w:rPr>
          <w:sz w:val="22"/>
          <w:szCs w:val="22"/>
          <w:lang w:val="sr-Latn-ME"/>
        </w:rPr>
        <w:t xml:space="preserve"> </w:t>
      </w:r>
      <w:r w:rsidR="00780614" w:rsidRPr="003F7E57">
        <w:rPr>
          <w:sz w:val="22"/>
          <w:szCs w:val="22"/>
          <w:lang w:val="sr-Latn-ME"/>
        </w:rPr>
        <w:t>primećena kod pacijenata</w:t>
      </w:r>
      <w:r w:rsidRPr="003F7E57">
        <w:rPr>
          <w:sz w:val="22"/>
          <w:szCs w:val="22"/>
          <w:lang w:val="sr-Latn-ME"/>
        </w:rPr>
        <w:t xml:space="preserve"> koji su dugotrajno liječeni </w:t>
      </w:r>
      <w:proofErr w:type="spellStart"/>
      <w:r w:rsidRPr="003F7E57">
        <w:rPr>
          <w:sz w:val="22"/>
          <w:szCs w:val="22"/>
          <w:lang w:val="sr-Latn-ME"/>
        </w:rPr>
        <w:t>metforminom</w:t>
      </w:r>
      <w:proofErr w:type="spellEnd"/>
      <w:r w:rsidRPr="003F7E57">
        <w:rPr>
          <w:sz w:val="22"/>
          <w:szCs w:val="22"/>
          <w:lang w:val="sr-Latn-ME"/>
        </w:rPr>
        <w:t xml:space="preserve">. Preporučuje se </w:t>
      </w:r>
      <w:r w:rsidR="00D56654" w:rsidRPr="003F7E57">
        <w:rPr>
          <w:sz w:val="22"/>
          <w:szCs w:val="22"/>
          <w:lang w:val="sr-Latn-ME"/>
        </w:rPr>
        <w:t xml:space="preserve">da se </w:t>
      </w:r>
      <w:r w:rsidRPr="003F7E57">
        <w:rPr>
          <w:sz w:val="22"/>
          <w:szCs w:val="22"/>
          <w:lang w:val="sr-Latn-ME"/>
        </w:rPr>
        <w:t>ov</w:t>
      </w:r>
      <w:r w:rsidR="00D56654" w:rsidRPr="003F7E57">
        <w:rPr>
          <w:sz w:val="22"/>
          <w:szCs w:val="22"/>
          <w:lang w:val="sr-Latn-ME"/>
        </w:rPr>
        <w:t>a</w:t>
      </w:r>
      <w:r w:rsidRPr="003F7E57">
        <w:rPr>
          <w:sz w:val="22"/>
          <w:szCs w:val="22"/>
          <w:lang w:val="sr-Latn-ME"/>
        </w:rPr>
        <w:t xml:space="preserve"> etiologij</w:t>
      </w:r>
      <w:r w:rsidR="00D56654" w:rsidRPr="003F7E57">
        <w:rPr>
          <w:sz w:val="22"/>
          <w:szCs w:val="22"/>
          <w:lang w:val="sr-Latn-ME"/>
        </w:rPr>
        <w:t>a razmotri</w:t>
      </w:r>
      <w:r w:rsidRPr="003F7E57">
        <w:rPr>
          <w:sz w:val="22"/>
          <w:szCs w:val="22"/>
          <w:lang w:val="sr-Latn-ME"/>
        </w:rPr>
        <w:t xml:space="preserve"> </w:t>
      </w:r>
      <w:r w:rsidR="00780614" w:rsidRPr="003F7E57">
        <w:rPr>
          <w:sz w:val="22"/>
          <w:szCs w:val="22"/>
          <w:lang w:val="sr-Latn-ME"/>
        </w:rPr>
        <w:t xml:space="preserve">kod pacijenata </w:t>
      </w:r>
      <w:r w:rsidRPr="003F7E57">
        <w:rPr>
          <w:sz w:val="22"/>
          <w:szCs w:val="22"/>
          <w:lang w:val="sr-Latn-ME"/>
        </w:rPr>
        <w:t xml:space="preserve">s </w:t>
      </w:r>
      <w:proofErr w:type="spellStart"/>
      <w:r w:rsidRPr="003F7E57">
        <w:rPr>
          <w:sz w:val="22"/>
          <w:szCs w:val="22"/>
          <w:lang w:val="sr-Latn-ME"/>
        </w:rPr>
        <w:t>megaloblastnom</w:t>
      </w:r>
      <w:proofErr w:type="spellEnd"/>
      <w:r w:rsidRPr="003F7E57">
        <w:rPr>
          <w:sz w:val="22"/>
          <w:szCs w:val="22"/>
          <w:lang w:val="sr-Latn-ME"/>
        </w:rPr>
        <w:t xml:space="preserve"> anemijom.</w:t>
      </w:r>
    </w:p>
    <w:p w14:paraId="4FBBD4C3" w14:textId="77777777" w:rsidR="00C10CDE" w:rsidRPr="003F7E57" w:rsidRDefault="00C10CDE" w:rsidP="00991A59">
      <w:pPr>
        <w:widowControl w:val="0"/>
        <w:tabs>
          <w:tab w:val="left" w:pos="567"/>
        </w:tabs>
        <w:autoSpaceDE w:val="0"/>
        <w:autoSpaceDN w:val="0"/>
        <w:adjustRightInd w:val="0"/>
        <w:jc w:val="both"/>
        <w:rPr>
          <w:sz w:val="22"/>
          <w:szCs w:val="22"/>
          <w:lang w:val="sr-Latn-ME"/>
        </w:rPr>
      </w:pPr>
    </w:p>
    <w:p w14:paraId="73DE1F4B" w14:textId="790BA5F9" w:rsidR="00C10CDE" w:rsidRPr="003F7E57" w:rsidRDefault="00780614" w:rsidP="00991A59">
      <w:pPr>
        <w:keepNext/>
        <w:widowControl w:val="0"/>
        <w:tabs>
          <w:tab w:val="left" w:pos="567"/>
        </w:tabs>
        <w:autoSpaceDE w:val="0"/>
        <w:autoSpaceDN w:val="0"/>
        <w:adjustRightInd w:val="0"/>
        <w:jc w:val="both"/>
        <w:rPr>
          <w:i/>
          <w:iCs/>
          <w:sz w:val="22"/>
          <w:szCs w:val="22"/>
          <w:lang w:val="sr-Latn-ME"/>
        </w:rPr>
      </w:pPr>
      <w:r w:rsidRPr="003F7E57">
        <w:rPr>
          <w:i/>
          <w:iCs/>
          <w:sz w:val="22"/>
          <w:szCs w:val="22"/>
          <w:lang w:val="sr-Latn-ME"/>
        </w:rPr>
        <w:t>F</w:t>
      </w:r>
      <w:r w:rsidR="00C10CDE" w:rsidRPr="003F7E57">
        <w:rPr>
          <w:i/>
          <w:iCs/>
          <w:sz w:val="22"/>
          <w:szCs w:val="22"/>
          <w:lang w:val="sr-Latn-ME"/>
        </w:rPr>
        <w:t>unkcija</w:t>
      </w:r>
      <w:r w:rsidRPr="003F7E57">
        <w:rPr>
          <w:i/>
          <w:iCs/>
          <w:sz w:val="22"/>
          <w:szCs w:val="22"/>
          <w:lang w:val="sr-Latn-ME"/>
        </w:rPr>
        <w:t xml:space="preserve"> jetre</w:t>
      </w:r>
    </w:p>
    <w:p w14:paraId="2B637403" w14:textId="2ADADAD7" w:rsidR="00C10CDE" w:rsidRPr="003F7E57" w:rsidRDefault="00D56654" w:rsidP="00991A59">
      <w:pPr>
        <w:widowControl w:val="0"/>
        <w:tabs>
          <w:tab w:val="left" w:pos="567"/>
        </w:tabs>
        <w:autoSpaceDE w:val="0"/>
        <w:autoSpaceDN w:val="0"/>
        <w:adjustRightInd w:val="0"/>
        <w:jc w:val="both"/>
        <w:rPr>
          <w:sz w:val="22"/>
          <w:szCs w:val="22"/>
          <w:lang w:val="sr-Latn-ME"/>
        </w:rPr>
      </w:pPr>
      <w:r w:rsidRPr="003F7E57">
        <w:rPr>
          <w:sz w:val="22"/>
          <w:szCs w:val="22"/>
          <w:lang w:val="sr-Latn-ME"/>
        </w:rPr>
        <w:t>Prijavljeni</w:t>
      </w:r>
      <w:r w:rsidR="00C10CDE" w:rsidRPr="003F7E57">
        <w:rPr>
          <w:sz w:val="22"/>
          <w:szCs w:val="22"/>
          <w:lang w:val="sr-Latn-ME"/>
        </w:rPr>
        <w:t xml:space="preserve"> su izol</w:t>
      </w:r>
      <w:r w:rsidR="00780614" w:rsidRPr="003F7E57">
        <w:rPr>
          <w:sz w:val="22"/>
          <w:szCs w:val="22"/>
          <w:lang w:val="sr-Latn-ME"/>
        </w:rPr>
        <w:t>ova</w:t>
      </w:r>
      <w:r w:rsidR="00C10CDE" w:rsidRPr="003F7E57">
        <w:rPr>
          <w:sz w:val="22"/>
          <w:szCs w:val="22"/>
          <w:lang w:val="sr-Latn-ME"/>
        </w:rPr>
        <w:t>ni slučajevi poremećaja rezultata testova funkcije</w:t>
      </w:r>
      <w:r w:rsidR="00780614" w:rsidRPr="003F7E57">
        <w:rPr>
          <w:sz w:val="22"/>
          <w:szCs w:val="22"/>
          <w:lang w:val="sr-Latn-ME"/>
        </w:rPr>
        <w:t xml:space="preserve"> jetre</w:t>
      </w:r>
      <w:r w:rsidR="00C10CDE" w:rsidRPr="003F7E57">
        <w:rPr>
          <w:sz w:val="22"/>
          <w:szCs w:val="22"/>
          <w:lang w:val="sr-Latn-ME"/>
        </w:rPr>
        <w:t xml:space="preserve"> ili hepatitisa koji su se povukli nakon prestanka primjene </w:t>
      </w:r>
      <w:proofErr w:type="spellStart"/>
      <w:r w:rsidR="00C10CDE" w:rsidRPr="003F7E57">
        <w:rPr>
          <w:sz w:val="22"/>
          <w:szCs w:val="22"/>
          <w:lang w:val="sr-Latn-ME"/>
        </w:rPr>
        <w:t>metformina</w:t>
      </w:r>
      <w:proofErr w:type="spellEnd"/>
      <w:r w:rsidR="00C10CDE" w:rsidRPr="003F7E57">
        <w:rPr>
          <w:sz w:val="22"/>
          <w:szCs w:val="22"/>
          <w:lang w:val="sr-Latn-ME"/>
        </w:rPr>
        <w:t>.</w:t>
      </w:r>
    </w:p>
    <w:p w14:paraId="216662FF" w14:textId="77777777" w:rsidR="00C10CDE" w:rsidRPr="003F7E57" w:rsidRDefault="00C10CDE" w:rsidP="00991A59">
      <w:pPr>
        <w:widowControl w:val="0"/>
        <w:tabs>
          <w:tab w:val="left" w:pos="567"/>
        </w:tabs>
        <w:autoSpaceDE w:val="0"/>
        <w:autoSpaceDN w:val="0"/>
        <w:adjustRightInd w:val="0"/>
        <w:jc w:val="both"/>
        <w:rPr>
          <w:sz w:val="22"/>
          <w:szCs w:val="22"/>
          <w:lang w:val="sr-Latn-ME"/>
        </w:rPr>
      </w:pPr>
    </w:p>
    <w:p w14:paraId="6FF0842F" w14:textId="3B589399" w:rsidR="00C10CDE" w:rsidRPr="003F7E57" w:rsidRDefault="00F803AA" w:rsidP="00991A59">
      <w:pPr>
        <w:keepNext/>
        <w:widowControl w:val="0"/>
        <w:tabs>
          <w:tab w:val="left" w:pos="567"/>
        </w:tabs>
        <w:autoSpaceDE w:val="0"/>
        <w:autoSpaceDN w:val="0"/>
        <w:adjustRightInd w:val="0"/>
        <w:jc w:val="both"/>
        <w:rPr>
          <w:i/>
          <w:iCs/>
          <w:sz w:val="22"/>
          <w:szCs w:val="22"/>
          <w:lang w:val="sr-Latn-ME"/>
        </w:rPr>
      </w:pPr>
      <w:proofErr w:type="spellStart"/>
      <w:r w:rsidRPr="003F7E57">
        <w:rPr>
          <w:i/>
          <w:iCs/>
          <w:sz w:val="22"/>
          <w:szCs w:val="22"/>
          <w:lang w:val="sr-Latn-ME"/>
        </w:rPr>
        <w:lastRenderedPageBreak/>
        <w:t>Gatrointe</w:t>
      </w:r>
      <w:r w:rsidR="00806C70" w:rsidRPr="003F7E57">
        <w:rPr>
          <w:i/>
          <w:iCs/>
          <w:sz w:val="22"/>
          <w:szCs w:val="22"/>
          <w:lang w:val="sr-Latn-ME"/>
        </w:rPr>
        <w:t>n</w:t>
      </w:r>
      <w:r w:rsidRPr="003F7E57">
        <w:rPr>
          <w:i/>
          <w:iCs/>
          <w:sz w:val="22"/>
          <w:szCs w:val="22"/>
          <w:lang w:val="sr-Latn-ME"/>
        </w:rPr>
        <w:t>stinalni</w:t>
      </w:r>
      <w:proofErr w:type="spellEnd"/>
      <w:r w:rsidRPr="003F7E57">
        <w:rPr>
          <w:i/>
          <w:iCs/>
          <w:sz w:val="22"/>
          <w:szCs w:val="22"/>
          <w:lang w:val="sr-Latn-ME"/>
        </w:rPr>
        <w:t xml:space="preserve"> poremećaji</w:t>
      </w:r>
    </w:p>
    <w:p w14:paraId="6E9653D6" w14:textId="34053090" w:rsidR="00C10CDE" w:rsidRPr="003F7E57" w:rsidRDefault="00F803AA" w:rsidP="00991A59">
      <w:pPr>
        <w:widowControl w:val="0"/>
        <w:tabs>
          <w:tab w:val="left" w:pos="569"/>
        </w:tabs>
        <w:autoSpaceDE w:val="0"/>
        <w:autoSpaceDN w:val="0"/>
        <w:adjustRightInd w:val="0"/>
        <w:jc w:val="both"/>
        <w:rPr>
          <w:sz w:val="22"/>
          <w:szCs w:val="22"/>
          <w:lang w:val="sr-Latn-ME"/>
        </w:rPr>
      </w:pPr>
      <w:r w:rsidRPr="003F7E57">
        <w:rPr>
          <w:sz w:val="22"/>
          <w:szCs w:val="22"/>
          <w:lang w:val="sr-Latn-ME"/>
        </w:rPr>
        <w:t xml:space="preserve">Gastrointestinalne neželjene reakcije se </w:t>
      </w:r>
      <w:r w:rsidR="00C10CDE" w:rsidRPr="003F7E57">
        <w:rPr>
          <w:sz w:val="22"/>
          <w:szCs w:val="22"/>
          <w:lang w:val="sr-Latn-ME"/>
        </w:rPr>
        <w:t xml:space="preserve">pojavljuju najčešće na početku liječenja i spontano se povlače u većini slučajeva. Kako bi se spriječile, preporučuje se primjena </w:t>
      </w:r>
      <w:proofErr w:type="spellStart"/>
      <w:r w:rsidR="00C10CDE" w:rsidRPr="003F7E57">
        <w:rPr>
          <w:sz w:val="22"/>
          <w:szCs w:val="22"/>
          <w:lang w:val="sr-Latn-ME"/>
        </w:rPr>
        <w:t>metformina</w:t>
      </w:r>
      <w:proofErr w:type="spellEnd"/>
      <w:r w:rsidR="00C10CDE" w:rsidRPr="003F7E57">
        <w:rPr>
          <w:sz w:val="22"/>
          <w:szCs w:val="22"/>
          <w:lang w:val="sr-Latn-ME"/>
        </w:rPr>
        <w:t xml:space="preserve"> u 2 dnevne doze </w:t>
      </w:r>
      <w:r w:rsidR="00522F79" w:rsidRPr="003F7E57">
        <w:rPr>
          <w:sz w:val="22"/>
          <w:szCs w:val="22"/>
          <w:lang w:val="sr-Latn-ME"/>
        </w:rPr>
        <w:t xml:space="preserve">tokom </w:t>
      </w:r>
      <w:r w:rsidR="00C10CDE" w:rsidRPr="003F7E57">
        <w:rPr>
          <w:sz w:val="22"/>
          <w:szCs w:val="22"/>
          <w:lang w:val="sr-Latn-ME"/>
        </w:rPr>
        <w:t xml:space="preserve">ili nakon obroka. Blago povećavanje doze </w:t>
      </w:r>
      <w:r w:rsidRPr="003F7E57">
        <w:rPr>
          <w:sz w:val="22"/>
          <w:szCs w:val="22"/>
          <w:lang w:val="sr-Latn-ME"/>
        </w:rPr>
        <w:t xml:space="preserve">takođe </w:t>
      </w:r>
      <w:r w:rsidR="00C10CDE" w:rsidRPr="003F7E57">
        <w:rPr>
          <w:sz w:val="22"/>
          <w:szCs w:val="22"/>
          <w:lang w:val="sr-Latn-ME"/>
        </w:rPr>
        <w:t xml:space="preserve">može </w:t>
      </w:r>
      <w:r w:rsidR="00780614" w:rsidRPr="003F7E57">
        <w:rPr>
          <w:sz w:val="22"/>
          <w:szCs w:val="22"/>
          <w:lang w:val="sr-Latn-ME"/>
        </w:rPr>
        <w:t xml:space="preserve">da </w:t>
      </w:r>
      <w:r w:rsidR="00C10CDE" w:rsidRPr="003F7E57">
        <w:rPr>
          <w:sz w:val="22"/>
          <w:szCs w:val="22"/>
          <w:lang w:val="sr-Latn-ME"/>
        </w:rPr>
        <w:t xml:space="preserve">poboljša gastrointestinalnu </w:t>
      </w:r>
      <w:proofErr w:type="spellStart"/>
      <w:r w:rsidR="00C10CDE" w:rsidRPr="003F7E57">
        <w:rPr>
          <w:sz w:val="22"/>
          <w:szCs w:val="22"/>
          <w:lang w:val="sr-Latn-ME"/>
        </w:rPr>
        <w:t>podnošljivost</w:t>
      </w:r>
      <w:proofErr w:type="spellEnd"/>
      <w:r w:rsidR="00C10CDE" w:rsidRPr="003F7E57">
        <w:rPr>
          <w:sz w:val="22"/>
          <w:szCs w:val="22"/>
          <w:lang w:val="sr-Latn-ME"/>
        </w:rPr>
        <w:t>.</w:t>
      </w:r>
    </w:p>
    <w:p w14:paraId="75B611CB" w14:textId="77777777" w:rsidR="00C10CDE" w:rsidRPr="003F7E57" w:rsidRDefault="00C10CDE" w:rsidP="00991A59">
      <w:pPr>
        <w:tabs>
          <w:tab w:val="left" w:pos="540"/>
          <w:tab w:val="left" w:pos="569"/>
        </w:tabs>
        <w:jc w:val="both"/>
        <w:rPr>
          <w:b/>
          <w:bCs/>
          <w:sz w:val="22"/>
          <w:szCs w:val="22"/>
          <w:lang w:val="sr-Latn-ME"/>
        </w:rPr>
      </w:pPr>
    </w:p>
    <w:p w14:paraId="358253E6" w14:textId="77777777" w:rsidR="005A23D2" w:rsidRPr="003F7E57" w:rsidRDefault="005A23D2" w:rsidP="00991A59">
      <w:pPr>
        <w:spacing w:after="200" w:line="276" w:lineRule="auto"/>
        <w:jc w:val="both"/>
        <w:rPr>
          <w:rFonts w:eastAsia="Calibri"/>
          <w:sz w:val="22"/>
          <w:szCs w:val="22"/>
          <w:u w:val="single"/>
          <w:lang w:val="sr-Latn-ME"/>
        </w:rPr>
      </w:pPr>
      <w:r w:rsidRPr="003F7E57">
        <w:rPr>
          <w:rFonts w:eastAsia="Calibri"/>
          <w:sz w:val="22"/>
          <w:szCs w:val="22"/>
          <w:u w:val="single"/>
          <w:lang w:val="sr-Latn-ME"/>
        </w:rPr>
        <w:t>Prijavljivanje sumnji na neželjena dejstva</w:t>
      </w:r>
    </w:p>
    <w:p w14:paraId="63D96A3B" w14:textId="38429C7F" w:rsidR="005A23D2" w:rsidRPr="003F7E57" w:rsidRDefault="005A23D2" w:rsidP="00CE2D38">
      <w:pPr>
        <w:spacing w:after="200"/>
        <w:jc w:val="both"/>
        <w:rPr>
          <w:rFonts w:eastAsia="Calibri"/>
          <w:sz w:val="22"/>
          <w:szCs w:val="22"/>
          <w:lang w:val="sr-Latn-ME"/>
        </w:rPr>
      </w:pPr>
      <w:r w:rsidRPr="003F7E57">
        <w:rPr>
          <w:rFonts w:eastAsia="Calibri"/>
          <w:sz w:val="22"/>
          <w:szCs w:val="22"/>
          <w:lang w:val="sr-Latn-ME"/>
        </w:rPr>
        <w:t>Prijavljivanje neželjenih dejstava nakon dobijanja dozvole</w:t>
      </w:r>
      <w:r w:rsidR="00522F79" w:rsidRPr="003F7E57">
        <w:rPr>
          <w:rFonts w:eastAsia="Calibri"/>
          <w:sz w:val="22"/>
          <w:szCs w:val="22"/>
          <w:lang w:val="sr-Latn-ME"/>
        </w:rPr>
        <w:t xml:space="preserve"> za lijek </w:t>
      </w:r>
      <w:r w:rsidRPr="003F7E57">
        <w:rPr>
          <w:rFonts w:eastAsia="Calibri"/>
          <w:sz w:val="22"/>
          <w:szCs w:val="22"/>
          <w:lang w:val="sr-Latn-ME"/>
        </w:rPr>
        <w:t xml:space="preserve"> je od velikog značaja jer obezbjeđuje kont</w:t>
      </w:r>
      <w:r w:rsidR="00EA5765" w:rsidRPr="003F7E57">
        <w:rPr>
          <w:rFonts w:eastAsia="Calibri"/>
          <w:sz w:val="22"/>
          <w:szCs w:val="22"/>
          <w:lang w:val="sr-Latn-ME"/>
        </w:rPr>
        <w:t>inuirano praćenje odnosa korist</w:t>
      </w:r>
      <w:r w:rsidRPr="003F7E57">
        <w:rPr>
          <w:rFonts w:eastAsia="Calibri"/>
          <w:sz w:val="22"/>
          <w:szCs w:val="22"/>
          <w:lang w:val="sr-Latn-ME"/>
        </w:rPr>
        <w:t>/rizik primjene lijeka. Zdravstveni radnici treba da prijave svaku sumnju na neželjeno</w:t>
      </w:r>
      <w:r w:rsidR="009B062A" w:rsidRPr="003F7E57">
        <w:rPr>
          <w:rFonts w:eastAsia="Calibri"/>
          <w:sz w:val="22"/>
          <w:szCs w:val="22"/>
          <w:lang w:val="sr-Latn-ME"/>
        </w:rPr>
        <w:t xml:space="preserve"> </w:t>
      </w:r>
      <w:r w:rsidRPr="003F7E57">
        <w:rPr>
          <w:rFonts w:eastAsia="Calibri"/>
          <w:sz w:val="22"/>
          <w:szCs w:val="22"/>
          <w:lang w:val="sr-Latn-ME"/>
        </w:rPr>
        <w:t xml:space="preserve">dejstvo ovog lijeka </w:t>
      </w:r>
      <w:r w:rsidR="004E70AD" w:rsidRPr="003F7E57">
        <w:rPr>
          <w:rFonts w:eastAsia="Calibri"/>
          <w:sz w:val="22"/>
          <w:szCs w:val="22"/>
          <w:lang w:val="sr-Latn-ME"/>
        </w:rPr>
        <w:t>Institutu</w:t>
      </w:r>
      <w:r w:rsidRPr="003F7E57">
        <w:rPr>
          <w:rFonts w:eastAsia="Calibri"/>
          <w:sz w:val="22"/>
          <w:szCs w:val="22"/>
          <w:lang w:val="sr-Latn-ME"/>
        </w:rPr>
        <w:t xml:space="preserve"> za ljekove i medicinska sredstva</w:t>
      </w:r>
      <w:r w:rsidR="004E70AD" w:rsidRPr="003F7E57">
        <w:rPr>
          <w:rFonts w:eastAsia="Calibri"/>
          <w:sz w:val="22"/>
          <w:szCs w:val="22"/>
          <w:lang w:val="sr-Latn-ME"/>
        </w:rPr>
        <w:t xml:space="preserve"> </w:t>
      </w:r>
      <w:r w:rsidRPr="003F7E57">
        <w:rPr>
          <w:rFonts w:eastAsia="Calibri"/>
          <w:sz w:val="22"/>
          <w:szCs w:val="22"/>
          <w:lang w:val="sr-Latn-ME"/>
        </w:rPr>
        <w:t>(</w:t>
      </w:r>
      <w:r w:rsidR="004E70AD" w:rsidRPr="003F7E57">
        <w:rPr>
          <w:rFonts w:eastAsia="Calibri"/>
          <w:sz w:val="22"/>
          <w:szCs w:val="22"/>
          <w:lang w:val="sr-Latn-ME"/>
        </w:rPr>
        <w:t>CInMED</w:t>
      </w:r>
      <w:r w:rsidRPr="003F7E57">
        <w:rPr>
          <w:rFonts w:eastAsia="Calibri"/>
          <w:sz w:val="22"/>
          <w:szCs w:val="22"/>
          <w:lang w:val="sr-Latn-ME"/>
        </w:rPr>
        <w:t>):</w:t>
      </w:r>
    </w:p>
    <w:p w14:paraId="26CD44CF" w14:textId="77777777" w:rsidR="005A23D2" w:rsidRPr="003F7E57" w:rsidRDefault="004E70AD">
      <w:pPr>
        <w:pStyle w:val="NoSpacing"/>
        <w:jc w:val="both"/>
        <w:rPr>
          <w:rFonts w:eastAsia="Calibri"/>
          <w:sz w:val="22"/>
          <w:szCs w:val="22"/>
          <w:lang w:val="sr-Latn-ME"/>
        </w:rPr>
      </w:pPr>
      <w:r w:rsidRPr="003F7E57">
        <w:rPr>
          <w:rFonts w:eastAsia="Calibri"/>
          <w:sz w:val="22"/>
          <w:szCs w:val="22"/>
          <w:lang w:val="sr-Latn-ME"/>
        </w:rPr>
        <w:t xml:space="preserve">Institut </w:t>
      </w:r>
      <w:r w:rsidR="005A23D2" w:rsidRPr="003F7E57">
        <w:rPr>
          <w:rFonts w:eastAsia="Calibri"/>
          <w:sz w:val="22"/>
          <w:szCs w:val="22"/>
          <w:lang w:val="sr-Latn-ME"/>
        </w:rPr>
        <w:t xml:space="preserve">za ljekove i medicinska sredstva </w:t>
      </w:r>
    </w:p>
    <w:p w14:paraId="2BD577D7" w14:textId="77777777" w:rsidR="005A23D2" w:rsidRPr="003F7E57" w:rsidRDefault="005A23D2">
      <w:pPr>
        <w:pStyle w:val="NoSpacing"/>
        <w:jc w:val="both"/>
        <w:rPr>
          <w:rFonts w:eastAsia="Calibri"/>
          <w:sz w:val="22"/>
          <w:szCs w:val="22"/>
          <w:lang w:val="sr-Latn-ME"/>
        </w:rPr>
      </w:pPr>
      <w:r w:rsidRPr="003F7E57">
        <w:rPr>
          <w:rFonts w:eastAsia="Calibri"/>
          <w:sz w:val="22"/>
          <w:szCs w:val="22"/>
          <w:lang w:val="sr-Latn-ME"/>
        </w:rPr>
        <w:t xml:space="preserve">Odjeljenje za </w:t>
      </w:r>
      <w:proofErr w:type="spellStart"/>
      <w:r w:rsidRPr="003F7E57">
        <w:rPr>
          <w:rFonts w:eastAsia="Calibri"/>
          <w:sz w:val="22"/>
          <w:szCs w:val="22"/>
          <w:lang w:val="sr-Latn-ME"/>
        </w:rPr>
        <w:t>farmakovigilancu</w:t>
      </w:r>
      <w:proofErr w:type="spellEnd"/>
    </w:p>
    <w:p w14:paraId="37634740" w14:textId="77777777" w:rsidR="00EA5765" w:rsidRPr="003F7E57" w:rsidRDefault="005A23D2">
      <w:pPr>
        <w:pStyle w:val="NoSpacing"/>
        <w:jc w:val="both"/>
        <w:rPr>
          <w:rFonts w:eastAsia="Calibri"/>
          <w:sz w:val="22"/>
          <w:szCs w:val="22"/>
          <w:lang w:val="sr-Latn-ME"/>
        </w:rPr>
      </w:pPr>
      <w:r w:rsidRPr="003F7E57">
        <w:rPr>
          <w:rFonts w:eastAsia="Calibri"/>
          <w:sz w:val="22"/>
          <w:szCs w:val="22"/>
          <w:lang w:val="sr-Latn-ME"/>
        </w:rPr>
        <w:t>Bulevar Ivana Crnojevića 64a, 81000 Podgorica</w:t>
      </w:r>
    </w:p>
    <w:p w14:paraId="76B13B69" w14:textId="77777777" w:rsidR="00EA5765" w:rsidRPr="003F7E57" w:rsidRDefault="00EA5765" w:rsidP="00991A59">
      <w:pPr>
        <w:pStyle w:val="NoSpacing"/>
        <w:jc w:val="both"/>
        <w:rPr>
          <w:rFonts w:eastAsia="Calibri"/>
          <w:sz w:val="22"/>
          <w:szCs w:val="22"/>
          <w:lang w:val="sr-Latn-ME"/>
        </w:rPr>
      </w:pPr>
    </w:p>
    <w:p w14:paraId="08413132" w14:textId="77777777" w:rsidR="005A23D2" w:rsidRPr="003F7E57" w:rsidRDefault="005A23D2" w:rsidP="00CE2D38">
      <w:pPr>
        <w:pStyle w:val="NoSpacing"/>
        <w:jc w:val="both"/>
        <w:rPr>
          <w:rFonts w:eastAsia="Calibri"/>
          <w:sz w:val="22"/>
          <w:szCs w:val="22"/>
          <w:lang w:val="sr-Latn-ME"/>
        </w:rPr>
      </w:pPr>
      <w:r w:rsidRPr="003F7E57">
        <w:rPr>
          <w:rFonts w:eastAsia="Calibri"/>
          <w:sz w:val="22"/>
          <w:szCs w:val="22"/>
          <w:lang w:val="sr-Latn-ME"/>
        </w:rPr>
        <w:t>tel: +382 (0) 20 310 280</w:t>
      </w:r>
    </w:p>
    <w:p w14:paraId="4808FCFE" w14:textId="77777777" w:rsidR="00EA5765" w:rsidRPr="003F7E57" w:rsidRDefault="005A23D2">
      <w:pPr>
        <w:pStyle w:val="NoSpacing"/>
        <w:jc w:val="both"/>
        <w:rPr>
          <w:rFonts w:eastAsia="Calibri"/>
          <w:sz w:val="22"/>
          <w:szCs w:val="22"/>
          <w:lang w:val="sr-Latn-ME"/>
        </w:rPr>
      </w:pPr>
      <w:proofErr w:type="spellStart"/>
      <w:r w:rsidRPr="003F7E57">
        <w:rPr>
          <w:rFonts w:eastAsia="Calibri"/>
          <w:sz w:val="22"/>
          <w:szCs w:val="22"/>
          <w:lang w:val="sr-Latn-ME"/>
        </w:rPr>
        <w:t>fax</w:t>
      </w:r>
      <w:proofErr w:type="spellEnd"/>
      <w:r w:rsidRPr="003F7E57">
        <w:rPr>
          <w:rFonts w:eastAsia="Calibri"/>
          <w:sz w:val="22"/>
          <w:szCs w:val="22"/>
          <w:lang w:val="sr-Latn-ME"/>
        </w:rPr>
        <w:t>:</w:t>
      </w:r>
      <w:r w:rsidR="00EA5765" w:rsidRPr="003F7E57">
        <w:rPr>
          <w:rFonts w:eastAsia="Calibri"/>
          <w:sz w:val="22"/>
          <w:szCs w:val="22"/>
          <w:lang w:val="sr-Latn-ME"/>
        </w:rPr>
        <w:t xml:space="preserve"> </w:t>
      </w:r>
      <w:r w:rsidRPr="003F7E57">
        <w:rPr>
          <w:rFonts w:eastAsia="Calibri"/>
          <w:sz w:val="22"/>
          <w:szCs w:val="22"/>
          <w:lang w:val="sr-Latn-ME"/>
        </w:rPr>
        <w:t>+382 (0) 20 310 581</w:t>
      </w:r>
    </w:p>
    <w:p w14:paraId="1BDE6E19" w14:textId="77777777" w:rsidR="005A23D2" w:rsidRPr="003F7E57" w:rsidRDefault="00B46768">
      <w:pPr>
        <w:pStyle w:val="NoSpacing"/>
        <w:jc w:val="both"/>
        <w:rPr>
          <w:rFonts w:eastAsia="Calibri"/>
          <w:sz w:val="22"/>
          <w:szCs w:val="22"/>
          <w:lang w:val="sr-Latn-ME"/>
        </w:rPr>
      </w:pPr>
      <w:hyperlink r:id="rId8" w:history="1">
        <w:r w:rsidR="004E70AD" w:rsidRPr="003F7E57">
          <w:rPr>
            <w:rStyle w:val="Hyperlink"/>
            <w:rFonts w:eastAsia="Calibri"/>
            <w:sz w:val="22"/>
            <w:szCs w:val="22"/>
            <w:lang w:val="sr-Latn-ME"/>
          </w:rPr>
          <w:t>www.cinmed.me</w:t>
        </w:r>
      </w:hyperlink>
    </w:p>
    <w:p w14:paraId="3F32760C" w14:textId="77777777" w:rsidR="00EA5765" w:rsidRPr="003F7E57" w:rsidRDefault="00B46768">
      <w:pPr>
        <w:pStyle w:val="NoSpacing"/>
        <w:jc w:val="both"/>
        <w:rPr>
          <w:rFonts w:eastAsia="Calibri"/>
          <w:color w:val="0000FF"/>
          <w:sz w:val="22"/>
          <w:szCs w:val="22"/>
          <w:u w:val="single"/>
          <w:lang w:val="sr-Latn-ME"/>
        </w:rPr>
      </w:pPr>
      <w:hyperlink r:id="rId9" w:history="1">
        <w:r w:rsidR="004E70AD" w:rsidRPr="003F7E57">
          <w:rPr>
            <w:rStyle w:val="Hyperlink"/>
            <w:rFonts w:eastAsia="Calibri"/>
            <w:sz w:val="22"/>
            <w:szCs w:val="22"/>
            <w:lang w:val="sr-Latn-ME"/>
          </w:rPr>
          <w:t>nezeljenadejstva@cinmed.me</w:t>
        </w:r>
      </w:hyperlink>
    </w:p>
    <w:p w14:paraId="0DE77059" w14:textId="6F900474" w:rsidR="005A23D2" w:rsidRPr="003F7E57" w:rsidRDefault="005A23D2">
      <w:pPr>
        <w:pStyle w:val="NoSpacing"/>
        <w:jc w:val="both"/>
        <w:rPr>
          <w:rFonts w:eastAsia="Calibri"/>
          <w:sz w:val="22"/>
          <w:szCs w:val="22"/>
          <w:lang w:val="sr-Latn-ME"/>
        </w:rPr>
      </w:pPr>
      <w:r w:rsidRPr="003F7E57">
        <w:rPr>
          <w:rFonts w:eastAsia="Calibri"/>
          <w:sz w:val="22"/>
          <w:szCs w:val="22"/>
          <w:lang w:val="sr-Latn-ME"/>
        </w:rPr>
        <w:t>putem IS zdravstvene zaštite</w:t>
      </w:r>
    </w:p>
    <w:p w14:paraId="64636595" w14:textId="77777777" w:rsidR="00806C70" w:rsidRPr="003F7E57" w:rsidRDefault="00806C70" w:rsidP="00806C70">
      <w:pPr>
        <w:pStyle w:val="NoSpacing"/>
        <w:jc w:val="both"/>
        <w:rPr>
          <w:rFonts w:eastAsia="Calibri"/>
          <w:sz w:val="22"/>
          <w:szCs w:val="22"/>
          <w:lang w:val="sr-Latn-ME"/>
        </w:rPr>
      </w:pPr>
      <w:proofErr w:type="spellStart"/>
      <w:r w:rsidRPr="003F7E57">
        <w:rPr>
          <w:rFonts w:eastAsia="Calibri"/>
          <w:sz w:val="22"/>
          <w:szCs w:val="22"/>
          <w:lang w:val="sr-Latn-ME"/>
        </w:rPr>
        <w:t>QR</w:t>
      </w:r>
      <w:proofErr w:type="spellEnd"/>
      <w:r w:rsidRPr="003F7E57">
        <w:rPr>
          <w:rFonts w:eastAsia="Calibri"/>
          <w:sz w:val="22"/>
          <w:szCs w:val="22"/>
          <w:lang w:val="sr-Latn-ME"/>
        </w:rPr>
        <w:t xml:space="preserve"> kod za </w:t>
      </w:r>
      <w:proofErr w:type="spellStart"/>
      <w:r w:rsidRPr="003F7E57">
        <w:rPr>
          <w:rFonts w:eastAsia="Calibri"/>
          <w:sz w:val="22"/>
          <w:szCs w:val="22"/>
          <w:lang w:val="sr-Latn-ME"/>
        </w:rPr>
        <w:t>online</w:t>
      </w:r>
      <w:proofErr w:type="spellEnd"/>
      <w:r w:rsidRPr="003F7E57">
        <w:rPr>
          <w:rFonts w:eastAsia="Calibri"/>
          <w:sz w:val="22"/>
          <w:szCs w:val="22"/>
          <w:lang w:val="sr-Latn-ME"/>
        </w:rPr>
        <w:t xml:space="preserve"> prijavu sumnje na neželjeno dejstvo lijeka:</w:t>
      </w:r>
    </w:p>
    <w:p w14:paraId="543CE76F" w14:textId="77777777" w:rsidR="00806C70" w:rsidRPr="003F7E57" w:rsidRDefault="00806C70" w:rsidP="00806C70">
      <w:pPr>
        <w:pStyle w:val="NoSpacing"/>
        <w:jc w:val="both"/>
        <w:rPr>
          <w:rFonts w:eastAsia="Calibri"/>
          <w:sz w:val="22"/>
          <w:szCs w:val="22"/>
          <w:lang w:val="sr-Latn-ME"/>
        </w:rPr>
      </w:pPr>
    </w:p>
    <w:p w14:paraId="0307C377" w14:textId="18E1F275" w:rsidR="00806C70" w:rsidRPr="003F7E57" w:rsidRDefault="00806C70" w:rsidP="00991A59">
      <w:pPr>
        <w:pStyle w:val="NoSpacing"/>
        <w:rPr>
          <w:rFonts w:eastAsia="Calibri"/>
          <w:sz w:val="22"/>
          <w:szCs w:val="22"/>
          <w:lang w:val="sr-Latn-ME"/>
        </w:rPr>
      </w:pPr>
      <w:r w:rsidRPr="003F7E57">
        <w:rPr>
          <w:noProof/>
          <w:sz w:val="22"/>
          <w:szCs w:val="22"/>
          <w:lang w:val="sr-Latn-ME" w:eastAsia="sr-Latn-ME"/>
        </w:rPr>
        <w:drawing>
          <wp:inline distT="0" distB="0" distL="0" distR="0" wp14:anchorId="4A59733D" wp14:editId="64A6BD5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2CDAC79" w14:textId="77777777" w:rsidR="00836B35" w:rsidRPr="003F7E57" w:rsidRDefault="00836B35" w:rsidP="00991A59">
      <w:pPr>
        <w:tabs>
          <w:tab w:val="left" w:pos="540"/>
          <w:tab w:val="left" w:pos="569"/>
        </w:tabs>
        <w:jc w:val="both"/>
        <w:rPr>
          <w:b/>
          <w:bCs/>
          <w:sz w:val="22"/>
          <w:szCs w:val="22"/>
          <w:lang w:val="sr-Latn-ME"/>
        </w:rPr>
      </w:pPr>
    </w:p>
    <w:p w14:paraId="275E62E5" w14:textId="77777777" w:rsidR="00CD6F02"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4.9. </w:t>
      </w:r>
      <w:r w:rsidR="00480FB1" w:rsidRPr="003F7E57">
        <w:rPr>
          <w:b/>
          <w:bCs/>
          <w:sz w:val="22"/>
          <w:szCs w:val="22"/>
          <w:lang w:val="sr-Latn-ME"/>
        </w:rPr>
        <w:tab/>
      </w:r>
      <w:proofErr w:type="spellStart"/>
      <w:r w:rsidRPr="003F7E57">
        <w:rPr>
          <w:b/>
          <w:bCs/>
          <w:sz w:val="22"/>
          <w:szCs w:val="22"/>
          <w:lang w:val="sr-Latn-ME"/>
        </w:rPr>
        <w:t>Predoziranje</w:t>
      </w:r>
      <w:proofErr w:type="spellEnd"/>
      <w:r w:rsidR="002846DB" w:rsidRPr="003F7E57">
        <w:rPr>
          <w:b/>
          <w:bCs/>
          <w:sz w:val="22"/>
          <w:szCs w:val="22"/>
          <w:lang w:val="sr-Latn-ME"/>
        </w:rPr>
        <w:t xml:space="preserve"> </w:t>
      </w:r>
    </w:p>
    <w:p w14:paraId="6B04A2DD" w14:textId="02EB3458" w:rsidR="00CD6F02" w:rsidRPr="003F7E57" w:rsidRDefault="00CD6F02" w:rsidP="00991A59">
      <w:pPr>
        <w:tabs>
          <w:tab w:val="left" w:pos="540"/>
          <w:tab w:val="left" w:pos="569"/>
        </w:tabs>
        <w:jc w:val="both"/>
        <w:rPr>
          <w:b/>
          <w:bCs/>
          <w:sz w:val="22"/>
          <w:szCs w:val="22"/>
          <w:lang w:val="sr-Latn-ME"/>
        </w:rPr>
      </w:pPr>
    </w:p>
    <w:p w14:paraId="33F83DAE" w14:textId="77777777" w:rsidR="0064325B" w:rsidRPr="003F7E57" w:rsidRDefault="0064325B" w:rsidP="00CE2D38">
      <w:pPr>
        <w:tabs>
          <w:tab w:val="left" w:pos="567"/>
        </w:tabs>
        <w:autoSpaceDE w:val="0"/>
        <w:autoSpaceDN w:val="0"/>
        <w:adjustRightInd w:val="0"/>
        <w:jc w:val="both"/>
        <w:rPr>
          <w:color w:val="000000"/>
          <w:sz w:val="22"/>
          <w:szCs w:val="22"/>
          <w:lang w:val="sr-Latn-ME"/>
        </w:rPr>
      </w:pPr>
      <w:r w:rsidRPr="003F7E57">
        <w:rPr>
          <w:color w:val="000000"/>
          <w:sz w:val="22"/>
          <w:szCs w:val="22"/>
          <w:lang w:val="sr-Latn-ME"/>
        </w:rPr>
        <w:t xml:space="preserve">Nema dostupnih podataka o </w:t>
      </w:r>
      <w:proofErr w:type="spellStart"/>
      <w:r w:rsidRPr="003F7E57">
        <w:rPr>
          <w:color w:val="000000"/>
          <w:sz w:val="22"/>
          <w:szCs w:val="22"/>
          <w:lang w:val="sr-Latn-ME"/>
        </w:rPr>
        <w:t>predoziranju</w:t>
      </w:r>
      <w:proofErr w:type="spellEnd"/>
      <w:r w:rsidRPr="003F7E57">
        <w:rPr>
          <w:color w:val="000000"/>
          <w:sz w:val="22"/>
          <w:szCs w:val="22"/>
          <w:lang w:val="sr-Latn-ME"/>
        </w:rPr>
        <w:t xml:space="preserve"> lijekom </w:t>
      </w:r>
      <w:proofErr w:type="spellStart"/>
      <w:r w:rsidRPr="003F7E57">
        <w:rPr>
          <w:color w:val="000000"/>
          <w:sz w:val="22"/>
          <w:szCs w:val="22"/>
          <w:lang w:val="sr-Latn-ME"/>
        </w:rPr>
        <w:t>Eucreas</w:t>
      </w:r>
      <w:proofErr w:type="spellEnd"/>
      <w:r w:rsidRPr="003F7E57">
        <w:rPr>
          <w:color w:val="000000"/>
          <w:sz w:val="22"/>
          <w:szCs w:val="22"/>
          <w:lang w:val="sr-Latn-ME"/>
        </w:rPr>
        <w:t>.</w:t>
      </w:r>
    </w:p>
    <w:p w14:paraId="1443C114" w14:textId="77777777" w:rsidR="0064325B" w:rsidRPr="003F7E57" w:rsidRDefault="0064325B">
      <w:pPr>
        <w:tabs>
          <w:tab w:val="left" w:pos="540"/>
          <w:tab w:val="left" w:pos="569"/>
        </w:tabs>
        <w:jc w:val="both"/>
        <w:rPr>
          <w:b/>
          <w:bCs/>
          <w:sz w:val="22"/>
          <w:szCs w:val="22"/>
          <w:lang w:val="sr-Latn-ME"/>
        </w:rPr>
      </w:pPr>
    </w:p>
    <w:p w14:paraId="1CA3BB0B" w14:textId="77777777" w:rsidR="0064325B" w:rsidRPr="003F7E57" w:rsidRDefault="0064325B">
      <w:pPr>
        <w:tabs>
          <w:tab w:val="left" w:pos="567"/>
        </w:tabs>
        <w:autoSpaceDE w:val="0"/>
        <w:autoSpaceDN w:val="0"/>
        <w:adjustRightInd w:val="0"/>
        <w:jc w:val="both"/>
        <w:rPr>
          <w:iCs/>
          <w:noProof/>
          <w:sz w:val="22"/>
          <w:szCs w:val="22"/>
          <w:u w:val="single"/>
          <w:lang w:val="sr-Latn-ME"/>
        </w:rPr>
      </w:pPr>
      <w:r w:rsidRPr="003F7E57">
        <w:rPr>
          <w:iCs/>
          <w:noProof/>
          <w:sz w:val="22"/>
          <w:szCs w:val="22"/>
          <w:u w:val="single"/>
          <w:lang w:val="sr-Latn-ME"/>
        </w:rPr>
        <w:t>Vildagliptin</w:t>
      </w:r>
    </w:p>
    <w:p w14:paraId="504B610C" w14:textId="3B49E02A" w:rsidR="0064325B" w:rsidRPr="003F7E57" w:rsidRDefault="0064325B">
      <w:pPr>
        <w:tabs>
          <w:tab w:val="left" w:pos="567"/>
        </w:tabs>
        <w:autoSpaceDE w:val="0"/>
        <w:autoSpaceDN w:val="0"/>
        <w:adjustRightInd w:val="0"/>
        <w:jc w:val="both"/>
        <w:rPr>
          <w:color w:val="000000"/>
          <w:sz w:val="22"/>
          <w:szCs w:val="22"/>
          <w:lang w:val="sr-Latn-ME"/>
        </w:rPr>
      </w:pPr>
      <w:r w:rsidRPr="003F7E57">
        <w:rPr>
          <w:color w:val="000000"/>
          <w:sz w:val="22"/>
          <w:szCs w:val="22"/>
          <w:lang w:val="sr-Latn-ME"/>
        </w:rPr>
        <w:t xml:space="preserve">Informacije o </w:t>
      </w:r>
      <w:proofErr w:type="spellStart"/>
      <w:r w:rsidRPr="003F7E57">
        <w:rPr>
          <w:color w:val="000000"/>
          <w:sz w:val="22"/>
          <w:szCs w:val="22"/>
          <w:lang w:val="sr-Latn-ME"/>
        </w:rPr>
        <w:t>predoziranju</w:t>
      </w:r>
      <w:proofErr w:type="spellEnd"/>
      <w:r w:rsidRPr="003F7E57">
        <w:rPr>
          <w:color w:val="000000"/>
          <w:sz w:val="22"/>
          <w:szCs w:val="22"/>
          <w:lang w:val="sr-Latn-ME"/>
        </w:rPr>
        <w:t xml:space="preserve"> </w:t>
      </w:r>
      <w:proofErr w:type="spellStart"/>
      <w:r w:rsidRPr="003F7E57">
        <w:rPr>
          <w:color w:val="000000"/>
          <w:sz w:val="22"/>
          <w:szCs w:val="22"/>
          <w:lang w:val="sr-Latn-ME"/>
        </w:rPr>
        <w:t>vildagliptinom</w:t>
      </w:r>
      <w:proofErr w:type="spellEnd"/>
      <w:r w:rsidRPr="003F7E57">
        <w:rPr>
          <w:color w:val="000000"/>
          <w:sz w:val="22"/>
          <w:szCs w:val="22"/>
          <w:lang w:val="sr-Latn-ME"/>
        </w:rPr>
        <w:t xml:space="preserve"> su ograničene.</w:t>
      </w:r>
    </w:p>
    <w:p w14:paraId="1C2987CC" w14:textId="004B5D1A" w:rsidR="0064325B" w:rsidRPr="003F7E57" w:rsidRDefault="0064325B">
      <w:pPr>
        <w:tabs>
          <w:tab w:val="left" w:pos="567"/>
        </w:tabs>
        <w:autoSpaceDE w:val="0"/>
        <w:autoSpaceDN w:val="0"/>
        <w:adjustRightInd w:val="0"/>
        <w:jc w:val="both"/>
        <w:rPr>
          <w:color w:val="000000"/>
          <w:sz w:val="22"/>
          <w:szCs w:val="22"/>
          <w:lang w:val="sr-Latn-ME"/>
        </w:rPr>
      </w:pPr>
    </w:p>
    <w:p w14:paraId="294EA464" w14:textId="77777777" w:rsidR="0064325B" w:rsidRPr="003F7E57" w:rsidRDefault="0064325B">
      <w:pPr>
        <w:tabs>
          <w:tab w:val="left" w:pos="567"/>
        </w:tabs>
        <w:autoSpaceDE w:val="0"/>
        <w:autoSpaceDN w:val="0"/>
        <w:adjustRightInd w:val="0"/>
        <w:jc w:val="both"/>
        <w:rPr>
          <w:i/>
          <w:color w:val="000000"/>
          <w:sz w:val="22"/>
          <w:szCs w:val="22"/>
          <w:u w:val="single"/>
          <w:lang w:val="sr-Latn-ME"/>
        </w:rPr>
      </w:pPr>
      <w:r w:rsidRPr="003F7E57">
        <w:rPr>
          <w:i/>
          <w:color w:val="000000"/>
          <w:sz w:val="22"/>
          <w:szCs w:val="22"/>
          <w:u w:val="single"/>
          <w:lang w:val="sr-Latn-ME"/>
        </w:rPr>
        <w:t>Simptomi</w:t>
      </w:r>
    </w:p>
    <w:p w14:paraId="663F6691" w14:textId="7388AA35" w:rsidR="0064325B" w:rsidRPr="003F7E57" w:rsidRDefault="0064325B">
      <w:pPr>
        <w:tabs>
          <w:tab w:val="left" w:pos="567"/>
        </w:tabs>
        <w:autoSpaceDE w:val="0"/>
        <w:autoSpaceDN w:val="0"/>
        <w:adjustRightInd w:val="0"/>
        <w:jc w:val="both"/>
        <w:rPr>
          <w:noProof/>
          <w:sz w:val="22"/>
          <w:szCs w:val="22"/>
          <w:lang w:val="sr-Latn-ME"/>
        </w:rPr>
      </w:pPr>
      <w:r w:rsidRPr="003F7E57">
        <w:rPr>
          <w:color w:val="000000"/>
          <w:sz w:val="22"/>
          <w:szCs w:val="22"/>
          <w:lang w:val="sr-Latn-ME"/>
        </w:rPr>
        <w:t xml:space="preserve">Informacije o mogućim simptomima </w:t>
      </w:r>
      <w:proofErr w:type="spellStart"/>
      <w:r w:rsidRPr="003F7E57">
        <w:rPr>
          <w:color w:val="000000"/>
          <w:sz w:val="22"/>
          <w:szCs w:val="22"/>
          <w:lang w:val="sr-Latn-ME"/>
        </w:rPr>
        <w:t>predoziranja</w:t>
      </w:r>
      <w:proofErr w:type="spellEnd"/>
      <w:r w:rsidRPr="003F7E57">
        <w:rPr>
          <w:color w:val="000000"/>
          <w:sz w:val="22"/>
          <w:szCs w:val="22"/>
          <w:lang w:val="sr-Latn-ME"/>
        </w:rPr>
        <w:t xml:space="preserve"> sa </w:t>
      </w:r>
      <w:proofErr w:type="spellStart"/>
      <w:r w:rsidRPr="003F7E57">
        <w:rPr>
          <w:color w:val="000000"/>
          <w:sz w:val="22"/>
          <w:szCs w:val="22"/>
          <w:lang w:val="sr-Latn-ME"/>
        </w:rPr>
        <w:t>vildagliptinom</w:t>
      </w:r>
      <w:proofErr w:type="spellEnd"/>
      <w:r w:rsidRPr="003F7E57">
        <w:rPr>
          <w:color w:val="000000"/>
          <w:sz w:val="22"/>
          <w:szCs w:val="22"/>
          <w:lang w:val="sr-Latn-ME"/>
        </w:rPr>
        <w:t xml:space="preserve"> uzete su iz ispitivanja </w:t>
      </w:r>
      <w:proofErr w:type="spellStart"/>
      <w:r w:rsidRPr="003F7E57">
        <w:rPr>
          <w:color w:val="000000"/>
          <w:sz w:val="22"/>
          <w:szCs w:val="22"/>
          <w:lang w:val="sr-Latn-ME"/>
        </w:rPr>
        <w:t>podnošljivosti</w:t>
      </w:r>
      <w:proofErr w:type="spellEnd"/>
      <w:r w:rsidRPr="003F7E57">
        <w:rPr>
          <w:color w:val="000000"/>
          <w:sz w:val="22"/>
          <w:szCs w:val="22"/>
          <w:lang w:val="sr-Latn-ME"/>
        </w:rPr>
        <w:t xml:space="preserve"> povećanja doze kod zdravih ispitanika koji su primali </w:t>
      </w:r>
      <w:proofErr w:type="spellStart"/>
      <w:r w:rsidRPr="003F7E57">
        <w:rPr>
          <w:color w:val="000000"/>
          <w:sz w:val="22"/>
          <w:szCs w:val="22"/>
          <w:lang w:val="sr-Latn-ME"/>
        </w:rPr>
        <w:t>vildagliptin</w:t>
      </w:r>
      <w:proofErr w:type="spellEnd"/>
      <w:r w:rsidRPr="003F7E57">
        <w:rPr>
          <w:color w:val="000000"/>
          <w:sz w:val="22"/>
          <w:szCs w:val="22"/>
          <w:lang w:val="sr-Latn-ME"/>
        </w:rPr>
        <w:t xml:space="preserve"> tokom 10 dana. Pri dozi od 400 mg pojavila su se tri slučaja bolova u mišićima i pojedinačni slučajevi blage i prolazne </w:t>
      </w:r>
      <w:proofErr w:type="spellStart"/>
      <w:r w:rsidRPr="003F7E57">
        <w:rPr>
          <w:color w:val="000000"/>
          <w:sz w:val="22"/>
          <w:szCs w:val="22"/>
          <w:lang w:val="sr-Latn-ME"/>
        </w:rPr>
        <w:t>parestezije</w:t>
      </w:r>
      <w:proofErr w:type="spellEnd"/>
      <w:r w:rsidRPr="003F7E57">
        <w:rPr>
          <w:color w:val="000000"/>
          <w:sz w:val="22"/>
          <w:szCs w:val="22"/>
          <w:lang w:val="sr-Latn-ME"/>
        </w:rPr>
        <w:t xml:space="preserve">, groznice, </w:t>
      </w:r>
      <w:proofErr w:type="spellStart"/>
      <w:r w:rsidRPr="003F7E57">
        <w:rPr>
          <w:color w:val="000000"/>
          <w:sz w:val="22"/>
          <w:szCs w:val="22"/>
          <w:lang w:val="sr-Latn-ME"/>
        </w:rPr>
        <w:t>edema</w:t>
      </w:r>
      <w:proofErr w:type="spellEnd"/>
      <w:r w:rsidRPr="003F7E57">
        <w:rPr>
          <w:color w:val="000000"/>
          <w:sz w:val="22"/>
          <w:szCs w:val="22"/>
          <w:lang w:val="sr-Latn-ME"/>
        </w:rPr>
        <w:t xml:space="preserve"> i prolazno povećanje koncentracije </w:t>
      </w:r>
      <w:proofErr w:type="spellStart"/>
      <w:r w:rsidRPr="003F7E57">
        <w:rPr>
          <w:color w:val="000000"/>
          <w:sz w:val="22"/>
          <w:szCs w:val="22"/>
          <w:lang w:val="sr-Latn-ME"/>
        </w:rPr>
        <w:t>lipaze</w:t>
      </w:r>
      <w:proofErr w:type="spellEnd"/>
      <w:r w:rsidRPr="003F7E57">
        <w:rPr>
          <w:color w:val="000000"/>
          <w:sz w:val="22"/>
          <w:szCs w:val="22"/>
          <w:lang w:val="sr-Latn-ME"/>
        </w:rPr>
        <w:t xml:space="preserve">. Pri dozi od 600 mg kod jednog ispitanika došlo do </w:t>
      </w:r>
      <w:proofErr w:type="spellStart"/>
      <w:r w:rsidRPr="003F7E57">
        <w:rPr>
          <w:color w:val="000000"/>
          <w:sz w:val="22"/>
          <w:szCs w:val="22"/>
          <w:lang w:val="sr-Latn-ME"/>
        </w:rPr>
        <w:t>edema</w:t>
      </w:r>
      <w:proofErr w:type="spellEnd"/>
      <w:r w:rsidRPr="003F7E57">
        <w:rPr>
          <w:color w:val="000000"/>
          <w:sz w:val="22"/>
          <w:szCs w:val="22"/>
          <w:lang w:val="sr-Latn-ME"/>
        </w:rPr>
        <w:t xml:space="preserve"> stopala i šaka i porasta koncentracije </w:t>
      </w:r>
      <w:proofErr w:type="spellStart"/>
      <w:r w:rsidRPr="003F7E57">
        <w:rPr>
          <w:color w:val="000000"/>
          <w:sz w:val="22"/>
          <w:szCs w:val="22"/>
          <w:lang w:val="sr-Latn-ME"/>
        </w:rPr>
        <w:t>kreatin</w:t>
      </w:r>
      <w:proofErr w:type="spellEnd"/>
      <w:r w:rsidRPr="003F7E57">
        <w:rPr>
          <w:color w:val="000000"/>
          <w:sz w:val="22"/>
          <w:szCs w:val="22"/>
          <w:lang w:val="sr-Latn-ME"/>
        </w:rPr>
        <w:t xml:space="preserve"> </w:t>
      </w:r>
      <w:proofErr w:type="spellStart"/>
      <w:r w:rsidRPr="003F7E57">
        <w:rPr>
          <w:color w:val="000000"/>
          <w:sz w:val="22"/>
          <w:szCs w:val="22"/>
          <w:lang w:val="sr-Latn-ME"/>
        </w:rPr>
        <w:t>fosfokinaze</w:t>
      </w:r>
      <w:proofErr w:type="spellEnd"/>
      <w:r w:rsidRPr="003F7E57">
        <w:rPr>
          <w:color w:val="000000"/>
          <w:sz w:val="22"/>
          <w:szCs w:val="22"/>
          <w:lang w:val="sr-Latn-ME"/>
        </w:rPr>
        <w:t xml:space="preserve"> (</w:t>
      </w:r>
      <w:proofErr w:type="spellStart"/>
      <w:r w:rsidRPr="003F7E57">
        <w:rPr>
          <w:color w:val="000000"/>
          <w:sz w:val="22"/>
          <w:szCs w:val="22"/>
          <w:lang w:val="sr-Latn-ME"/>
        </w:rPr>
        <w:t>CPK</w:t>
      </w:r>
      <w:proofErr w:type="spellEnd"/>
      <w:r w:rsidRPr="003F7E57">
        <w:rPr>
          <w:color w:val="000000"/>
          <w:sz w:val="22"/>
          <w:szCs w:val="22"/>
          <w:lang w:val="sr-Latn-ME"/>
        </w:rPr>
        <w:t>), AST, C-reaktivnog proteina (</w:t>
      </w:r>
      <w:proofErr w:type="spellStart"/>
      <w:r w:rsidRPr="003F7E57">
        <w:rPr>
          <w:color w:val="000000"/>
          <w:sz w:val="22"/>
          <w:szCs w:val="22"/>
          <w:lang w:val="sr-Latn-ME"/>
        </w:rPr>
        <w:t>CRP</w:t>
      </w:r>
      <w:proofErr w:type="spellEnd"/>
      <w:r w:rsidRPr="003F7E57">
        <w:rPr>
          <w:color w:val="000000"/>
          <w:sz w:val="22"/>
          <w:szCs w:val="22"/>
          <w:lang w:val="sr-Latn-ME"/>
        </w:rPr>
        <w:t xml:space="preserve">) i </w:t>
      </w:r>
      <w:proofErr w:type="spellStart"/>
      <w:r w:rsidRPr="003F7E57">
        <w:rPr>
          <w:color w:val="000000"/>
          <w:sz w:val="22"/>
          <w:szCs w:val="22"/>
          <w:lang w:val="sr-Latn-ME"/>
        </w:rPr>
        <w:t>mioglobina</w:t>
      </w:r>
      <w:proofErr w:type="spellEnd"/>
      <w:r w:rsidRPr="003F7E57">
        <w:rPr>
          <w:color w:val="000000"/>
          <w:sz w:val="22"/>
          <w:szCs w:val="22"/>
          <w:lang w:val="sr-Latn-ME"/>
        </w:rPr>
        <w:t xml:space="preserve">. Kod tri druga ispitanika došlo je do </w:t>
      </w:r>
      <w:proofErr w:type="spellStart"/>
      <w:r w:rsidRPr="003F7E57">
        <w:rPr>
          <w:color w:val="000000"/>
          <w:sz w:val="22"/>
          <w:szCs w:val="22"/>
          <w:lang w:val="sr-Latn-ME"/>
        </w:rPr>
        <w:t>edema</w:t>
      </w:r>
      <w:proofErr w:type="spellEnd"/>
      <w:r w:rsidRPr="003F7E57">
        <w:rPr>
          <w:color w:val="000000"/>
          <w:sz w:val="22"/>
          <w:szCs w:val="22"/>
          <w:lang w:val="sr-Latn-ME"/>
        </w:rPr>
        <w:t xml:space="preserve"> stopala, sa </w:t>
      </w:r>
      <w:proofErr w:type="spellStart"/>
      <w:r w:rsidRPr="003F7E57">
        <w:rPr>
          <w:color w:val="000000"/>
          <w:sz w:val="22"/>
          <w:szCs w:val="22"/>
          <w:lang w:val="sr-Latn-ME"/>
        </w:rPr>
        <w:t>parestezijom</w:t>
      </w:r>
      <w:proofErr w:type="spellEnd"/>
      <w:r w:rsidRPr="003F7E57">
        <w:rPr>
          <w:color w:val="000000"/>
          <w:sz w:val="22"/>
          <w:szCs w:val="22"/>
          <w:lang w:val="sr-Latn-ME"/>
        </w:rPr>
        <w:t xml:space="preserve"> u dva slučaja. Nakon ukidanja ispitivanog lijeka, svi simptomi i abnormalne laboratorijske vrijednosti  su se povukli bez liječenja</w:t>
      </w:r>
      <w:r w:rsidRPr="003F7E57">
        <w:rPr>
          <w:noProof/>
          <w:sz w:val="22"/>
          <w:szCs w:val="22"/>
          <w:lang w:val="sr-Latn-ME"/>
        </w:rPr>
        <w:t>.</w:t>
      </w:r>
    </w:p>
    <w:p w14:paraId="5CF6A405" w14:textId="7CFF3BE3" w:rsidR="0064325B" w:rsidRPr="003F7E57" w:rsidRDefault="0064325B">
      <w:pPr>
        <w:tabs>
          <w:tab w:val="left" w:pos="567"/>
        </w:tabs>
        <w:autoSpaceDE w:val="0"/>
        <w:autoSpaceDN w:val="0"/>
        <w:adjustRightInd w:val="0"/>
        <w:jc w:val="both"/>
        <w:rPr>
          <w:noProof/>
          <w:sz w:val="22"/>
          <w:szCs w:val="22"/>
          <w:lang w:val="sr-Latn-ME"/>
        </w:rPr>
      </w:pPr>
    </w:p>
    <w:p w14:paraId="27859B00" w14:textId="77777777" w:rsidR="0064325B" w:rsidRPr="003F7E57" w:rsidRDefault="0064325B">
      <w:pPr>
        <w:tabs>
          <w:tab w:val="left" w:pos="567"/>
        </w:tabs>
        <w:autoSpaceDE w:val="0"/>
        <w:autoSpaceDN w:val="0"/>
        <w:adjustRightInd w:val="0"/>
        <w:jc w:val="both"/>
        <w:rPr>
          <w:iCs/>
          <w:noProof/>
          <w:sz w:val="22"/>
          <w:szCs w:val="22"/>
          <w:u w:val="single"/>
          <w:lang w:val="sr-Latn-ME"/>
        </w:rPr>
      </w:pPr>
      <w:r w:rsidRPr="003F7E57">
        <w:rPr>
          <w:iCs/>
          <w:noProof/>
          <w:sz w:val="22"/>
          <w:szCs w:val="22"/>
          <w:u w:val="single"/>
          <w:lang w:val="sr-Latn-ME"/>
        </w:rPr>
        <w:t>Metformin</w:t>
      </w:r>
    </w:p>
    <w:p w14:paraId="4B981B94" w14:textId="77777777" w:rsidR="0064325B" w:rsidRPr="003F7E57" w:rsidRDefault="0064325B">
      <w:pPr>
        <w:autoSpaceDE w:val="0"/>
        <w:autoSpaceDN w:val="0"/>
        <w:adjustRightInd w:val="0"/>
        <w:jc w:val="both"/>
        <w:rPr>
          <w:noProof/>
          <w:sz w:val="22"/>
          <w:szCs w:val="22"/>
          <w:lang w:val="sr-Latn-ME"/>
        </w:rPr>
      </w:pPr>
      <w:r w:rsidRPr="003F7E57">
        <w:rPr>
          <w:sz w:val="22"/>
          <w:szCs w:val="22"/>
          <w:lang w:val="sr-Latn-ME" w:bidi="th-TH"/>
        </w:rPr>
        <w:t xml:space="preserve">Znatno </w:t>
      </w:r>
      <w:proofErr w:type="spellStart"/>
      <w:r w:rsidRPr="003F7E57">
        <w:rPr>
          <w:sz w:val="22"/>
          <w:szCs w:val="22"/>
          <w:lang w:val="sr-Latn-ME" w:bidi="th-TH"/>
        </w:rPr>
        <w:t>predoziranje</w:t>
      </w:r>
      <w:proofErr w:type="spellEnd"/>
      <w:r w:rsidRPr="003F7E57">
        <w:rPr>
          <w:sz w:val="22"/>
          <w:szCs w:val="22"/>
          <w:lang w:val="sr-Latn-ME" w:bidi="th-TH"/>
        </w:rPr>
        <w:t xml:space="preserve"> </w:t>
      </w:r>
      <w:proofErr w:type="spellStart"/>
      <w:r w:rsidRPr="003F7E57">
        <w:rPr>
          <w:sz w:val="22"/>
          <w:szCs w:val="22"/>
          <w:lang w:val="sr-Latn-ME" w:bidi="th-TH"/>
        </w:rPr>
        <w:t>metforminom</w:t>
      </w:r>
      <w:proofErr w:type="spellEnd"/>
      <w:r w:rsidRPr="003F7E57">
        <w:rPr>
          <w:sz w:val="22"/>
          <w:szCs w:val="22"/>
          <w:lang w:val="sr-Latn-ME" w:bidi="th-TH"/>
        </w:rPr>
        <w:t xml:space="preserve"> (ili istovremeno prisutan rizik za razvoj </w:t>
      </w:r>
      <w:proofErr w:type="spellStart"/>
      <w:r w:rsidRPr="003F7E57">
        <w:rPr>
          <w:sz w:val="22"/>
          <w:szCs w:val="22"/>
          <w:lang w:val="sr-Latn-ME" w:bidi="th-TH"/>
        </w:rPr>
        <w:t>laktatne</w:t>
      </w:r>
      <w:proofErr w:type="spellEnd"/>
      <w:r w:rsidRPr="003F7E57">
        <w:rPr>
          <w:sz w:val="22"/>
          <w:szCs w:val="22"/>
          <w:lang w:val="sr-Latn-ME" w:bidi="th-TH"/>
        </w:rPr>
        <w:t xml:space="preserve"> </w:t>
      </w:r>
      <w:proofErr w:type="spellStart"/>
      <w:r w:rsidRPr="003F7E57">
        <w:rPr>
          <w:sz w:val="22"/>
          <w:szCs w:val="22"/>
          <w:lang w:val="sr-Latn-ME" w:bidi="th-TH"/>
        </w:rPr>
        <w:t>acidoze</w:t>
      </w:r>
      <w:proofErr w:type="spellEnd"/>
      <w:r w:rsidRPr="003F7E57">
        <w:rPr>
          <w:sz w:val="22"/>
          <w:szCs w:val="22"/>
          <w:lang w:val="sr-Latn-ME" w:bidi="th-TH"/>
        </w:rPr>
        <w:t xml:space="preserve">) može dovesti do </w:t>
      </w:r>
      <w:proofErr w:type="spellStart"/>
      <w:r w:rsidRPr="003F7E57">
        <w:rPr>
          <w:sz w:val="22"/>
          <w:szCs w:val="22"/>
          <w:lang w:val="sr-Latn-ME" w:bidi="th-TH"/>
        </w:rPr>
        <w:t>laktatne</w:t>
      </w:r>
      <w:proofErr w:type="spellEnd"/>
      <w:r w:rsidRPr="003F7E57">
        <w:rPr>
          <w:sz w:val="22"/>
          <w:szCs w:val="22"/>
          <w:lang w:val="sr-Latn-ME" w:bidi="th-TH"/>
        </w:rPr>
        <w:t xml:space="preserve"> </w:t>
      </w:r>
      <w:proofErr w:type="spellStart"/>
      <w:r w:rsidRPr="003F7E57">
        <w:rPr>
          <w:sz w:val="22"/>
          <w:szCs w:val="22"/>
          <w:lang w:val="sr-Latn-ME" w:bidi="th-TH"/>
        </w:rPr>
        <w:t>acidoze</w:t>
      </w:r>
      <w:proofErr w:type="spellEnd"/>
      <w:r w:rsidRPr="003F7E57">
        <w:rPr>
          <w:sz w:val="22"/>
          <w:szCs w:val="22"/>
          <w:lang w:val="sr-Latn-ME" w:bidi="th-TH"/>
        </w:rPr>
        <w:t>, što je medicinski hitno stanje i mora se liječiti u bolnici.</w:t>
      </w:r>
    </w:p>
    <w:p w14:paraId="2566C8AC" w14:textId="77777777" w:rsidR="0064325B" w:rsidRPr="003F7E57" w:rsidRDefault="0064325B">
      <w:pPr>
        <w:tabs>
          <w:tab w:val="left" w:pos="567"/>
        </w:tabs>
        <w:autoSpaceDE w:val="0"/>
        <w:autoSpaceDN w:val="0"/>
        <w:adjustRightInd w:val="0"/>
        <w:jc w:val="both"/>
        <w:rPr>
          <w:noProof/>
          <w:sz w:val="22"/>
          <w:szCs w:val="22"/>
          <w:lang w:val="sr-Latn-ME"/>
        </w:rPr>
      </w:pPr>
    </w:p>
    <w:p w14:paraId="732D2208" w14:textId="77777777" w:rsidR="0064325B" w:rsidRPr="003F7E57" w:rsidRDefault="0064325B">
      <w:pPr>
        <w:tabs>
          <w:tab w:val="left" w:pos="567"/>
        </w:tabs>
        <w:adjustRightInd w:val="0"/>
        <w:jc w:val="both"/>
        <w:rPr>
          <w:i/>
          <w:noProof/>
          <w:sz w:val="22"/>
          <w:szCs w:val="22"/>
          <w:u w:val="single"/>
          <w:lang w:val="sr-Latn-ME"/>
        </w:rPr>
      </w:pPr>
      <w:r w:rsidRPr="003F7E57">
        <w:rPr>
          <w:i/>
          <w:sz w:val="22"/>
          <w:szCs w:val="22"/>
          <w:u w:val="single"/>
          <w:lang w:val="sr-Latn-ME"/>
        </w:rPr>
        <w:t>Liječenje</w:t>
      </w:r>
    </w:p>
    <w:p w14:paraId="257F8BE9" w14:textId="77777777" w:rsidR="0064325B" w:rsidRPr="003F7E57" w:rsidRDefault="0064325B">
      <w:pPr>
        <w:tabs>
          <w:tab w:val="left" w:pos="567"/>
        </w:tabs>
        <w:autoSpaceDE w:val="0"/>
        <w:autoSpaceDN w:val="0"/>
        <w:adjustRightInd w:val="0"/>
        <w:jc w:val="both"/>
        <w:rPr>
          <w:noProof/>
          <w:sz w:val="22"/>
          <w:szCs w:val="22"/>
          <w:lang w:val="sr-Latn-ME"/>
        </w:rPr>
      </w:pPr>
      <w:r w:rsidRPr="003F7E57">
        <w:rPr>
          <w:noProof/>
          <w:sz w:val="22"/>
          <w:szCs w:val="22"/>
          <w:lang w:val="sr-Latn-ME"/>
        </w:rPr>
        <w:t>Najefikasnija metoda uklanjanjanja metformina je hemodijaliza. Međutim, vildagliptin se ne može ukloniti hemodijalizom iako se njegov glavni metabolit hidrolize (LAY 151) može. Preporučuje se suportivno liječenje.</w:t>
      </w:r>
    </w:p>
    <w:p w14:paraId="66A97F21" w14:textId="77777777" w:rsidR="0064325B" w:rsidRPr="003F7E57" w:rsidRDefault="0064325B" w:rsidP="00991A59">
      <w:pPr>
        <w:tabs>
          <w:tab w:val="left" w:pos="567"/>
        </w:tabs>
        <w:autoSpaceDE w:val="0"/>
        <w:autoSpaceDN w:val="0"/>
        <w:adjustRightInd w:val="0"/>
        <w:jc w:val="both"/>
        <w:rPr>
          <w:color w:val="000000"/>
          <w:sz w:val="22"/>
          <w:szCs w:val="22"/>
          <w:lang w:val="sr-Latn-ME"/>
        </w:rPr>
      </w:pPr>
    </w:p>
    <w:p w14:paraId="2BE8E78E" w14:textId="77777777" w:rsidR="00227BDB" w:rsidRPr="003F7E57" w:rsidRDefault="00227BDB" w:rsidP="00991A59">
      <w:pPr>
        <w:tabs>
          <w:tab w:val="left" w:pos="540"/>
          <w:tab w:val="left" w:pos="569"/>
        </w:tabs>
        <w:jc w:val="both"/>
        <w:rPr>
          <w:b/>
          <w:bCs/>
          <w:sz w:val="22"/>
          <w:szCs w:val="22"/>
          <w:lang w:val="sr-Latn-ME"/>
        </w:rPr>
      </w:pPr>
    </w:p>
    <w:p w14:paraId="21080263"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5. </w:t>
      </w:r>
      <w:r w:rsidR="00480FB1" w:rsidRPr="003F7E57">
        <w:rPr>
          <w:b/>
          <w:bCs/>
          <w:sz w:val="22"/>
          <w:szCs w:val="22"/>
          <w:lang w:val="sr-Latn-ME"/>
        </w:rPr>
        <w:tab/>
      </w:r>
      <w:r w:rsidRPr="003F7E57">
        <w:rPr>
          <w:b/>
          <w:bCs/>
          <w:sz w:val="22"/>
          <w:szCs w:val="22"/>
          <w:lang w:val="sr-Latn-ME"/>
        </w:rPr>
        <w:t>FARMAKOLOŠK</w:t>
      </w:r>
      <w:r w:rsidR="000D425A" w:rsidRPr="003F7E57">
        <w:rPr>
          <w:b/>
          <w:bCs/>
          <w:sz w:val="22"/>
          <w:szCs w:val="22"/>
          <w:lang w:val="sr-Latn-ME"/>
        </w:rPr>
        <w:t>I</w:t>
      </w:r>
      <w:r w:rsidRPr="003F7E57">
        <w:rPr>
          <w:b/>
          <w:bCs/>
          <w:sz w:val="22"/>
          <w:szCs w:val="22"/>
          <w:lang w:val="sr-Latn-ME"/>
        </w:rPr>
        <w:t xml:space="preserve"> PODACI</w:t>
      </w:r>
    </w:p>
    <w:p w14:paraId="4B505499" w14:textId="77777777" w:rsidR="0072020E" w:rsidRPr="003F7E57" w:rsidRDefault="0072020E" w:rsidP="00991A59">
      <w:pPr>
        <w:tabs>
          <w:tab w:val="left" w:pos="540"/>
          <w:tab w:val="left" w:pos="569"/>
        </w:tabs>
        <w:jc w:val="both"/>
        <w:rPr>
          <w:b/>
          <w:bCs/>
          <w:sz w:val="22"/>
          <w:szCs w:val="22"/>
          <w:lang w:val="sr-Latn-ME"/>
        </w:rPr>
      </w:pPr>
    </w:p>
    <w:p w14:paraId="63CA5A1B"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5.1. </w:t>
      </w:r>
      <w:r w:rsidR="00480FB1" w:rsidRPr="003F7E57">
        <w:rPr>
          <w:b/>
          <w:bCs/>
          <w:sz w:val="22"/>
          <w:szCs w:val="22"/>
          <w:lang w:val="sr-Latn-ME"/>
        </w:rPr>
        <w:tab/>
      </w:r>
      <w:proofErr w:type="spellStart"/>
      <w:r w:rsidRPr="003F7E57">
        <w:rPr>
          <w:b/>
          <w:bCs/>
          <w:sz w:val="22"/>
          <w:szCs w:val="22"/>
          <w:lang w:val="sr-Latn-ME"/>
        </w:rPr>
        <w:t>Farmakodinamski</w:t>
      </w:r>
      <w:proofErr w:type="spellEnd"/>
      <w:r w:rsidRPr="003F7E57">
        <w:rPr>
          <w:b/>
          <w:bCs/>
          <w:sz w:val="22"/>
          <w:szCs w:val="22"/>
          <w:lang w:val="sr-Latn-ME"/>
        </w:rPr>
        <w:t xml:space="preserve"> podaci</w:t>
      </w:r>
      <w:r w:rsidR="003A7059" w:rsidRPr="003F7E57">
        <w:rPr>
          <w:b/>
          <w:bCs/>
          <w:sz w:val="22"/>
          <w:szCs w:val="22"/>
          <w:lang w:val="sr-Latn-ME"/>
        </w:rPr>
        <w:t xml:space="preserve"> </w:t>
      </w:r>
    </w:p>
    <w:p w14:paraId="64EFA68E" w14:textId="77777777" w:rsidR="00F45F77" w:rsidRPr="003F7E57" w:rsidRDefault="00F45F77" w:rsidP="00991A59">
      <w:pPr>
        <w:tabs>
          <w:tab w:val="left" w:pos="540"/>
          <w:tab w:val="left" w:pos="569"/>
        </w:tabs>
        <w:jc w:val="both"/>
        <w:rPr>
          <w:b/>
          <w:bCs/>
          <w:sz w:val="22"/>
          <w:szCs w:val="22"/>
          <w:lang w:val="sr-Latn-ME"/>
        </w:rPr>
      </w:pPr>
    </w:p>
    <w:p w14:paraId="58D5933D" w14:textId="61353D1C" w:rsidR="0072020E" w:rsidRPr="003F7E57" w:rsidRDefault="0072020E" w:rsidP="00CE2D38">
      <w:pPr>
        <w:tabs>
          <w:tab w:val="left" w:pos="540"/>
          <w:tab w:val="left" w:pos="569"/>
        </w:tabs>
        <w:jc w:val="both"/>
        <w:rPr>
          <w:bCs/>
          <w:sz w:val="22"/>
          <w:szCs w:val="22"/>
          <w:lang w:val="sr-Latn-ME"/>
        </w:rPr>
      </w:pPr>
      <w:proofErr w:type="spellStart"/>
      <w:r w:rsidRPr="003F7E57">
        <w:rPr>
          <w:bCs/>
          <w:sz w:val="22"/>
          <w:szCs w:val="22"/>
          <w:lang w:val="sr-Latn-ME"/>
        </w:rPr>
        <w:t>Farmakoterapijska</w:t>
      </w:r>
      <w:proofErr w:type="spellEnd"/>
      <w:r w:rsidRPr="003F7E57">
        <w:rPr>
          <w:bCs/>
          <w:sz w:val="22"/>
          <w:szCs w:val="22"/>
          <w:lang w:val="sr-Latn-ME"/>
        </w:rPr>
        <w:t xml:space="preserve"> grupa:</w:t>
      </w:r>
      <w:r w:rsidR="0064325B" w:rsidRPr="003F7E57">
        <w:rPr>
          <w:bCs/>
          <w:sz w:val="22"/>
          <w:szCs w:val="22"/>
          <w:lang w:val="sr-Latn-ME"/>
        </w:rPr>
        <w:t xml:space="preserve"> </w:t>
      </w:r>
      <w:r w:rsidR="0064325B" w:rsidRPr="003F7E57">
        <w:rPr>
          <w:noProof/>
          <w:sz w:val="22"/>
          <w:szCs w:val="22"/>
          <w:lang w:val="sr-Latn-ME"/>
        </w:rPr>
        <w:t>Ljekovi koji snižavaju glukozu u krvi, isključujući insuline; kombinacija oralnih ljekova za snižavanje glukoze u krvi</w:t>
      </w:r>
    </w:p>
    <w:p w14:paraId="147E7C74" w14:textId="77777777" w:rsidR="0072020E" w:rsidRPr="003F7E57" w:rsidRDefault="0072020E">
      <w:pPr>
        <w:tabs>
          <w:tab w:val="left" w:pos="540"/>
          <w:tab w:val="left" w:pos="569"/>
        </w:tabs>
        <w:jc w:val="both"/>
        <w:rPr>
          <w:bCs/>
          <w:sz w:val="22"/>
          <w:szCs w:val="22"/>
          <w:lang w:val="sr-Latn-ME"/>
        </w:rPr>
      </w:pPr>
    </w:p>
    <w:p w14:paraId="53793A31" w14:textId="50DEC307" w:rsidR="0072020E" w:rsidRPr="003F7E57" w:rsidRDefault="0072020E">
      <w:pPr>
        <w:tabs>
          <w:tab w:val="left" w:pos="540"/>
          <w:tab w:val="left" w:pos="569"/>
        </w:tabs>
        <w:jc w:val="both"/>
        <w:rPr>
          <w:noProof/>
          <w:sz w:val="22"/>
          <w:szCs w:val="22"/>
          <w:lang w:val="sr-Latn-ME"/>
        </w:rPr>
      </w:pPr>
      <w:r w:rsidRPr="003F7E57">
        <w:rPr>
          <w:bCs/>
          <w:sz w:val="22"/>
          <w:szCs w:val="22"/>
          <w:lang w:val="sr-Latn-ME"/>
        </w:rPr>
        <w:t>ATC kod:</w:t>
      </w:r>
      <w:r w:rsidR="0064325B" w:rsidRPr="003F7E57">
        <w:rPr>
          <w:bCs/>
          <w:sz w:val="22"/>
          <w:szCs w:val="22"/>
          <w:lang w:val="sr-Latn-ME"/>
        </w:rPr>
        <w:t xml:space="preserve"> </w:t>
      </w:r>
      <w:r w:rsidR="0064325B" w:rsidRPr="003F7E57">
        <w:rPr>
          <w:noProof/>
          <w:sz w:val="22"/>
          <w:szCs w:val="22"/>
          <w:lang w:val="sr-Latn-ME"/>
        </w:rPr>
        <w:t>A10BD08</w:t>
      </w:r>
    </w:p>
    <w:p w14:paraId="0CECB7D7" w14:textId="705573D7" w:rsidR="0064325B" w:rsidRPr="003F7E57" w:rsidRDefault="0064325B" w:rsidP="00991A59">
      <w:pPr>
        <w:tabs>
          <w:tab w:val="left" w:pos="540"/>
          <w:tab w:val="left" w:pos="569"/>
        </w:tabs>
        <w:jc w:val="both"/>
        <w:rPr>
          <w:noProof/>
          <w:sz w:val="22"/>
          <w:szCs w:val="22"/>
          <w:lang w:val="sr-Latn-ME"/>
        </w:rPr>
      </w:pPr>
    </w:p>
    <w:p w14:paraId="46ADAB85" w14:textId="77777777" w:rsidR="0064325B" w:rsidRPr="003F7E57" w:rsidRDefault="0064325B" w:rsidP="00CE2D38">
      <w:pPr>
        <w:tabs>
          <w:tab w:val="left" w:pos="567"/>
        </w:tabs>
        <w:autoSpaceDE w:val="0"/>
        <w:autoSpaceDN w:val="0"/>
        <w:adjustRightInd w:val="0"/>
        <w:jc w:val="both"/>
        <w:rPr>
          <w:sz w:val="22"/>
          <w:szCs w:val="22"/>
          <w:u w:val="single"/>
          <w:lang w:val="sr-Latn-ME"/>
        </w:rPr>
      </w:pPr>
      <w:r w:rsidRPr="003F7E57">
        <w:rPr>
          <w:sz w:val="22"/>
          <w:szCs w:val="22"/>
          <w:u w:val="single"/>
          <w:lang w:val="sr-Latn-ME"/>
        </w:rPr>
        <w:t>Mehanizam djelovanja</w:t>
      </w:r>
    </w:p>
    <w:p w14:paraId="0F99D5A0" w14:textId="201CCB77"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Lijek </w:t>
      </w:r>
      <w:proofErr w:type="spellStart"/>
      <w:r w:rsidRPr="003F7E57">
        <w:rPr>
          <w:sz w:val="22"/>
          <w:szCs w:val="22"/>
          <w:lang w:val="sr-Latn-ME" w:bidi="th-TH"/>
        </w:rPr>
        <w:t>Eucreas</w:t>
      </w:r>
      <w:proofErr w:type="spellEnd"/>
      <w:r w:rsidRPr="003F7E57">
        <w:rPr>
          <w:sz w:val="22"/>
          <w:szCs w:val="22"/>
          <w:lang w:val="sr-Latn-ME" w:bidi="th-TH"/>
        </w:rPr>
        <w:t xml:space="preserve"> sadrži kombinaciju dva </w:t>
      </w:r>
      <w:proofErr w:type="spellStart"/>
      <w:r w:rsidRPr="003F7E57">
        <w:rPr>
          <w:sz w:val="22"/>
          <w:szCs w:val="22"/>
          <w:lang w:val="sr-Latn-ME" w:bidi="th-TH"/>
        </w:rPr>
        <w:t>antihiperglikemijska</w:t>
      </w:r>
      <w:proofErr w:type="spellEnd"/>
      <w:r w:rsidRPr="003F7E57">
        <w:rPr>
          <w:sz w:val="22"/>
          <w:szCs w:val="22"/>
          <w:lang w:val="sr-Latn-ME" w:bidi="th-TH"/>
        </w:rPr>
        <w:t xml:space="preserve"> lijeka sa komplementarnim mehanizmima djelovanja za poboljšanje kontrole </w:t>
      </w:r>
      <w:proofErr w:type="spellStart"/>
      <w:r w:rsidRPr="003F7E57">
        <w:rPr>
          <w:sz w:val="22"/>
          <w:szCs w:val="22"/>
          <w:lang w:val="sr-Latn-ME" w:bidi="th-TH"/>
        </w:rPr>
        <w:t>glikemije</w:t>
      </w:r>
      <w:proofErr w:type="spellEnd"/>
      <w:r w:rsidRPr="003F7E57">
        <w:rPr>
          <w:sz w:val="22"/>
          <w:szCs w:val="22"/>
          <w:lang w:val="sr-Latn-ME" w:bidi="th-TH"/>
        </w:rPr>
        <w:t xml:space="preserve"> kod pacijenata sa dijabetes </w:t>
      </w:r>
      <w:proofErr w:type="spellStart"/>
      <w:r w:rsidRPr="003F7E57">
        <w:rPr>
          <w:sz w:val="22"/>
          <w:szCs w:val="22"/>
          <w:lang w:val="sr-Latn-ME" w:bidi="th-TH"/>
        </w:rPr>
        <w:t>melitusom</w:t>
      </w:r>
      <w:proofErr w:type="spellEnd"/>
      <w:r w:rsidRPr="003F7E57">
        <w:rPr>
          <w:sz w:val="22"/>
          <w:szCs w:val="22"/>
          <w:lang w:val="sr-Latn-ME" w:bidi="th-TH"/>
        </w:rPr>
        <w:t xml:space="preserve"> tipa 2: </w:t>
      </w:r>
      <w:proofErr w:type="spellStart"/>
      <w:r w:rsidRPr="003F7E57">
        <w:rPr>
          <w:sz w:val="22"/>
          <w:szCs w:val="22"/>
          <w:lang w:val="sr-Latn-ME" w:bidi="th-TH"/>
        </w:rPr>
        <w:t>vildagliptin</w:t>
      </w:r>
      <w:proofErr w:type="spellEnd"/>
      <w:r w:rsidRPr="003F7E57">
        <w:rPr>
          <w:sz w:val="22"/>
          <w:szCs w:val="22"/>
          <w:lang w:val="sr-Latn-ME" w:bidi="th-TH"/>
        </w:rPr>
        <w:t xml:space="preserve">, </w:t>
      </w:r>
      <w:r w:rsidRPr="003F7E57">
        <w:rPr>
          <w:sz w:val="22"/>
          <w:szCs w:val="22"/>
          <w:lang w:val="sr-Latn-ME"/>
        </w:rPr>
        <w:t xml:space="preserve">pripadnik grupe </w:t>
      </w:r>
      <w:proofErr w:type="spellStart"/>
      <w:r w:rsidRPr="003F7E57">
        <w:rPr>
          <w:sz w:val="22"/>
          <w:szCs w:val="22"/>
          <w:lang w:val="sr-Latn-ME"/>
        </w:rPr>
        <w:t>stimulatora</w:t>
      </w:r>
      <w:proofErr w:type="spellEnd"/>
      <w:r w:rsidRPr="003F7E57">
        <w:rPr>
          <w:sz w:val="22"/>
          <w:szCs w:val="22"/>
          <w:lang w:val="sr-Latn-ME"/>
        </w:rPr>
        <w:t xml:space="preserve"> </w:t>
      </w:r>
      <w:proofErr w:type="spellStart"/>
      <w:r w:rsidRPr="003F7E57">
        <w:rPr>
          <w:sz w:val="22"/>
          <w:szCs w:val="22"/>
          <w:lang w:val="sr-Latn-ME"/>
        </w:rPr>
        <w:t>Langerhansovih</w:t>
      </w:r>
      <w:proofErr w:type="spellEnd"/>
      <w:r w:rsidRPr="003F7E57">
        <w:rPr>
          <w:sz w:val="22"/>
          <w:szCs w:val="22"/>
          <w:lang w:val="sr-Latn-ME"/>
        </w:rPr>
        <w:t xml:space="preserve"> ostrvaca pankreasa i</w:t>
      </w:r>
      <w:r w:rsidRPr="003F7E57">
        <w:rPr>
          <w:sz w:val="22"/>
          <w:szCs w:val="22"/>
          <w:lang w:val="sr-Latn-ME" w:bidi="th-TH"/>
        </w:rPr>
        <w:t xml:space="preserve"> </w:t>
      </w:r>
      <w:proofErr w:type="spellStart"/>
      <w:r w:rsidRPr="003F7E57">
        <w:rPr>
          <w:sz w:val="22"/>
          <w:szCs w:val="22"/>
          <w:lang w:val="sr-Latn-ME" w:bidi="th-TH"/>
        </w:rPr>
        <w:t>metformin</w:t>
      </w:r>
      <w:proofErr w:type="spellEnd"/>
      <w:r w:rsidR="00806C70" w:rsidRPr="003F7E57">
        <w:rPr>
          <w:sz w:val="22"/>
          <w:szCs w:val="22"/>
          <w:lang w:val="sr-Latn-ME" w:bidi="th-TH"/>
        </w:rPr>
        <w:t xml:space="preserve"> </w:t>
      </w:r>
      <w:proofErr w:type="spellStart"/>
      <w:r w:rsidRPr="003F7E57">
        <w:rPr>
          <w:sz w:val="22"/>
          <w:szCs w:val="22"/>
          <w:lang w:val="sr-Latn-ME" w:bidi="th-TH"/>
        </w:rPr>
        <w:t>hidrohlorid</w:t>
      </w:r>
      <w:proofErr w:type="spellEnd"/>
      <w:r w:rsidRPr="003F7E57">
        <w:rPr>
          <w:sz w:val="22"/>
          <w:szCs w:val="22"/>
          <w:lang w:val="sr-Latn-ME" w:bidi="th-TH"/>
        </w:rPr>
        <w:t xml:space="preserve">, pripadnik grupe </w:t>
      </w:r>
      <w:proofErr w:type="spellStart"/>
      <w:r w:rsidRPr="003F7E57">
        <w:rPr>
          <w:sz w:val="22"/>
          <w:szCs w:val="22"/>
          <w:lang w:val="sr-Latn-ME" w:bidi="th-TH"/>
        </w:rPr>
        <w:t>bigvanidina</w:t>
      </w:r>
      <w:proofErr w:type="spellEnd"/>
      <w:r w:rsidRPr="003F7E57">
        <w:rPr>
          <w:sz w:val="22"/>
          <w:szCs w:val="22"/>
          <w:lang w:val="sr-Latn-ME" w:bidi="th-TH"/>
        </w:rPr>
        <w:t>.</w:t>
      </w:r>
    </w:p>
    <w:p w14:paraId="1BA51978" w14:textId="77777777" w:rsidR="0064325B" w:rsidRPr="003F7E57" w:rsidRDefault="0064325B">
      <w:pPr>
        <w:autoSpaceDE w:val="0"/>
        <w:autoSpaceDN w:val="0"/>
        <w:adjustRightInd w:val="0"/>
        <w:jc w:val="both"/>
        <w:rPr>
          <w:sz w:val="22"/>
          <w:szCs w:val="22"/>
          <w:lang w:val="sr-Latn-ME" w:bidi="th-TH"/>
        </w:rPr>
      </w:pPr>
    </w:p>
    <w:p w14:paraId="27CEC8DE" w14:textId="77777777" w:rsidR="0064325B" w:rsidRPr="003F7E57" w:rsidRDefault="0064325B">
      <w:pPr>
        <w:tabs>
          <w:tab w:val="left" w:pos="567"/>
        </w:tabs>
        <w:adjustRightInd w:val="0"/>
        <w:jc w:val="both"/>
        <w:rPr>
          <w:sz w:val="22"/>
          <w:szCs w:val="22"/>
          <w:lang w:val="sr-Latn-ME"/>
        </w:rPr>
      </w:pPr>
      <w:proofErr w:type="spellStart"/>
      <w:r w:rsidRPr="003F7E57">
        <w:rPr>
          <w:sz w:val="22"/>
          <w:szCs w:val="22"/>
          <w:lang w:val="sr-Latn-ME"/>
        </w:rPr>
        <w:t>Vildagliptin</w:t>
      </w:r>
      <w:proofErr w:type="spellEnd"/>
      <w:r w:rsidRPr="003F7E57">
        <w:rPr>
          <w:sz w:val="22"/>
          <w:szCs w:val="22"/>
          <w:lang w:val="sr-Latn-ME"/>
        </w:rPr>
        <w:t xml:space="preserve">, pripadnik grupe </w:t>
      </w:r>
      <w:proofErr w:type="spellStart"/>
      <w:r w:rsidRPr="003F7E57">
        <w:rPr>
          <w:sz w:val="22"/>
          <w:szCs w:val="22"/>
          <w:lang w:val="sr-Latn-ME"/>
        </w:rPr>
        <w:t>stimulatora</w:t>
      </w:r>
      <w:proofErr w:type="spellEnd"/>
      <w:r w:rsidRPr="003F7E57">
        <w:rPr>
          <w:sz w:val="22"/>
          <w:szCs w:val="22"/>
          <w:lang w:val="sr-Latn-ME"/>
        </w:rPr>
        <w:t xml:space="preserve"> </w:t>
      </w:r>
      <w:proofErr w:type="spellStart"/>
      <w:r w:rsidRPr="003F7E57">
        <w:rPr>
          <w:sz w:val="22"/>
          <w:szCs w:val="22"/>
          <w:lang w:val="sr-Latn-ME"/>
        </w:rPr>
        <w:t>Langerhansovih</w:t>
      </w:r>
      <w:proofErr w:type="spellEnd"/>
      <w:r w:rsidRPr="003F7E57">
        <w:rPr>
          <w:sz w:val="22"/>
          <w:szCs w:val="22"/>
          <w:lang w:val="sr-Latn-ME"/>
        </w:rPr>
        <w:t xml:space="preserve"> ostrvaca pankreasa, jak je i selektivni </w:t>
      </w:r>
      <w:proofErr w:type="spellStart"/>
      <w:r w:rsidRPr="003F7E57">
        <w:rPr>
          <w:sz w:val="22"/>
          <w:szCs w:val="22"/>
          <w:lang w:val="sr-Latn-ME"/>
        </w:rPr>
        <w:t>inhibitor</w:t>
      </w:r>
      <w:proofErr w:type="spellEnd"/>
      <w:r w:rsidRPr="003F7E57">
        <w:rPr>
          <w:sz w:val="22"/>
          <w:szCs w:val="22"/>
          <w:lang w:val="sr-Latn-ME"/>
        </w:rPr>
        <w:t xml:space="preserve"> </w:t>
      </w:r>
      <w:proofErr w:type="spellStart"/>
      <w:r w:rsidRPr="003F7E57">
        <w:rPr>
          <w:sz w:val="22"/>
          <w:szCs w:val="22"/>
          <w:lang w:val="sr-Latn-ME"/>
        </w:rPr>
        <w:t>dipeptidilpeptidaze</w:t>
      </w:r>
      <w:proofErr w:type="spellEnd"/>
      <w:r w:rsidRPr="003F7E57">
        <w:rPr>
          <w:sz w:val="22"/>
          <w:szCs w:val="22"/>
          <w:lang w:val="sr-Latn-ME"/>
        </w:rPr>
        <w:t>-4 (</w:t>
      </w:r>
      <w:proofErr w:type="spellStart"/>
      <w:r w:rsidRPr="003F7E57">
        <w:rPr>
          <w:sz w:val="22"/>
          <w:szCs w:val="22"/>
          <w:lang w:val="sr-Latn-ME"/>
        </w:rPr>
        <w:t>DPP</w:t>
      </w:r>
      <w:proofErr w:type="spellEnd"/>
      <w:r w:rsidRPr="003F7E57">
        <w:rPr>
          <w:sz w:val="22"/>
          <w:szCs w:val="22"/>
          <w:lang w:val="sr-Latn-ME"/>
        </w:rPr>
        <w:t xml:space="preserve">-4). </w:t>
      </w:r>
      <w:proofErr w:type="spellStart"/>
      <w:r w:rsidRPr="003F7E57">
        <w:rPr>
          <w:sz w:val="22"/>
          <w:szCs w:val="22"/>
          <w:lang w:val="sr-Latn-ME"/>
        </w:rPr>
        <w:t>Metformin</w:t>
      </w:r>
      <w:proofErr w:type="spellEnd"/>
      <w:r w:rsidRPr="003F7E57">
        <w:rPr>
          <w:sz w:val="22"/>
          <w:szCs w:val="22"/>
          <w:lang w:val="sr-Latn-ME"/>
        </w:rPr>
        <w:t xml:space="preserve"> prvenstveno djeluje smanjenjem endogene </w:t>
      </w:r>
      <w:proofErr w:type="spellStart"/>
      <w:r w:rsidRPr="003F7E57">
        <w:rPr>
          <w:sz w:val="22"/>
          <w:szCs w:val="22"/>
          <w:lang w:val="sr-Latn-ME"/>
        </w:rPr>
        <w:t>hepatičke</w:t>
      </w:r>
      <w:proofErr w:type="spellEnd"/>
      <w:r w:rsidRPr="003F7E57">
        <w:rPr>
          <w:sz w:val="22"/>
          <w:szCs w:val="22"/>
          <w:lang w:val="sr-Latn-ME"/>
        </w:rPr>
        <w:t xml:space="preserve"> proizvodnje glukoze.</w:t>
      </w:r>
    </w:p>
    <w:p w14:paraId="1949FCEA" w14:textId="6CE82326" w:rsidR="0064325B" w:rsidRPr="003F7E57" w:rsidRDefault="0064325B" w:rsidP="00991A59">
      <w:pPr>
        <w:tabs>
          <w:tab w:val="left" w:pos="540"/>
          <w:tab w:val="left" w:pos="569"/>
        </w:tabs>
        <w:jc w:val="both"/>
        <w:rPr>
          <w:bCs/>
          <w:sz w:val="22"/>
          <w:szCs w:val="22"/>
          <w:lang w:val="sr-Latn-ME"/>
        </w:rPr>
      </w:pPr>
    </w:p>
    <w:p w14:paraId="12B7329D" w14:textId="77777777" w:rsidR="0064325B" w:rsidRPr="003F7E57" w:rsidRDefault="0064325B" w:rsidP="00CE2D38">
      <w:pPr>
        <w:tabs>
          <w:tab w:val="left" w:pos="567"/>
        </w:tabs>
        <w:autoSpaceDE w:val="0"/>
        <w:autoSpaceDN w:val="0"/>
        <w:adjustRightInd w:val="0"/>
        <w:jc w:val="both"/>
        <w:rPr>
          <w:iCs/>
          <w:sz w:val="22"/>
          <w:szCs w:val="22"/>
          <w:u w:val="single"/>
          <w:lang w:val="sr-Latn-ME"/>
        </w:rPr>
      </w:pPr>
      <w:proofErr w:type="spellStart"/>
      <w:r w:rsidRPr="003F7E57">
        <w:rPr>
          <w:sz w:val="22"/>
          <w:szCs w:val="22"/>
          <w:u w:val="single"/>
          <w:lang w:val="sr-Latn-ME"/>
        </w:rPr>
        <w:t>Farmakodinamski</w:t>
      </w:r>
      <w:proofErr w:type="spellEnd"/>
      <w:r w:rsidRPr="003F7E57">
        <w:rPr>
          <w:sz w:val="22"/>
          <w:szCs w:val="22"/>
          <w:u w:val="single"/>
          <w:lang w:val="sr-Latn-ME"/>
        </w:rPr>
        <w:t xml:space="preserve"> efekti</w:t>
      </w:r>
    </w:p>
    <w:p w14:paraId="191D5F7E" w14:textId="77777777" w:rsidR="0064325B" w:rsidRPr="003F7E57" w:rsidRDefault="0064325B">
      <w:pPr>
        <w:tabs>
          <w:tab w:val="left" w:pos="567"/>
        </w:tabs>
        <w:autoSpaceDE w:val="0"/>
        <w:autoSpaceDN w:val="0"/>
        <w:adjustRightInd w:val="0"/>
        <w:jc w:val="both"/>
        <w:rPr>
          <w:i/>
          <w:iCs/>
          <w:sz w:val="22"/>
          <w:szCs w:val="22"/>
          <w:u w:val="single"/>
          <w:lang w:val="sr-Latn-ME"/>
        </w:rPr>
      </w:pPr>
      <w:proofErr w:type="spellStart"/>
      <w:r w:rsidRPr="003F7E57">
        <w:rPr>
          <w:i/>
          <w:iCs/>
          <w:sz w:val="22"/>
          <w:szCs w:val="22"/>
          <w:u w:val="single"/>
          <w:lang w:val="sr-Latn-ME"/>
        </w:rPr>
        <w:t>Vildagliptin</w:t>
      </w:r>
      <w:proofErr w:type="spellEnd"/>
    </w:p>
    <w:p w14:paraId="16E52FEE" w14:textId="77777777" w:rsidR="0064325B" w:rsidRPr="003F7E57" w:rsidRDefault="0064325B">
      <w:pPr>
        <w:tabs>
          <w:tab w:val="left" w:pos="567"/>
        </w:tabs>
        <w:autoSpaceDE w:val="0"/>
        <w:autoSpaceDN w:val="0"/>
        <w:adjustRightInd w:val="0"/>
        <w:jc w:val="both"/>
        <w:rPr>
          <w:sz w:val="22"/>
          <w:szCs w:val="22"/>
          <w:lang w:val="sr-Latn-ME"/>
        </w:rPr>
      </w:pPr>
      <w:proofErr w:type="spellStart"/>
      <w:r w:rsidRPr="003F7E57">
        <w:rPr>
          <w:sz w:val="22"/>
          <w:szCs w:val="22"/>
          <w:lang w:val="sr-Latn-ME" w:bidi="th-TH"/>
        </w:rPr>
        <w:t>Vildagliptin</w:t>
      </w:r>
      <w:proofErr w:type="spellEnd"/>
      <w:r w:rsidRPr="003F7E57">
        <w:rPr>
          <w:sz w:val="22"/>
          <w:szCs w:val="22"/>
          <w:lang w:val="sr-Latn-ME" w:bidi="th-TH"/>
        </w:rPr>
        <w:t xml:space="preserve"> primarno djeluje inhibirajući </w:t>
      </w:r>
      <w:r w:rsidRPr="003F7E57">
        <w:rPr>
          <w:sz w:val="22"/>
          <w:szCs w:val="22"/>
          <w:lang w:val="sr-Latn-ME"/>
        </w:rPr>
        <w:t xml:space="preserve">DPP-4, </w:t>
      </w:r>
      <w:r w:rsidRPr="003F7E57">
        <w:rPr>
          <w:sz w:val="22"/>
          <w:szCs w:val="22"/>
          <w:lang w:val="sr-Latn-ME" w:bidi="th-TH"/>
        </w:rPr>
        <w:t>enzim</w:t>
      </w:r>
      <w:r w:rsidRPr="003F7E57">
        <w:rPr>
          <w:sz w:val="22"/>
          <w:szCs w:val="22"/>
          <w:lang w:val="sr-Latn-ME"/>
        </w:rPr>
        <w:t xml:space="preserve"> koji je odgovoran za razgradnju </w:t>
      </w:r>
      <w:proofErr w:type="spellStart"/>
      <w:r w:rsidRPr="003F7E57">
        <w:rPr>
          <w:sz w:val="22"/>
          <w:szCs w:val="22"/>
          <w:lang w:val="sr-Latn-ME"/>
        </w:rPr>
        <w:t>inkretinskih</w:t>
      </w:r>
      <w:proofErr w:type="spellEnd"/>
      <w:r w:rsidRPr="003F7E57">
        <w:rPr>
          <w:sz w:val="22"/>
          <w:szCs w:val="22"/>
          <w:lang w:val="sr-Latn-ME"/>
        </w:rPr>
        <w:t xml:space="preserve"> hormona </w:t>
      </w:r>
      <w:proofErr w:type="spellStart"/>
      <w:r w:rsidRPr="003F7E57">
        <w:rPr>
          <w:sz w:val="22"/>
          <w:szCs w:val="22"/>
          <w:lang w:val="sr-Latn-ME"/>
        </w:rPr>
        <w:t>GLP</w:t>
      </w:r>
      <w:proofErr w:type="spellEnd"/>
      <w:r w:rsidRPr="003F7E57">
        <w:rPr>
          <w:sz w:val="22"/>
          <w:szCs w:val="22"/>
          <w:lang w:val="sr-Latn-ME"/>
        </w:rPr>
        <w:t>-1 (</w:t>
      </w:r>
      <w:proofErr w:type="spellStart"/>
      <w:r w:rsidRPr="003F7E57">
        <w:rPr>
          <w:sz w:val="22"/>
          <w:szCs w:val="22"/>
          <w:lang w:val="sr-Latn-ME"/>
        </w:rPr>
        <w:t>glukagonu</w:t>
      </w:r>
      <w:proofErr w:type="spellEnd"/>
      <w:r w:rsidRPr="003F7E57">
        <w:rPr>
          <w:sz w:val="22"/>
          <w:szCs w:val="22"/>
          <w:lang w:val="sr-Latn-ME"/>
        </w:rPr>
        <w:t xml:space="preserve"> sličan </w:t>
      </w:r>
      <w:proofErr w:type="spellStart"/>
      <w:r w:rsidRPr="003F7E57">
        <w:rPr>
          <w:sz w:val="22"/>
          <w:szCs w:val="22"/>
          <w:lang w:val="sr-Latn-ME"/>
        </w:rPr>
        <w:t>peptid</w:t>
      </w:r>
      <w:proofErr w:type="spellEnd"/>
      <w:r w:rsidRPr="003F7E57">
        <w:rPr>
          <w:sz w:val="22"/>
          <w:szCs w:val="22"/>
          <w:lang w:val="sr-Latn-ME"/>
        </w:rPr>
        <w:t xml:space="preserve"> 1) i </w:t>
      </w:r>
      <w:proofErr w:type="spellStart"/>
      <w:r w:rsidRPr="003F7E57">
        <w:rPr>
          <w:sz w:val="22"/>
          <w:szCs w:val="22"/>
          <w:lang w:val="sr-Latn-ME"/>
        </w:rPr>
        <w:t>GIP</w:t>
      </w:r>
      <w:proofErr w:type="spellEnd"/>
      <w:r w:rsidRPr="003F7E57">
        <w:rPr>
          <w:sz w:val="22"/>
          <w:szCs w:val="22"/>
          <w:lang w:val="sr-Latn-ME"/>
        </w:rPr>
        <w:t xml:space="preserve"> (</w:t>
      </w:r>
      <w:proofErr w:type="spellStart"/>
      <w:r w:rsidRPr="003F7E57">
        <w:rPr>
          <w:sz w:val="22"/>
          <w:szCs w:val="22"/>
          <w:lang w:val="sr-Latn-ME"/>
        </w:rPr>
        <w:t>insulinotropni</w:t>
      </w:r>
      <w:proofErr w:type="spellEnd"/>
      <w:r w:rsidRPr="003F7E57">
        <w:rPr>
          <w:sz w:val="22"/>
          <w:szCs w:val="22"/>
          <w:lang w:val="sr-Latn-ME"/>
        </w:rPr>
        <w:t xml:space="preserve"> </w:t>
      </w:r>
      <w:proofErr w:type="spellStart"/>
      <w:r w:rsidRPr="003F7E57">
        <w:rPr>
          <w:sz w:val="22"/>
          <w:szCs w:val="22"/>
          <w:lang w:val="sr-Latn-ME"/>
        </w:rPr>
        <w:t>polipeptid</w:t>
      </w:r>
      <w:proofErr w:type="spellEnd"/>
      <w:r w:rsidRPr="003F7E57">
        <w:rPr>
          <w:sz w:val="22"/>
          <w:szCs w:val="22"/>
          <w:lang w:val="sr-Latn-ME"/>
        </w:rPr>
        <w:t xml:space="preserve"> zavisan od glukoze).</w:t>
      </w:r>
    </w:p>
    <w:p w14:paraId="716C780D" w14:textId="77777777" w:rsidR="0064325B" w:rsidRPr="003F7E57" w:rsidRDefault="0064325B">
      <w:pPr>
        <w:tabs>
          <w:tab w:val="left" w:pos="567"/>
        </w:tabs>
        <w:autoSpaceDE w:val="0"/>
        <w:autoSpaceDN w:val="0"/>
        <w:adjustRightInd w:val="0"/>
        <w:jc w:val="both"/>
        <w:rPr>
          <w:sz w:val="22"/>
          <w:szCs w:val="22"/>
          <w:lang w:val="sr-Latn-ME"/>
        </w:rPr>
      </w:pPr>
    </w:p>
    <w:p w14:paraId="69468C92" w14:textId="77777777" w:rsidR="0064325B" w:rsidRPr="003F7E57" w:rsidRDefault="0064325B">
      <w:pPr>
        <w:tabs>
          <w:tab w:val="left" w:pos="567"/>
        </w:tabs>
        <w:autoSpaceDE w:val="0"/>
        <w:autoSpaceDN w:val="0"/>
        <w:adjustRightInd w:val="0"/>
        <w:jc w:val="both"/>
        <w:rPr>
          <w:iCs/>
          <w:sz w:val="22"/>
          <w:szCs w:val="22"/>
          <w:lang w:val="sr-Latn-ME"/>
        </w:rPr>
      </w:pPr>
      <w:r w:rsidRPr="003F7E57">
        <w:rPr>
          <w:iCs/>
          <w:sz w:val="22"/>
          <w:szCs w:val="22"/>
          <w:lang w:val="sr-Latn-ME"/>
        </w:rPr>
        <w:t xml:space="preserve">Primjena </w:t>
      </w:r>
      <w:proofErr w:type="spellStart"/>
      <w:r w:rsidRPr="003F7E57">
        <w:rPr>
          <w:iCs/>
          <w:sz w:val="22"/>
          <w:szCs w:val="22"/>
          <w:lang w:val="sr-Latn-ME"/>
        </w:rPr>
        <w:t>vildagliptina</w:t>
      </w:r>
      <w:proofErr w:type="spellEnd"/>
      <w:r w:rsidRPr="003F7E57">
        <w:rPr>
          <w:iCs/>
          <w:sz w:val="22"/>
          <w:szCs w:val="22"/>
          <w:lang w:val="sr-Latn-ME"/>
        </w:rPr>
        <w:t xml:space="preserve"> rezultuje brzom i potpunom inhibicijom aktivnosti DPP-4 koja dovodi do povišene  endogene koncentracije </w:t>
      </w:r>
      <w:proofErr w:type="spellStart"/>
      <w:r w:rsidRPr="003F7E57">
        <w:rPr>
          <w:iCs/>
          <w:sz w:val="22"/>
          <w:szCs w:val="22"/>
          <w:lang w:val="sr-Latn-ME"/>
        </w:rPr>
        <w:t>inkretinskih</w:t>
      </w:r>
      <w:proofErr w:type="spellEnd"/>
      <w:r w:rsidRPr="003F7E57">
        <w:rPr>
          <w:iCs/>
          <w:sz w:val="22"/>
          <w:szCs w:val="22"/>
          <w:lang w:val="sr-Latn-ME"/>
        </w:rPr>
        <w:t xml:space="preserve"> hormona </w:t>
      </w:r>
      <w:proofErr w:type="spellStart"/>
      <w:r w:rsidRPr="003F7E57">
        <w:rPr>
          <w:iCs/>
          <w:sz w:val="22"/>
          <w:szCs w:val="22"/>
          <w:lang w:val="sr-Latn-ME"/>
        </w:rPr>
        <w:t>GLP</w:t>
      </w:r>
      <w:proofErr w:type="spellEnd"/>
      <w:r w:rsidRPr="003F7E57">
        <w:rPr>
          <w:iCs/>
          <w:sz w:val="22"/>
          <w:szCs w:val="22"/>
          <w:lang w:val="sr-Latn-ME"/>
        </w:rPr>
        <w:t xml:space="preserve">-1 i </w:t>
      </w:r>
      <w:proofErr w:type="spellStart"/>
      <w:r w:rsidRPr="003F7E57">
        <w:rPr>
          <w:iCs/>
          <w:sz w:val="22"/>
          <w:szCs w:val="22"/>
          <w:lang w:val="sr-Latn-ME"/>
        </w:rPr>
        <w:t>GIP</w:t>
      </w:r>
      <w:proofErr w:type="spellEnd"/>
      <w:r w:rsidRPr="003F7E57">
        <w:rPr>
          <w:iCs/>
          <w:sz w:val="22"/>
          <w:szCs w:val="22"/>
          <w:lang w:val="sr-Latn-ME"/>
        </w:rPr>
        <w:t xml:space="preserve"> </w:t>
      </w:r>
      <w:proofErr w:type="spellStart"/>
      <w:r w:rsidRPr="003F7E57">
        <w:rPr>
          <w:iCs/>
          <w:sz w:val="22"/>
          <w:szCs w:val="22"/>
          <w:lang w:val="sr-Latn-ME"/>
        </w:rPr>
        <w:t>natašte</w:t>
      </w:r>
      <w:proofErr w:type="spellEnd"/>
      <w:r w:rsidRPr="003F7E57">
        <w:rPr>
          <w:iCs/>
          <w:sz w:val="22"/>
          <w:szCs w:val="22"/>
          <w:lang w:val="sr-Latn-ME"/>
        </w:rPr>
        <w:t xml:space="preserve"> i </w:t>
      </w:r>
      <w:proofErr w:type="spellStart"/>
      <w:r w:rsidRPr="003F7E57">
        <w:rPr>
          <w:iCs/>
          <w:sz w:val="22"/>
          <w:szCs w:val="22"/>
          <w:lang w:val="sr-Latn-ME"/>
        </w:rPr>
        <w:t>postprandijalno</w:t>
      </w:r>
      <w:proofErr w:type="spellEnd"/>
      <w:r w:rsidRPr="003F7E57">
        <w:rPr>
          <w:iCs/>
          <w:sz w:val="22"/>
          <w:szCs w:val="22"/>
          <w:lang w:val="sr-Latn-ME"/>
        </w:rPr>
        <w:t>.</w:t>
      </w:r>
    </w:p>
    <w:p w14:paraId="528BB500" w14:textId="77777777" w:rsidR="0064325B" w:rsidRPr="003F7E57" w:rsidRDefault="0064325B">
      <w:pPr>
        <w:tabs>
          <w:tab w:val="left" w:pos="567"/>
        </w:tabs>
        <w:autoSpaceDE w:val="0"/>
        <w:autoSpaceDN w:val="0"/>
        <w:adjustRightInd w:val="0"/>
        <w:jc w:val="both"/>
        <w:rPr>
          <w:iCs/>
          <w:sz w:val="22"/>
          <w:szCs w:val="22"/>
          <w:lang w:val="sr-Latn-ME"/>
        </w:rPr>
      </w:pPr>
    </w:p>
    <w:p w14:paraId="54AB936C" w14:textId="77777777" w:rsidR="0064325B" w:rsidRPr="003F7E57" w:rsidRDefault="0064325B">
      <w:pPr>
        <w:tabs>
          <w:tab w:val="left" w:pos="567"/>
        </w:tabs>
        <w:autoSpaceDE w:val="0"/>
        <w:autoSpaceDN w:val="0"/>
        <w:adjustRightInd w:val="0"/>
        <w:jc w:val="both"/>
        <w:rPr>
          <w:iCs/>
          <w:sz w:val="22"/>
          <w:szCs w:val="22"/>
          <w:lang w:val="sr-Latn-ME"/>
        </w:rPr>
      </w:pPr>
      <w:r w:rsidRPr="003F7E57">
        <w:rPr>
          <w:iCs/>
          <w:sz w:val="22"/>
          <w:szCs w:val="22"/>
          <w:lang w:val="sr-Latn-ME"/>
        </w:rPr>
        <w:t xml:space="preserve">Povećavanjem endogene koncentracije ovih </w:t>
      </w:r>
      <w:proofErr w:type="spellStart"/>
      <w:r w:rsidRPr="003F7E57">
        <w:rPr>
          <w:iCs/>
          <w:sz w:val="22"/>
          <w:szCs w:val="22"/>
          <w:lang w:val="sr-Latn-ME"/>
        </w:rPr>
        <w:t>inkretinskih</w:t>
      </w:r>
      <w:proofErr w:type="spellEnd"/>
      <w:r w:rsidRPr="003F7E57">
        <w:rPr>
          <w:iCs/>
          <w:sz w:val="22"/>
          <w:szCs w:val="22"/>
          <w:lang w:val="sr-Latn-ME"/>
        </w:rPr>
        <w:t xml:space="preserve"> hormona </w:t>
      </w:r>
      <w:proofErr w:type="spellStart"/>
      <w:r w:rsidRPr="003F7E57">
        <w:rPr>
          <w:iCs/>
          <w:sz w:val="22"/>
          <w:szCs w:val="22"/>
          <w:lang w:val="sr-Latn-ME"/>
        </w:rPr>
        <w:t>vildagliptin</w:t>
      </w:r>
      <w:proofErr w:type="spellEnd"/>
      <w:r w:rsidRPr="003F7E57">
        <w:rPr>
          <w:iCs/>
          <w:sz w:val="22"/>
          <w:szCs w:val="22"/>
          <w:lang w:val="sr-Latn-ME"/>
        </w:rPr>
        <w:t xml:space="preserve"> povećava osjetljivost beta ćelija na glukozu, što rezultuje poboljšanjem sekrecije insulina koja zavisi od glukoze. Liječenje </w:t>
      </w:r>
      <w:proofErr w:type="spellStart"/>
      <w:r w:rsidRPr="003F7E57">
        <w:rPr>
          <w:iCs/>
          <w:sz w:val="22"/>
          <w:szCs w:val="22"/>
          <w:lang w:val="sr-Latn-ME"/>
        </w:rPr>
        <w:t>vildagliptinom</w:t>
      </w:r>
      <w:proofErr w:type="spellEnd"/>
      <w:r w:rsidRPr="003F7E57">
        <w:rPr>
          <w:iCs/>
          <w:sz w:val="22"/>
          <w:szCs w:val="22"/>
          <w:lang w:val="sr-Latn-ME"/>
        </w:rPr>
        <w:t xml:space="preserve"> u dozi od 50 mg do 100 mg na dan kod pacijenata sa dijabetes </w:t>
      </w:r>
      <w:proofErr w:type="spellStart"/>
      <w:r w:rsidRPr="003F7E57">
        <w:rPr>
          <w:iCs/>
          <w:sz w:val="22"/>
          <w:szCs w:val="22"/>
          <w:lang w:val="sr-Latn-ME"/>
        </w:rPr>
        <w:t>melitusom</w:t>
      </w:r>
      <w:proofErr w:type="spellEnd"/>
      <w:r w:rsidRPr="003F7E57">
        <w:rPr>
          <w:iCs/>
          <w:sz w:val="22"/>
          <w:szCs w:val="22"/>
          <w:lang w:val="sr-Latn-ME"/>
        </w:rPr>
        <w:t xml:space="preserve"> tipa 2 značajno je poboljšalo markere funkcije beta ćelija, uključujući HOMA-</w:t>
      </w:r>
      <w:r w:rsidRPr="003F7E57">
        <w:rPr>
          <w:iCs/>
          <w:sz w:val="22"/>
          <w:szCs w:val="22"/>
          <w:lang w:val="sr-Latn-ME"/>
        </w:rPr>
        <w:sym w:font="Symbol" w:char="F062"/>
      </w:r>
      <w:r w:rsidRPr="003F7E57">
        <w:rPr>
          <w:iCs/>
          <w:sz w:val="22"/>
          <w:szCs w:val="22"/>
          <w:lang w:val="sr-Latn-ME"/>
        </w:rPr>
        <w:t xml:space="preserve"> (engl. </w:t>
      </w:r>
      <w:proofErr w:type="spellStart"/>
      <w:r w:rsidRPr="003F7E57">
        <w:rPr>
          <w:i/>
          <w:iCs/>
          <w:sz w:val="22"/>
          <w:szCs w:val="22"/>
          <w:lang w:val="sr-Latn-ME"/>
        </w:rPr>
        <w:t>Homeostasis</w:t>
      </w:r>
      <w:proofErr w:type="spellEnd"/>
      <w:r w:rsidRPr="003F7E57">
        <w:rPr>
          <w:i/>
          <w:iCs/>
          <w:sz w:val="22"/>
          <w:szCs w:val="22"/>
          <w:lang w:val="sr-Latn-ME"/>
        </w:rPr>
        <w:t xml:space="preserve"> Model </w:t>
      </w:r>
      <w:proofErr w:type="spellStart"/>
      <w:r w:rsidRPr="003F7E57">
        <w:rPr>
          <w:i/>
          <w:iCs/>
          <w:sz w:val="22"/>
          <w:szCs w:val="22"/>
          <w:lang w:val="sr-Latn-ME"/>
        </w:rPr>
        <w:t>Assessment</w:t>
      </w:r>
      <w:proofErr w:type="spellEnd"/>
      <w:r w:rsidRPr="003F7E57">
        <w:rPr>
          <w:iCs/>
          <w:sz w:val="22"/>
          <w:szCs w:val="22"/>
          <w:lang w:val="sr-Latn-ME"/>
        </w:rPr>
        <w:t>-</w:t>
      </w:r>
      <w:r w:rsidRPr="003F7E57">
        <w:rPr>
          <w:i/>
          <w:iCs/>
          <w:sz w:val="22"/>
          <w:szCs w:val="22"/>
          <w:lang w:val="sr-Latn-ME"/>
        </w:rPr>
        <w:sym w:font="Symbol" w:char="F062"/>
      </w:r>
      <w:r w:rsidRPr="003F7E57">
        <w:rPr>
          <w:iCs/>
          <w:sz w:val="22"/>
          <w:szCs w:val="22"/>
          <w:lang w:val="sr-Latn-ME"/>
        </w:rPr>
        <w:t xml:space="preserve">), odnos </w:t>
      </w:r>
      <w:proofErr w:type="spellStart"/>
      <w:r w:rsidRPr="003F7E57">
        <w:rPr>
          <w:iCs/>
          <w:sz w:val="22"/>
          <w:szCs w:val="22"/>
          <w:lang w:val="sr-Latn-ME"/>
        </w:rPr>
        <w:t>proinsulina</w:t>
      </w:r>
      <w:proofErr w:type="spellEnd"/>
      <w:r w:rsidRPr="003F7E57">
        <w:rPr>
          <w:iCs/>
          <w:sz w:val="22"/>
          <w:szCs w:val="22"/>
          <w:lang w:val="sr-Latn-ME"/>
        </w:rPr>
        <w:t xml:space="preserve"> prema insulinu i pokazatelje odgovora beta ćelija na osnovu često uzimanih uzoraka testa tolerancije hrane. Kod pojedinaca koji nijesu dijabetičari (normalne vrijednosti glukoze), </w:t>
      </w:r>
      <w:proofErr w:type="spellStart"/>
      <w:r w:rsidRPr="003F7E57">
        <w:rPr>
          <w:iCs/>
          <w:sz w:val="22"/>
          <w:szCs w:val="22"/>
          <w:lang w:val="sr-Latn-ME"/>
        </w:rPr>
        <w:t>vildagliptin</w:t>
      </w:r>
      <w:proofErr w:type="spellEnd"/>
      <w:r w:rsidRPr="003F7E57">
        <w:rPr>
          <w:iCs/>
          <w:sz w:val="22"/>
          <w:szCs w:val="22"/>
          <w:lang w:val="sr-Latn-ME"/>
        </w:rPr>
        <w:t xml:space="preserve"> ne stimuliše sekreciju insulina, niti snižava koncentraciju glukoze.</w:t>
      </w:r>
    </w:p>
    <w:p w14:paraId="55436894" w14:textId="77777777" w:rsidR="0064325B" w:rsidRPr="003F7E57" w:rsidRDefault="0064325B">
      <w:pPr>
        <w:tabs>
          <w:tab w:val="left" w:pos="567"/>
        </w:tabs>
        <w:autoSpaceDE w:val="0"/>
        <w:autoSpaceDN w:val="0"/>
        <w:adjustRightInd w:val="0"/>
        <w:jc w:val="both"/>
        <w:rPr>
          <w:iCs/>
          <w:sz w:val="22"/>
          <w:szCs w:val="22"/>
          <w:lang w:val="sr-Latn-ME"/>
        </w:rPr>
      </w:pPr>
    </w:p>
    <w:p w14:paraId="160FE782" w14:textId="77777777" w:rsidR="0064325B" w:rsidRPr="003F7E57" w:rsidRDefault="0064325B">
      <w:pPr>
        <w:tabs>
          <w:tab w:val="left" w:pos="567"/>
        </w:tabs>
        <w:autoSpaceDE w:val="0"/>
        <w:autoSpaceDN w:val="0"/>
        <w:adjustRightInd w:val="0"/>
        <w:jc w:val="both"/>
        <w:rPr>
          <w:iCs/>
          <w:sz w:val="22"/>
          <w:szCs w:val="22"/>
          <w:lang w:val="sr-Latn-ME"/>
        </w:rPr>
      </w:pPr>
      <w:r w:rsidRPr="003F7E57">
        <w:rPr>
          <w:iCs/>
          <w:sz w:val="22"/>
          <w:szCs w:val="22"/>
          <w:lang w:val="sr-Latn-ME"/>
        </w:rPr>
        <w:t xml:space="preserve">Povišenjem koncentracije endogenog </w:t>
      </w:r>
      <w:proofErr w:type="spellStart"/>
      <w:r w:rsidRPr="003F7E57">
        <w:rPr>
          <w:iCs/>
          <w:sz w:val="22"/>
          <w:szCs w:val="22"/>
          <w:lang w:val="sr-Latn-ME"/>
        </w:rPr>
        <w:t>GLP</w:t>
      </w:r>
      <w:proofErr w:type="spellEnd"/>
      <w:r w:rsidRPr="003F7E57">
        <w:rPr>
          <w:iCs/>
          <w:sz w:val="22"/>
          <w:szCs w:val="22"/>
          <w:lang w:val="sr-Latn-ME"/>
        </w:rPr>
        <w:t xml:space="preserve">-1, </w:t>
      </w:r>
      <w:proofErr w:type="spellStart"/>
      <w:r w:rsidRPr="003F7E57">
        <w:rPr>
          <w:iCs/>
          <w:sz w:val="22"/>
          <w:szCs w:val="22"/>
          <w:lang w:val="sr-Latn-ME"/>
        </w:rPr>
        <w:t>vildagliptin</w:t>
      </w:r>
      <w:proofErr w:type="spellEnd"/>
      <w:r w:rsidRPr="003F7E57">
        <w:rPr>
          <w:iCs/>
          <w:sz w:val="22"/>
          <w:szCs w:val="22"/>
          <w:lang w:val="sr-Latn-ME"/>
        </w:rPr>
        <w:t xml:space="preserve"> takođe povećava osjetljivost alfa ćelija na glukozu što rezultuje prikladnijom sekrecijom </w:t>
      </w:r>
      <w:proofErr w:type="spellStart"/>
      <w:r w:rsidRPr="003F7E57">
        <w:rPr>
          <w:iCs/>
          <w:sz w:val="22"/>
          <w:szCs w:val="22"/>
          <w:lang w:val="sr-Latn-ME"/>
        </w:rPr>
        <w:t>glukagona</w:t>
      </w:r>
      <w:proofErr w:type="spellEnd"/>
      <w:r w:rsidRPr="003F7E57">
        <w:rPr>
          <w:iCs/>
          <w:sz w:val="22"/>
          <w:szCs w:val="22"/>
          <w:lang w:val="sr-Latn-ME"/>
        </w:rPr>
        <w:t xml:space="preserve"> s obzirom na koncentraciju glukoze.</w:t>
      </w:r>
    </w:p>
    <w:p w14:paraId="7B3135B9" w14:textId="77777777" w:rsidR="0064325B" w:rsidRPr="003F7E57" w:rsidRDefault="0064325B">
      <w:pPr>
        <w:tabs>
          <w:tab w:val="left" w:pos="567"/>
        </w:tabs>
        <w:autoSpaceDE w:val="0"/>
        <w:autoSpaceDN w:val="0"/>
        <w:adjustRightInd w:val="0"/>
        <w:jc w:val="both"/>
        <w:rPr>
          <w:iCs/>
          <w:sz w:val="22"/>
          <w:szCs w:val="22"/>
          <w:lang w:val="sr-Latn-ME"/>
        </w:rPr>
      </w:pPr>
    </w:p>
    <w:p w14:paraId="29E6EFB2" w14:textId="67B5EEA0" w:rsidR="0064325B" w:rsidRPr="003F7E57" w:rsidRDefault="0064325B">
      <w:pPr>
        <w:tabs>
          <w:tab w:val="left" w:pos="567"/>
        </w:tabs>
        <w:autoSpaceDE w:val="0"/>
        <w:autoSpaceDN w:val="0"/>
        <w:adjustRightInd w:val="0"/>
        <w:jc w:val="both"/>
        <w:rPr>
          <w:iCs/>
          <w:sz w:val="22"/>
          <w:szCs w:val="22"/>
          <w:lang w:val="sr-Latn-ME"/>
        </w:rPr>
      </w:pPr>
      <w:r w:rsidRPr="003F7E57">
        <w:rPr>
          <w:iCs/>
          <w:sz w:val="22"/>
          <w:szCs w:val="22"/>
          <w:lang w:val="sr-Latn-ME"/>
        </w:rPr>
        <w:t>Pojačani porast odnosa insulina/</w:t>
      </w:r>
      <w:proofErr w:type="spellStart"/>
      <w:r w:rsidRPr="003F7E57">
        <w:rPr>
          <w:iCs/>
          <w:sz w:val="22"/>
          <w:szCs w:val="22"/>
          <w:lang w:val="sr-Latn-ME"/>
        </w:rPr>
        <w:t>glukagona</w:t>
      </w:r>
      <w:proofErr w:type="spellEnd"/>
      <w:r w:rsidRPr="003F7E57">
        <w:rPr>
          <w:iCs/>
          <w:sz w:val="22"/>
          <w:szCs w:val="22"/>
          <w:lang w:val="sr-Latn-ME"/>
        </w:rPr>
        <w:t xml:space="preserve"> tokom </w:t>
      </w:r>
      <w:proofErr w:type="spellStart"/>
      <w:r w:rsidRPr="003F7E57">
        <w:rPr>
          <w:iCs/>
          <w:sz w:val="22"/>
          <w:szCs w:val="22"/>
          <w:lang w:val="sr-Latn-ME"/>
        </w:rPr>
        <w:t>hiperglikemije</w:t>
      </w:r>
      <w:proofErr w:type="spellEnd"/>
      <w:r w:rsidRPr="003F7E57">
        <w:rPr>
          <w:iCs/>
          <w:sz w:val="22"/>
          <w:szCs w:val="22"/>
          <w:lang w:val="sr-Latn-ME"/>
        </w:rPr>
        <w:t xml:space="preserve"> </w:t>
      </w:r>
      <w:proofErr w:type="spellStart"/>
      <w:r w:rsidRPr="003F7E57">
        <w:rPr>
          <w:iCs/>
          <w:sz w:val="22"/>
          <w:szCs w:val="22"/>
          <w:lang w:val="sr-Latn-ME"/>
        </w:rPr>
        <w:t>usljed</w:t>
      </w:r>
      <w:proofErr w:type="spellEnd"/>
      <w:r w:rsidRPr="003F7E57">
        <w:rPr>
          <w:iCs/>
          <w:sz w:val="22"/>
          <w:szCs w:val="22"/>
          <w:lang w:val="sr-Latn-ME"/>
        </w:rPr>
        <w:t xml:space="preserve"> povišenih koncentracija </w:t>
      </w:r>
      <w:proofErr w:type="spellStart"/>
      <w:r w:rsidRPr="003F7E57">
        <w:rPr>
          <w:iCs/>
          <w:sz w:val="22"/>
          <w:szCs w:val="22"/>
          <w:lang w:val="sr-Latn-ME"/>
        </w:rPr>
        <w:t>inkretinskih</w:t>
      </w:r>
      <w:proofErr w:type="spellEnd"/>
      <w:r w:rsidRPr="003F7E57">
        <w:rPr>
          <w:iCs/>
          <w:sz w:val="22"/>
          <w:szCs w:val="22"/>
          <w:lang w:val="sr-Latn-ME"/>
        </w:rPr>
        <w:t xml:space="preserve"> hormona rezultuje smanjenjem produkcije glukoze u jetri </w:t>
      </w:r>
      <w:proofErr w:type="spellStart"/>
      <w:r w:rsidRPr="003F7E57">
        <w:rPr>
          <w:iCs/>
          <w:sz w:val="22"/>
          <w:szCs w:val="22"/>
          <w:lang w:val="sr-Latn-ME"/>
        </w:rPr>
        <w:t>natašte</w:t>
      </w:r>
      <w:proofErr w:type="spellEnd"/>
      <w:r w:rsidRPr="003F7E57">
        <w:rPr>
          <w:iCs/>
          <w:sz w:val="22"/>
          <w:szCs w:val="22"/>
          <w:lang w:val="sr-Latn-ME"/>
        </w:rPr>
        <w:t xml:space="preserve"> i </w:t>
      </w:r>
      <w:proofErr w:type="spellStart"/>
      <w:r w:rsidRPr="003F7E57">
        <w:rPr>
          <w:iCs/>
          <w:sz w:val="22"/>
          <w:szCs w:val="22"/>
          <w:lang w:val="sr-Latn-ME"/>
        </w:rPr>
        <w:t>postprandijalno</w:t>
      </w:r>
      <w:proofErr w:type="spellEnd"/>
      <w:r w:rsidRPr="003F7E57">
        <w:rPr>
          <w:iCs/>
          <w:sz w:val="22"/>
          <w:szCs w:val="22"/>
          <w:lang w:val="sr-Latn-ME"/>
        </w:rPr>
        <w:t xml:space="preserve">, što dovodi do smanjene </w:t>
      </w:r>
      <w:proofErr w:type="spellStart"/>
      <w:r w:rsidRPr="003F7E57">
        <w:rPr>
          <w:iCs/>
          <w:sz w:val="22"/>
          <w:szCs w:val="22"/>
          <w:lang w:val="sr-Latn-ME"/>
        </w:rPr>
        <w:t>glikemije</w:t>
      </w:r>
      <w:proofErr w:type="spellEnd"/>
      <w:r w:rsidRPr="003F7E57">
        <w:rPr>
          <w:iCs/>
          <w:sz w:val="22"/>
          <w:szCs w:val="22"/>
          <w:lang w:val="sr-Latn-ME"/>
        </w:rPr>
        <w:t>.</w:t>
      </w:r>
    </w:p>
    <w:p w14:paraId="49904ED6" w14:textId="402D31FF" w:rsidR="0064325B" w:rsidRPr="003F7E57" w:rsidRDefault="0064325B">
      <w:pPr>
        <w:tabs>
          <w:tab w:val="left" w:pos="567"/>
        </w:tabs>
        <w:autoSpaceDE w:val="0"/>
        <w:autoSpaceDN w:val="0"/>
        <w:adjustRightInd w:val="0"/>
        <w:jc w:val="both"/>
        <w:rPr>
          <w:iCs/>
          <w:sz w:val="22"/>
          <w:szCs w:val="22"/>
          <w:lang w:val="sr-Latn-ME"/>
        </w:rPr>
      </w:pPr>
    </w:p>
    <w:p w14:paraId="60BD029A" w14:textId="77777777" w:rsidR="0064325B" w:rsidRPr="003F7E57" w:rsidRDefault="0064325B">
      <w:pPr>
        <w:tabs>
          <w:tab w:val="left" w:pos="567"/>
        </w:tabs>
        <w:autoSpaceDE w:val="0"/>
        <w:autoSpaceDN w:val="0"/>
        <w:adjustRightInd w:val="0"/>
        <w:jc w:val="both"/>
        <w:rPr>
          <w:iCs/>
          <w:sz w:val="22"/>
          <w:szCs w:val="22"/>
          <w:lang w:val="sr-Latn-ME"/>
        </w:rPr>
      </w:pPr>
      <w:r w:rsidRPr="003F7E57">
        <w:rPr>
          <w:iCs/>
          <w:sz w:val="22"/>
          <w:szCs w:val="22"/>
          <w:lang w:val="sr-Latn-ME"/>
        </w:rPr>
        <w:t xml:space="preserve">Pri liječenju </w:t>
      </w:r>
      <w:proofErr w:type="spellStart"/>
      <w:r w:rsidRPr="003F7E57">
        <w:rPr>
          <w:iCs/>
          <w:sz w:val="22"/>
          <w:szCs w:val="22"/>
          <w:lang w:val="sr-Latn-ME"/>
        </w:rPr>
        <w:t>vildagliptinom</w:t>
      </w:r>
      <w:proofErr w:type="spellEnd"/>
      <w:r w:rsidRPr="003F7E57">
        <w:rPr>
          <w:iCs/>
          <w:sz w:val="22"/>
          <w:szCs w:val="22"/>
          <w:lang w:val="sr-Latn-ME"/>
        </w:rPr>
        <w:t xml:space="preserve"> nije zapažen poznati efekat odloženog pražnjenja želuca </w:t>
      </w:r>
      <w:proofErr w:type="spellStart"/>
      <w:r w:rsidRPr="003F7E57">
        <w:rPr>
          <w:iCs/>
          <w:sz w:val="22"/>
          <w:szCs w:val="22"/>
          <w:lang w:val="sr-Latn-ME"/>
        </w:rPr>
        <w:t>usljed</w:t>
      </w:r>
      <w:proofErr w:type="spellEnd"/>
      <w:r w:rsidRPr="003F7E57">
        <w:rPr>
          <w:iCs/>
          <w:sz w:val="22"/>
          <w:szCs w:val="22"/>
          <w:lang w:val="sr-Latn-ME"/>
        </w:rPr>
        <w:t xml:space="preserve"> povišene koncentracije </w:t>
      </w:r>
      <w:proofErr w:type="spellStart"/>
      <w:r w:rsidRPr="003F7E57">
        <w:rPr>
          <w:iCs/>
          <w:sz w:val="22"/>
          <w:szCs w:val="22"/>
          <w:lang w:val="sr-Latn-ME"/>
        </w:rPr>
        <w:t>GLP</w:t>
      </w:r>
      <w:proofErr w:type="spellEnd"/>
      <w:r w:rsidRPr="003F7E57">
        <w:rPr>
          <w:iCs/>
          <w:sz w:val="22"/>
          <w:szCs w:val="22"/>
          <w:lang w:val="sr-Latn-ME"/>
        </w:rPr>
        <w:t>-1.</w:t>
      </w:r>
    </w:p>
    <w:p w14:paraId="4E19C156" w14:textId="77777777" w:rsidR="0064325B" w:rsidRPr="003F7E57" w:rsidRDefault="0064325B" w:rsidP="00991A59">
      <w:pPr>
        <w:tabs>
          <w:tab w:val="left" w:pos="567"/>
        </w:tabs>
        <w:autoSpaceDE w:val="0"/>
        <w:autoSpaceDN w:val="0"/>
        <w:adjustRightInd w:val="0"/>
        <w:jc w:val="both"/>
        <w:rPr>
          <w:sz w:val="22"/>
          <w:szCs w:val="22"/>
          <w:lang w:val="sr-Latn-ME"/>
        </w:rPr>
      </w:pPr>
    </w:p>
    <w:p w14:paraId="4D1ACF97" w14:textId="77777777" w:rsidR="0064325B" w:rsidRPr="003F7E57" w:rsidRDefault="0064325B" w:rsidP="00CE2D38">
      <w:pPr>
        <w:tabs>
          <w:tab w:val="left" w:pos="567"/>
        </w:tabs>
        <w:autoSpaceDE w:val="0"/>
        <w:autoSpaceDN w:val="0"/>
        <w:adjustRightInd w:val="0"/>
        <w:jc w:val="both"/>
        <w:rPr>
          <w:i/>
          <w:iCs/>
          <w:sz w:val="22"/>
          <w:szCs w:val="22"/>
          <w:u w:val="single"/>
          <w:lang w:val="sr-Latn-ME"/>
        </w:rPr>
      </w:pPr>
      <w:proofErr w:type="spellStart"/>
      <w:r w:rsidRPr="003F7E57">
        <w:rPr>
          <w:i/>
          <w:iCs/>
          <w:sz w:val="22"/>
          <w:szCs w:val="22"/>
          <w:u w:val="single"/>
          <w:lang w:val="sr-Latn-ME"/>
        </w:rPr>
        <w:t>Metformin</w:t>
      </w:r>
      <w:proofErr w:type="spellEnd"/>
    </w:p>
    <w:p w14:paraId="189ABB69" w14:textId="77777777" w:rsidR="0064325B" w:rsidRPr="003F7E57" w:rsidRDefault="0064325B">
      <w:pPr>
        <w:autoSpaceDE w:val="0"/>
        <w:autoSpaceDN w:val="0"/>
        <w:adjustRightInd w:val="0"/>
        <w:jc w:val="both"/>
        <w:rPr>
          <w:sz w:val="22"/>
          <w:szCs w:val="22"/>
          <w:lang w:val="sr-Latn-ME" w:bidi="th-TH"/>
        </w:rPr>
      </w:pPr>
      <w:proofErr w:type="spellStart"/>
      <w:r w:rsidRPr="003F7E57">
        <w:rPr>
          <w:sz w:val="22"/>
          <w:szCs w:val="22"/>
          <w:lang w:val="sr-Latn-ME" w:bidi="th-TH"/>
        </w:rPr>
        <w:t>Metformin</w:t>
      </w:r>
      <w:proofErr w:type="spellEnd"/>
      <w:r w:rsidRPr="003F7E57">
        <w:rPr>
          <w:sz w:val="22"/>
          <w:szCs w:val="22"/>
          <w:lang w:val="sr-Latn-ME" w:bidi="th-TH"/>
        </w:rPr>
        <w:t xml:space="preserve"> je </w:t>
      </w:r>
      <w:proofErr w:type="spellStart"/>
      <w:r w:rsidRPr="003F7E57">
        <w:rPr>
          <w:sz w:val="22"/>
          <w:szCs w:val="22"/>
          <w:lang w:val="sr-Latn-ME" w:bidi="th-TH"/>
        </w:rPr>
        <w:t>bigvanidin</w:t>
      </w:r>
      <w:proofErr w:type="spellEnd"/>
      <w:r w:rsidRPr="003F7E57">
        <w:rPr>
          <w:sz w:val="22"/>
          <w:szCs w:val="22"/>
          <w:lang w:val="sr-Latn-ME" w:bidi="th-TH"/>
        </w:rPr>
        <w:t xml:space="preserve"> sa </w:t>
      </w:r>
      <w:proofErr w:type="spellStart"/>
      <w:r w:rsidRPr="003F7E57">
        <w:rPr>
          <w:sz w:val="22"/>
          <w:szCs w:val="22"/>
          <w:lang w:val="sr-Latn-ME" w:bidi="th-TH"/>
        </w:rPr>
        <w:t>antihiperglikemijskim</w:t>
      </w:r>
      <w:proofErr w:type="spellEnd"/>
      <w:r w:rsidRPr="003F7E57">
        <w:rPr>
          <w:sz w:val="22"/>
          <w:szCs w:val="22"/>
          <w:lang w:val="sr-Latn-ME" w:bidi="th-TH"/>
        </w:rPr>
        <w:t xml:space="preserve"> efektom koji smanjuje i </w:t>
      </w:r>
      <w:proofErr w:type="spellStart"/>
      <w:r w:rsidRPr="003F7E57">
        <w:rPr>
          <w:sz w:val="22"/>
          <w:szCs w:val="22"/>
          <w:lang w:val="sr-Latn-ME" w:bidi="th-TH"/>
        </w:rPr>
        <w:t>bazalnu</w:t>
      </w:r>
      <w:proofErr w:type="spellEnd"/>
      <w:r w:rsidRPr="003F7E57">
        <w:rPr>
          <w:sz w:val="22"/>
          <w:szCs w:val="22"/>
          <w:lang w:val="sr-Latn-ME" w:bidi="th-TH"/>
        </w:rPr>
        <w:t xml:space="preserve"> i </w:t>
      </w:r>
      <w:proofErr w:type="spellStart"/>
      <w:r w:rsidRPr="003F7E57">
        <w:rPr>
          <w:sz w:val="22"/>
          <w:szCs w:val="22"/>
          <w:lang w:val="sr-Latn-ME" w:bidi="th-TH"/>
        </w:rPr>
        <w:t>postprandijalnu</w:t>
      </w:r>
      <w:proofErr w:type="spellEnd"/>
      <w:r w:rsidRPr="003F7E57">
        <w:rPr>
          <w:sz w:val="22"/>
          <w:szCs w:val="22"/>
          <w:lang w:val="sr-Latn-ME" w:bidi="th-TH"/>
        </w:rPr>
        <w:t xml:space="preserve"> glukozu u plazmi. Ne stimuliše lučenje insulina te tako ne dovodi do </w:t>
      </w:r>
      <w:proofErr w:type="spellStart"/>
      <w:r w:rsidRPr="003F7E57">
        <w:rPr>
          <w:sz w:val="22"/>
          <w:szCs w:val="22"/>
          <w:lang w:val="sr-Latn-ME" w:bidi="th-TH"/>
        </w:rPr>
        <w:t>hipoglikemije</w:t>
      </w:r>
      <w:proofErr w:type="spellEnd"/>
      <w:r w:rsidRPr="003F7E57">
        <w:rPr>
          <w:sz w:val="22"/>
          <w:szCs w:val="22"/>
          <w:lang w:val="sr-Latn-ME" w:bidi="th-TH"/>
        </w:rPr>
        <w:t xml:space="preserve"> ili povećanja tjelesne mase.</w:t>
      </w:r>
    </w:p>
    <w:p w14:paraId="03145FAC" w14:textId="77777777" w:rsidR="0064325B" w:rsidRPr="003F7E57" w:rsidRDefault="0064325B">
      <w:pPr>
        <w:autoSpaceDE w:val="0"/>
        <w:autoSpaceDN w:val="0"/>
        <w:adjustRightInd w:val="0"/>
        <w:jc w:val="both"/>
        <w:rPr>
          <w:sz w:val="22"/>
          <w:szCs w:val="22"/>
          <w:lang w:val="sr-Latn-ME" w:bidi="th-TH"/>
        </w:rPr>
      </w:pPr>
    </w:p>
    <w:p w14:paraId="3FA709A0" w14:textId="77777777" w:rsidR="0064325B" w:rsidRPr="003F7E57" w:rsidRDefault="0064325B">
      <w:pPr>
        <w:autoSpaceDE w:val="0"/>
        <w:autoSpaceDN w:val="0"/>
        <w:adjustRightInd w:val="0"/>
        <w:jc w:val="both"/>
        <w:rPr>
          <w:sz w:val="22"/>
          <w:szCs w:val="22"/>
          <w:lang w:val="sr-Latn-ME" w:bidi="th-TH"/>
        </w:rPr>
      </w:pPr>
      <w:proofErr w:type="spellStart"/>
      <w:r w:rsidRPr="003F7E57">
        <w:rPr>
          <w:sz w:val="22"/>
          <w:szCs w:val="22"/>
          <w:lang w:val="sr-Latn-ME" w:bidi="th-TH"/>
        </w:rPr>
        <w:t>Metformin</w:t>
      </w:r>
      <w:proofErr w:type="spellEnd"/>
      <w:r w:rsidRPr="003F7E57">
        <w:rPr>
          <w:sz w:val="22"/>
          <w:szCs w:val="22"/>
          <w:lang w:val="sr-Latn-ME" w:bidi="th-TH"/>
        </w:rPr>
        <w:t xml:space="preserve"> može vršiti svoj efekat na smanjenje glukoze putem tri mehanizma:</w:t>
      </w:r>
    </w:p>
    <w:p w14:paraId="06290530" w14:textId="77777777" w:rsidR="0064325B" w:rsidRPr="003F7E57" w:rsidRDefault="0064325B">
      <w:pPr>
        <w:numPr>
          <w:ilvl w:val="0"/>
          <w:numId w:val="15"/>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 xml:space="preserve">smanjenjem </w:t>
      </w:r>
      <w:proofErr w:type="spellStart"/>
      <w:r w:rsidRPr="003F7E57">
        <w:rPr>
          <w:sz w:val="22"/>
          <w:szCs w:val="22"/>
          <w:lang w:val="sr-Latn-ME" w:bidi="th-TH"/>
        </w:rPr>
        <w:t>hepatičke</w:t>
      </w:r>
      <w:proofErr w:type="spellEnd"/>
      <w:r w:rsidRPr="003F7E57">
        <w:rPr>
          <w:sz w:val="22"/>
          <w:szCs w:val="22"/>
          <w:lang w:val="sr-Latn-ME" w:bidi="th-TH"/>
        </w:rPr>
        <w:t xml:space="preserve"> proizvodnje glukoze inhibicijom </w:t>
      </w:r>
      <w:proofErr w:type="spellStart"/>
      <w:r w:rsidRPr="003F7E57">
        <w:rPr>
          <w:sz w:val="22"/>
          <w:szCs w:val="22"/>
          <w:lang w:val="sr-Latn-ME" w:bidi="th-TH"/>
        </w:rPr>
        <w:t>glukoneogeneze</w:t>
      </w:r>
      <w:proofErr w:type="spellEnd"/>
      <w:r w:rsidRPr="003F7E57">
        <w:rPr>
          <w:sz w:val="22"/>
          <w:szCs w:val="22"/>
          <w:lang w:val="sr-Latn-ME" w:bidi="th-TH"/>
        </w:rPr>
        <w:t xml:space="preserve"> i </w:t>
      </w:r>
      <w:proofErr w:type="spellStart"/>
      <w:r w:rsidRPr="003F7E57">
        <w:rPr>
          <w:sz w:val="22"/>
          <w:szCs w:val="22"/>
          <w:lang w:val="sr-Latn-ME" w:bidi="th-TH"/>
        </w:rPr>
        <w:t>glikogenolize</w:t>
      </w:r>
      <w:proofErr w:type="spellEnd"/>
      <w:r w:rsidRPr="003F7E57">
        <w:rPr>
          <w:sz w:val="22"/>
          <w:szCs w:val="22"/>
          <w:lang w:val="sr-Latn-ME" w:bidi="th-TH"/>
        </w:rPr>
        <w:t>;</w:t>
      </w:r>
    </w:p>
    <w:p w14:paraId="6EB8C68B" w14:textId="77777777" w:rsidR="0064325B" w:rsidRPr="003F7E57" w:rsidRDefault="0064325B">
      <w:pPr>
        <w:numPr>
          <w:ilvl w:val="0"/>
          <w:numId w:val="15"/>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u mišićima umjerenim povećanjem osjetljivosti na insulin, poboljšavajući periferni unos i korišćenje glukoze;</w:t>
      </w:r>
    </w:p>
    <w:p w14:paraId="41A5C6F8" w14:textId="77777777" w:rsidR="0064325B" w:rsidRPr="003F7E57" w:rsidRDefault="0064325B">
      <w:pPr>
        <w:numPr>
          <w:ilvl w:val="0"/>
          <w:numId w:val="15"/>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odlaganjem intestinalne resorpcije glukoze.</w:t>
      </w:r>
    </w:p>
    <w:p w14:paraId="0FCEF755" w14:textId="77777777" w:rsidR="0064325B" w:rsidRPr="003F7E57" w:rsidRDefault="0064325B">
      <w:pPr>
        <w:autoSpaceDE w:val="0"/>
        <w:autoSpaceDN w:val="0"/>
        <w:adjustRightInd w:val="0"/>
        <w:jc w:val="both"/>
        <w:rPr>
          <w:sz w:val="22"/>
          <w:szCs w:val="22"/>
          <w:lang w:val="sr-Latn-ME" w:bidi="th-TH"/>
        </w:rPr>
      </w:pPr>
      <w:proofErr w:type="spellStart"/>
      <w:r w:rsidRPr="003F7E57">
        <w:rPr>
          <w:sz w:val="22"/>
          <w:szCs w:val="22"/>
          <w:lang w:val="sr-Latn-ME" w:bidi="th-TH"/>
        </w:rPr>
        <w:t>Metformin</w:t>
      </w:r>
      <w:proofErr w:type="spellEnd"/>
      <w:r w:rsidRPr="003F7E57">
        <w:rPr>
          <w:sz w:val="22"/>
          <w:szCs w:val="22"/>
          <w:lang w:val="sr-Latn-ME" w:bidi="th-TH"/>
        </w:rPr>
        <w:t xml:space="preserve"> stimuliše </w:t>
      </w:r>
      <w:proofErr w:type="spellStart"/>
      <w:r w:rsidRPr="003F7E57">
        <w:rPr>
          <w:sz w:val="22"/>
          <w:szCs w:val="22"/>
          <w:lang w:val="sr-Latn-ME" w:bidi="th-TH"/>
        </w:rPr>
        <w:t>intracelularnu</w:t>
      </w:r>
      <w:proofErr w:type="spellEnd"/>
      <w:r w:rsidRPr="003F7E57">
        <w:rPr>
          <w:sz w:val="22"/>
          <w:szCs w:val="22"/>
          <w:lang w:val="sr-Latn-ME" w:bidi="th-TH"/>
        </w:rPr>
        <w:t xml:space="preserve"> sintezu </w:t>
      </w:r>
      <w:proofErr w:type="spellStart"/>
      <w:r w:rsidRPr="003F7E57">
        <w:rPr>
          <w:sz w:val="22"/>
          <w:szCs w:val="22"/>
          <w:lang w:val="sr-Latn-ME" w:bidi="th-TH"/>
        </w:rPr>
        <w:t>glikogena</w:t>
      </w:r>
      <w:proofErr w:type="spellEnd"/>
      <w:r w:rsidRPr="003F7E57">
        <w:rPr>
          <w:sz w:val="22"/>
          <w:szCs w:val="22"/>
          <w:lang w:val="sr-Latn-ME" w:bidi="th-TH"/>
        </w:rPr>
        <w:t xml:space="preserve"> djelujući na sintezu </w:t>
      </w:r>
      <w:proofErr w:type="spellStart"/>
      <w:r w:rsidRPr="003F7E57">
        <w:rPr>
          <w:sz w:val="22"/>
          <w:szCs w:val="22"/>
          <w:lang w:val="sr-Latn-ME" w:bidi="th-TH"/>
        </w:rPr>
        <w:t>glikogena</w:t>
      </w:r>
      <w:proofErr w:type="spellEnd"/>
      <w:r w:rsidRPr="003F7E57">
        <w:rPr>
          <w:sz w:val="22"/>
          <w:szCs w:val="22"/>
          <w:lang w:val="sr-Latn-ME" w:bidi="th-TH"/>
        </w:rPr>
        <w:t xml:space="preserve"> i povećava </w:t>
      </w:r>
      <w:proofErr w:type="spellStart"/>
      <w:r w:rsidRPr="003F7E57">
        <w:rPr>
          <w:sz w:val="22"/>
          <w:szCs w:val="22"/>
          <w:lang w:val="sr-Latn-ME" w:bidi="th-TH"/>
        </w:rPr>
        <w:t>prenosni</w:t>
      </w:r>
      <w:proofErr w:type="spellEnd"/>
      <w:r w:rsidRPr="003F7E57">
        <w:rPr>
          <w:sz w:val="22"/>
          <w:szCs w:val="22"/>
          <w:lang w:val="sr-Latn-ME" w:bidi="th-TH"/>
        </w:rPr>
        <w:t xml:space="preserve"> kapacitet specifičnih tipova membranskih transportera za glukozu (GLUT-1 i GLUT-4).</w:t>
      </w:r>
    </w:p>
    <w:p w14:paraId="11F32630" w14:textId="77777777" w:rsidR="0064325B" w:rsidRPr="003F7E57" w:rsidRDefault="0064325B" w:rsidP="00991A59">
      <w:pPr>
        <w:autoSpaceDE w:val="0"/>
        <w:autoSpaceDN w:val="0"/>
        <w:adjustRightInd w:val="0"/>
        <w:jc w:val="both"/>
        <w:rPr>
          <w:sz w:val="22"/>
          <w:szCs w:val="22"/>
          <w:lang w:val="sr-Latn-ME" w:bidi="th-TH"/>
        </w:rPr>
      </w:pPr>
    </w:p>
    <w:p w14:paraId="380CBCA8" w14:textId="77777777" w:rsidR="0064325B" w:rsidRPr="003F7E57" w:rsidRDefault="0064325B" w:rsidP="00CE2D38">
      <w:pPr>
        <w:autoSpaceDE w:val="0"/>
        <w:autoSpaceDN w:val="0"/>
        <w:adjustRightInd w:val="0"/>
        <w:jc w:val="both"/>
        <w:rPr>
          <w:sz w:val="22"/>
          <w:szCs w:val="22"/>
          <w:lang w:val="sr-Latn-ME" w:bidi="th-TH"/>
        </w:rPr>
      </w:pPr>
      <w:proofErr w:type="spellStart"/>
      <w:r w:rsidRPr="003F7E57">
        <w:rPr>
          <w:sz w:val="22"/>
          <w:szCs w:val="22"/>
          <w:lang w:val="sr-Latn-ME" w:bidi="th-TH"/>
        </w:rPr>
        <w:lastRenderedPageBreak/>
        <w:t>Metformin</w:t>
      </w:r>
      <w:proofErr w:type="spellEnd"/>
      <w:r w:rsidRPr="003F7E57">
        <w:rPr>
          <w:sz w:val="22"/>
          <w:szCs w:val="22"/>
          <w:lang w:val="sr-Latn-ME" w:bidi="th-TH"/>
        </w:rPr>
        <w:t xml:space="preserve"> ima korisne efekte na metabolizam lipida kod </w:t>
      </w:r>
      <w:proofErr w:type="spellStart"/>
      <w:r w:rsidRPr="003F7E57">
        <w:rPr>
          <w:sz w:val="22"/>
          <w:szCs w:val="22"/>
          <w:lang w:val="sr-Latn-ME" w:bidi="th-TH"/>
        </w:rPr>
        <w:t>ljudi</w:t>
      </w:r>
      <w:proofErr w:type="spellEnd"/>
      <w:r w:rsidRPr="003F7E57">
        <w:rPr>
          <w:sz w:val="22"/>
          <w:szCs w:val="22"/>
          <w:lang w:val="sr-Latn-ME" w:bidi="th-TH"/>
        </w:rPr>
        <w:t xml:space="preserve">, nezavisno od efekta na </w:t>
      </w:r>
      <w:proofErr w:type="spellStart"/>
      <w:r w:rsidRPr="003F7E57">
        <w:rPr>
          <w:sz w:val="22"/>
          <w:szCs w:val="22"/>
          <w:lang w:val="sr-Latn-ME" w:bidi="th-TH"/>
        </w:rPr>
        <w:t>glikemiju</w:t>
      </w:r>
      <w:proofErr w:type="spellEnd"/>
      <w:r w:rsidRPr="003F7E57">
        <w:rPr>
          <w:sz w:val="22"/>
          <w:szCs w:val="22"/>
          <w:lang w:val="sr-Latn-ME" w:bidi="th-TH"/>
        </w:rPr>
        <w:t xml:space="preserve">. To je dokazano pri primjeni terapijske doze u kontrolisanim kliničkim ispitivanjima srednjeg i dugog trajanja: </w:t>
      </w:r>
      <w:proofErr w:type="spellStart"/>
      <w:r w:rsidRPr="003F7E57">
        <w:rPr>
          <w:sz w:val="22"/>
          <w:szCs w:val="22"/>
          <w:lang w:val="sr-Latn-ME" w:bidi="th-TH"/>
        </w:rPr>
        <w:t>metformin</w:t>
      </w:r>
      <w:proofErr w:type="spellEnd"/>
      <w:r w:rsidRPr="003F7E57">
        <w:rPr>
          <w:sz w:val="22"/>
          <w:szCs w:val="22"/>
          <w:lang w:val="sr-Latn-ME" w:bidi="th-TH"/>
        </w:rPr>
        <w:t xml:space="preserve"> smanjuje koncentraciju ukupnog </w:t>
      </w:r>
      <w:proofErr w:type="spellStart"/>
      <w:r w:rsidRPr="003F7E57">
        <w:rPr>
          <w:sz w:val="22"/>
          <w:szCs w:val="22"/>
          <w:lang w:val="sr-Latn-ME" w:bidi="th-TH"/>
        </w:rPr>
        <w:t>holesterola</w:t>
      </w:r>
      <w:proofErr w:type="spellEnd"/>
      <w:r w:rsidRPr="003F7E57">
        <w:rPr>
          <w:sz w:val="22"/>
          <w:szCs w:val="22"/>
          <w:lang w:val="sr-Latn-ME" w:bidi="th-TH"/>
        </w:rPr>
        <w:t xml:space="preserve">, </w:t>
      </w:r>
      <w:proofErr w:type="spellStart"/>
      <w:r w:rsidRPr="003F7E57">
        <w:rPr>
          <w:sz w:val="22"/>
          <w:szCs w:val="22"/>
          <w:lang w:val="sr-Latn-ME" w:bidi="th-TH"/>
        </w:rPr>
        <w:t>LDL</w:t>
      </w:r>
      <w:proofErr w:type="spellEnd"/>
      <w:r w:rsidRPr="003F7E57">
        <w:rPr>
          <w:sz w:val="22"/>
          <w:szCs w:val="22"/>
          <w:lang w:val="sr-Latn-ME" w:bidi="th-TH"/>
        </w:rPr>
        <w:t xml:space="preserve"> </w:t>
      </w:r>
      <w:proofErr w:type="spellStart"/>
      <w:r w:rsidRPr="003F7E57">
        <w:rPr>
          <w:sz w:val="22"/>
          <w:szCs w:val="22"/>
          <w:lang w:val="sr-Latn-ME" w:bidi="th-TH"/>
        </w:rPr>
        <w:t>holesterola</w:t>
      </w:r>
      <w:proofErr w:type="spellEnd"/>
      <w:r w:rsidRPr="003F7E57">
        <w:rPr>
          <w:sz w:val="22"/>
          <w:szCs w:val="22"/>
          <w:lang w:val="sr-Latn-ME" w:bidi="th-TH"/>
        </w:rPr>
        <w:t xml:space="preserve"> i </w:t>
      </w:r>
      <w:proofErr w:type="spellStart"/>
      <w:r w:rsidRPr="003F7E57">
        <w:rPr>
          <w:sz w:val="22"/>
          <w:szCs w:val="22"/>
          <w:lang w:val="sr-Latn-ME" w:bidi="th-TH"/>
        </w:rPr>
        <w:t>triglicerida</w:t>
      </w:r>
      <w:proofErr w:type="spellEnd"/>
      <w:r w:rsidRPr="003F7E57">
        <w:rPr>
          <w:sz w:val="22"/>
          <w:szCs w:val="22"/>
          <w:lang w:val="sr-Latn-ME" w:bidi="th-TH"/>
        </w:rPr>
        <w:t xml:space="preserve"> u serumu.</w:t>
      </w:r>
    </w:p>
    <w:p w14:paraId="5BAE3BDE" w14:textId="77777777" w:rsidR="0064325B" w:rsidRPr="003F7E57" w:rsidRDefault="0064325B" w:rsidP="00991A59">
      <w:pPr>
        <w:autoSpaceDE w:val="0"/>
        <w:autoSpaceDN w:val="0"/>
        <w:adjustRightInd w:val="0"/>
        <w:jc w:val="both"/>
        <w:rPr>
          <w:sz w:val="22"/>
          <w:szCs w:val="22"/>
          <w:lang w:val="sr-Latn-ME" w:bidi="th-TH"/>
        </w:rPr>
      </w:pPr>
    </w:p>
    <w:p w14:paraId="463B8E63" w14:textId="77777777" w:rsidR="0064325B" w:rsidRPr="003F7E57" w:rsidRDefault="0064325B" w:rsidP="00CE2D38">
      <w:pPr>
        <w:autoSpaceDE w:val="0"/>
        <w:autoSpaceDN w:val="0"/>
        <w:adjustRightInd w:val="0"/>
        <w:jc w:val="both"/>
        <w:rPr>
          <w:sz w:val="22"/>
          <w:szCs w:val="22"/>
          <w:lang w:val="sr-Latn-ME" w:bidi="th-TH"/>
        </w:rPr>
      </w:pPr>
      <w:r w:rsidRPr="003F7E57">
        <w:rPr>
          <w:sz w:val="22"/>
          <w:szCs w:val="22"/>
          <w:lang w:val="sr-Latn-ME" w:bidi="th-TH"/>
        </w:rPr>
        <w:t xml:space="preserve">Prospektivno </w:t>
      </w:r>
      <w:proofErr w:type="spellStart"/>
      <w:r w:rsidRPr="003F7E57">
        <w:rPr>
          <w:sz w:val="22"/>
          <w:szCs w:val="22"/>
          <w:lang w:val="sr-Latn-ME" w:bidi="th-TH"/>
        </w:rPr>
        <w:t>randomizovano</w:t>
      </w:r>
      <w:proofErr w:type="spellEnd"/>
      <w:r w:rsidRPr="003F7E57">
        <w:rPr>
          <w:sz w:val="22"/>
          <w:szCs w:val="22"/>
          <w:lang w:val="sr-Latn-ME" w:bidi="th-TH"/>
        </w:rPr>
        <w:t xml:space="preserve"> ispitivanje </w:t>
      </w:r>
      <w:proofErr w:type="spellStart"/>
      <w:r w:rsidRPr="003F7E57">
        <w:rPr>
          <w:sz w:val="22"/>
          <w:szCs w:val="22"/>
          <w:lang w:val="sr-Latn-ME" w:bidi="th-TH"/>
        </w:rPr>
        <w:t>UKPDS</w:t>
      </w:r>
      <w:proofErr w:type="spellEnd"/>
      <w:r w:rsidRPr="003F7E57">
        <w:rPr>
          <w:sz w:val="22"/>
          <w:szCs w:val="22"/>
          <w:lang w:val="sr-Latn-ME" w:bidi="th-TH"/>
        </w:rPr>
        <w:t xml:space="preserve"> (</w:t>
      </w:r>
      <w:r w:rsidRPr="003F7E57">
        <w:rPr>
          <w:i/>
          <w:sz w:val="22"/>
          <w:szCs w:val="22"/>
          <w:lang w:val="sr-Latn-ME" w:bidi="th-TH"/>
        </w:rPr>
        <w:t xml:space="preserve">UK </w:t>
      </w:r>
      <w:proofErr w:type="spellStart"/>
      <w:r w:rsidRPr="003F7E57">
        <w:rPr>
          <w:i/>
          <w:sz w:val="22"/>
          <w:szCs w:val="22"/>
          <w:lang w:val="sr-Latn-ME" w:bidi="th-TH"/>
        </w:rPr>
        <w:t>Prospective</w:t>
      </w:r>
      <w:proofErr w:type="spellEnd"/>
      <w:r w:rsidRPr="003F7E57">
        <w:rPr>
          <w:i/>
          <w:sz w:val="22"/>
          <w:szCs w:val="22"/>
          <w:lang w:val="sr-Latn-ME" w:bidi="th-TH"/>
        </w:rPr>
        <w:t xml:space="preserve"> </w:t>
      </w:r>
      <w:proofErr w:type="spellStart"/>
      <w:r w:rsidRPr="003F7E57">
        <w:rPr>
          <w:i/>
          <w:sz w:val="22"/>
          <w:szCs w:val="22"/>
          <w:lang w:val="sr-Latn-ME" w:bidi="th-TH"/>
        </w:rPr>
        <w:t>Diabetes</w:t>
      </w:r>
      <w:proofErr w:type="spellEnd"/>
      <w:r w:rsidRPr="003F7E57">
        <w:rPr>
          <w:i/>
          <w:sz w:val="22"/>
          <w:szCs w:val="22"/>
          <w:lang w:val="sr-Latn-ME" w:bidi="th-TH"/>
        </w:rPr>
        <w:t xml:space="preserve"> </w:t>
      </w:r>
      <w:proofErr w:type="spellStart"/>
      <w:r w:rsidRPr="003F7E57">
        <w:rPr>
          <w:i/>
          <w:sz w:val="22"/>
          <w:szCs w:val="22"/>
          <w:lang w:val="sr-Latn-ME" w:bidi="th-TH"/>
        </w:rPr>
        <w:t>Study</w:t>
      </w:r>
      <w:proofErr w:type="spellEnd"/>
      <w:r w:rsidRPr="003F7E57">
        <w:rPr>
          <w:sz w:val="22"/>
          <w:szCs w:val="22"/>
          <w:lang w:val="sr-Latn-ME" w:bidi="th-TH"/>
        </w:rPr>
        <w:t xml:space="preserve">) potvrdilo je dugotrajnu korist intenzivne kontrole glukoze u krvi u dijabetes </w:t>
      </w:r>
      <w:proofErr w:type="spellStart"/>
      <w:r w:rsidRPr="003F7E57">
        <w:rPr>
          <w:sz w:val="22"/>
          <w:szCs w:val="22"/>
          <w:lang w:val="sr-Latn-ME" w:bidi="th-TH"/>
        </w:rPr>
        <w:t>melitusu</w:t>
      </w:r>
      <w:proofErr w:type="spellEnd"/>
      <w:r w:rsidRPr="003F7E57">
        <w:rPr>
          <w:sz w:val="22"/>
          <w:szCs w:val="22"/>
          <w:lang w:val="sr-Latn-ME" w:bidi="th-TH"/>
        </w:rPr>
        <w:t xml:space="preserve"> tipa 2. Analiza rezultata kod pacijenata sa prekomjernom tjelesnom masom liječenih </w:t>
      </w:r>
      <w:proofErr w:type="spellStart"/>
      <w:r w:rsidRPr="003F7E57">
        <w:rPr>
          <w:sz w:val="22"/>
          <w:szCs w:val="22"/>
          <w:lang w:val="sr-Latn-ME" w:bidi="th-TH"/>
        </w:rPr>
        <w:t>metforminom</w:t>
      </w:r>
      <w:proofErr w:type="spellEnd"/>
      <w:r w:rsidRPr="003F7E57">
        <w:rPr>
          <w:sz w:val="22"/>
          <w:szCs w:val="22"/>
          <w:lang w:val="sr-Latn-ME" w:bidi="th-TH"/>
        </w:rPr>
        <w:t xml:space="preserve"> nakon neuspjeha same dijete je pokazala:</w:t>
      </w:r>
    </w:p>
    <w:p w14:paraId="11C7B2A0" w14:textId="77777777" w:rsidR="00522F79" w:rsidRPr="003F7E57" w:rsidRDefault="0064325B" w:rsidP="00991A59">
      <w:pPr>
        <w:numPr>
          <w:ilvl w:val="0"/>
          <w:numId w:val="16"/>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 xml:space="preserve">značajno smanjenje apsolutnog rizika za bilo koju </w:t>
      </w:r>
      <w:proofErr w:type="spellStart"/>
      <w:r w:rsidRPr="003F7E57">
        <w:rPr>
          <w:sz w:val="22"/>
          <w:szCs w:val="22"/>
          <w:lang w:val="sr-Latn-ME" w:bidi="th-TH"/>
        </w:rPr>
        <w:t>dijabetičku</w:t>
      </w:r>
      <w:proofErr w:type="spellEnd"/>
      <w:r w:rsidRPr="003F7E57">
        <w:rPr>
          <w:sz w:val="22"/>
          <w:szCs w:val="22"/>
          <w:lang w:val="sr-Latn-ME" w:bidi="th-TH"/>
        </w:rPr>
        <w:t xml:space="preserve"> komplikaciju u grupi liječenoj </w:t>
      </w:r>
      <w:proofErr w:type="spellStart"/>
      <w:r w:rsidRPr="003F7E57">
        <w:rPr>
          <w:sz w:val="22"/>
          <w:szCs w:val="22"/>
          <w:lang w:val="sr-Latn-ME" w:bidi="th-TH"/>
        </w:rPr>
        <w:t>metforminom</w:t>
      </w:r>
      <w:proofErr w:type="spellEnd"/>
      <w:r w:rsidRPr="003F7E57">
        <w:rPr>
          <w:sz w:val="22"/>
          <w:szCs w:val="22"/>
          <w:lang w:val="sr-Latn-ME" w:bidi="th-TH"/>
        </w:rPr>
        <w:t xml:space="preserve"> (29,8 događaja/1000 pacijent-godina) u poređenju sa grupom pacijenata koja je bila samo na dijeti (43,3 događaja/1000 pacijent-godina), p=0,0023, i u poređenju sa grupama liječenim kombinacijom uz </w:t>
      </w:r>
      <w:proofErr w:type="spellStart"/>
      <w:r w:rsidRPr="003F7E57">
        <w:rPr>
          <w:sz w:val="22"/>
          <w:szCs w:val="22"/>
          <w:lang w:val="sr-Latn-ME" w:bidi="th-TH"/>
        </w:rPr>
        <w:t>sulfonilureu</w:t>
      </w:r>
      <w:proofErr w:type="spellEnd"/>
      <w:r w:rsidRPr="003F7E57">
        <w:rPr>
          <w:sz w:val="22"/>
          <w:szCs w:val="22"/>
          <w:lang w:val="sr-Latn-ME" w:bidi="th-TH"/>
        </w:rPr>
        <w:t xml:space="preserve"> i </w:t>
      </w:r>
      <w:proofErr w:type="spellStart"/>
      <w:r w:rsidRPr="003F7E57">
        <w:rPr>
          <w:sz w:val="22"/>
          <w:szCs w:val="22"/>
          <w:lang w:val="sr-Latn-ME" w:bidi="th-TH"/>
        </w:rPr>
        <w:t>monoterapijom</w:t>
      </w:r>
      <w:proofErr w:type="spellEnd"/>
      <w:r w:rsidRPr="003F7E57">
        <w:rPr>
          <w:sz w:val="22"/>
          <w:szCs w:val="22"/>
          <w:lang w:val="sr-Latn-ME" w:bidi="th-TH"/>
        </w:rPr>
        <w:t xml:space="preserve"> insulinom </w:t>
      </w:r>
      <w:r w:rsidR="00522F79" w:rsidRPr="003F7E57">
        <w:rPr>
          <w:sz w:val="22"/>
          <w:szCs w:val="22"/>
          <w:lang w:val="sr-Latn-ME" w:bidi="th-TH"/>
        </w:rPr>
        <w:t>(40,1 događaja/1000 pacijent-godina), p=0,0034;</w:t>
      </w:r>
    </w:p>
    <w:p w14:paraId="75D24487" w14:textId="0BB66010" w:rsidR="0064325B" w:rsidRPr="003F7E57" w:rsidRDefault="00522F79" w:rsidP="00991A59">
      <w:pPr>
        <w:tabs>
          <w:tab w:val="left" w:pos="567"/>
        </w:tabs>
        <w:autoSpaceDE w:val="0"/>
        <w:autoSpaceDN w:val="0"/>
        <w:adjustRightInd w:val="0"/>
        <w:spacing w:line="260" w:lineRule="exact"/>
        <w:ind w:left="567"/>
        <w:jc w:val="both"/>
        <w:rPr>
          <w:sz w:val="22"/>
          <w:szCs w:val="22"/>
          <w:lang w:val="sr-Latn-ME" w:bidi="th-TH"/>
        </w:rPr>
      </w:pPr>
      <w:r w:rsidRPr="003F7E57" w:rsidDel="00522F79">
        <w:rPr>
          <w:sz w:val="22"/>
          <w:szCs w:val="22"/>
          <w:lang w:val="sr-Latn-ME" w:bidi="th-TH"/>
        </w:rPr>
        <w:t xml:space="preserve"> </w:t>
      </w:r>
    </w:p>
    <w:p w14:paraId="1E9BE3B5" w14:textId="77777777" w:rsidR="0064325B" w:rsidRPr="003F7E57" w:rsidRDefault="0064325B" w:rsidP="00991A59">
      <w:pPr>
        <w:numPr>
          <w:ilvl w:val="0"/>
          <w:numId w:val="16"/>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 xml:space="preserve">značajno smanjenje apsolutnog rizika mortaliteta povezanog sa šećernom bolesti: </w:t>
      </w:r>
      <w:proofErr w:type="spellStart"/>
      <w:r w:rsidRPr="003F7E57">
        <w:rPr>
          <w:sz w:val="22"/>
          <w:szCs w:val="22"/>
          <w:lang w:val="sr-Latn-ME" w:bidi="th-TH"/>
        </w:rPr>
        <w:t>metformin</w:t>
      </w:r>
      <w:proofErr w:type="spellEnd"/>
      <w:r w:rsidRPr="003F7E57">
        <w:rPr>
          <w:sz w:val="22"/>
          <w:szCs w:val="22"/>
          <w:lang w:val="sr-Latn-ME" w:bidi="th-TH"/>
        </w:rPr>
        <w:t xml:space="preserve"> 7,5 događaja/1000 pacijent-godina, samo dijeta 12,7 događaja/1000 pacijent-godina, p=0,017;</w:t>
      </w:r>
    </w:p>
    <w:p w14:paraId="5D7B698C" w14:textId="77777777" w:rsidR="0064325B" w:rsidRPr="003F7E57" w:rsidRDefault="0064325B" w:rsidP="00991A59">
      <w:pPr>
        <w:numPr>
          <w:ilvl w:val="0"/>
          <w:numId w:val="16"/>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 xml:space="preserve">značajno smanjenje apsolutnog rizika ukupnog mortaliteta: </w:t>
      </w:r>
      <w:proofErr w:type="spellStart"/>
      <w:r w:rsidRPr="003F7E57">
        <w:rPr>
          <w:sz w:val="22"/>
          <w:szCs w:val="22"/>
          <w:lang w:val="sr-Latn-ME" w:bidi="th-TH"/>
        </w:rPr>
        <w:t>metformin</w:t>
      </w:r>
      <w:proofErr w:type="spellEnd"/>
      <w:r w:rsidRPr="003F7E57">
        <w:rPr>
          <w:sz w:val="22"/>
          <w:szCs w:val="22"/>
          <w:lang w:val="sr-Latn-ME" w:bidi="th-TH"/>
        </w:rPr>
        <w:t xml:space="preserve"> 13,5 događaja/1000 pacijent-godina u poređenju sa grupom koja je liječena samo dijetom 20,6 događaja/1000 pacijent-godina (p=0,011) i u poređenju sa grupama liječenim kombinacijom uz </w:t>
      </w:r>
      <w:proofErr w:type="spellStart"/>
      <w:r w:rsidRPr="003F7E57">
        <w:rPr>
          <w:sz w:val="22"/>
          <w:szCs w:val="22"/>
          <w:lang w:val="sr-Latn-ME" w:bidi="th-TH"/>
        </w:rPr>
        <w:t>sulfonilureu</w:t>
      </w:r>
      <w:proofErr w:type="spellEnd"/>
      <w:r w:rsidRPr="003F7E57">
        <w:rPr>
          <w:sz w:val="22"/>
          <w:szCs w:val="22"/>
          <w:lang w:val="sr-Latn-ME" w:bidi="th-TH"/>
        </w:rPr>
        <w:t xml:space="preserve"> i </w:t>
      </w:r>
      <w:proofErr w:type="spellStart"/>
      <w:r w:rsidRPr="003F7E57">
        <w:rPr>
          <w:sz w:val="22"/>
          <w:szCs w:val="22"/>
          <w:lang w:val="sr-Latn-ME" w:bidi="th-TH"/>
        </w:rPr>
        <w:t>monoterapijom</w:t>
      </w:r>
      <w:proofErr w:type="spellEnd"/>
      <w:r w:rsidRPr="003F7E57">
        <w:rPr>
          <w:sz w:val="22"/>
          <w:szCs w:val="22"/>
          <w:lang w:val="sr-Latn-ME" w:bidi="th-TH"/>
        </w:rPr>
        <w:t xml:space="preserve"> insulinom (18,9 događaja/1000 pacijent-godina (p=0,021);</w:t>
      </w:r>
    </w:p>
    <w:p w14:paraId="628D150C" w14:textId="77777777" w:rsidR="0064325B" w:rsidRPr="003F7E57" w:rsidRDefault="0064325B" w:rsidP="00991A59">
      <w:pPr>
        <w:numPr>
          <w:ilvl w:val="0"/>
          <w:numId w:val="16"/>
        </w:numPr>
        <w:tabs>
          <w:tab w:val="left" w:pos="567"/>
        </w:tabs>
        <w:autoSpaceDE w:val="0"/>
        <w:autoSpaceDN w:val="0"/>
        <w:adjustRightInd w:val="0"/>
        <w:spacing w:line="260" w:lineRule="exact"/>
        <w:ind w:left="567"/>
        <w:jc w:val="both"/>
        <w:rPr>
          <w:sz w:val="22"/>
          <w:szCs w:val="22"/>
          <w:lang w:val="sr-Latn-ME" w:bidi="th-TH"/>
        </w:rPr>
      </w:pPr>
      <w:r w:rsidRPr="003F7E57">
        <w:rPr>
          <w:sz w:val="22"/>
          <w:szCs w:val="22"/>
          <w:lang w:val="sr-Latn-ME" w:bidi="th-TH"/>
        </w:rPr>
        <w:t xml:space="preserve">značajno smanjenje apsolutnog rizika od infarkta </w:t>
      </w:r>
      <w:proofErr w:type="spellStart"/>
      <w:r w:rsidRPr="003F7E57">
        <w:rPr>
          <w:sz w:val="22"/>
          <w:szCs w:val="22"/>
          <w:lang w:val="sr-Latn-ME" w:bidi="th-TH"/>
        </w:rPr>
        <w:t>miokarda</w:t>
      </w:r>
      <w:proofErr w:type="spellEnd"/>
      <w:r w:rsidRPr="003F7E57">
        <w:rPr>
          <w:sz w:val="22"/>
          <w:szCs w:val="22"/>
          <w:lang w:val="sr-Latn-ME" w:bidi="th-TH"/>
        </w:rPr>
        <w:t xml:space="preserve">: </w:t>
      </w:r>
      <w:proofErr w:type="spellStart"/>
      <w:r w:rsidRPr="003F7E57">
        <w:rPr>
          <w:sz w:val="22"/>
          <w:szCs w:val="22"/>
          <w:lang w:val="sr-Latn-ME" w:bidi="th-TH"/>
        </w:rPr>
        <w:t>metformin</w:t>
      </w:r>
      <w:proofErr w:type="spellEnd"/>
      <w:r w:rsidRPr="003F7E57">
        <w:rPr>
          <w:sz w:val="22"/>
          <w:szCs w:val="22"/>
          <w:lang w:val="sr-Latn-ME" w:bidi="th-TH"/>
        </w:rPr>
        <w:t xml:space="preserve"> 11</w:t>
      </w:r>
      <w:r w:rsidRPr="003F7E57">
        <w:rPr>
          <w:sz w:val="22"/>
          <w:szCs w:val="22"/>
          <w:lang w:val="sr-Latn-ME"/>
        </w:rPr>
        <w:t> </w:t>
      </w:r>
      <w:r w:rsidRPr="003F7E57">
        <w:rPr>
          <w:sz w:val="22"/>
          <w:szCs w:val="22"/>
          <w:lang w:val="sr-Latn-ME" w:bidi="th-TH"/>
        </w:rPr>
        <w:t>događaja/1000 pacijent-godina, samo dijeta 18 događaja/1000 pacijent-godina (p=0,01).</w:t>
      </w:r>
    </w:p>
    <w:p w14:paraId="20E3DDB4" w14:textId="77777777" w:rsidR="0064325B" w:rsidRPr="003F7E57" w:rsidRDefault="0064325B" w:rsidP="00991A59">
      <w:pPr>
        <w:tabs>
          <w:tab w:val="left" w:pos="567"/>
        </w:tabs>
        <w:autoSpaceDE w:val="0"/>
        <w:autoSpaceDN w:val="0"/>
        <w:adjustRightInd w:val="0"/>
        <w:jc w:val="both"/>
        <w:rPr>
          <w:iCs/>
          <w:sz w:val="22"/>
          <w:szCs w:val="22"/>
          <w:lang w:val="sr-Latn-ME"/>
        </w:rPr>
      </w:pPr>
    </w:p>
    <w:p w14:paraId="34F8857F" w14:textId="77777777" w:rsidR="0064325B" w:rsidRPr="003F7E57" w:rsidRDefault="0064325B" w:rsidP="00CE2D38">
      <w:pPr>
        <w:tabs>
          <w:tab w:val="left" w:pos="567"/>
        </w:tabs>
        <w:autoSpaceDE w:val="0"/>
        <w:autoSpaceDN w:val="0"/>
        <w:adjustRightInd w:val="0"/>
        <w:jc w:val="both"/>
        <w:rPr>
          <w:sz w:val="22"/>
          <w:szCs w:val="22"/>
          <w:u w:val="single"/>
          <w:lang w:val="sr-Latn-ME"/>
        </w:rPr>
      </w:pPr>
      <w:r w:rsidRPr="003F7E57">
        <w:rPr>
          <w:sz w:val="22"/>
          <w:szCs w:val="22"/>
          <w:u w:val="single"/>
          <w:lang w:val="sr-Latn-ME"/>
        </w:rPr>
        <w:t>Klinička efikasnost i bezbjednost</w:t>
      </w:r>
    </w:p>
    <w:p w14:paraId="3D26342D" w14:textId="6E8FF264" w:rsidR="0064325B" w:rsidRPr="003F7E57" w:rsidRDefault="0064325B">
      <w:pPr>
        <w:tabs>
          <w:tab w:val="left" w:pos="567"/>
        </w:tabs>
        <w:autoSpaceDE w:val="0"/>
        <w:autoSpaceDN w:val="0"/>
        <w:adjustRightInd w:val="0"/>
        <w:jc w:val="both"/>
        <w:rPr>
          <w:noProof/>
          <w:sz w:val="22"/>
          <w:szCs w:val="22"/>
          <w:lang w:val="sr-Latn-ME"/>
        </w:rPr>
      </w:pPr>
      <w:r w:rsidRPr="003F7E57">
        <w:rPr>
          <w:sz w:val="22"/>
          <w:szCs w:val="22"/>
          <w:lang w:val="sr-Latn-ME"/>
        </w:rPr>
        <w:t xml:space="preserve">Dodatak </w:t>
      </w:r>
      <w:proofErr w:type="spellStart"/>
      <w:r w:rsidRPr="003F7E57">
        <w:rPr>
          <w:sz w:val="22"/>
          <w:szCs w:val="22"/>
          <w:lang w:val="sr-Latn-ME"/>
        </w:rPr>
        <w:t>vildagliptina</w:t>
      </w:r>
      <w:proofErr w:type="spellEnd"/>
      <w:r w:rsidRPr="003F7E57">
        <w:rPr>
          <w:sz w:val="22"/>
          <w:szCs w:val="22"/>
          <w:lang w:val="sr-Latn-ME"/>
        </w:rPr>
        <w:t xml:space="preserve"> pacijentima kod  kojih nije postignuta zadovoljavajuća kontrola </w:t>
      </w:r>
      <w:proofErr w:type="spellStart"/>
      <w:r w:rsidRPr="003F7E57">
        <w:rPr>
          <w:sz w:val="22"/>
          <w:szCs w:val="22"/>
          <w:lang w:val="sr-Latn-ME"/>
        </w:rPr>
        <w:t>glikemije</w:t>
      </w:r>
      <w:proofErr w:type="spellEnd"/>
      <w:r w:rsidRPr="003F7E57">
        <w:rPr>
          <w:sz w:val="22"/>
          <w:szCs w:val="22"/>
          <w:lang w:val="sr-Latn-ME"/>
        </w:rPr>
        <w:t xml:space="preserve"> uprkos </w:t>
      </w:r>
      <w:proofErr w:type="spellStart"/>
      <w:r w:rsidRPr="003F7E57">
        <w:rPr>
          <w:sz w:val="22"/>
          <w:szCs w:val="22"/>
          <w:lang w:val="sr-Latn-ME"/>
        </w:rPr>
        <w:t>monoterapiji</w:t>
      </w:r>
      <w:proofErr w:type="spellEnd"/>
      <w:r w:rsidRPr="003F7E57">
        <w:rPr>
          <w:sz w:val="22"/>
          <w:szCs w:val="22"/>
          <w:lang w:val="sr-Latn-ME"/>
        </w:rPr>
        <w:t xml:space="preserve"> </w:t>
      </w:r>
      <w:proofErr w:type="spellStart"/>
      <w:r w:rsidRPr="003F7E57">
        <w:rPr>
          <w:sz w:val="22"/>
          <w:szCs w:val="22"/>
          <w:lang w:val="sr-Latn-ME"/>
        </w:rPr>
        <w:t>metforminom</w:t>
      </w:r>
      <w:proofErr w:type="spellEnd"/>
      <w:r w:rsidRPr="003F7E57">
        <w:rPr>
          <w:sz w:val="22"/>
          <w:szCs w:val="22"/>
          <w:lang w:val="sr-Latn-ME"/>
        </w:rPr>
        <w:t xml:space="preserve"> </w:t>
      </w:r>
      <w:r w:rsidR="00522F79" w:rsidRPr="003F7E57">
        <w:rPr>
          <w:sz w:val="22"/>
          <w:szCs w:val="22"/>
          <w:lang w:val="sr-Latn-ME"/>
        </w:rPr>
        <w:t xml:space="preserve">rezultiralo </w:t>
      </w:r>
      <w:r w:rsidRPr="003F7E57">
        <w:rPr>
          <w:sz w:val="22"/>
          <w:szCs w:val="22"/>
          <w:lang w:val="sr-Latn-ME"/>
        </w:rPr>
        <w:t>je nakon 6-mjesečnog liječenja dodatnom statistički značajnom srednjom vrijednošću smanjenja HbA</w:t>
      </w:r>
      <w:r w:rsidRPr="003F7E57">
        <w:rPr>
          <w:sz w:val="22"/>
          <w:szCs w:val="22"/>
          <w:vertAlign w:val="subscript"/>
          <w:lang w:val="sr-Latn-ME"/>
        </w:rPr>
        <w:t>1c</w:t>
      </w:r>
      <w:r w:rsidRPr="003F7E57">
        <w:rPr>
          <w:sz w:val="22"/>
          <w:szCs w:val="22"/>
          <w:lang w:val="sr-Latn-ME"/>
        </w:rPr>
        <w:t xml:space="preserve"> u poređenju sa </w:t>
      </w:r>
      <w:proofErr w:type="spellStart"/>
      <w:r w:rsidRPr="003F7E57">
        <w:rPr>
          <w:sz w:val="22"/>
          <w:szCs w:val="22"/>
          <w:lang w:val="sr-Latn-ME"/>
        </w:rPr>
        <w:t>placebom</w:t>
      </w:r>
      <w:proofErr w:type="spellEnd"/>
      <w:r w:rsidRPr="003F7E57">
        <w:rPr>
          <w:sz w:val="22"/>
          <w:szCs w:val="22"/>
          <w:lang w:val="sr-Latn-ME"/>
        </w:rPr>
        <w:t xml:space="preserve"> (razlika između grupa od </w:t>
      </w:r>
      <w:r w:rsidRPr="003F7E57">
        <w:rPr>
          <w:sz w:val="22"/>
          <w:szCs w:val="22"/>
          <w:lang w:val="sr-Latn-ME"/>
        </w:rPr>
        <w:noBreakHyphen/>
        <w:t xml:space="preserve"> 0,7% do </w:t>
      </w:r>
      <w:r w:rsidRPr="003F7E57">
        <w:rPr>
          <w:sz w:val="22"/>
          <w:szCs w:val="22"/>
          <w:lang w:val="sr-Latn-ME"/>
        </w:rPr>
        <w:noBreakHyphen/>
        <w:t xml:space="preserve"> 1,1% za </w:t>
      </w:r>
      <w:proofErr w:type="spellStart"/>
      <w:r w:rsidRPr="003F7E57">
        <w:rPr>
          <w:sz w:val="22"/>
          <w:szCs w:val="22"/>
          <w:lang w:val="sr-Latn-ME"/>
        </w:rPr>
        <w:t>vildagliptin</w:t>
      </w:r>
      <w:proofErr w:type="spellEnd"/>
      <w:r w:rsidRPr="003F7E57">
        <w:rPr>
          <w:sz w:val="22"/>
          <w:szCs w:val="22"/>
          <w:lang w:val="sr-Latn-ME"/>
        </w:rPr>
        <w:t xml:space="preserve"> u dozi od 50 mg i 100 mg). Procenat pacijenata koji su postigli smanjenje HbA</w:t>
      </w:r>
      <w:r w:rsidRPr="003F7E57">
        <w:rPr>
          <w:sz w:val="22"/>
          <w:szCs w:val="22"/>
          <w:vertAlign w:val="subscript"/>
          <w:lang w:val="sr-Latn-ME"/>
        </w:rPr>
        <w:t>1c</w:t>
      </w:r>
      <w:r w:rsidRPr="003F7E57">
        <w:rPr>
          <w:sz w:val="22"/>
          <w:szCs w:val="22"/>
          <w:lang w:val="sr-Latn-ME"/>
        </w:rPr>
        <w:t xml:space="preserve"> ≥ 0,7% u odnosu na početnu vrijednost bio je statistički značajno veći u obje grupe koje su primale </w:t>
      </w:r>
      <w:proofErr w:type="spellStart"/>
      <w:r w:rsidRPr="003F7E57">
        <w:rPr>
          <w:sz w:val="22"/>
          <w:szCs w:val="22"/>
          <w:lang w:val="sr-Latn-ME"/>
        </w:rPr>
        <w:t>vildagliptin</w:t>
      </w:r>
      <w:proofErr w:type="spellEnd"/>
      <w:r w:rsidRPr="003F7E57">
        <w:rPr>
          <w:sz w:val="22"/>
          <w:szCs w:val="22"/>
          <w:lang w:val="sr-Latn-ME"/>
        </w:rPr>
        <w:t xml:space="preserve"> uz </w:t>
      </w:r>
      <w:proofErr w:type="spellStart"/>
      <w:r w:rsidRPr="003F7E57">
        <w:rPr>
          <w:sz w:val="22"/>
          <w:szCs w:val="22"/>
          <w:lang w:val="sr-Latn-ME"/>
        </w:rPr>
        <w:t>metformin</w:t>
      </w:r>
      <w:proofErr w:type="spellEnd"/>
      <w:r w:rsidRPr="003F7E57">
        <w:rPr>
          <w:sz w:val="22"/>
          <w:szCs w:val="22"/>
          <w:lang w:val="sr-Latn-ME"/>
        </w:rPr>
        <w:t xml:space="preserve"> (46% odnosno 60%) u odnosu na grupu koja je primala </w:t>
      </w:r>
      <w:proofErr w:type="spellStart"/>
      <w:r w:rsidRPr="003F7E57">
        <w:rPr>
          <w:sz w:val="22"/>
          <w:szCs w:val="22"/>
          <w:lang w:val="sr-Latn-ME"/>
        </w:rPr>
        <w:t>metformin</w:t>
      </w:r>
      <w:proofErr w:type="spellEnd"/>
      <w:r w:rsidRPr="003F7E57">
        <w:rPr>
          <w:sz w:val="22"/>
          <w:szCs w:val="22"/>
          <w:lang w:val="sr-Latn-ME"/>
        </w:rPr>
        <w:t xml:space="preserve"> uz </w:t>
      </w:r>
      <w:proofErr w:type="spellStart"/>
      <w:r w:rsidRPr="003F7E57">
        <w:rPr>
          <w:sz w:val="22"/>
          <w:szCs w:val="22"/>
          <w:lang w:val="sr-Latn-ME"/>
        </w:rPr>
        <w:t>placebo</w:t>
      </w:r>
      <w:proofErr w:type="spellEnd"/>
      <w:r w:rsidRPr="003F7E57">
        <w:rPr>
          <w:sz w:val="22"/>
          <w:szCs w:val="22"/>
          <w:lang w:val="sr-Latn-ME"/>
        </w:rPr>
        <w:t xml:space="preserve"> (20%).</w:t>
      </w:r>
    </w:p>
    <w:p w14:paraId="209950A8" w14:textId="6B326352" w:rsidR="0064325B" w:rsidRPr="003F7E57" w:rsidRDefault="0064325B" w:rsidP="00991A59">
      <w:pPr>
        <w:tabs>
          <w:tab w:val="left" w:pos="540"/>
          <w:tab w:val="left" w:pos="569"/>
        </w:tabs>
        <w:jc w:val="both"/>
        <w:rPr>
          <w:bCs/>
          <w:sz w:val="22"/>
          <w:szCs w:val="22"/>
          <w:lang w:val="sr-Latn-ME"/>
        </w:rPr>
      </w:pPr>
    </w:p>
    <w:p w14:paraId="297EA31A" w14:textId="6DBA7FA8" w:rsidR="0064325B" w:rsidRPr="003F7E57" w:rsidRDefault="0064325B" w:rsidP="00CE2D38">
      <w:pPr>
        <w:autoSpaceDE w:val="0"/>
        <w:autoSpaceDN w:val="0"/>
        <w:adjustRightInd w:val="0"/>
        <w:jc w:val="both"/>
        <w:rPr>
          <w:sz w:val="22"/>
          <w:szCs w:val="22"/>
          <w:lang w:val="sr-Latn-ME"/>
        </w:rPr>
      </w:pPr>
      <w:r w:rsidRPr="003F7E57">
        <w:rPr>
          <w:sz w:val="22"/>
          <w:szCs w:val="22"/>
          <w:lang w:val="sr-Latn-ME"/>
        </w:rPr>
        <w:t xml:space="preserve">U ispitivanju koje je trajalo 24 nedjelje upoređivan je </w:t>
      </w:r>
      <w:proofErr w:type="spellStart"/>
      <w:r w:rsidRPr="003F7E57">
        <w:rPr>
          <w:sz w:val="22"/>
          <w:szCs w:val="22"/>
          <w:lang w:val="sr-Latn-ME"/>
        </w:rPr>
        <w:t>vildagliptin</w:t>
      </w:r>
      <w:proofErr w:type="spellEnd"/>
      <w:r w:rsidRPr="003F7E57">
        <w:rPr>
          <w:sz w:val="22"/>
          <w:szCs w:val="22"/>
          <w:lang w:val="sr-Latn-ME"/>
        </w:rPr>
        <w:t xml:space="preserve"> (50 mg dva puta na dan) sa </w:t>
      </w:r>
      <w:proofErr w:type="spellStart"/>
      <w:r w:rsidRPr="003F7E57">
        <w:rPr>
          <w:sz w:val="22"/>
          <w:szCs w:val="22"/>
          <w:lang w:val="sr-Latn-ME"/>
        </w:rPr>
        <w:t>pioglitazonom</w:t>
      </w:r>
      <w:proofErr w:type="spellEnd"/>
      <w:r w:rsidRPr="003F7E57">
        <w:rPr>
          <w:sz w:val="22"/>
          <w:szCs w:val="22"/>
          <w:lang w:val="sr-Latn-ME"/>
        </w:rPr>
        <w:t xml:space="preserve"> (30 mg jedanput na dan) kod pacijenata kod kojih nije bila postignuta dovoljna kontrola </w:t>
      </w:r>
      <w:proofErr w:type="spellStart"/>
      <w:r w:rsidRPr="003F7E57">
        <w:rPr>
          <w:sz w:val="22"/>
          <w:szCs w:val="22"/>
          <w:lang w:val="sr-Latn-ME"/>
        </w:rPr>
        <w:t>metforminom</w:t>
      </w:r>
      <w:proofErr w:type="spellEnd"/>
      <w:r w:rsidRPr="003F7E57">
        <w:rPr>
          <w:sz w:val="22"/>
          <w:szCs w:val="22"/>
          <w:lang w:val="sr-Latn-ME"/>
        </w:rPr>
        <w:t xml:space="preserve"> (srednja dnevna doza: 2020 mg). Srednja sniženja HbA</w:t>
      </w:r>
      <w:r w:rsidRPr="003F7E57">
        <w:rPr>
          <w:sz w:val="22"/>
          <w:szCs w:val="22"/>
          <w:vertAlign w:val="subscript"/>
          <w:lang w:val="sr-Latn-ME"/>
        </w:rPr>
        <w:t>1c</w:t>
      </w:r>
      <w:r w:rsidRPr="003F7E57">
        <w:rPr>
          <w:sz w:val="22"/>
          <w:szCs w:val="22"/>
          <w:lang w:val="sr-Latn-ME"/>
        </w:rPr>
        <w:t xml:space="preserve"> u odnosu na početnu vrijednost od 8,4% bila su </w:t>
      </w:r>
      <w:r w:rsidRPr="003F7E57">
        <w:rPr>
          <w:sz w:val="22"/>
          <w:szCs w:val="22"/>
          <w:lang w:val="sr-Latn-ME"/>
        </w:rPr>
        <w:noBreakHyphen/>
        <w:t xml:space="preserve"> 0,9% uz dodatak </w:t>
      </w:r>
      <w:proofErr w:type="spellStart"/>
      <w:r w:rsidRPr="003F7E57">
        <w:rPr>
          <w:sz w:val="22"/>
          <w:szCs w:val="22"/>
          <w:lang w:val="sr-Latn-ME"/>
        </w:rPr>
        <w:t>vildagliptina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xml:space="preserve"> i </w:t>
      </w:r>
      <w:r w:rsidRPr="003F7E57">
        <w:rPr>
          <w:sz w:val="22"/>
          <w:szCs w:val="22"/>
          <w:lang w:val="sr-Latn-ME"/>
        </w:rPr>
        <w:noBreakHyphen/>
        <w:t xml:space="preserve"> 1,0% uz dodatak </w:t>
      </w:r>
      <w:proofErr w:type="spellStart"/>
      <w:r w:rsidRPr="003F7E57">
        <w:rPr>
          <w:sz w:val="22"/>
          <w:szCs w:val="22"/>
          <w:lang w:val="sr-Latn-ME"/>
        </w:rPr>
        <w:t>pioglitazona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xml:space="preserve">. Srednja vrijednost dobitka na tjelesnoj masi od +1,9 kg bila je zapažena kod pacijenata koji su primali </w:t>
      </w:r>
      <w:proofErr w:type="spellStart"/>
      <w:r w:rsidRPr="003F7E57">
        <w:rPr>
          <w:sz w:val="22"/>
          <w:szCs w:val="22"/>
          <w:lang w:val="sr-Latn-ME"/>
        </w:rPr>
        <w:t>pioglitazon</w:t>
      </w:r>
      <w:proofErr w:type="spellEnd"/>
      <w:r w:rsidRPr="003F7E57">
        <w:rPr>
          <w:sz w:val="22"/>
          <w:szCs w:val="22"/>
          <w:lang w:val="sr-Latn-ME"/>
        </w:rPr>
        <w:t xml:space="preserve"> </w:t>
      </w:r>
      <w:bookmarkStart w:id="0" w:name="OLE_LINK2"/>
      <w:r w:rsidRPr="003F7E57">
        <w:rPr>
          <w:sz w:val="22"/>
          <w:szCs w:val="22"/>
          <w:lang w:val="sr-Latn-ME"/>
        </w:rPr>
        <w:t xml:space="preserve">kao dodatak </w:t>
      </w:r>
      <w:proofErr w:type="spellStart"/>
      <w:r w:rsidRPr="003F7E57">
        <w:rPr>
          <w:sz w:val="22"/>
          <w:szCs w:val="22"/>
          <w:lang w:val="sr-Latn-ME"/>
        </w:rPr>
        <w:t>metforminu</w:t>
      </w:r>
      <w:bookmarkEnd w:id="0"/>
      <w:proofErr w:type="spellEnd"/>
      <w:r w:rsidRPr="003F7E57">
        <w:rPr>
          <w:sz w:val="22"/>
          <w:szCs w:val="22"/>
          <w:lang w:val="sr-Latn-ME"/>
        </w:rPr>
        <w:t xml:space="preserve"> u poređenju sa  + 0,3 kg kod onih pacijenata koji su primali </w:t>
      </w:r>
      <w:proofErr w:type="spellStart"/>
      <w:r w:rsidRPr="003F7E57">
        <w:rPr>
          <w:sz w:val="22"/>
          <w:szCs w:val="22"/>
          <w:lang w:val="sr-Latn-ME"/>
        </w:rPr>
        <w:t>vildagliptin</w:t>
      </w:r>
      <w:proofErr w:type="spellEnd"/>
      <w:r w:rsidRPr="003F7E57">
        <w:rPr>
          <w:sz w:val="22"/>
          <w:szCs w:val="22"/>
          <w:lang w:val="sr-Latn-ME"/>
        </w:rPr>
        <w:t xml:space="preserve"> kao dodatak </w:t>
      </w:r>
      <w:proofErr w:type="spellStart"/>
      <w:r w:rsidRPr="003F7E57">
        <w:rPr>
          <w:sz w:val="22"/>
          <w:szCs w:val="22"/>
          <w:lang w:val="sr-Latn-ME"/>
        </w:rPr>
        <w:t>metforminu</w:t>
      </w:r>
      <w:proofErr w:type="spellEnd"/>
      <w:r w:rsidRPr="003F7E57">
        <w:rPr>
          <w:sz w:val="22"/>
          <w:szCs w:val="22"/>
          <w:lang w:val="sr-Latn-ME"/>
        </w:rPr>
        <w:t>.</w:t>
      </w:r>
    </w:p>
    <w:p w14:paraId="26C04A9E" w14:textId="39FB492B" w:rsidR="0064325B" w:rsidRPr="003F7E57" w:rsidRDefault="0064325B" w:rsidP="00991A59">
      <w:pPr>
        <w:autoSpaceDE w:val="0"/>
        <w:autoSpaceDN w:val="0"/>
        <w:adjustRightInd w:val="0"/>
        <w:jc w:val="both"/>
        <w:rPr>
          <w:sz w:val="22"/>
          <w:szCs w:val="22"/>
          <w:lang w:val="sr-Latn-ME"/>
        </w:rPr>
      </w:pPr>
    </w:p>
    <w:p w14:paraId="202DED4D" w14:textId="77777777" w:rsidR="0064325B" w:rsidRPr="003F7E57" w:rsidRDefault="0064325B" w:rsidP="00CE2D38">
      <w:pPr>
        <w:autoSpaceDE w:val="0"/>
        <w:autoSpaceDN w:val="0"/>
        <w:adjustRightInd w:val="0"/>
        <w:jc w:val="both"/>
        <w:rPr>
          <w:sz w:val="22"/>
          <w:szCs w:val="22"/>
          <w:lang w:val="sr-Latn-ME"/>
        </w:rPr>
      </w:pPr>
      <w:r w:rsidRPr="003F7E57">
        <w:rPr>
          <w:sz w:val="22"/>
          <w:szCs w:val="22"/>
          <w:lang w:val="sr-Latn-ME"/>
        </w:rPr>
        <w:t xml:space="preserve">U kliničkom ispitivanju koje je trajalo 2 godine upoređivan je </w:t>
      </w:r>
      <w:proofErr w:type="spellStart"/>
      <w:r w:rsidRPr="003F7E57">
        <w:rPr>
          <w:sz w:val="22"/>
          <w:szCs w:val="22"/>
          <w:lang w:val="sr-Latn-ME"/>
        </w:rPr>
        <w:t>vildagliptin</w:t>
      </w:r>
      <w:proofErr w:type="spellEnd"/>
      <w:r w:rsidRPr="003F7E57">
        <w:rPr>
          <w:sz w:val="22"/>
          <w:szCs w:val="22"/>
          <w:lang w:val="sr-Latn-ME"/>
        </w:rPr>
        <w:t xml:space="preserve"> (50 mg dva puta na dan) sa </w:t>
      </w:r>
      <w:proofErr w:type="spellStart"/>
      <w:r w:rsidRPr="003F7E57">
        <w:rPr>
          <w:sz w:val="22"/>
          <w:szCs w:val="22"/>
          <w:lang w:val="sr-Latn-ME"/>
        </w:rPr>
        <w:t>glimepiridom</w:t>
      </w:r>
      <w:proofErr w:type="spellEnd"/>
      <w:r w:rsidRPr="003F7E57">
        <w:rPr>
          <w:sz w:val="22"/>
          <w:szCs w:val="22"/>
          <w:lang w:val="sr-Latn-ME"/>
        </w:rPr>
        <w:t xml:space="preserve"> (do 6 mg/dan – srednja doza nakon 2 godine: 4,6 mg) kod pacijenata liječenih </w:t>
      </w:r>
      <w:proofErr w:type="spellStart"/>
      <w:r w:rsidRPr="003F7E57">
        <w:rPr>
          <w:sz w:val="22"/>
          <w:szCs w:val="22"/>
          <w:lang w:val="sr-Latn-ME"/>
        </w:rPr>
        <w:t>metforminom</w:t>
      </w:r>
      <w:proofErr w:type="spellEnd"/>
      <w:r w:rsidRPr="003F7E57">
        <w:rPr>
          <w:sz w:val="22"/>
          <w:szCs w:val="22"/>
          <w:lang w:val="sr-Latn-ME"/>
        </w:rPr>
        <w:t xml:space="preserve"> (srednja dnevna doza: 1894 mg). Nakon 1 godine srednje vrijednosti sniženja HbA</w:t>
      </w:r>
      <w:r w:rsidRPr="003F7E57">
        <w:rPr>
          <w:sz w:val="22"/>
          <w:szCs w:val="22"/>
          <w:vertAlign w:val="subscript"/>
          <w:lang w:val="sr-Latn-ME"/>
        </w:rPr>
        <w:t>1c</w:t>
      </w:r>
      <w:r w:rsidRPr="003F7E57">
        <w:rPr>
          <w:sz w:val="22"/>
          <w:szCs w:val="22"/>
          <w:lang w:val="sr-Latn-ME"/>
        </w:rPr>
        <w:t xml:space="preserve"> bile su </w:t>
      </w:r>
      <w:r w:rsidRPr="003F7E57">
        <w:rPr>
          <w:sz w:val="22"/>
          <w:szCs w:val="22"/>
          <w:lang w:val="sr-Latn-ME"/>
        </w:rPr>
        <w:noBreakHyphen/>
        <w:t xml:space="preserve"> 0,4% uz dodatak </w:t>
      </w:r>
      <w:proofErr w:type="spellStart"/>
      <w:r w:rsidRPr="003F7E57">
        <w:rPr>
          <w:sz w:val="22"/>
          <w:szCs w:val="22"/>
          <w:lang w:val="sr-Latn-ME"/>
        </w:rPr>
        <w:t>vildagliptina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xml:space="preserve"> i </w:t>
      </w:r>
      <w:r w:rsidRPr="003F7E57">
        <w:rPr>
          <w:sz w:val="22"/>
          <w:szCs w:val="22"/>
          <w:lang w:val="sr-Latn-ME"/>
        </w:rPr>
        <w:noBreakHyphen/>
        <w:t xml:space="preserve"> 0,5% uz dodatak </w:t>
      </w:r>
      <w:proofErr w:type="spellStart"/>
      <w:r w:rsidRPr="003F7E57">
        <w:rPr>
          <w:sz w:val="22"/>
          <w:szCs w:val="22"/>
          <w:lang w:val="sr-Latn-ME"/>
        </w:rPr>
        <w:t>glimepirida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od početne srednje vrijednosti HbA</w:t>
      </w:r>
      <w:r w:rsidRPr="003F7E57">
        <w:rPr>
          <w:sz w:val="22"/>
          <w:szCs w:val="22"/>
          <w:vertAlign w:val="subscript"/>
          <w:lang w:val="sr-Latn-ME"/>
        </w:rPr>
        <w:t>1c</w:t>
      </w:r>
      <w:r w:rsidRPr="003F7E57">
        <w:rPr>
          <w:sz w:val="22"/>
          <w:szCs w:val="22"/>
          <w:lang w:val="sr-Latn-ME"/>
        </w:rPr>
        <w:t xml:space="preserve"> od 7,3%. Promjena tjelesne mase uz </w:t>
      </w:r>
      <w:proofErr w:type="spellStart"/>
      <w:r w:rsidRPr="003F7E57">
        <w:rPr>
          <w:sz w:val="22"/>
          <w:szCs w:val="22"/>
          <w:lang w:val="sr-Latn-ME"/>
        </w:rPr>
        <w:t>vildagliptin</w:t>
      </w:r>
      <w:proofErr w:type="spellEnd"/>
      <w:r w:rsidRPr="003F7E57">
        <w:rPr>
          <w:sz w:val="22"/>
          <w:szCs w:val="22"/>
          <w:lang w:val="sr-Latn-ME"/>
        </w:rPr>
        <w:t xml:space="preserve"> bila je </w:t>
      </w:r>
      <w:r w:rsidRPr="003F7E57">
        <w:rPr>
          <w:sz w:val="22"/>
          <w:szCs w:val="22"/>
          <w:lang w:val="sr-Latn-ME"/>
        </w:rPr>
        <w:noBreakHyphen/>
        <w:t xml:space="preserve"> 0,2 kg u odnosu na + 1,6 kg uz </w:t>
      </w:r>
      <w:proofErr w:type="spellStart"/>
      <w:r w:rsidRPr="003F7E57">
        <w:rPr>
          <w:sz w:val="22"/>
          <w:szCs w:val="22"/>
          <w:lang w:val="sr-Latn-ME"/>
        </w:rPr>
        <w:t>glimepirid</w:t>
      </w:r>
      <w:proofErr w:type="spellEnd"/>
      <w:r w:rsidRPr="003F7E57">
        <w:rPr>
          <w:sz w:val="22"/>
          <w:szCs w:val="22"/>
          <w:lang w:val="sr-Latn-ME"/>
        </w:rPr>
        <w:t xml:space="preserve">. </w:t>
      </w:r>
      <w:proofErr w:type="spellStart"/>
      <w:r w:rsidRPr="003F7E57">
        <w:rPr>
          <w:sz w:val="22"/>
          <w:szCs w:val="22"/>
          <w:lang w:val="sr-Latn-ME"/>
        </w:rPr>
        <w:t>Incidenca</w:t>
      </w:r>
      <w:proofErr w:type="spellEnd"/>
      <w:r w:rsidRPr="003F7E57">
        <w:rPr>
          <w:sz w:val="22"/>
          <w:szCs w:val="22"/>
          <w:lang w:val="sr-Latn-ME"/>
        </w:rPr>
        <w:t xml:space="preserve"> </w:t>
      </w:r>
      <w:proofErr w:type="spellStart"/>
      <w:r w:rsidRPr="003F7E57">
        <w:rPr>
          <w:sz w:val="22"/>
          <w:szCs w:val="22"/>
          <w:lang w:val="sr-Latn-ME"/>
        </w:rPr>
        <w:t>hipoglikemije</w:t>
      </w:r>
      <w:proofErr w:type="spellEnd"/>
      <w:r w:rsidRPr="003F7E57">
        <w:rPr>
          <w:sz w:val="22"/>
          <w:szCs w:val="22"/>
          <w:lang w:val="sr-Latn-ME"/>
        </w:rPr>
        <w:t xml:space="preserve"> bila je značajno manja u grupi koja je liječena </w:t>
      </w:r>
      <w:proofErr w:type="spellStart"/>
      <w:r w:rsidRPr="003F7E57">
        <w:rPr>
          <w:sz w:val="22"/>
          <w:szCs w:val="22"/>
          <w:lang w:val="sr-Latn-ME"/>
        </w:rPr>
        <w:t>vildagliptinom</w:t>
      </w:r>
      <w:proofErr w:type="spellEnd"/>
      <w:r w:rsidRPr="003F7E57">
        <w:rPr>
          <w:sz w:val="22"/>
          <w:szCs w:val="22"/>
          <w:lang w:val="sr-Latn-ME"/>
        </w:rPr>
        <w:t xml:space="preserve"> (1,7%) nego u grupi koja je liječena </w:t>
      </w:r>
      <w:proofErr w:type="spellStart"/>
      <w:r w:rsidRPr="003F7E57">
        <w:rPr>
          <w:sz w:val="22"/>
          <w:szCs w:val="22"/>
          <w:lang w:val="sr-Latn-ME"/>
        </w:rPr>
        <w:t>glimepiridom</w:t>
      </w:r>
      <w:proofErr w:type="spellEnd"/>
      <w:r w:rsidRPr="003F7E57">
        <w:rPr>
          <w:sz w:val="22"/>
          <w:szCs w:val="22"/>
          <w:lang w:val="sr-Latn-ME"/>
        </w:rPr>
        <w:t xml:space="preserve"> (16,2%). Na krajnjem ishodu ispitivanja (2 godine) vrijednost HbA</w:t>
      </w:r>
      <w:r w:rsidRPr="003F7E57">
        <w:rPr>
          <w:sz w:val="22"/>
          <w:szCs w:val="22"/>
          <w:vertAlign w:val="subscript"/>
          <w:lang w:val="sr-Latn-ME"/>
        </w:rPr>
        <w:t>1c</w:t>
      </w:r>
      <w:r w:rsidRPr="003F7E57">
        <w:rPr>
          <w:sz w:val="22"/>
          <w:szCs w:val="22"/>
          <w:lang w:val="sr-Latn-ME"/>
        </w:rPr>
        <w:t xml:space="preserve"> je bila slična početnim vrijednostima u obje terapijske grupe uz očuvane promjene u tjelesnoj masi i razlike u </w:t>
      </w:r>
      <w:proofErr w:type="spellStart"/>
      <w:r w:rsidRPr="003F7E57">
        <w:rPr>
          <w:sz w:val="22"/>
          <w:szCs w:val="22"/>
          <w:lang w:val="sr-Latn-ME"/>
        </w:rPr>
        <w:t>hipoglikemiji</w:t>
      </w:r>
      <w:proofErr w:type="spellEnd"/>
      <w:r w:rsidRPr="003F7E57">
        <w:rPr>
          <w:sz w:val="22"/>
          <w:szCs w:val="22"/>
          <w:lang w:val="sr-Latn-ME"/>
        </w:rPr>
        <w:t>.</w:t>
      </w:r>
    </w:p>
    <w:p w14:paraId="1CF55EB1" w14:textId="77777777" w:rsidR="0064325B" w:rsidRPr="003F7E57" w:rsidRDefault="0064325B" w:rsidP="00991A59">
      <w:pPr>
        <w:tabs>
          <w:tab w:val="left" w:pos="567"/>
        </w:tabs>
        <w:autoSpaceDE w:val="0"/>
        <w:autoSpaceDN w:val="0"/>
        <w:adjustRightInd w:val="0"/>
        <w:jc w:val="both"/>
        <w:rPr>
          <w:sz w:val="22"/>
          <w:szCs w:val="22"/>
          <w:lang w:val="sr-Latn-ME"/>
        </w:rPr>
      </w:pPr>
    </w:p>
    <w:p w14:paraId="0C3E7D3A" w14:textId="77777777" w:rsidR="0064325B" w:rsidRPr="003F7E57" w:rsidRDefault="0064325B" w:rsidP="00CE2D38">
      <w:pPr>
        <w:jc w:val="both"/>
        <w:rPr>
          <w:sz w:val="22"/>
          <w:szCs w:val="22"/>
          <w:lang w:val="sr-Latn-ME"/>
        </w:rPr>
      </w:pPr>
      <w:r w:rsidRPr="003F7E57">
        <w:rPr>
          <w:sz w:val="22"/>
          <w:szCs w:val="22"/>
          <w:lang w:val="sr-Latn-ME"/>
        </w:rPr>
        <w:t xml:space="preserve">U ispitivanju koje je trajalo 52 nedjelje upoređivao se </w:t>
      </w:r>
      <w:proofErr w:type="spellStart"/>
      <w:r w:rsidRPr="003F7E57">
        <w:rPr>
          <w:sz w:val="22"/>
          <w:szCs w:val="22"/>
          <w:lang w:val="sr-Latn-ME"/>
        </w:rPr>
        <w:t>vildagliptin</w:t>
      </w:r>
      <w:proofErr w:type="spellEnd"/>
      <w:r w:rsidRPr="003F7E57">
        <w:rPr>
          <w:sz w:val="22"/>
          <w:szCs w:val="22"/>
          <w:lang w:val="sr-Latn-ME"/>
        </w:rPr>
        <w:t xml:space="preserve"> (50 mg dva puta na dan) sa </w:t>
      </w:r>
      <w:proofErr w:type="spellStart"/>
      <w:r w:rsidRPr="003F7E57">
        <w:rPr>
          <w:sz w:val="22"/>
          <w:szCs w:val="22"/>
          <w:lang w:val="sr-Latn-ME"/>
        </w:rPr>
        <w:t>gliklazidom</w:t>
      </w:r>
      <w:proofErr w:type="spellEnd"/>
      <w:r w:rsidRPr="003F7E57">
        <w:rPr>
          <w:sz w:val="22"/>
          <w:szCs w:val="22"/>
          <w:lang w:val="sr-Latn-ME"/>
        </w:rPr>
        <w:t xml:space="preserve"> (srednja dnevna doza: 229,5 mg) kod pacijenata kod kojih nije bila postignuta dovoljna kontrola </w:t>
      </w:r>
      <w:proofErr w:type="spellStart"/>
      <w:r w:rsidRPr="003F7E57">
        <w:rPr>
          <w:sz w:val="22"/>
          <w:szCs w:val="22"/>
          <w:lang w:val="sr-Latn-ME"/>
        </w:rPr>
        <w:t>metforminom</w:t>
      </w:r>
      <w:proofErr w:type="spellEnd"/>
      <w:r w:rsidRPr="003F7E57">
        <w:rPr>
          <w:sz w:val="22"/>
          <w:szCs w:val="22"/>
          <w:lang w:val="sr-Latn-ME"/>
        </w:rPr>
        <w:t xml:space="preserve"> (početna doza </w:t>
      </w:r>
      <w:proofErr w:type="spellStart"/>
      <w:r w:rsidRPr="003F7E57">
        <w:rPr>
          <w:sz w:val="22"/>
          <w:szCs w:val="22"/>
          <w:lang w:val="sr-Latn-ME"/>
        </w:rPr>
        <w:t>metformina</w:t>
      </w:r>
      <w:proofErr w:type="spellEnd"/>
      <w:r w:rsidRPr="003F7E57">
        <w:rPr>
          <w:sz w:val="22"/>
          <w:szCs w:val="22"/>
          <w:lang w:val="sr-Latn-ME"/>
        </w:rPr>
        <w:t xml:space="preserve"> od 1928 mg/dan). Nakon 1 godine srednje vrijednosti sniženja HbA</w:t>
      </w:r>
      <w:r w:rsidRPr="003F7E57">
        <w:rPr>
          <w:sz w:val="22"/>
          <w:szCs w:val="22"/>
          <w:vertAlign w:val="subscript"/>
          <w:lang w:val="sr-Latn-ME"/>
        </w:rPr>
        <w:t>1c</w:t>
      </w:r>
      <w:r w:rsidRPr="003F7E57">
        <w:rPr>
          <w:sz w:val="22"/>
          <w:szCs w:val="22"/>
          <w:lang w:val="sr-Latn-ME"/>
        </w:rPr>
        <w:t xml:space="preserve"> bila su </w:t>
      </w:r>
      <w:r w:rsidRPr="003F7E57">
        <w:rPr>
          <w:sz w:val="22"/>
          <w:szCs w:val="22"/>
          <w:lang w:val="sr-Latn-ME"/>
        </w:rPr>
        <w:noBreakHyphen/>
        <w:t xml:space="preserve"> 0,81% uz dodatak </w:t>
      </w:r>
      <w:proofErr w:type="spellStart"/>
      <w:r w:rsidRPr="003F7E57">
        <w:rPr>
          <w:sz w:val="22"/>
          <w:szCs w:val="22"/>
          <w:lang w:val="sr-Latn-ME"/>
        </w:rPr>
        <w:t>vildagliptina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xml:space="preserve"> (srednja početna vrijednost HbA</w:t>
      </w:r>
      <w:r w:rsidRPr="003F7E57">
        <w:rPr>
          <w:sz w:val="22"/>
          <w:szCs w:val="22"/>
          <w:vertAlign w:val="subscript"/>
          <w:lang w:val="sr-Latn-ME"/>
        </w:rPr>
        <w:t>1c</w:t>
      </w:r>
      <w:r w:rsidRPr="003F7E57">
        <w:rPr>
          <w:sz w:val="22"/>
          <w:szCs w:val="22"/>
          <w:lang w:val="sr-Latn-ME"/>
        </w:rPr>
        <w:t xml:space="preserve"> 8,4%) i </w:t>
      </w:r>
      <w:r w:rsidRPr="003F7E57">
        <w:rPr>
          <w:sz w:val="22"/>
          <w:szCs w:val="22"/>
          <w:lang w:val="sr-Latn-ME"/>
        </w:rPr>
        <w:noBreakHyphen/>
        <w:t xml:space="preserve"> 0,85% uz dodatak </w:t>
      </w:r>
      <w:proofErr w:type="spellStart"/>
      <w:r w:rsidRPr="003F7E57">
        <w:rPr>
          <w:sz w:val="22"/>
          <w:szCs w:val="22"/>
          <w:lang w:val="sr-Latn-ME"/>
        </w:rPr>
        <w:t>gliklazida</w:t>
      </w:r>
      <w:proofErr w:type="spellEnd"/>
      <w:r w:rsidRPr="003F7E57">
        <w:rPr>
          <w:sz w:val="22"/>
          <w:szCs w:val="22"/>
          <w:lang w:val="sr-Latn-ME"/>
        </w:rPr>
        <w:t xml:space="preserve"> </w:t>
      </w:r>
      <w:proofErr w:type="spellStart"/>
      <w:r w:rsidRPr="003F7E57">
        <w:rPr>
          <w:sz w:val="22"/>
          <w:szCs w:val="22"/>
          <w:lang w:val="sr-Latn-ME"/>
        </w:rPr>
        <w:t>metforminu</w:t>
      </w:r>
      <w:proofErr w:type="spellEnd"/>
      <w:r w:rsidRPr="003F7E57">
        <w:rPr>
          <w:sz w:val="22"/>
          <w:szCs w:val="22"/>
          <w:lang w:val="sr-Latn-ME"/>
        </w:rPr>
        <w:t xml:space="preserve"> (srednja početna vrijednost HbA</w:t>
      </w:r>
      <w:r w:rsidRPr="003F7E57">
        <w:rPr>
          <w:sz w:val="22"/>
          <w:szCs w:val="22"/>
          <w:vertAlign w:val="subscript"/>
          <w:lang w:val="sr-Latn-ME"/>
        </w:rPr>
        <w:t>1c</w:t>
      </w:r>
      <w:r w:rsidRPr="003F7E57">
        <w:rPr>
          <w:sz w:val="22"/>
          <w:szCs w:val="22"/>
          <w:lang w:val="sr-Latn-ME"/>
        </w:rPr>
        <w:t xml:space="preserve"> 8,5%). Postignuta je statistički značajna </w:t>
      </w:r>
      <w:proofErr w:type="spellStart"/>
      <w:r w:rsidRPr="003F7E57">
        <w:rPr>
          <w:sz w:val="22"/>
          <w:szCs w:val="22"/>
          <w:lang w:val="sr-Latn-ME"/>
        </w:rPr>
        <w:t>neinferiornost</w:t>
      </w:r>
      <w:proofErr w:type="spellEnd"/>
      <w:r w:rsidRPr="003F7E57">
        <w:rPr>
          <w:sz w:val="22"/>
          <w:szCs w:val="22"/>
          <w:lang w:val="sr-Latn-ME"/>
        </w:rPr>
        <w:t xml:space="preserve"> (95% CI </w:t>
      </w:r>
      <w:r w:rsidRPr="003F7E57">
        <w:rPr>
          <w:sz w:val="22"/>
          <w:szCs w:val="22"/>
          <w:lang w:val="sr-Latn-ME"/>
        </w:rPr>
        <w:noBreakHyphen/>
        <w:t xml:space="preserve">0,11 – 0,20). Promjena uz </w:t>
      </w:r>
      <w:proofErr w:type="spellStart"/>
      <w:r w:rsidRPr="003F7E57">
        <w:rPr>
          <w:sz w:val="22"/>
          <w:szCs w:val="22"/>
          <w:lang w:val="sr-Latn-ME"/>
        </w:rPr>
        <w:t>vildagliptin</w:t>
      </w:r>
      <w:proofErr w:type="spellEnd"/>
      <w:r w:rsidRPr="003F7E57">
        <w:rPr>
          <w:sz w:val="22"/>
          <w:szCs w:val="22"/>
          <w:lang w:val="sr-Latn-ME"/>
        </w:rPr>
        <w:t xml:space="preserve"> bila je + 0,1 kg u poređenju sa dobitkom na tjelesnoj masi od + 1,4 kg uz </w:t>
      </w:r>
      <w:proofErr w:type="spellStart"/>
      <w:r w:rsidRPr="003F7E57">
        <w:rPr>
          <w:sz w:val="22"/>
          <w:szCs w:val="22"/>
          <w:lang w:val="sr-Latn-ME"/>
        </w:rPr>
        <w:t>gliklazid</w:t>
      </w:r>
      <w:proofErr w:type="spellEnd"/>
      <w:r w:rsidRPr="003F7E57">
        <w:rPr>
          <w:sz w:val="22"/>
          <w:szCs w:val="22"/>
          <w:lang w:val="sr-Latn-ME"/>
        </w:rPr>
        <w:t>.</w:t>
      </w:r>
    </w:p>
    <w:p w14:paraId="5456D424" w14:textId="77777777" w:rsidR="0064325B" w:rsidRPr="003F7E57" w:rsidRDefault="0064325B" w:rsidP="00991A59">
      <w:pPr>
        <w:jc w:val="both"/>
        <w:rPr>
          <w:sz w:val="22"/>
          <w:szCs w:val="22"/>
          <w:lang w:val="sr-Latn-ME"/>
        </w:rPr>
      </w:pPr>
    </w:p>
    <w:p w14:paraId="22153A27" w14:textId="0A2B07F3" w:rsidR="0064325B" w:rsidRPr="003F7E57" w:rsidRDefault="0064325B" w:rsidP="00CE2D38">
      <w:pPr>
        <w:tabs>
          <w:tab w:val="left" w:pos="567"/>
        </w:tabs>
        <w:autoSpaceDE w:val="0"/>
        <w:autoSpaceDN w:val="0"/>
        <w:adjustRightInd w:val="0"/>
        <w:jc w:val="both"/>
        <w:rPr>
          <w:sz w:val="22"/>
          <w:szCs w:val="22"/>
          <w:lang w:val="sr-Latn-ME"/>
        </w:rPr>
      </w:pPr>
      <w:r w:rsidRPr="003F7E57">
        <w:rPr>
          <w:sz w:val="22"/>
          <w:szCs w:val="22"/>
          <w:lang w:val="sr-Latn-ME"/>
        </w:rPr>
        <w:t>U ispitivanju koje je trajalo 24 nedjelje proc</w:t>
      </w:r>
      <w:r w:rsidR="00806C70" w:rsidRPr="003F7E57">
        <w:rPr>
          <w:sz w:val="22"/>
          <w:szCs w:val="22"/>
          <w:lang w:val="sr-Latn-ME"/>
        </w:rPr>
        <w:t>ij</w:t>
      </w:r>
      <w:r w:rsidRPr="003F7E57">
        <w:rPr>
          <w:sz w:val="22"/>
          <w:szCs w:val="22"/>
          <w:lang w:val="sr-Latn-ME"/>
        </w:rPr>
        <w:t xml:space="preserve">enjena je efikasnost fiksne kombinacije doza </w:t>
      </w:r>
      <w:proofErr w:type="spellStart"/>
      <w:r w:rsidRPr="003F7E57">
        <w:rPr>
          <w:sz w:val="22"/>
          <w:szCs w:val="22"/>
          <w:lang w:val="sr-Latn-ME"/>
        </w:rPr>
        <w:t>vildagliptina</w:t>
      </w:r>
      <w:proofErr w:type="spellEnd"/>
      <w:r w:rsidRPr="003F7E57">
        <w:rPr>
          <w:sz w:val="22"/>
          <w:szCs w:val="22"/>
          <w:lang w:val="sr-Latn-ME"/>
        </w:rPr>
        <w:t xml:space="preserve"> i </w:t>
      </w:r>
      <w:proofErr w:type="spellStart"/>
      <w:r w:rsidRPr="003F7E57">
        <w:rPr>
          <w:sz w:val="22"/>
          <w:szCs w:val="22"/>
          <w:lang w:val="sr-Latn-ME"/>
        </w:rPr>
        <w:t>metformina</w:t>
      </w:r>
      <w:proofErr w:type="spellEnd"/>
      <w:r w:rsidRPr="003F7E57">
        <w:rPr>
          <w:sz w:val="22"/>
          <w:szCs w:val="22"/>
          <w:lang w:val="sr-Latn-ME"/>
        </w:rPr>
        <w:t xml:space="preserve"> (sa postupnom </w:t>
      </w:r>
      <w:proofErr w:type="spellStart"/>
      <w:r w:rsidRPr="003F7E57">
        <w:rPr>
          <w:sz w:val="22"/>
          <w:szCs w:val="22"/>
          <w:lang w:val="sr-Latn-ME"/>
        </w:rPr>
        <w:t>titracijom</w:t>
      </w:r>
      <w:proofErr w:type="spellEnd"/>
      <w:r w:rsidRPr="003F7E57">
        <w:rPr>
          <w:sz w:val="22"/>
          <w:szCs w:val="22"/>
          <w:lang w:val="sr-Latn-ME"/>
        </w:rPr>
        <w:t xml:space="preserve"> doze do 50 </w:t>
      </w:r>
      <w:proofErr w:type="spellStart"/>
      <w:r w:rsidRPr="003F7E57">
        <w:rPr>
          <w:sz w:val="22"/>
          <w:szCs w:val="22"/>
          <w:lang w:val="sr-Latn-ME"/>
        </w:rPr>
        <w:t>mg</w:t>
      </w:r>
      <w:r w:rsidR="0043767B" w:rsidRPr="003F7E57">
        <w:rPr>
          <w:sz w:val="22"/>
          <w:szCs w:val="22"/>
          <w:lang w:val="sr-Latn-ME"/>
        </w:rPr>
        <w:t>+</w:t>
      </w:r>
      <w:r w:rsidRPr="003F7E57">
        <w:rPr>
          <w:sz w:val="22"/>
          <w:szCs w:val="22"/>
          <w:lang w:val="sr-Latn-ME"/>
        </w:rPr>
        <w:t>500</w:t>
      </w:r>
      <w:proofErr w:type="spellEnd"/>
      <w:r w:rsidRPr="003F7E57">
        <w:rPr>
          <w:sz w:val="22"/>
          <w:szCs w:val="22"/>
          <w:lang w:val="sr-Latn-ME"/>
        </w:rPr>
        <w:t> mg dva puta na dan ili 50 mg</w:t>
      </w:r>
      <w:r w:rsidR="0043767B" w:rsidRPr="003F7E57">
        <w:rPr>
          <w:sz w:val="22"/>
          <w:szCs w:val="22"/>
          <w:lang w:val="sr-Latn-ME"/>
        </w:rPr>
        <w:t>+</w:t>
      </w:r>
      <w:r w:rsidRPr="003F7E57">
        <w:rPr>
          <w:sz w:val="22"/>
          <w:szCs w:val="22"/>
          <w:lang w:val="sr-Latn-ME"/>
        </w:rPr>
        <w:t xml:space="preserve">1000 mg dva puta na dan) kao početne terapije kod pacijenata koji do tada nijesu primili ljekove za terapiju šećerne bolesti. Kombinacija </w:t>
      </w:r>
      <w:proofErr w:type="spellStart"/>
      <w:r w:rsidRPr="003F7E57">
        <w:rPr>
          <w:sz w:val="22"/>
          <w:szCs w:val="22"/>
          <w:lang w:val="sr-Latn-ME"/>
        </w:rPr>
        <w:t>vildagliptin</w:t>
      </w:r>
      <w:proofErr w:type="spellEnd"/>
      <w:r w:rsidRPr="003F7E57">
        <w:rPr>
          <w:sz w:val="22"/>
          <w:szCs w:val="22"/>
          <w:lang w:val="sr-Latn-ME"/>
        </w:rPr>
        <w:t>/</w:t>
      </w:r>
      <w:proofErr w:type="spellStart"/>
      <w:r w:rsidRPr="003F7E57">
        <w:rPr>
          <w:sz w:val="22"/>
          <w:szCs w:val="22"/>
          <w:lang w:val="sr-Latn-ME"/>
        </w:rPr>
        <w:t>metformin</w:t>
      </w:r>
      <w:proofErr w:type="spellEnd"/>
      <w:r w:rsidRPr="003F7E57">
        <w:rPr>
          <w:sz w:val="22"/>
          <w:szCs w:val="22"/>
          <w:lang w:val="sr-Latn-ME"/>
        </w:rPr>
        <w:t xml:space="preserve"> u dozi od 50 mg</w:t>
      </w:r>
      <w:r w:rsidR="0043767B" w:rsidRPr="003F7E57">
        <w:rPr>
          <w:sz w:val="22"/>
          <w:szCs w:val="22"/>
          <w:lang w:val="sr-Latn-ME"/>
        </w:rPr>
        <w:t>+</w:t>
      </w:r>
      <w:r w:rsidRPr="003F7E57">
        <w:rPr>
          <w:sz w:val="22"/>
          <w:szCs w:val="22"/>
          <w:lang w:val="sr-Latn-ME"/>
        </w:rPr>
        <w:t>1000 mg dva puta na dan snizila je HbA</w:t>
      </w:r>
      <w:r w:rsidRPr="003F7E57">
        <w:rPr>
          <w:sz w:val="22"/>
          <w:szCs w:val="22"/>
          <w:vertAlign w:val="subscript"/>
          <w:lang w:val="sr-Latn-ME"/>
        </w:rPr>
        <w:t>1c</w:t>
      </w:r>
      <w:r w:rsidRPr="003F7E57">
        <w:rPr>
          <w:sz w:val="22"/>
          <w:szCs w:val="22"/>
          <w:lang w:val="sr-Latn-ME"/>
        </w:rPr>
        <w:t xml:space="preserve"> za </w:t>
      </w:r>
      <w:r w:rsidRPr="003F7E57">
        <w:rPr>
          <w:sz w:val="22"/>
          <w:szCs w:val="22"/>
          <w:lang w:val="sr-Latn-ME"/>
        </w:rPr>
        <w:noBreakHyphen/>
        <w:t xml:space="preserve"> 1,82%, kombinacija </w:t>
      </w:r>
      <w:proofErr w:type="spellStart"/>
      <w:r w:rsidRPr="003F7E57">
        <w:rPr>
          <w:sz w:val="22"/>
          <w:szCs w:val="22"/>
          <w:lang w:val="sr-Latn-ME"/>
        </w:rPr>
        <w:t>vildagliptin</w:t>
      </w:r>
      <w:proofErr w:type="spellEnd"/>
      <w:r w:rsidRPr="003F7E57">
        <w:rPr>
          <w:sz w:val="22"/>
          <w:szCs w:val="22"/>
          <w:lang w:val="sr-Latn-ME"/>
        </w:rPr>
        <w:t>/</w:t>
      </w:r>
      <w:proofErr w:type="spellStart"/>
      <w:r w:rsidRPr="003F7E57">
        <w:rPr>
          <w:sz w:val="22"/>
          <w:szCs w:val="22"/>
          <w:lang w:val="sr-Latn-ME"/>
        </w:rPr>
        <w:t>metformin</w:t>
      </w:r>
      <w:proofErr w:type="spellEnd"/>
      <w:r w:rsidRPr="003F7E57">
        <w:rPr>
          <w:sz w:val="22"/>
          <w:szCs w:val="22"/>
          <w:lang w:val="sr-Latn-ME"/>
        </w:rPr>
        <w:t xml:space="preserve"> u dozi od 50 mg</w:t>
      </w:r>
      <w:r w:rsidR="0043767B" w:rsidRPr="003F7E57">
        <w:rPr>
          <w:sz w:val="22"/>
          <w:szCs w:val="22"/>
          <w:lang w:val="sr-Latn-ME"/>
        </w:rPr>
        <w:t>+</w:t>
      </w:r>
      <w:r w:rsidRPr="003F7E57">
        <w:rPr>
          <w:sz w:val="22"/>
          <w:szCs w:val="22"/>
          <w:lang w:val="sr-Latn-ME"/>
        </w:rPr>
        <w:t xml:space="preserve">500 mg dva puta na dan za </w:t>
      </w:r>
      <w:r w:rsidRPr="003F7E57">
        <w:rPr>
          <w:sz w:val="22"/>
          <w:szCs w:val="22"/>
          <w:lang w:val="sr-Latn-ME"/>
        </w:rPr>
        <w:noBreakHyphen/>
        <w:t xml:space="preserve"> 1,61%, </w:t>
      </w:r>
      <w:proofErr w:type="spellStart"/>
      <w:r w:rsidRPr="003F7E57">
        <w:rPr>
          <w:sz w:val="22"/>
          <w:szCs w:val="22"/>
          <w:lang w:val="sr-Latn-ME"/>
        </w:rPr>
        <w:t>metformin</w:t>
      </w:r>
      <w:proofErr w:type="spellEnd"/>
      <w:r w:rsidRPr="003F7E57">
        <w:rPr>
          <w:sz w:val="22"/>
          <w:szCs w:val="22"/>
          <w:lang w:val="sr-Latn-ME"/>
        </w:rPr>
        <w:t xml:space="preserve"> 1000 mg dva puta na dan za </w:t>
      </w:r>
      <w:r w:rsidRPr="003F7E57">
        <w:rPr>
          <w:sz w:val="22"/>
          <w:szCs w:val="22"/>
          <w:lang w:val="sr-Latn-ME"/>
        </w:rPr>
        <w:noBreakHyphen/>
        <w:t xml:space="preserve"> 1,36%, a </w:t>
      </w:r>
      <w:proofErr w:type="spellStart"/>
      <w:r w:rsidRPr="003F7E57">
        <w:rPr>
          <w:sz w:val="22"/>
          <w:szCs w:val="22"/>
          <w:lang w:val="sr-Latn-ME"/>
        </w:rPr>
        <w:t>vildagliptin</w:t>
      </w:r>
      <w:proofErr w:type="spellEnd"/>
      <w:r w:rsidRPr="003F7E57">
        <w:rPr>
          <w:sz w:val="22"/>
          <w:szCs w:val="22"/>
          <w:lang w:val="sr-Latn-ME"/>
        </w:rPr>
        <w:t xml:space="preserve"> 50 mg dva puta na dan za </w:t>
      </w:r>
      <w:r w:rsidRPr="003F7E57">
        <w:rPr>
          <w:sz w:val="22"/>
          <w:szCs w:val="22"/>
          <w:lang w:val="sr-Latn-ME"/>
        </w:rPr>
        <w:noBreakHyphen/>
        <w:t xml:space="preserve"> 1,09% od početne srednje vrijednosti HbA</w:t>
      </w:r>
      <w:r w:rsidRPr="003F7E57">
        <w:rPr>
          <w:sz w:val="22"/>
          <w:szCs w:val="22"/>
          <w:vertAlign w:val="subscript"/>
          <w:lang w:val="sr-Latn-ME"/>
        </w:rPr>
        <w:t>1c</w:t>
      </w:r>
      <w:r w:rsidRPr="003F7E57">
        <w:rPr>
          <w:sz w:val="22"/>
          <w:szCs w:val="22"/>
          <w:lang w:val="sr-Latn-ME"/>
        </w:rPr>
        <w:t xml:space="preserve"> od 8,6%. Uočeno je veće sniženje HbA</w:t>
      </w:r>
      <w:r w:rsidRPr="003F7E57">
        <w:rPr>
          <w:sz w:val="22"/>
          <w:szCs w:val="22"/>
          <w:vertAlign w:val="subscript"/>
          <w:lang w:val="sr-Latn-ME"/>
        </w:rPr>
        <w:t>1c</w:t>
      </w:r>
      <w:r w:rsidRPr="003F7E57">
        <w:rPr>
          <w:sz w:val="22"/>
          <w:szCs w:val="22"/>
          <w:lang w:val="sr-Latn-ME"/>
        </w:rPr>
        <w:t xml:space="preserve"> kod pacijenata sa početnom vrijednosti ≥ 10,0%.</w:t>
      </w:r>
    </w:p>
    <w:p w14:paraId="2364B22D" w14:textId="77777777" w:rsidR="0064325B" w:rsidRPr="003F7E57" w:rsidRDefault="0064325B">
      <w:pPr>
        <w:tabs>
          <w:tab w:val="left" w:pos="567"/>
        </w:tabs>
        <w:autoSpaceDE w:val="0"/>
        <w:autoSpaceDN w:val="0"/>
        <w:adjustRightInd w:val="0"/>
        <w:jc w:val="both"/>
        <w:rPr>
          <w:sz w:val="22"/>
          <w:szCs w:val="22"/>
          <w:lang w:val="sr-Latn-ME"/>
        </w:rPr>
      </w:pPr>
    </w:p>
    <w:p w14:paraId="6914312D" w14:textId="77777777" w:rsidR="0064325B" w:rsidRPr="003F7E57" w:rsidRDefault="0064325B">
      <w:pPr>
        <w:tabs>
          <w:tab w:val="left" w:pos="567"/>
        </w:tabs>
        <w:autoSpaceDE w:val="0"/>
        <w:autoSpaceDN w:val="0"/>
        <w:adjustRightInd w:val="0"/>
        <w:jc w:val="both"/>
        <w:rPr>
          <w:sz w:val="22"/>
          <w:szCs w:val="22"/>
          <w:lang w:val="sr-Latn-ME"/>
        </w:rPr>
      </w:pPr>
      <w:proofErr w:type="spellStart"/>
      <w:r w:rsidRPr="003F7E57">
        <w:rPr>
          <w:sz w:val="22"/>
          <w:szCs w:val="22"/>
          <w:lang w:val="sr-Latn-ME"/>
        </w:rPr>
        <w:t>Randomizovano</w:t>
      </w:r>
      <w:proofErr w:type="spellEnd"/>
      <w:r w:rsidRPr="003F7E57">
        <w:rPr>
          <w:sz w:val="22"/>
          <w:szCs w:val="22"/>
          <w:lang w:val="sr-Latn-ME"/>
        </w:rPr>
        <w:t xml:space="preserve">, dvostruko slijepo, </w:t>
      </w:r>
      <w:proofErr w:type="spellStart"/>
      <w:r w:rsidRPr="003F7E57">
        <w:rPr>
          <w:sz w:val="22"/>
          <w:szCs w:val="22"/>
          <w:lang w:val="sr-Latn-ME"/>
        </w:rPr>
        <w:t>placebom</w:t>
      </w:r>
      <w:proofErr w:type="spellEnd"/>
      <w:r w:rsidRPr="003F7E57">
        <w:rPr>
          <w:sz w:val="22"/>
          <w:szCs w:val="22"/>
          <w:lang w:val="sr-Latn-ME"/>
        </w:rPr>
        <w:t xml:space="preserve"> kontrolisano ispitivanje koje je trajalo 24 nedjelje, sprovedeno je sa 318 pacijenata radi procjene efikasnosti i bezbjednosti primjene </w:t>
      </w:r>
      <w:proofErr w:type="spellStart"/>
      <w:r w:rsidRPr="003F7E57">
        <w:rPr>
          <w:sz w:val="22"/>
          <w:szCs w:val="22"/>
          <w:lang w:val="sr-Latn-ME"/>
        </w:rPr>
        <w:t>vildagliptina</w:t>
      </w:r>
      <w:proofErr w:type="spellEnd"/>
      <w:r w:rsidRPr="003F7E57">
        <w:rPr>
          <w:sz w:val="22"/>
          <w:szCs w:val="22"/>
          <w:lang w:val="sr-Latn-ME"/>
        </w:rPr>
        <w:t xml:space="preserve"> (50 mg dva puta na dan) u kombinaciji sa </w:t>
      </w:r>
      <w:proofErr w:type="spellStart"/>
      <w:r w:rsidRPr="003F7E57">
        <w:rPr>
          <w:sz w:val="22"/>
          <w:szCs w:val="22"/>
          <w:lang w:val="sr-Latn-ME"/>
        </w:rPr>
        <w:t>metforminom</w:t>
      </w:r>
      <w:proofErr w:type="spellEnd"/>
      <w:r w:rsidRPr="003F7E57">
        <w:rPr>
          <w:sz w:val="22"/>
          <w:szCs w:val="22"/>
          <w:lang w:val="sr-Latn-ME"/>
        </w:rPr>
        <w:t xml:space="preserve"> (≥ 1500 mg na dan) i </w:t>
      </w:r>
      <w:proofErr w:type="spellStart"/>
      <w:r w:rsidRPr="003F7E57">
        <w:rPr>
          <w:sz w:val="22"/>
          <w:szCs w:val="22"/>
          <w:lang w:val="sr-Latn-ME"/>
        </w:rPr>
        <w:t>glimepiridom</w:t>
      </w:r>
      <w:proofErr w:type="spellEnd"/>
      <w:r w:rsidRPr="003F7E57">
        <w:rPr>
          <w:sz w:val="22"/>
          <w:szCs w:val="22"/>
          <w:lang w:val="sr-Latn-ME"/>
        </w:rPr>
        <w:t xml:space="preserve"> (≥ 4 mg na dan). </w:t>
      </w:r>
      <w:proofErr w:type="spellStart"/>
      <w:r w:rsidRPr="003F7E57">
        <w:rPr>
          <w:sz w:val="22"/>
          <w:szCs w:val="22"/>
          <w:lang w:val="sr-Latn-ME"/>
        </w:rPr>
        <w:t>Vildagliptin</w:t>
      </w:r>
      <w:proofErr w:type="spellEnd"/>
      <w:r w:rsidRPr="003F7E57">
        <w:rPr>
          <w:sz w:val="22"/>
          <w:szCs w:val="22"/>
          <w:lang w:val="sr-Latn-ME"/>
        </w:rPr>
        <w:t xml:space="preserve"> u kombinaciji sa </w:t>
      </w:r>
      <w:proofErr w:type="spellStart"/>
      <w:r w:rsidRPr="003F7E57">
        <w:rPr>
          <w:sz w:val="22"/>
          <w:szCs w:val="22"/>
          <w:lang w:val="sr-Latn-ME"/>
        </w:rPr>
        <w:t>metforminom</w:t>
      </w:r>
      <w:proofErr w:type="spellEnd"/>
      <w:r w:rsidRPr="003F7E57">
        <w:rPr>
          <w:sz w:val="22"/>
          <w:szCs w:val="22"/>
          <w:lang w:val="sr-Latn-ME"/>
        </w:rPr>
        <w:t xml:space="preserve"> i </w:t>
      </w:r>
      <w:proofErr w:type="spellStart"/>
      <w:r w:rsidRPr="003F7E57">
        <w:rPr>
          <w:sz w:val="22"/>
          <w:szCs w:val="22"/>
          <w:lang w:val="sr-Latn-ME"/>
        </w:rPr>
        <w:t>glimepiridom</w:t>
      </w:r>
      <w:proofErr w:type="spellEnd"/>
      <w:r w:rsidRPr="003F7E57">
        <w:rPr>
          <w:sz w:val="22"/>
          <w:szCs w:val="22"/>
          <w:lang w:val="sr-Latn-ME"/>
        </w:rPr>
        <w:t xml:space="preserve"> značajno je snizio HbA</w:t>
      </w:r>
      <w:r w:rsidRPr="003F7E57">
        <w:rPr>
          <w:sz w:val="22"/>
          <w:szCs w:val="22"/>
          <w:vertAlign w:val="subscript"/>
          <w:lang w:val="sr-Latn-ME"/>
        </w:rPr>
        <w:t>1c</w:t>
      </w:r>
      <w:r w:rsidRPr="003F7E57">
        <w:rPr>
          <w:sz w:val="22"/>
          <w:szCs w:val="22"/>
          <w:lang w:val="sr-Latn-ME"/>
        </w:rPr>
        <w:t xml:space="preserve"> u poređenju sa </w:t>
      </w:r>
      <w:proofErr w:type="spellStart"/>
      <w:r w:rsidRPr="003F7E57">
        <w:rPr>
          <w:sz w:val="22"/>
          <w:szCs w:val="22"/>
          <w:lang w:val="sr-Latn-ME"/>
        </w:rPr>
        <w:t>placebom</w:t>
      </w:r>
      <w:proofErr w:type="spellEnd"/>
      <w:r w:rsidRPr="003F7E57">
        <w:rPr>
          <w:sz w:val="22"/>
          <w:szCs w:val="22"/>
          <w:lang w:val="sr-Latn-ME"/>
        </w:rPr>
        <w:t xml:space="preserve">. Srednja vrijednost sniženja, prilagođena s obzirom na </w:t>
      </w:r>
      <w:proofErr w:type="spellStart"/>
      <w:r w:rsidRPr="003F7E57">
        <w:rPr>
          <w:sz w:val="22"/>
          <w:szCs w:val="22"/>
          <w:lang w:val="sr-Latn-ME"/>
        </w:rPr>
        <w:t>placebo</w:t>
      </w:r>
      <w:proofErr w:type="spellEnd"/>
      <w:r w:rsidRPr="003F7E57">
        <w:rPr>
          <w:sz w:val="22"/>
          <w:szCs w:val="22"/>
          <w:lang w:val="sr-Latn-ME"/>
        </w:rPr>
        <w:t>, od početne srednje vrijednosti HbA</w:t>
      </w:r>
      <w:r w:rsidRPr="003F7E57">
        <w:rPr>
          <w:sz w:val="22"/>
          <w:szCs w:val="22"/>
          <w:vertAlign w:val="subscript"/>
          <w:lang w:val="sr-Latn-ME"/>
        </w:rPr>
        <w:t>1c</w:t>
      </w:r>
      <w:r w:rsidRPr="003F7E57">
        <w:rPr>
          <w:sz w:val="22"/>
          <w:szCs w:val="22"/>
          <w:lang w:val="sr-Latn-ME"/>
        </w:rPr>
        <w:t xml:space="preserve"> od 8,8% bila je </w:t>
      </w:r>
      <w:r w:rsidRPr="003F7E57">
        <w:rPr>
          <w:sz w:val="22"/>
          <w:szCs w:val="22"/>
          <w:lang w:val="sr-Latn-ME"/>
        </w:rPr>
        <w:noBreakHyphen/>
        <w:t xml:space="preserve"> 0,76%.</w:t>
      </w:r>
    </w:p>
    <w:p w14:paraId="7832D22E" w14:textId="77777777" w:rsidR="0064325B" w:rsidRPr="003F7E57" w:rsidRDefault="0064325B" w:rsidP="00991A59">
      <w:pPr>
        <w:autoSpaceDE w:val="0"/>
        <w:autoSpaceDN w:val="0"/>
        <w:adjustRightInd w:val="0"/>
        <w:jc w:val="both"/>
        <w:rPr>
          <w:sz w:val="22"/>
          <w:szCs w:val="22"/>
          <w:lang w:val="sr-Latn-ME"/>
        </w:rPr>
      </w:pPr>
    </w:p>
    <w:p w14:paraId="48884397" w14:textId="14FF910E" w:rsidR="0064325B" w:rsidRPr="003F7E57" w:rsidRDefault="0064325B" w:rsidP="00CE2D38">
      <w:pPr>
        <w:tabs>
          <w:tab w:val="left" w:pos="567"/>
        </w:tabs>
        <w:autoSpaceDE w:val="0"/>
        <w:autoSpaceDN w:val="0"/>
        <w:adjustRightInd w:val="0"/>
        <w:jc w:val="both"/>
        <w:rPr>
          <w:sz w:val="22"/>
          <w:szCs w:val="22"/>
          <w:lang w:val="sr-Latn-ME"/>
        </w:rPr>
      </w:pPr>
      <w:r w:rsidRPr="003F7E57">
        <w:rPr>
          <w:sz w:val="22"/>
          <w:szCs w:val="22"/>
          <w:lang w:val="sr-Latn-ME"/>
        </w:rPr>
        <w:t xml:space="preserve">Petogodišnje </w:t>
      </w:r>
      <w:proofErr w:type="spellStart"/>
      <w:r w:rsidRPr="003F7E57">
        <w:rPr>
          <w:sz w:val="22"/>
          <w:szCs w:val="22"/>
          <w:lang w:val="sr-Latn-ME"/>
        </w:rPr>
        <w:t>multicentrično</w:t>
      </w:r>
      <w:proofErr w:type="spellEnd"/>
      <w:r w:rsidRPr="003F7E57">
        <w:rPr>
          <w:sz w:val="22"/>
          <w:szCs w:val="22"/>
          <w:lang w:val="sr-Latn-ME"/>
        </w:rPr>
        <w:t xml:space="preserve">, </w:t>
      </w:r>
      <w:proofErr w:type="spellStart"/>
      <w:r w:rsidRPr="003F7E57">
        <w:rPr>
          <w:sz w:val="22"/>
          <w:szCs w:val="22"/>
          <w:lang w:val="sr-Latn-ME"/>
        </w:rPr>
        <w:t>randomizovano</w:t>
      </w:r>
      <w:proofErr w:type="spellEnd"/>
      <w:r w:rsidRPr="003F7E57">
        <w:rPr>
          <w:sz w:val="22"/>
          <w:szCs w:val="22"/>
          <w:lang w:val="sr-Latn-ME"/>
        </w:rPr>
        <w:t>, dvostruko sl</w:t>
      </w:r>
      <w:r w:rsidR="00341B19" w:rsidRPr="003F7E57">
        <w:rPr>
          <w:sz w:val="22"/>
          <w:szCs w:val="22"/>
          <w:lang w:val="sr-Latn-ME"/>
        </w:rPr>
        <w:t>ij</w:t>
      </w:r>
      <w:r w:rsidRPr="003F7E57">
        <w:rPr>
          <w:sz w:val="22"/>
          <w:szCs w:val="22"/>
          <w:lang w:val="sr-Latn-ME"/>
        </w:rPr>
        <w:t xml:space="preserve">epo ispitivanje (VERIFY) sprovedeno je kod pacijenata sa dijabetes </w:t>
      </w:r>
      <w:proofErr w:type="spellStart"/>
      <w:r w:rsidRPr="003F7E57">
        <w:rPr>
          <w:sz w:val="22"/>
          <w:szCs w:val="22"/>
          <w:lang w:val="sr-Latn-ME"/>
        </w:rPr>
        <w:t>melitusom</w:t>
      </w:r>
      <w:proofErr w:type="spellEnd"/>
      <w:r w:rsidRPr="003F7E57">
        <w:rPr>
          <w:sz w:val="22"/>
          <w:szCs w:val="22"/>
          <w:lang w:val="sr-Latn-ME"/>
        </w:rPr>
        <w:t xml:space="preserve"> tipa 2 radi oc</w:t>
      </w:r>
      <w:r w:rsidR="00A42C24" w:rsidRPr="003F7E57">
        <w:rPr>
          <w:sz w:val="22"/>
          <w:szCs w:val="22"/>
          <w:lang w:val="sr-Latn-ME"/>
        </w:rPr>
        <w:t>j</w:t>
      </w:r>
      <w:r w:rsidRPr="003F7E57">
        <w:rPr>
          <w:sz w:val="22"/>
          <w:szCs w:val="22"/>
          <w:lang w:val="sr-Latn-ME"/>
        </w:rPr>
        <w:t xml:space="preserve">enjivanja efekta rane kombinovane terapije </w:t>
      </w:r>
      <w:proofErr w:type="spellStart"/>
      <w:r w:rsidRPr="003F7E57">
        <w:rPr>
          <w:sz w:val="22"/>
          <w:szCs w:val="22"/>
          <w:lang w:val="sr-Latn-ME"/>
        </w:rPr>
        <w:t>vildagliptinom</w:t>
      </w:r>
      <w:proofErr w:type="spellEnd"/>
      <w:r w:rsidRPr="003F7E57">
        <w:rPr>
          <w:sz w:val="22"/>
          <w:szCs w:val="22"/>
          <w:lang w:val="sr-Latn-ME"/>
        </w:rPr>
        <w:t xml:space="preserve"> i </w:t>
      </w:r>
      <w:proofErr w:type="spellStart"/>
      <w:r w:rsidRPr="003F7E57">
        <w:rPr>
          <w:sz w:val="22"/>
          <w:szCs w:val="22"/>
          <w:lang w:val="sr-Latn-ME"/>
        </w:rPr>
        <w:t>metforminom</w:t>
      </w:r>
      <w:proofErr w:type="spellEnd"/>
      <w:r w:rsidRPr="003F7E57">
        <w:rPr>
          <w:sz w:val="22"/>
          <w:szCs w:val="22"/>
          <w:lang w:val="sr-Latn-ME"/>
        </w:rPr>
        <w:t xml:space="preserve"> (N = 998) u odnosu na standardno l</w:t>
      </w:r>
      <w:r w:rsidR="00341B19" w:rsidRPr="003F7E57">
        <w:rPr>
          <w:sz w:val="22"/>
          <w:szCs w:val="22"/>
          <w:lang w:val="sr-Latn-ME"/>
        </w:rPr>
        <w:t>ij</w:t>
      </w:r>
      <w:r w:rsidRPr="003F7E57">
        <w:rPr>
          <w:sz w:val="22"/>
          <w:szCs w:val="22"/>
          <w:lang w:val="sr-Latn-ME"/>
        </w:rPr>
        <w:t xml:space="preserve">ečenje, tj. u vidu inicijalne </w:t>
      </w:r>
      <w:proofErr w:type="spellStart"/>
      <w:r w:rsidRPr="003F7E57">
        <w:rPr>
          <w:sz w:val="22"/>
          <w:szCs w:val="22"/>
          <w:lang w:val="sr-Latn-ME"/>
        </w:rPr>
        <w:t>monoterapije</w:t>
      </w:r>
      <w:proofErr w:type="spellEnd"/>
      <w:r w:rsidRPr="003F7E57">
        <w:rPr>
          <w:sz w:val="22"/>
          <w:szCs w:val="22"/>
          <w:lang w:val="sr-Latn-ME"/>
        </w:rPr>
        <w:t xml:space="preserve"> </w:t>
      </w:r>
      <w:proofErr w:type="spellStart"/>
      <w:r w:rsidRPr="003F7E57">
        <w:rPr>
          <w:sz w:val="22"/>
          <w:szCs w:val="22"/>
          <w:lang w:val="sr-Latn-ME"/>
        </w:rPr>
        <w:t>metforminom</w:t>
      </w:r>
      <w:proofErr w:type="spellEnd"/>
      <w:r w:rsidRPr="003F7E57">
        <w:rPr>
          <w:sz w:val="22"/>
          <w:szCs w:val="22"/>
          <w:lang w:val="sr-Latn-ME"/>
        </w:rPr>
        <w:t xml:space="preserve"> nakon koje sl</w:t>
      </w:r>
      <w:r w:rsidR="00341B19" w:rsidRPr="003F7E57">
        <w:rPr>
          <w:sz w:val="22"/>
          <w:szCs w:val="22"/>
          <w:lang w:val="sr-Latn-ME"/>
        </w:rPr>
        <w:t>ij</w:t>
      </w:r>
      <w:r w:rsidRPr="003F7E57">
        <w:rPr>
          <w:sz w:val="22"/>
          <w:szCs w:val="22"/>
          <w:lang w:val="sr-Latn-ME"/>
        </w:rPr>
        <w:t xml:space="preserve">edi kombinacija sa </w:t>
      </w:r>
      <w:proofErr w:type="spellStart"/>
      <w:r w:rsidRPr="003F7E57">
        <w:rPr>
          <w:sz w:val="22"/>
          <w:szCs w:val="22"/>
          <w:lang w:val="sr-Latn-ME"/>
        </w:rPr>
        <w:t>vildagliptinom</w:t>
      </w:r>
      <w:proofErr w:type="spellEnd"/>
      <w:r w:rsidRPr="003F7E57">
        <w:rPr>
          <w:sz w:val="22"/>
          <w:szCs w:val="22"/>
          <w:lang w:val="sr-Latn-ME"/>
        </w:rPr>
        <w:t xml:space="preserve"> (grupa sa sekvencijalnom terapijom) (N = 1003) kod </w:t>
      </w:r>
      <w:proofErr w:type="spellStart"/>
      <w:r w:rsidRPr="003F7E57">
        <w:rPr>
          <w:sz w:val="22"/>
          <w:szCs w:val="22"/>
          <w:lang w:val="sr-Latn-ME"/>
        </w:rPr>
        <w:t>novodijagnostikovanih</w:t>
      </w:r>
      <w:proofErr w:type="spellEnd"/>
      <w:r w:rsidRPr="003F7E57">
        <w:rPr>
          <w:sz w:val="22"/>
          <w:szCs w:val="22"/>
          <w:lang w:val="sr-Latn-ME"/>
        </w:rPr>
        <w:t xml:space="preserve"> pacijenata sa dijabetes </w:t>
      </w:r>
      <w:proofErr w:type="spellStart"/>
      <w:r w:rsidRPr="003F7E57">
        <w:rPr>
          <w:sz w:val="22"/>
          <w:szCs w:val="22"/>
          <w:lang w:val="sr-Latn-ME"/>
        </w:rPr>
        <w:t>melitusom</w:t>
      </w:r>
      <w:proofErr w:type="spellEnd"/>
      <w:r w:rsidRPr="003F7E57">
        <w:rPr>
          <w:sz w:val="22"/>
          <w:szCs w:val="22"/>
          <w:lang w:val="sr-Latn-ME"/>
        </w:rPr>
        <w:t xml:space="preserve"> tipa 2. Kombinovani režim s </w:t>
      </w:r>
      <w:proofErr w:type="spellStart"/>
      <w:r w:rsidRPr="003F7E57">
        <w:rPr>
          <w:sz w:val="22"/>
          <w:szCs w:val="22"/>
          <w:lang w:val="sr-Latn-ME"/>
        </w:rPr>
        <w:t>vildagliptinom</w:t>
      </w:r>
      <w:proofErr w:type="spellEnd"/>
      <w:r w:rsidRPr="003F7E57">
        <w:rPr>
          <w:sz w:val="22"/>
          <w:szCs w:val="22"/>
          <w:lang w:val="sr-Latn-ME"/>
        </w:rPr>
        <w:t xml:space="preserve"> 50 mg dva puta na dan plus </w:t>
      </w:r>
      <w:proofErr w:type="spellStart"/>
      <w:r w:rsidRPr="003F7E57">
        <w:rPr>
          <w:sz w:val="22"/>
          <w:szCs w:val="22"/>
          <w:lang w:val="sr-Latn-ME"/>
        </w:rPr>
        <w:t>metformin</w:t>
      </w:r>
      <w:proofErr w:type="spellEnd"/>
      <w:r w:rsidRPr="003F7E57">
        <w:rPr>
          <w:sz w:val="22"/>
          <w:szCs w:val="22"/>
          <w:lang w:val="sr-Latn-ME"/>
        </w:rPr>
        <w:t xml:space="preserve"> rezultovalo je statistički i klinički značajnim relativnim smanjenjem relativnog rizika za „vr</w:t>
      </w:r>
      <w:r w:rsidR="00341B19" w:rsidRPr="003F7E57">
        <w:rPr>
          <w:sz w:val="22"/>
          <w:szCs w:val="22"/>
          <w:lang w:val="sr-Latn-ME"/>
        </w:rPr>
        <w:t>ij</w:t>
      </w:r>
      <w:r w:rsidRPr="003F7E57">
        <w:rPr>
          <w:sz w:val="22"/>
          <w:szCs w:val="22"/>
          <w:lang w:val="sr-Latn-ME"/>
        </w:rPr>
        <w:t>eme do potvrđenog neusp</w:t>
      </w:r>
      <w:r w:rsidR="00341B19" w:rsidRPr="003F7E57">
        <w:rPr>
          <w:sz w:val="22"/>
          <w:szCs w:val="22"/>
          <w:lang w:val="sr-Latn-ME"/>
        </w:rPr>
        <w:t>j</w:t>
      </w:r>
      <w:r w:rsidRPr="003F7E57">
        <w:rPr>
          <w:sz w:val="22"/>
          <w:szCs w:val="22"/>
          <w:lang w:val="sr-Latn-ME"/>
        </w:rPr>
        <w:t>eha početnog l</w:t>
      </w:r>
      <w:r w:rsidR="00341B19" w:rsidRPr="003F7E57">
        <w:rPr>
          <w:sz w:val="22"/>
          <w:szCs w:val="22"/>
          <w:lang w:val="sr-Latn-ME"/>
        </w:rPr>
        <w:t>ij</w:t>
      </w:r>
      <w:r w:rsidRPr="003F7E57">
        <w:rPr>
          <w:sz w:val="22"/>
          <w:szCs w:val="22"/>
          <w:lang w:val="sr-Latn-ME"/>
        </w:rPr>
        <w:t>ečenja” (HbA1c vr</w:t>
      </w:r>
      <w:r w:rsidR="00806C70" w:rsidRPr="003F7E57">
        <w:rPr>
          <w:sz w:val="22"/>
          <w:szCs w:val="22"/>
          <w:lang w:val="sr-Latn-ME"/>
        </w:rPr>
        <w:t>ij</w:t>
      </w:r>
      <w:r w:rsidRPr="003F7E57">
        <w:rPr>
          <w:sz w:val="22"/>
          <w:szCs w:val="22"/>
          <w:lang w:val="sr-Latn-ME"/>
        </w:rPr>
        <w:t xml:space="preserve">ednost ≥7%) u odnosu na </w:t>
      </w:r>
      <w:proofErr w:type="spellStart"/>
      <w:r w:rsidRPr="003F7E57">
        <w:rPr>
          <w:sz w:val="22"/>
          <w:szCs w:val="22"/>
          <w:lang w:val="sr-Latn-ME"/>
        </w:rPr>
        <w:t>monoterapiju</w:t>
      </w:r>
      <w:proofErr w:type="spellEnd"/>
      <w:r w:rsidRPr="003F7E57">
        <w:rPr>
          <w:sz w:val="22"/>
          <w:szCs w:val="22"/>
          <w:lang w:val="sr-Latn-ME"/>
        </w:rPr>
        <w:t xml:space="preserve"> </w:t>
      </w:r>
      <w:proofErr w:type="spellStart"/>
      <w:r w:rsidRPr="003F7E57">
        <w:rPr>
          <w:sz w:val="22"/>
          <w:szCs w:val="22"/>
          <w:lang w:val="sr-Latn-ME"/>
        </w:rPr>
        <w:t>metforminom</w:t>
      </w:r>
      <w:proofErr w:type="spellEnd"/>
      <w:r w:rsidRPr="003F7E57">
        <w:rPr>
          <w:sz w:val="22"/>
          <w:szCs w:val="22"/>
          <w:lang w:val="sr-Latn-ME"/>
        </w:rPr>
        <w:t xml:space="preserve"> kod prethodno </w:t>
      </w:r>
      <w:proofErr w:type="spellStart"/>
      <w:r w:rsidRPr="003F7E57">
        <w:rPr>
          <w:sz w:val="22"/>
          <w:szCs w:val="22"/>
          <w:lang w:val="sr-Latn-ME"/>
        </w:rPr>
        <w:t>nel</w:t>
      </w:r>
      <w:r w:rsidR="00341B19" w:rsidRPr="003F7E57">
        <w:rPr>
          <w:sz w:val="22"/>
          <w:szCs w:val="22"/>
          <w:lang w:val="sr-Latn-ME"/>
        </w:rPr>
        <w:t>ij</w:t>
      </w:r>
      <w:r w:rsidRPr="003F7E57">
        <w:rPr>
          <w:sz w:val="22"/>
          <w:szCs w:val="22"/>
          <w:lang w:val="sr-Latn-ME"/>
        </w:rPr>
        <w:t>ečenih</w:t>
      </w:r>
      <w:proofErr w:type="spellEnd"/>
      <w:r w:rsidRPr="003F7E57">
        <w:rPr>
          <w:sz w:val="22"/>
          <w:szCs w:val="22"/>
          <w:lang w:val="sr-Latn-ME"/>
        </w:rPr>
        <w:t xml:space="preserve"> pacijenata sa dijabetes </w:t>
      </w:r>
      <w:proofErr w:type="spellStart"/>
      <w:r w:rsidRPr="003F7E57">
        <w:rPr>
          <w:sz w:val="22"/>
          <w:szCs w:val="22"/>
          <w:lang w:val="sr-Latn-ME"/>
        </w:rPr>
        <w:t>melitusom</w:t>
      </w:r>
      <w:proofErr w:type="spellEnd"/>
      <w:r w:rsidRPr="003F7E57">
        <w:rPr>
          <w:sz w:val="22"/>
          <w:szCs w:val="22"/>
          <w:lang w:val="sr-Latn-ME"/>
        </w:rPr>
        <w:t xml:space="preserve"> tipa 2 tokom petogodišnjeg trajanja ispitivanja (HR [95%CI]: 0,51 [0,45; 0,58]; p&lt;0,001). </w:t>
      </w:r>
      <w:proofErr w:type="spellStart"/>
      <w:r w:rsidRPr="003F7E57">
        <w:rPr>
          <w:sz w:val="22"/>
          <w:szCs w:val="22"/>
          <w:lang w:val="sr-Latn-ME"/>
        </w:rPr>
        <w:t>Incidenca</w:t>
      </w:r>
      <w:proofErr w:type="spellEnd"/>
      <w:r w:rsidRPr="003F7E57">
        <w:rPr>
          <w:sz w:val="22"/>
          <w:szCs w:val="22"/>
          <w:lang w:val="sr-Latn-ME"/>
        </w:rPr>
        <w:t xml:space="preserve"> neusp</w:t>
      </w:r>
      <w:r w:rsidR="00341B19" w:rsidRPr="003F7E57">
        <w:rPr>
          <w:sz w:val="22"/>
          <w:szCs w:val="22"/>
          <w:lang w:val="sr-Latn-ME"/>
        </w:rPr>
        <w:t>j</w:t>
      </w:r>
      <w:r w:rsidRPr="003F7E57">
        <w:rPr>
          <w:sz w:val="22"/>
          <w:szCs w:val="22"/>
          <w:lang w:val="sr-Latn-ME"/>
        </w:rPr>
        <w:t>eha početnog l</w:t>
      </w:r>
      <w:r w:rsidR="00341B19" w:rsidRPr="003F7E57">
        <w:rPr>
          <w:sz w:val="22"/>
          <w:szCs w:val="22"/>
          <w:lang w:val="sr-Latn-ME"/>
        </w:rPr>
        <w:t>ij</w:t>
      </w:r>
      <w:r w:rsidRPr="003F7E57">
        <w:rPr>
          <w:sz w:val="22"/>
          <w:szCs w:val="22"/>
          <w:lang w:val="sr-Latn-ME"/>
        </w:rPr>
        <w:t>ečenja (HbA</w:t>
      </w:r>
      <w:r w:rsidRPr="003F7E57">
        <w:rPr>
          <w:sz w:val="22"/>
          <w:szCs w:val="22"/>
          <w:vertAlign w:val="subscript"/>
          <w:lang w:val="sr-Latn-ME"/>
        </w:rPr>
        <w:t>1c</w:t>
      </w:r>
      <w:r w:rsidRPr="003F7E57">
        <w:rPr>
          <w:sz w:val="22"/>
          <w:szCs w:val="22"/>
          <w:lang w:val="sr-Latn-ME"/>
        </w:rPr>
        <w:t xml:space="preserve"> vr</w:t>
      </w:r>
      <w:r w:rsidR="00341B19" w:rsidRPr="003F7E57">
        <w:rPr>
          <w:sz w:val="22"/>
          <w:szCs w:val="22"/>
          <w:lang w:val="sr-Latn-ME"/>
        </w:rPr>
        <w:t>ij</w:t>
      </w:r>
      <w:r w:rsidRPr="003F7E57">
        <w:rPr>
          <w:sz w:val="22"/>
          <w:szCs w:val="22"/>
          <w:lang w:val="sr-Latn-ME"/>
        </w:rPr>
        <w:t>ednost ≥7%) bila je 429 (43,6%) pacijenata u grupi s ranom kombinovanom terapijom i 614 (62,1%) pacijenata u grupi sa sekvencijalnom terapijom.</w:t>
      </w:r>
    </w:p>
    <w:p w14:paraId="2E95D7FD" w14:textId="5C09CA03" w:rsidR="0064325B" w:rsidRPr="003F7E57" w:rsidRDefault="0064325B" w:rsidP="00991A59">
      <w:pPr>
        <w:jc w:val="both"/>
        <w:rPr>
          <w:sz w:val="22"/>
          <w:szCs w:val="22"/>
          <w:lang w:val="sr-Latn-ME"/>
        </w:rPr>
      </w:pPr>
    </w:p>
    <w:p w14:paraId="115D38E2" w14:textId="15FECBE5" w:rsidR="0064325B" w:rsidRPr="003F7E57" w:rsidRDefault="0064325B" w:rsidP="00CE2D38">
      <w:pPr>
        <w:tabs>
          <w:tab w:val="left" w:pos="567"/>
        </w:tabs>
        <w:autoSpaceDE w:val="0"/>
        <w:autoSpaceDN w:val="0"/>
        <w:adjustRightInd w:val="0"/>
        <w:jc w:val="both"/>
        <w:rPr>
          <w:sz w:val="22"/>
          <w:szCs w:val="22"/>
          <w:lang w:val="sr-Latn-ME"/>
        </w:rPr>
      </w:pPr>
      <w:proofErr w:type="spellStart"/>
      <w:r w:rsidRPr="003F7E57">
        <w:rPr>
          <w:sz w:val="22"/>
          <w:szCs w:val="22"/>
          <w:lang w:val="sr-Latn-ME"/>
        </w:rPr>
        <w:t>Randomizovano</w:t>
      </w:r>
      <w:proofErr w:type="spellEnd"/>
      <w:r w:rsidRPr="003F7E57">
        <w:rPr>
          <w:sz w:val="22"/>
          <w:szCs w:val="22"/>
          <w:lang w:val="sr-Latn-ME"/>
        </w:rPr>
        <w:t xml:space="preserve">, dvostruko slijepo, </w:t>
      </w:r>
      <w:proofErr w:type="spellStart"/>
      <w:r w:rsidRPr="003F7E57">
        <w:rPr>
          <w:sz w:val="22"/>
          <w:szCs w:val="22"/>
          <w:lang w:val="sr-Latn-ME"/>
        </w:rPr>
        <w:t>placebom</w:t>
      </w:r>
      <w:proofErr w:type="spellEnd"/>
      <w:r w:rsidRPr="003F7E57">
        <w:rPr>
          <w:sz w:val="22"/>
          <w:szCs w:val="22"/>
          <w:lang w:val="sr-Latn-ME"/>
        </w:rPr>
        <w:t xml:space="preserve"> kontrolisano ispitivanje u trajanju od 24 nedjelje, sprovedeno je sa 449 pacijenta radi proc</w:t>
      </w:r>
      <w:r w:rsidR="00806C70" w:rsidRPr="003F7E57">
        <w:rPr>
          <w:sz w:val="22"/>
          <w:szCs w:val="22"/>
          <w:lang w:val="sr-Latn-ME"/>
        </w:rPr>
        <w:t>j</w:t>
      </w:r>
      <w:r w:rsidRPr="003F7E57">
        <w:rPr>
          <w:sz w:val="22"/>
          <w:szCs w:val="22"/>
          <w:lang w:val="sr-Latn-ME"/>
        </w:rPr>
        <w:t xml:space="preserve">ene efikasnosti i bezbjednosti primjene </w:t>
      </w:r>
      <w:proofErr w:type="spellStart"/>
      <w:r w:rsidRPr="003F7E57">
        <w:rPr>
          <w:sz w:val="22"/>
          <w:szCs w:val="22"/>
          <w:lang w:val="sr-Latn-ME"/>
        </w:rPr>
        <w:t>vildagliptina</w:t>
      </w:r>
      <w:proofErr w:type="spellEnd"/>
      <w:r w:rsidRPr="003F7E57">
        <w:rPr>
          <w:sz w:val="22"/>
          <w:szCs w:val="22"/>
          <w:lang w:val="sr-Latn-ME"/>
        </w:rPr>
        <w:t xml:space="preserve"> (50 mg dva puta na dan) u kombinaciji sa stabilnom dozom </w:t>
      </w:r>
      <w:proofErr w:type="spellStart"/>
      <w:r w:rsidRPr="003F7E57">
        <w:rPr>
          <w:sz w:val="22"/>
          <w:szCs w:val="22"/>
          <w:lang w:val="sr-Latn-ME"/>
        </w:rPr>
        <w:t>bazalnog</w:t>
      </w:r>
      <w:proofErr w:type="spellEnd"/>
      <w:r w:rsidRPr="003F7E57">
        <w:rPr>
          <w:sz w:val="22"/>
          <w:szCs w:val="22"/>
          <w:lang w:val="sr-Latn-ME"/>
        </w:rPr>
        <w:t xml:space="preserve"> ili prethodno doziranog insulina (srednja dnevna doza od 41 jedinice) uz istovremenu primjenu </w:t>
      </w:r>
      <w:proofErr w:type="spellStart"/>
      <w:r w:rsidRPr="003F7E57">
        <w:rPr>
          <w:sz w:val="22"/>
          <w:szCs w:val="22"/>
          <w:lang w:val="sr-Latn-ME"/>
        </w:rPr>
        <w:t>metformina</w:t>
      </w:r>
      <w:proofErr w:type="spellEnd"/>
      <w:r w:rsidRPr="003F7E57">
        <w:rPr>
          <w:sz w:val="22"/>
          <w:szCs w:val="22"/>
          <w:lang w:val="sr-Latn-ME"/>
        </w:rPr>
        <w:t xml:space="preserve"> (N=276) ili bez istovremene primjene </w:t>
      </w:r>
      <w:proofErr w:type="spellStart"/>
      <w:r w:rsidRPr="003F7E57">
        <w:rPr>
          <w:sz w:val="22"/>
          <w:szCs w:val="22"/>
          <w:lang w:val="sr-Latn-ME"/>
        </w:rPr>
        <w:t>metformina</w:t>
      </w:r>
      <w:proofErr w:type="spellEnd"/>
      <w:r w:rsidRPr="003F7E57">
        <w:rPr>
          <w:sz w:val="22"/>
          <w:szCs w:val="22"/>
          <w:lang w:val="sr-Latn-ME"/>
        </w:rPr>
        <w:t xml:space="preserve"> (N=173). </w:t>
      </w:r>
      <w:proofErr w:type="spellStart"/>
      <w:r w:rsidRPr="003F7E57">
        <w:rPr>
          <w:sz w:val="22"/>
          <w:szCs w:val="22"/>
          <w:lang w:val="sr-Latn-ME"/>
        </w:rPr>
        <w:t>Vildagliptin</w:t>
      </w:r>
      <w:proofErr w:type="spellEnd"/>
      <w:r w:rsidRPr="003F7E57">
        <w:rPr>
          <w:sz w:val="22"/>
          <w:szCs w:val="22"/>
          <w:lang w:val="sr-Latn-ME"/>
        </w:rPr>
        <w:t xml:space="preserve"> u kombinaciji sa insulinom značajno je snizio HbA</w:t>
      </w:r>
      <w:r w:rsidRPr="003F7E57">
        <w:rPr>
          <w:sz w:val="22"/>
          <w:szCs w:val="22"/>
          <w:vertAlign w:val="subscript"/>
          <w:lang w:val="sr-Latn-ME"/>
        </w:rPr>
        <w:t>1c</w:t>
      </w:r>
      <w:r w:rsidRPr="003F7E57">
        <w:rPr>
          <w:sz w:val="22"/>
          <w:szCs w:val="22"/>
          <w:lang w:val="sr-Latn-ME"/>
        </w:rPr>
        <w:t xml:space="preserve"> u poređenju sa </w:t>
      </w:r>
      <w:proofErr w:type="spellStart"/>
      <w:r w:rsidRPr="003F7E57">
        <w:rPr>
          <w:sz w:val="22"/>
          <w:szCs w:val="22"/>
          <w:lang w:val="sr-Latn-ME"/>
        </w:rPr>
        <w:t>placebom</w:t>
      </w:r>
      <w:proofErr w:type="spellEnd"/>
      <w:r w:rsidRPr="003F7E57">
        <w:rPr>
          <w:sz w:val="22"/>
          <w:szCs w:val="22"/>
          <w:lang w:val="sr-Latn-ME"/>
        </w:rPr>
        <w:t xml:space="preserve">. U sveukupnoj populaciji srednje sniženje, prilagođeno s obzirom na </w:t>
      </w:r>
      <w:proofErr w:type="spellStart"/>
      <w:r w:rsidRPr="003F7E57">
        <w:rPr>
          <w:sz w:val="22"/>
          <w:szCs w:val="22"/>
          <w:lang w:val="sr-Latn-ME"/>
        </w:rPr>
        <w:t>placebo</w:t>
      </w:r>
      <w:proofErr w:type="spellEnd"/>
      <w:r w:rsidRPr="003F7E57">
        <w:rPr>
          <w:sz w:val="22"/>
          <w:szCs w:val="22"/>
          <w:lang w:val="sr-Latn-ME"/>
        </w:rPr>
        <w:t>, u odnosu na prosječnu početnu vrijednost HbA</w:t>
      </w:r>
      <w:r w:rsidRPr="003F7E57">
        <w:rPr>
          <w:sz w:val="22"/>
          <w:szCs w:val="22"/>
          <w:vertAlign w:val="subscript"/>
          <w:lang w:val="sr-Latn-ME"/>
        </w:rPr>
        <w:t>1c</w:t>
      </w:r>
      <w:r w:rsidRPr="003F7E57">
        <w:rPr>
          <w:sz w:val="22"/>
          <w:szCs w:val="22"/>
          <w:lang w:val="sr-Latn-ME"/>
        </w:rPr>
        <w:t xml:space="preserve"> 8,8% bilo je </w:t>
      </w:r>
      <w:r w:rsidRPr="003F7E57">
        <w:rPr>
          <w:sz w:val="22"/>
          <w:szCs w:val="22"/>
          <w:lang w:val="sr-Latn-ME"/>
        </w:rPr>
        <w:noBreakHyphen/>
        <w:t xml:space="preserve"> 0,72%. U podgrupama  liječenim insulinom sa ili bez istovremene primjene </w:t>
      </w:r>
      <w:proofErr w:type="spellStart"/>
      <w:r w:rsidRPr="003F7E57">
        <w:rPr>
          <w:sz w:val="22"/>
          <w:szCs w:val="22"/>
          <w:lang w:val="sr-Latn-ME"/>
        </w:rPr>
        <w:t>metformina</w:t>
      </w:r>
      <w:proofErr w:type="spellEnd"/>
      <w:r w:rsidRPr="003F7E57">
        <w:rPr>
          <w:sz w:val="22"/>
          <w:szCs w:val="22"/>
          <w:lang w:val="sr-Latn-ME"/>
        </w:rPr>
        <w:t xml:space="preserve"> prosječno sniženje </w:t>
      </w:r>
      <w:proofErr w:type="spellStart"/>
      <w:r w:rsidRPr="003F7E57">
        <w:rPr>
          <w:sz w:val="22"/>
          <w:szCs w:val="22"/>
          <w:lang w:val="sr-Latn-ME"/>
        </w:rPr>
        <w:t>HbA</w:t>
      </w:r>
      <w:r w:rsidRPr="003F7E57">
        <w:rPr>
          <w:sz w:val="22"/>
          <w:szCs w:val="22"/>
          <w:vertAlign w:val="subscript"/>
          <w:lang w:val="sr-Latn-ME"/>
        </w:rPr>
        <w:t>1c</w:t>
      </w:r>
      <w:proofErr w:type="spellEnd"/>
      <w:r w:rsidRPr="003F7E57">
        <w:rPr>
          <w:sz w:val="22"/>
          <w:szCs w:val="22"/>
          <w:lang w:val="sr-Latn-ME"/>
        </w:rPr>
        <w:t xml:space="preserve">, prilagođeno s obzirom na </w:t>
      </w:r>
      <w:proofErr w:type="spellStart"/>
      <w:r w:rsidRPr="003F7E57">
        <w:rPr>
          <w:sz w:val="22"/>
          <w:szCs w:val="22"/>
          <w:lang w:val="sr-Latn-ME"/>
        </w:rPr>
        <w:t>placebo</w:t>
      </w:r>
      <w:proofErr w:type="spellEnd"/>
      <w:r w:rsidRPr="003F7E57">
        <w:rPr>
          <w:sz w:val="22"/>
          <w:szCs w:val="22"/>
          <w:lang w:val="sr-Latn-ME"/>
        </w:rPr>
        <w:t xml:space="preserve">, bilo je </w:t>
      </w:r>
      <w:r w:rsidRPr="003F7E57">
        <w:rPr>
          <w:sz w:val="22"/>
          <w:szCs w:val="22"/>
          <w:lang w:val="sr-Latn-ME"/>
        </w:rPr>
        <w:noBreakHyphen/>
        <w:t xml:space="preserve"> 0,63% odnosno </w:t>
      </w:r>
      <w:r w:rsidRPr="003F7E57">
        <w:rPr>
          <w:sz w:val="22"/>
          <w:szCs w:val="22"/>
          <w:lang w:val="sr-Latn-ME"/>
        </w:rPr>
        <w:noBreakHyphen/>
        <w:t xml:space="preserve"> 0,84%. </w:t>
      </w:r>
      <w:proofErr w:type="spellStart"/>
      <w:r w:rsidRPr="003F7E57">
        <w:rPr>
          <w:sz w:val="22"/>
          <w:szCs w:val="22"/>
          <w:lang w:val="sr-Latn-ME"/>
        </w:rPr>
        <w:t>Incidenca</w:t>
      </w:r>
      <w:proofErr w:type="spellEnd"/>
      <w:r w:rsidRPr="003F7E57">
        <w:rPr>
          <w:sz w:val="22"/>
          <w:szCs w:val="22"/>
          <w:lang w:val="sr-Latn-ME"/>
        </w:rPr>
        <w:t xml:space="preserve"> </w:t>
      </w:r>
      <w:proofErr w:type="spellStart"/>
      <w:r w:rsidRPr="003F7E57">
        <w:rPr>
          <w:sz w:val="22"/>
          <w:szCs w:val="22"/>
          <w:lang w:val="sr-Latn-ME"/>
        </w:rPr>
        <w:t>hipoglikemije</w:t>
      </w:r>
      <w:proofErr w:type="spellEnd"/>
      <w:r w:rsidRPr="003F7E57">
        <w:rPr>
          <w:sz w:val="22"/>
          <w:szCs w:val="22"/>
          <w:lang w:val="sr-Latn-ME"/>
        </w:rPr>
        <w:t xml:space="preserve"> u ukupnoj populaciji bila je 8,4% u grupi liječenoj </w:t>
      </w:r>
      <w:proofErr w:type="spellStart"/>
      <w:r w:rsidRPr="003F7E57">
        <w:rPr>
          <w:sz w:val="22"/>
          <w:szCs w:val="22"/>
          <w:lang w:val="sr-Latn-ME"/>
        </w:rPr>
        <w:t>vildagliptinom</w:t>
      </w:r>
      <w:proofErr w:type="spellEnd"/>
      <w:r w:rsidRPr="003F7E57">
        <w:rPr>
          <w:sz w:val="22"/>
          <w:szCs w:val="22"/>
          <w:lang w:val="sr-Latn-ME"/>
        </w:rPr>
        <w:t xml:space="preserve"> odnosno 7,2% u grupi liječenoj </w:t>
      </w:r>
      <w:proofErr w:type="spellStart"/>
      <w:r w:rsidRPr="003F7E57">
        <w:rPr>
          <w:sz w:val="22"/>
          <w:szCs w:val="22"/>
          <w:lang w:val="sr-Latn-ME"/>
        </w:rPr>
        <w:t>placebom</w:t>
      </w:r>
      <w:proofErr w:type="spellEnd"/>
      <w:r w:rsidRPr="003F7E57">
        <w:rPr>
          <w:sz w:val="22"/>
          <w:szCs w:val="22"/>
          <w:lang w:val="sr-Latn-ME"/>
        </w:rPr>
        <w:t xml:space="preserve">. Kod pacijenata koji su primali </w:t>
      </w:r>
      <w:proofErr w:type="spellStart"/>
      <w:r w:rsidRPr="003F7E57">
        <w:rPr>
          <w:sz w:val="22"/>
          <w:szCs w:val="22"/>
          <w:lang w:val="sr-Latn-ME"/>
        </w:rPr>
        <w:t>vildagliptin</w:t>
      </w:r>
      <w:proofErr w:type="spellEnd"/>
      <w:r w:rsidRPr="003F7E57">
        <w:rPr>
          <w:sz w:val="22"/>
          <w:szCs w:val="22"/>
          <w:lang w:val="sr-Latn-ME"/>
        </w:rPr>
        <w:t xml:space="preserve"> nije došlo do povećanja tjelesne mase (+ 0,2 kg), dok je kod onih pacijenata koji su primali </w:t>
      </w:r>
      <w:proofErr w:type="spellStart"/>
      <w:r w:rsidRPr="003F7E57">
        <w:rPr>
          <w:sz w:val="22"/>
          <w:szCs w:val="22"/>
          <w:lang w:val="sr-Latn-ME"/>
        </w:rPr>
        <w:t>placebo</w:t>
      </w:r>
      <w:proofErr w:type="spellEnd"/>
      <w:r w:rsidRPr="003F7E57">
        <w:rPr>
          <w:sz w:val="22"/>
          <w:szCs w:val="22"/>
          <w:lang w:val="sr-Latn-ME"/>
        </w:rPr>
        <w:t xml:space="preserve"> došlo do smanjenja tjelesne mase (</w:t>
      </w:r>
      <w:r w:rsidRPr="003F7E57">
        <w:rPr>
          <w:sz w:val="22"/>
          <w:szCs w:val="22"/>
          <w:lang w:val="sr-Latn-ME"/>
        </w:rPr>
        <w:noBreakHyphen/>
        <w:t xml:space="preserve"> 0,7 kg).</w:t>
      </w:r>
    </w:p>
    <w:p w14:paraId="7E97C2EE" w14:textId="04875FF8" w:rsidR="0064325B" w:rsidRPr="003F7E57" w:rsidRDefault="0064325B" w:rsidP="00991A59">
      <w:pPr>
        <w:jc w:val="both"/>
        <w:rPr>
          <w:sz w:val="22"/>
          <w:szCs w:val="22"/>
          <w:lang w:val="sr-Latn-ME"/>
        </w:rPr>
      </w:pPr>
    </w:p>
    <w:p w14:paraId="2887E4DF" w14:textId="77777777" w:rsidR="0064325B" w:rsidRPr="003F7E57" w:rsidRDefault="0064325B" w:rsidP="00CE2D38">
      <w:pPr>
        <w:tabs>
          <w:tab w:val="left" w:pos="567"/>
        </w:tabs>
        <w:autoSpaceDE w:val="0"/>
        <w:autoSpaceDN w:val="0"/>
        <w:adjustRightInd w:val="0"/>
        <w:jc w:val="both"/>
        <w:rPr>
          <w:sz w:val="22"/>
          <w:szCs w:val="22"/>
          <w:lang w:val="sr-Latn-ME"/>
        </w:rPr>
      </w:pPr>
      <w:r w:rsidRPr="003F7E57">
        <w:rPr>
          <w:sz w:val="22"/>
          <w:szCs w:val="22"/>
          <w:lang w:val="sr-Latn-ME"/>
        </w:rPr>
        <w:t xml:space="preserve">U drugom 24-nedjeljnom ispitivanju kod pacijenata sa </w:t>
      </w:r>
      <w:proofErr w:type="spellStart"/>
      <w:r w:rsidRPr="003F7E57">
        <w:rPr>
          <w:sz w:val="22"/>
          <w:szCs w:val="22"/>
          <w:lang w:val="sr-Latn-ME"/>
        </w:rPr>
        <w:t>uznapredovalim</w:t>
      </w:r>
      <w:proofErr w:type="spellEnd"/>
      <w:r w:rsidRPr="003F7E57">
        <w:rPr>
          <w:sz w:val="22"/>
          <w:szCs w:val="22"/>
          <w:lang w:val="sr-Latn-ME"/>
        </w:rPr>
        <w:t xml:space="preserve"> dijabetes </w:t>
      </w:r>
      <w:proofErr w:type="spellStart"/>
      <w:r w:rsidRPr="003F7E57">
        <w:rPr>
          <w:sz w:val="22"/>
          <w:szCs w:val="22"/>
          <w:lang w:val="sr-Latn-ME"/>
        </w:rPr>
        <w:t>melitusom</w:t>
      </w:r>
      <w:proofErr w:type="spellEnd"/>
      <w:r w:rsidRPr="003F7E57">
        <w:rPr>
          <w:sz w:val="22"/>
          <w:szCs w:val="22"/>
          <w:lang w:val="sr-Latn-ME"/>
        </w:rPr>
        <w:t xml:space="preserve"> tipa 2 kod kojih terapijom insulinom nije postignuta odgovarajuća kontrola (prosječna doza insulina kratkog ili dugog djelovanja 80 IU/dan), prosječno sniženje </w:t>
      </w:r>
      <w:proofErr w:type="spellStart"/>
      <w:r w:rsidRPr="003F7E57">
        <w:rPr>
          <w:sz w:val="22"/>
          <w:szCs w:val="22"/>
          <w:lang w:val="sr-Latn-ME"/>
        </w:rPr>
        <w:t>HbA</w:t>
      </w:r>
      <w:r w:rsidRPr="003F7E57">
        <w:rPr>
          <w:sz w:val="22"/>
          <w:szCs w:val="22"/>
          <w:vertAlign w:val="subscript"/>
          <w:lang w:val="sr-Latn-ME"/>
        </w:rPr>
        <w:t>1c</w:t>
      </w:r>
      <w:proofErr w:type="spellEnd"/>
      <w:r w:rsidRPr="003F7E57">
        <w:rPr>
          <w:sz w:val="22"/>
          <w:szCs w:val="22"/>
          <w:lang w:val="sr-Latn-ME"/>
        </w:rPr>
        <w:t xml:space="preserve"> kad je </w:t>
      </w:r>
      <w:proofErr w:type="spellStart"/>
      <w:r w:rsidRPr="003F7E57">
        <w:rPr>
          <w:sz w:val="22"/>
          <w:szCs w:val="22"/>
          <w:lang w:val="sr-Latn-ME"/>
        </w:rPr>
        <w:t>vildagliptin</w:t>
      </w:r>
      <w:proofErr w:type="spellEnd"/>
      <w:r w:rsidRPr="003F7E57">
        <w:rPr>
          <w:sz w:val="22"/>
          <w:szCs w:val="22"/>
          <w:lang w:val="sr-Latn-ME"/>
        </w:rPr>
        <w:t xml:space="preserve"> (50 mg dva puta na dan) bio dodat insulinu bilo je statistički značajno veće nego kad je insulinu bio dodat </w:t>
      </w:r>
      <w:proofErr w:type="spellStart"/>
      <w:r w:rsidRPr="003F7E57">
        <w:rPr>
          <w:sz w:val="22"/>
          <w:szCs w:val="22"/>
          <w:lang w:val="sr-Latn-ME"/>
        </w:rPr>
        <w:t>placebo</w:t>
      </w:r>
      <w:proofErr w:type="spellEnd"/>
      <w:r w:rsidRPr="003F7E57">
        <w:rPr>
          <w:sz w:val="22"/>
          <w:szCs w:val="22"/>
          <w:lang w:val="sr-Latn-ME"/>
        </w:rPr>
        <w:t xml:space="preserve"> (0,5% u odnosu na 0,2%). </w:t>
      </w:r>
      <w:proofErr w:type="spellStart"/>
      <w:r w:rsidRPr="003F7E57">
        <w:rPr>
          <w:sz w:val="22"/>
          <w:szCs w:val="22"/>
          <w:lang w:val="sr-Latn-ME"/>
        </w:rPr>
        <w:t>Incidenca</w:t>
      </w:r>
      <w:proofErr w:type="spellEnd"/>
      <w:r w:rsidRPr="003F7E57">
        <w:rPr>
          <w:sz w:val="22"/>
          <w:szCs w:val="22"/>
          <w:lang w:val="sr-Latn-ME"/>
        </w:rPr>
        <w:t xml:space="preserve"> </w:t>
      </w:r>
      <w:proofErr w:type="spellStart"/>
      <w:r w:rsidRPr="003F7E57">
        <w:rPr>
          <w:sz w:val="22"/>
          <w:szCs w:val="22"/>
          <w:lang w:val="sr-Latn-ME"/>
        </w:rPr>
        <w:t>hipoglikemije</w:t>
      </w:r>
      <w:proofErr w:type="spellEnd"/>
      <w:r w:rsidRPr="003F7E57">
        <w:rPr>
          <w:sz w:val="22"/>
          <w:szCs w:val="22"/>
          <w:lang w:val="sr-Latn-ME"/>
        </w:rPr>
        <w:t xml:space="preserve"> bila je niža u grupi liječenoj </w:t>
      </w:r>
      <w:proofErr w:type="spellStart"/>
      <w:r w:rsidRPr="003F7E57">
        <w:rPr>
          <w:sz w:val="22"/>
          <w:szCs w:val="22"/>
          <w:lang w:val="sr-Latn-ME"/>
        </w:rPr>
        <w:t>vildagliptinom</w:t>
      </w:r>
      <w:proofErr w:type="spellEnd"/>
      <w:r w:rsidRPr="003F7E57">
        <w:rPr>
          <w:sz w:val="22"/>
          <w:szCs w:val="22"/>
          <w:lang w:val="sr-Latn-ME"/>
        </w:rPr>
        <w:t xml:space="preserve"> nego u grupi liječenoj </w:t>
      </w:r>
      <w:proofErr w:type="spellStart"/>
      <w:r w:rsidRPr="003F7E57">
        <w:rPr>
          <w:sz w:val="22"/>
          <w:szCs w:val="22"/>
          <w:lang w:val="sr-Latn-ME"/>
        </w:rPr>
        <w:t>placebom</w:t>
      </w:r>
      <w:proofErr w:type="spellEnd"/>
      <w:r w:rsidRPr="003F7E57">
        <w:rPr>
          <w:sz w:val="22"/>
          <w:szCs w:val="22"/>
          <w:lang w:val="sr-Latn-ME"/>
        </w:rPr>
        <w:t xml:space="preserve"> (22,9% u odnosu na 29,6%).</w:t>
      </w:r>
    </w:p>
    <w:p w14:paraId="58796789" w14:textId="77777777" w:rsidR="0064325B" w:rsidRPr="003F7E57" w:rsidRDefault="0064325B" w:rsidP="00991A59">
      <w:pPr>
        <w:jc w:val="both"/>
        <w:rPr>
          <w:sz w:val="22"/>
          <w:szCs w:val="22"/>
          <w:lang w:val="sr-Latn-ME"/>
        </w:rPr>
      </w:pPr>
    </w:p>
    <w:p w14:paraId="1D1EA26B" w14:textId="77777777" w:rsidR="0064325B" w:rsidRPr="003F7E57" w:rsidRDefault="0064325B" w:rsidP="00CE2D38">
      <w:pPr>
        <w:keepNext/>
        <w:keepLines/>
        <w:ind w:left="1701" w:hanging="1701"/>
        <w:jc w:val="both"/>
        <w:rPr>
          <w:i/>
          <w:sz w:val="22"/>
          <w:szCs w:val="22"/>
          <w:u w:val="single"/>
          <w:lang w:val="sr-Latn-ME"/>
        </w:rPr>
      </w:pPr>
      <w:proofErr w:type="spellStart"/>
      <w:r w:rsidRPr="003F7E57">
        <w:rPr>
          <w:i/>
          <w:sz w:val="22"/>
          <w:szCs w:val="22"/>
          <w:u w:val="single"/>
          <w:lang w:val="sr-Latn-ME"/>
        </w:rPr>
        <w:t>Kardiovaskularni</w:t>
      </w:r>
      <w:proofErr w:type="spellEnd"/>
      <w:r w:rsidRPr="003F7E57">
        <w:rPr>
          <w:i/>
          <w:sz w:val="22"/>
          <w:szCs w:val="22"/>
          <w:u w:val="single"/>
          <w:lang w:val="sr-Latn-ME"/>
        </w:rPr>
        <w:t xml:space="preserve"> rizik</w:t>
      </w:r>
    </w:p>
    <w:p w14:paraId="3B49A69B" w14:textId="77777777" w:rsidR="0064325B" w:rsidRPr="003F7E57" w:rsidRDefault="0064325B">
      <w:pPr>
        <w:tabs>
          <w:tab w:val="left" w:pos="567"/>
        </w:tabs>
        <w:autoSpaceDE w:val="0"/>
        <w:autoSpaceDN w:val="0"/>
        <w:adjustRightInd w:val="0"/>
        <w:jc w:val="both"/>
        <w:rPr>
          <w:sz w:val="22"/>
          <w:szCs w:val="22"/>
          <w:lang w:val="sr-Latn-ME"/>
        </w:rPr>
      </w:pPr>
      <w:r w:rsidRPr="003F7E57">
        <w:rPr>
          <w:sz w:val="22"/>
          <w:szCs w:val="22"/>
          <w:lang w:val="sr-Latn-ME"/>
        </w:rPr>
        <w:t xml:space="preserve">Sprovedena je meta-analiza, nezavisno i prospektivno utvrđenih </w:t>
      </w:r>
      <w:proofErr w:type="spellStart"/>
      <w:r w:rsidRPr="003F7E57">
        <w:rPr>
          <w:sz w:val="22"/>
          <w:szCs w:val="22"/>
          <w:lang w:val="sr-Latn-ME"/>
        </w:rPr>
        <w:t>kardiovaskularnih</w:t>
      </w:r>
      <w:proofErr w:type="spellEnd"/>
      <w:r w:rsidRPr="003F7E57">
        <w:rPr>
          <w:sz w:val="22"/>
          <w:szCs w:val="22"/>
          <w:lang w:val="sr-Latn-ME"/>
        </w:rPr>
        <w:t xml:space="preserve"> događaja, iz 37 kliničkih ispitivanja </w:t>
      </w:r>
      <w:proofErr w:type="spellStart"/>
      <w:r w:rsidRPr="003F7E57">
        <w:rPr>
          <w:sz w:val="22"/>
          <w:szCs w:val="22"/>
          <w:lang w:val="sr-Latn-ME"/>
        </w:rPr>
        <w:t>monoterapije</w:t>
      </w:r>
      <w:proofErr w:type="spellEnd"/>
      <w:r w:rsidRPr="003F7E57">
        <w:rPr>
          <w:sz w:val="22"/>
          <w:szCs w:val="22"/>
          <w:lang w:val="sr-Latn-ME"/>
        </w:rPr>
        <w:t xml:space="preserve"> i kombinovane terapije , faza III i IV koja su trajala više od 2 godine (srednje vrijeme izloženosti bilo je 50 nedjelja za </w:t>
      </w:r>
      <w:proofErr w:type="spellStart"/>
      <w:r w:rsidRPr="003F7E57">
        <w:rPr>
          <w:sz w:val="22"/>
          <w:szCs w:val="22"/>
          <w:lang w:val="sr-Latn-ME"/>
        </w:rPr>
        <w:t>vildagliptin</w:t>
      </w:r>
      <w:proofErr w:type="spellEnd"/>
      <w:r w:rsidRPr="003F7E57">
        <w:rPr>
          <w:sz w:val="22"/>
          <w:szCs w:val="22"/>
          <w:lang w:val="sr-Latn-ME"/>
        </w:rPr>
        <w:t xml:space="preserve"> i 49 nedjelja za </w:t>
      </w:r>
      <w:proofErr w:type="spellStart"/>
      <w:r w:rsidRPr="003F7E57">
        <w:rPr>
          <w:sz w:val="22"/>
          <w:szCs w:val="22"/>
          <w:lang w:val="sr-Latn-ME"/>
        </w:rPr>
        <w:t>komparatore</w:t>
      </w:r>
      <w:proofErr w:type="spellEnd"/>
      <w:r w:rsidRPr="003F7E57">
        <w:rPr>
          <w:sz w:val="22"/>
          <w:szCs w:val="22"/>
          <w:lang w:val="sr-Latn-ME"/>
        </w:rPr>
        <w:t xml:space="preserve">) i pokazala da liječenje </w:t>
      </w:r>
      <w:proofErr w:type="spellStart"/>
      <w:r w:rsidRPr="003F7E57">
        <w:rPr>
          <w:sz w:val="22"/>
          <w:szCs w:val="22"/>
          <w:lang w:val="sr-Latn-ME"/>
        </w:rPr>
        <w:t>vildagliptinom</w:t>
      </w:r>
      <w:proofErr w:type="spellEnd"/>
      <w:r w:rsidRPr="003F7E57">
        <w:rPr>
          <w:sz w:val="22"/>
          <w:szCs w:val="22"/>
          <w:lang w:val="sr-Latn-ME"/>
        </w:rPr>
        <w:t xml:space="preserve"> nije bilo povezano sa povećanjem </w:t>
      </w:r>
      <w:proofErr w:type="spellStart"/>
      <w:r w:rsidRPr="003F7E57">
        <w:rPr>
          <w:sz w:val="22"/>
          <w:szCs w:val="22"/>
          <w:lang w:val="sr-Latn-ME"/>
        </w:rPr>
        <w:t>kardiovaskularnog</w:t>
      </w:r>
      <w:proofErr w:type="spellEnd"/>
      <w:r w:rsidRPr="003F7E57">
        <w:rPr>
          <w:sz w:val="22"/>
          <w:szCs w:val="22"/>
          <w:lang w:val="sr-Latn-ME"/>
        </w:rPr>
        <w:t xml:space="preserve"> rizika u poređenju sa </w:t>
      </w:r>
      <w:proofErr w:type="spellStart"/>
      <w:r w:rsidRPr="003F7E57">
        <w:rPr>
          <w:sz w:val="22"/>
          <w:szCs w:val="22"/>
          <w:lang w:val="sr-Latn-ME"/>
        </w:rPr>
        <w:t>komparatorima</w:t>
      </w:r>
      <w:proofErr w:type="spellEnd"/>
      <w:r w:rsidRPr="003F7E57">
        <w:rPr>
          <w:sz w:val="22"/>
          <w:szCs w:val="22"/>
          <w:lang w:val="sr-Latn-ME"/>
        </w:rPr>
        <w:t xml:space="preserve">. </w:t>
      </w:r>
      <w:proofErr w:type="spellStart"/>
      <w:r w:rsidRPr="003F7E57">
        <w:rPr>
          <w:sz w:val="22"/>
          <w:szCs w:val="22"/>
          <w:lang w:val="sr-Latn-ME"/>
        </w:rPr>
        <w:t>Kompozitni</w:t>
      </w:r>
      <w:proofErr w:type="spellEnd"/>
      <w:r w:rsidRPr="003F7E57">
        <w:rPr>
          <w:sz w:val="22"/>
          <w:szCs w:val="22"/>
          <w:lang w:val="sr-Latn-ME"/>
        </w:rPr>
        <w:t xml:space="preserve"> parametar efikasnosti za ozbiljne </w:t>
      </w:r>
      <w:proofErr w:type="spellStart"/>
      <w:r w:rsidRPr="003F7E57">
        <w:rPr>
          <w:sz w:val="22"/>
          <w:szCs w:val="22"/>
          <w:lang w:val="sr-Latn-ME"/>
        </w:rPr>
        <w:t>kardiovaskularne</w:t>
      </w:r>
      <w:proofErr w:type="spellEnd"/>
      <w:r w:rsidRPr="003F7E57">
        <w:rPr>
          <w:sz w:val="22"/>
          <w:szCs w:val="22"/>
          <w:lang w:val="sr-Latn-ME"/>
        </w:rPr>
        <w:t xml:space="preserve"> neželjene događaje (</w:t>
      </w:r>
      <w:proofErr w:type="spellStart"/>
      <w:r w:rsidRPr="003F7E57">
        <w:rPr>
          <w:sz w:val="22"/>
          <w:szCs w:val="22"/>
          <w:lang w:val="sr-Latn-ME"/>
        </w:rPr>
        <w:t>OKVND</w:t>
      </w:r>
      <w:proofErr w:type="spellEnd"/>
      <w:r w:rsidRPr="003F7E57">
        <w:rPr>
          <w:sz w:val="22"/>
          <w:szCs w:val="22"/>
          <w:lang w:val="sr-Latn-ME"/>
        </w:rPr>
        <w:t xml:space="preserve">) koji uključuju i akutni infarkt </w:t>
      </w:r>
      <w:proofErr w:type="spellStart"/>
      <w:r w:rsidRPr="003F7E57">
        <w:rPr>
          <w:sz w:val="22"/>
          <w:szCs w:val="22"/>
          <w:lang w:val="sr-Latn-ME"/>
        </w:rPr>
        <w:t>miokarda</w:t>
      </w:r>
      <w:proofErr w:type="spellEnd"/>
      <w:r w:rsidRPr="003F7E57">
        <w:rPr>
          <w:sz w:val="22"/>
          <w:szCs w:val="22"/>
          <w:lang w:val="sr-Latn-ME"/>
        </w:rPr>
        <w:t xml:space="preserve">, šlog ili </w:t>
      </w:r>
      <w:proofErr w:type="spellStart"/>
      <w:r w:rsidRPr="003F7E57">
        <w:rPr>
          <w:sz w:val="22"/>
          <w:szCs w:val="22"/>
          <w:lang w:val="sr-Latn-ME"/>
        </w:rPr>
        <w:t>kardiovaskularnu</w:t>
      </w:r>
      <w:proofErr w:type="spellEnd"/>
      <w:r w:rsidRPr="003F7E57">
        <w:rPr>
          <w:sz w:val="22"/>
          <w:szCs w:val="22"/>
          <w:lang w:val="sr-Latn-ME"/>
        </w:rPr>
        <w:t xml:space="preserve"> smrt, bio je sličan za </w:t>
      </w:r>
      <w:proofErr w:type="spellStart"/>
      <w:r w:rsidRPr="003F7E57">
        <w:rPr>
          <w:sz w:val="22"/>
          <w:szCs w:val="22"/>
          <w:lang w:val="sr-Latn-ME"/>
        </w:rPr>
        <w:lastRenderedPageBreak/>
        <w:t>vildagliptin</w:t>
      </w:r>
      <w:proofErr w:type="spellEnd"/>
      <w:r w:rsidRPr="003F7E57">
        <w:rPr>
          <w:sz w:val="22"/>
          <w:szCs w:val="22"/>
          <w:lang w:val="sr-Latn-ME"/>
        </w:rPr>
        <w:t xml:space="preserve"> u poređenju sa kombinovanim aktivnim i </w:t>
      </w:r>
      <w:proofErr w:type="spellStart"/>
      <w:r w:rsidRPr="003F7E57">
        <w:rPr>
          <w:sz w:val="22"/>
          <w:szCs w:val="22"/>
          <w:lang w:val="sr-Latn-ME"/>
        </w:rPr>
        <w:t>placebo</w:t>
      </w:r>
      <w:proofErr w:type="spellEnd"/>
      <w:r w:rsidRPr="003F7E57">
        <w:rPr>
          <w:sz w:val="22"/>
          <w:szCs w:val="22"/>
          <w:lang w:val="sr-Latn-ME"/>
        </w:rPr>
        <w:t xml:space="preserve"> </w:t>
      </w:r>
      <w:proofErr w:type="spellStart"/>
      <w:r w:rsidRPr="003F7E57">
        <w:rPr>
          <w:sz w:val="22"/>
          <w:szCs w:val="22"/>
          <w:lang w:val="sr-Latn-ME"/>
        </w:rPr>
        <w:t>komparatorima</w:t>
      </w:r>
      <w:proofErr w:type="spellEnd"/>
      <w:r w:rsidRPr="003F7E57">
        <w:rPr>
          <w:sz w:val="22"/>
          <w:szCs w:val="22"/>
          <w:lang w:val="sr-Latn-ME"/>
        </w:rPr>
        <w:t xml:space="preserve"> [odnos rizika po </w:t>
      </w:r>
      <w:proofErr w:type="spellStart"/>
      <w:r w:rsidRPr="003F7E57">
        <w:rPr>
          <w:i/>
          <w:sz w:val="22"/>
          <w:szCs w:val="22"/>
          <w:lang w:val="sr-Latn-ME"/>
        </w:rPr>
        <w:t>Mantel</w:t>
      </w:r>
      <w:proofErr w:type="spellEnd"/>
      <w:r w:rsidRPr="003F7E57">
        <w:rPr>
          <w:i/>
          <w:sz w:val="22"/>
          <w:szCs w:val="22"/>
          <w:lang w:val="sr-Latn-ME"/>
        </w:rPr>
        <w:t>–</w:t>
      </w:r>
      <w:proofErr w:type="spellStart"/>
      <w:r w:rsidRPr="003F7E57">
        <w:rPr>
          <w:i/>
          <w:sz w:val="22"/>
          <w:szCs w:val="22"/>
          <w:lang w:val="sr-Latn-ME"/>
        </w:rPr>
        <w:t>Haenszel</w:t>
      </w:r>
      <w:proofErr w:type="spellEnd"/>
      <w:r w:rsidRPr="003F7E57">
        <w:rPr>
          <w:sz w:val="22"/>
          <w:szCs w:val="22"/>
          <w:lang w:val="sr-Latn-ME"/>
        </w:rPr>
        <w:t xml:space="preserve"> metodi (</w:t>
      </w:r>
      <w:proofErr w:type="spellStart"/>
      <w:r w:rsidRPr="003F7E57">
        <w:rPr>
          <w:sz w:val="22"/>
          <w:szCs w:val="22"/>
          <w:lang w:val="sr-Latn-ME"/>
        </w:rPr>
        <w:t>MH</w:t>
      </w:r>
      <w:proofErr w:type="spellEnd"/>
      <w:r w:rsidRPr="003F7E57">
        <w:rPr>
          <w:sz w:val="22"/>
          <w:szCs w:val="22"/>
          <w:lang w:val="sr-Latn-ME"/>
        </w:rPr>
        <w:t xml:space="preserve"> </w:t>
      </w:r>
      <w:proofErr w:type="spellStart"/>
      <w:r w:rsidRPr="003F7E57">
        <w:rPr>
          <w:sz w:val="22"/>
          <w:szCs w:val="22"/>
          <w:lang w:val="sr-Latn-ME"/>
        </w:rPr>
        <w:t>OR</w:t>
      </w:r>
      <w:proofErr w:type="spellEnd"/>
      <w:r w:rsidRPr="003F7E57">
        <w:rPr>
          <w:sz w:val="22"/>
          <w:szCs w:val="22"/>
          <w:lang w:val="sr-Latn-ME"/>
        </w:rPr>
        <w:t xml:space="preserve">) je 0,82 (95% CI 0,61 </w:t>
      </w:r>
      <w:r w:rsidRPr="003F7E57">
        <w:rPr>
          <w:sz w:val="22"/>
          <w:szCs w:val="22"/>
          <w:lang w:val="sr-Latn-ME"/>
        </w:rPr>
        <w:noBreakHyphen/>
        <w:t xml:space="preserve"> 1,11)].  Ozbiljni </w:t>
      </w:r>
      <w:proofErr w:type="spellStart"/>
      <w:r w:rsidRPr="003F7E57">
        <w:rPr>
          <w:sz w:val="22"/>
          <w:szCs w:val="22"/>
          <w:lang w:val="sr-Latn-ME"/>
        </w:rPr>
        <w:t>kardiovaskularni</w:t>
      </w:r>
      <w:proofErr w:type="spellEnd"/>
      <w:r w:rsidRPr="003F7E57">
        <w:rPr>
          <w:sz w:val="22"/>
          <w:szCs w:val="22"/>
          <w:lang w:val="sr-Latn-ME"/>
        </w:rPr>
        <w:t xml:space="preserve"> neželjeni događaji dogodili su se kod 83 od 9599 (0,86%) pacijenata liječenih </w:t>
      </w:r>
      <w:proofErr w:type="spellStart"/>
      <w:r w:rsidRPr="003F7E57">
        <w:rPr>
          <w:sz w:val="22"/>
          <w:szCs w:val="22"/>
          <w:lang w:val="sr-Latn-ME"/>
        </w:rPr>
        <w:t>vildagliptinom</w:t>
      </w:r>
      <w:proofErr w:type="spellEnd"/>
      <w:r w:rsidRPr="003F7E57">
        <w:rPr>
          <w:sz w:val="22"/>
          <w:szCs w:val="22"/>
          <w:lang w:val="sr-Latn-ME"/>
        </w:rPr>
        <w:t xml:space="preserve"> i kod 85 od 7102 (1,20%) kod pacijenata liječenih </w:t>
      </w:r>
      <w:proofErr w:type="spellStart"/>
      <w:r w:rsidRPr="003F7E57">
        <w:rPr>
          <w:sz w:val="22"/>
          <w:szCs w:val="22"/>
          <w:lang w:val="sr-Latn-ME"/>
        </w:rPr>
        <w:t>komparatorima</w:t>
      </w:r>
      <w:proofErr w:type="spellEnd"/>
      <w:r w:rsidRPr="003F7E57">
        <w:rPr>
          <w:sz w:val="22"/>
          <w:szCs w:val="22"/>
          <w:lang w:val="sr-Latn-ME"/>
        </w:rPr>
        <w:t xml:space="preserve">. Procjena svake pojedinačne komponente OKVND nije pokazala povećani rizik (sličan MH OR). Potvrđeni događaji srčane </w:t>
      </w:r>
      <w:proofErr w:type="spellStart"/>
      <w:r w:rsidRPr="003F7E57">
        <w:rPr>
          <w:sz w:val="22"/>
          <w:szCs w:val="22"/>
          <w:lang w:val="sr-Latn-ME"/>
        </w:rPr>
        <w:t>insuficijencije</w:t>
      </w:r>
      <w:proofErr w:type="spellEnd"/>
      <w:r w:rsidRPr="003F7E57">
        <w:rPr>
          <w:sz w:val="22"/>
          <w:szCs w:val="22"/>
          <w:lang w:val="sr-Latn-ME"/>
        </w:rPr>
        <w:t xml:space="preserve"> (SI), definisani kao srčana </w:t>
      </w:r>
      <w:proofErr w:type="spellStart"/>
      <w:r w:rsidRPr="003F7E57">
        <w:rPr>
          <w:sz w:val="22"/>
          <w:szCs w:val="22"/>
          <w:lang w:val="sr-Latn-ME"/>
        </w:rPr>
        <w:t>insuficijencija</w:t>
      </w:r>
      <w:proofErr w:type="spellEnd"/>
      <w:r w:rsidRPr="003F7E57">
        <w:rPr>
          <w:sz w:val="22"/>
          <w:szCs w:val="22"/>
          <w:lang w:val="sr-Latn-ME"/>
        </w:rPr>
        <w:t xml:space="preserve"> koja zahtijeva </w:t>
      </w:r>
      <w:proofErr w:type="spellStart"/>
      <w:r w:rsidRPr="003F7E57">
        <w:rPr>
          <w:sz w:val="22"/>
          <w:szCs w:val="22"/>
          <w:lang w:val="sr-Latn-ME"/>
        </w:rPr>
        <w:t>hospitalizaciju</w:t>
      </w:r>
      <w:proofErr w:type="spellEnd"/>
      <w:r w:rsidRPr="003F7E57">
        <w:rPr>
          <w:sz w:val="22"/>
          <w:szCs w:val="22"/>
          <w:lang w:val="sr-Latn-ME"/>
        </w:rPr>
        <w:t xml:space="preserve"> ili novi slučajevi srčane </w:t>
      </w:r>
      <w:proofErr w:type="spellStart"/>
      <w:r w:rsidRPr="003F7E57">
        <w:rPr>
          <w:sz w:val="22"/>
          <w:szCs w:val="22"/>
          <w:lang w:val="sr-Latn-ME"/>
        </w:rPr>
        <w:t>insuficijencije</w:t>
      </w:r>
      <w:proofErr w:type="spellEnd"/>
      <w:r w:rsidRPr="003F7E57">
        <w:rPr>
          <w:sz w:val="22"/>
          <w:szCs w:val="22"/>
          <w:lang w:val="sr-Latn-ME"/>
        </w:rPr>
        <w:t xml:space="preserve">, prijavljeni su kod 41 (0,43%) pacijenata liječenih </w:t>
      </w:r>
      <w:proofErr w:type="spellStart"/>
      <w:r w:rsidRPr="003F7E57">
        <w:rPr>
          <w:sz w:val="22"/>
          <w:szCs w:val="22"/>
          <w:lang w:val="sr-Latn-ME"/>
        </w:rPr>
        <w:t>vildagliptinom</w:t>
      </w:r>
      <w:proofErr w:type="spellEnd"/>
      <w:r w:rsidRPr="003F7E57">
        <w:rPr>
          <w:sz w:val="22"/>
          <w:szCs w:val="22"/>
          <w:lang w:val="sr-Latn-ME"/>
        </w:rPr>
        <w:t xml:space="preserve"> i kod 32 (0,45%) pacijenata liječenih </w:t>
      </w:r>
      <w:proofErr w:type="spellStart"/>
      <w:r w:rsidRPr="003F7E57">
        <w:rPr>
          <w:sz w:val="22"/>
          <w:szCs w:val="22"/>
          <w:lang w:val="sr-Latn-ME"/>
        </w:rPr>
        <w:t>komparatorima</w:t>
      </w:r>
      <w:proofErr w:type="spellEnd"/>
      <w:r w:rsidRPr="003F7E57">
        <w:rPr>
          <w:sz w:val="22"/>
          <w:szCs w:val="22"/>
          <w:lang w:val="sr-Latn-ME"/>
        </w:rPr>
        <w:t xml:space="preserve"> sa </w:t>
      </w:r>
      <w:proofErr w:type="spellStart"/>
      <w:r w:rsidRPr="003F7E57">
        <w:rPr>
          <w:sz w:val="22"/>
          <w:szCs w:val="22"/>
          <w:lang w:val="sr-Latn-ME"/>
        </w:rPr>
        <w:t>MH</w:t>
      </w:r>
      <w:proofErr w:type="spellEnd"/>
      <w:r w:rsidRPr="003F7E57">
        <w:rPr>
          <w:sz w:val="22"/>
          <w:szCs w:val="22"/>
          <w:lang w:val="sr-Latn-ME"/>
        </w:rPr>
        <w:t xml:space="preserve"> odnosom rizika 1,08 (95% CI 0,68-1,70).</w:t>
      </w:r>
    </w:p>
    <w:p w14:paraId="138969F1" w14:textId="77777777" w:rsidR="0064325B" w:rsidRPr="003F7E57" w:rsidRDefault="0064325B">
      <w:pPr>
        <w:tabs>
          <w:tab w:val="left" w:pos="567"/>
        </w:tabs>
        <w:autoSpaceDE w:val="0"/>
        <w:autoSpaceDN w:val="0"/>
        <w:adjustRightInd w:val="0"/>
        <w:jc w:val="both"/>
        <w:rPr>
          <w:noProof/>
          <w:sz w:val="22"/>
          <w:szCs w:val="22"/>
          <w:lang w:val="sr-Latn-ME"/>
        </w:rPr>
      </w:pPr>
    </w:p>
    <w:p w14:paraId="19B21008" w14:textId="77777777" w:rsidR="0064325B" w:rsidRPr="003F7E57" w:rsidRDefault="0064325B">
      <w:pPr>
        <w:jc w:val="both"/>
        <w:outlineLvl w:val="0"/>
        <w:rPr>
          <w:sz w:val="22"/>
          <w:szCs w:val="22"/>
          <w:u w:val="single"/>
          <w:lang w:val="sr-Latn-ME"/>
        </w:rPr>
      </w:pPr>
      <w:r w:rsidRPr="003F7E57">
        <w:rPr>
          <w:bCs/>
          <w:iCs/>
          <w:sz w:val="22"/>
          <w:szCs w:val="22"/>
          <w:u w:val="single"/>
          <w:lang w:val="sr-Latn-ME"/>
        </w:rPr>
        <w:t>Pedijatrijska populacija</w:t>
      </w:r>
    </w:p>
    <w:p w14:paraId="07193083" w14:textId="2FDCAB87" w:rsidR="0064325B" w:rsidRPr="003F7E57" w:rsidRDefault="0064325B">
      <w:pPr>
        <w:tabs>
          <w:tab w:val="left" w:pos="540"/>
          <w:tab w:val="left" w:pos="569"/>
        </w:tabs>
        <w:jc w:val="both"/>
        <w:rPr>
          <w:bCs/>
          <w:sz w:val="22"/>
          <w:szCs w:val="22"/>
          <w:lang w:val="sr-Latn-ME"/>
        </w:rPr>
      </w:pPr>
      <w:r w:rsidRPr="003F7E57">
        <w:rPr>
          <w:sz w:val="22"/>
          <w:szCs w:val="22"/>
          <w:lang w:val="sr-Latn-ME"/>
        </w:rPr>
        <w:t>Evropska agencija za ljekove</w:t>
      </w:r>
      <w:r w:rsidRPr="003F7E57">
        <w:rPr>
          <w:rFonts w:eastAsia="SimSun"/>
          <w:sz w:val="22"/>
          <w:szCs w:val="22"/>
          <w:lang w:val="sr-Latn-ME" w:eastAsia="zh-CN"/>
        </w:rPr>
        <w:t xml:space="preserve"> je</w:t>
      </w:r>
      <w:r w:rsidRPr="003F7E57">
        <w:rPr>
          <w:sz w:val="22"/>
          <w:szCs w:val="22"/>
          <w:lang w:val="sr-Latn-ME"/>
        </w:rPr>
        <w:t xml:space="preserve"> izostavila obavezu podnošenja </w:t>
      </w:r>
      <w:r w:rsidRPr="003F7E57">
        <w:rPr>
          <w:rFonts w:eastAsia="SimSun"/>
          <w:sz w:val="22"/>
          <w:szCs w:val="22"/>
          <w:lang w:val="sr-Latn-ME" w:eastAsia="zh-CN"/>
        </w:rPr>
        <w:t xml:space="preserve">rezultata ispitivanja lijeka </w:t>
      </w:r>
      <w:proofErr w:type="spellStart"/>
      <w:r w:rsidRPr="003F7E57">
        <w:rPr>
          <w:sz w:val="22"/>
          <w:szCs w:val="22"/>
          <w:lang w:val="sr-Latn-ME"/>
        </w:rPr>
        <w:t>vildagliptin</w:t>
      </w:r>
      <w:proofErr w:type="spellEnd"/>
      <w:r w:rsidRPr="003F7E57">
        <w:rPr>
          <w:rFonts w:eastAsia="SimSun"/>
          <w:sz w:val="22"/>
          <w:szCs w:val="22"/>
          <w:lang w:val="sr-Latn-ME" w:eastAsia="zh-CN"/>
        </w:rPr>
        <w:t xml:space="preserve"> u kombinaciji sa </w:t>
      </w:r>
      <w:proofErr w:type="spellStart"/>
      <w:r w:rsidRPr="003F7E57">
        <w:rPr>
          <w:rFonts w:eastAsia="SimSun"/>
          <w:sz w:val="22"/>
          <w:szCs w:val="22"/>
          <w:lang w:val="sr-Latn-ME" w:eastAsia="zh-CN"/>
        </w:rPr>
        <w:t>metforminom</w:t>
      </w:r>
      <w:proofErr w:type="spellEnd"/>
      <w:r w:rsidRPr="003F7E57">
        <w:rPr>
          <w:sz w:val="22"/>
          <w:szCs w:val="22"/>
          <w:lang w:val="sr-Latn-ME"/>
        </w:rPr>
        <w:t xml:space="preserve"> </w:t>
      </w:r>
      <w:r w:rsidRPr="003F7E57">
        <w:rPr>
          <w:rFonts w:eastAsia="SimSun"/>
          <w:sz w:val="22"/>
          <w:szCs w:val="22"/>
          <w:lang w:val="sr-Latn-ME" w:eastAsia="zh-CN"/>
        </w:rPr>
        <w:t xml:space="preserve">u svim podgrupama pedijatrijske populacije </w:t>
      </w:r>
      <w:r w:rsidRPr="003F7E57">
        <w:rPr>
          <w:sz w:val="22"/>
          <w:szCs w:val="22"/>
          <w:lang w:val="sr-Latn-ME"/>
        </w:rPr>
        <w:t xml:space="preserve">sa dijabetes </w:t>
      </w:r>
      <w:proofErr w:type="spellStart"/>
      <w:r w:rsidRPr="003F7E57">
        <w:rPr>
          <w:sz w:val="22"/>
          <w:szCs w:val="22"/>
          <w:lang w:val="sr-Latn-ME"/>
        </w:rPr>
        <w:t>melitusom</w:t>
      </w:r>
      <w:proofErr w:type="spellEnd"/>
      <w:r w:rsidRPr="003F7E57">
        <w:rPr>
          <w:sz w:val="22"/>
          <w:szCs w:val="22"/>
          <w:lang w:val="sr-Latn-ME"/>
        </w:rPr>
        <w:t xml:space="preserve"> tipa 2 (</w:t>
      </w:r>
      <w:r w:rsidRPr="003F7E57">
        <w:rPr>
          <w:rFonts w:eastAsia="SimSun"/>
          <w:sz w:val="22"/>
          <w:szCs w:val="22"/>
          <w:lang w:val="sr-Latn-ME" w:eastAsia="zh-CN"/>
        </w:rPr>
        <w:t xml:space="preserve">vidjeti </w:t>
      </w:r>
      <w:r w:rsidR="00522F79" w:rsidRPr="003F7E57">
        <w:rPr>
          <w:rFonts w:eastAsia="SimSun"/>
          <w:sz w:val="22"/>
          <w:szCs w:val="22"/>
          <w:lang w:val="sr-Latn-ME" w:eastAsia="zh-CN"/>
        </w:rPr>
        <w:t xml:space="preserve">dio </w:t>
      </w:r>
      <w:r w:rsidRPr="003F7E57">
        <w:rPr>
          <w:rFonts w:eastAsia="SimSun"/>
          <w:sz w:val="22"/>
          <w:szCs w:val="22"/>
          <w:lang w:val="sr-Latn-ME" w:eastAsia="zh-CN"/>
        </w:rPr>
        <w:t>4.2 za informacije o pedijatrijskoj primjeni</w:t>
      </w:r>
      <w:r w:rsidRPr="003F7E57">
        <w:rPr>
          <w:sz w:val="22"/>
          <w:szCs w:val="22"/>
          <w:lang w:val="sr-Latn-ME"/>
        </w:rPr>
        <w:t>).</w:t>
      </w:r>
    </w:p>
    <w:p w14:paraId="6CBA51A6" w14:textId="77777777" w:rsidR="002E37A5" w:rsidRPr="003F7E57" w:rsidRDefault="002E37A5" w:rsidP="00991A59">
      <w:pPr>
        <w:tabs>
          <w:tab w:val="left" w:pos="540"/>
          <w:tab w:val="left" w:pos="569"/>
        </w:tabs>
        <w:jc w:val="both"/>
        <w:rPr>
          <w:b/>
          <w:bCs/>
          <w:sz w:val="22"/>
          <w:szCs w:val="22"/>
          <w:lang w:val="sr-Latn-ME"/>
        </w:rPr>
      </w:pPr>
    </w:p>
    <w:p w14:paraId="42DB4411" w14:textId="0F615516"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5.2. </w:t>
      </w:r>
      <w:r w:rsidR="00480FB1" w:rsidRPr="003F7E57">
        <w:rPr>
          <w:b/>
          <w:bCs/>
          <w:sz w:val="22"/>
          <w:szCs w:val="22"/>
          <w:lang w:val="sr-Latn-ME"/>
        </w:rPr>
        <w:tab/>
      </w:r>
      <w:proofErr w:type="spellStart"/>
      <w:r w:rsidRPr="003F7E57">
        <w:rPr>
          <w:b/>
          <w:bCs/>
          <w:sz w:val="22"/>
          <w:szCs w:val="22"/>
          <w:lang w:val="sr-Latn-ME"/>
        </w:rPr>
        <w:t>Farmakokinetički</w:t>
      </w:r>
      <w:proofErr w:type="spellEnd"/>
      <w:r w:rsidRPr="003F7E57">
        <w:rPr>
          <w:b/>
          <w:bCs/>
          <w:sz w:val="22"/>
          <w:szCs w:val="22"/>
          <w:lang w:val="sr-Latn-ME"/>
        </w:rPr>
        <w:t xml:space="preserve"> podaci</w:t>
      </w:r>
      <w:r w:rsidR="003A7059" w:rsidRPr="003F7E57">
        <w:rPr>
          <w:b/>
          <w:bCs/>
          <w:sz w:val="22"/>
          <w:szCs w:val="22"/>
          <w:lang w:val="sr-Latn-ME"/>
        </w:rPr>
        <w:t xml:space="preserve"> </w:t>
      </w:r>
    </w:p>
    <w:p w14:paraId="2409E035" w14:textId="29EB1DB8" w:rsidR="0064325B" w:rsidRPr="003F7E57" w:rsidRDefault="0064325B" w:rsidP="00991A59">
      <w:pPr>
        <w:tabs>
          <w:tab w:val="left" w:pos="540"/>
          <w:tab w:val="left" w:pos="569"/>
        </w:tabs>
        <w:jc w:val="both"/>
        <w:rPr>
          <w:b/>
          <w:bCs/>
          <w:sz w:val="22"/>
          <w:szCs w:val="22"/>
          <w:lang w:val="sr-Latn-ME"/>
        </w:rPr>
      </w:pPr>
    </w:p>
    <w:p w14:paraId="6578E9DB" w14:textId="58BAB45C" w:rsidR="0064325B" w:rsidRPr="003F7E57" w:rsidRDefault="0064325B" w:rsidP="00CE2D38">
      <w:pPr>
        <w:tabs>
          <w:tab w:val="left" w:pos="567"/>
        </w:tabs>
        <w:jc w:val="both"/>
        <w:rPr>
          <w:noProof/>
          <w:sz w:val="22"/>
          <w:szCs w:val="22"/>
          <w:u w:val="single"/>
          <w:lang w:val="sr-Latn-ME"/>
        </w:rPr>
      </w:pPr>
      <w:r w:rsidRPr="003F7E57">
        <w:rPr>
          <w:noProof/>
          <w:sz w:val="22"/>
          <w:szCs w:val="22"/>
          <w:u w:val="single"/>
          <w:lang w:val="sr-Latn-ME"/>
        </w:rPr>
        <w:t>Eucreas</w:t>
      </w:r>
    </w:p>
    <w:p w14:paraId="0DA61401" w14:textId="77777777" w:rsidR="000B7131" w:rsidRPr="003F7E57" w:rsidRDefault="000B7131" w:rsidP="00CE2D38">
      <w:pPr>
        <w:tabs>
          <w:tab w:val="left" w:pos="567"/>
        </w:tabs>
        <w:jc w:val="both"/>
        <w:rPr>
          <w:noProof/>
          <w:sz w:val="22"/>
          <w:szCs w:val="22"/>
          <w:u w:val="single"/>
          <w:lang w:val="sr-Latn-ME"/>
        </w:rPr>
      </w:pPr>
    </w:p>
    <w:p w14:paraId="6AB0647A" w14:textId="77777777" w:rsidR="0064325B" w:rsidRPr="003F7E57" w:rsidRDefault="0064325B">
      <w:pPr>
        <w:tabs>
          <w:tab w:val="left" w:pos="567"/>
        </w:tabs>
        <w:jc w:val="both"/>
        <w:rPr>
          <w:sz w:val="22"/>
          <w:szCs w:val="22"/>
          <w:u w:val="single"/>
          <w:lang w:val="sr-Latn-ME" w:bidi="th-TH"/>
        </w:rPr>
      </w:pPr>
      <w:r w:rsidRPr="003F7E57">
        <w:rPr>
          <w:i/>
          <w:sz w:val="22"/>
          <w:szCs w:val="22"/>
          <w:u w:val="single"/>
          <w:lang w:val="sr-Latn-ME" w:bidi="th-TH"/>
        </w:rPr>
        <w:t xml:space="preserve">Resorpcija </w:t>
      </w:r>
    </w:p>
    <w:p w14:paraId="0C0B8812" w14:textId="466DE6DF" w:rsidR="0064325B" w:rsidRPr="003F7E57" w:rsidRDefault="0064325B">
      <w:pPr>
        <w:tabs>
          <w:tab w:val="left" w:pos="567"/>
        </w:tabs>
        <w:jc w:val="both"/>
        <w:rPr>
          <w:sz w:val="22"/>
          <w:szCs w:val="22"/>
          <w:lang w:val="sr-Latn-ME"/>
        </w:rPr>
      </w:pPr>
      <w:r w:rsidRPr="003F7E57">
        <w:rPr>
          <w:sz w:val="22"/>
          <w:szCs w:val="22"/>
          <w:lang w:val="sr-Latn-ME"/>
        </w:rPr>
        <w:t xml:space="preserve">Potvrđena je biološka </w:t>
      </w:r>
      <w:proofErr w:type="spellStart"/>
      <w:r w:rsidRPr="003F7E57">
        <w:rPr>
          <w:sz w:val="22"/>
          <w:szCs w:val="22"/>
          <w:lang w:val="sr-Latn-ME"/>
        </w:rPr>
        <w:t>ekvivalentnost</w:t>
      </w:r>
      <w:proofErr w:type="spellEnd"/>
      <w:r w:rsidRPr="003F7E57">
        <w:rPr>
          <w:sz w:val="22"/>
          <w:szCs w:val="22"/>
          <w:lang w:val="sr-Latn-ME"/>
        </w:rPr>
        <w:t xml:space="preserve"> tri jačine doza lijeka </w:t>
      </w:r>
      <w:proofErr w:type="spellStart"/>
      <w:r w:rsidRPr="003F7E57">
        <w:rPr>
          <w:sz w:val="22"/>
          <w:szCs w:val="22"/>
          <w:lang w:val="sr-Latn-ME"/>
        </w:rPr>
        <w:t>Eucreas</w:t>
      </w:r>
      <w:proofErr w:type="spellEnd"/>
      <w:r w:rsidRPr="003F7E57">
        <w:rPr>
          <w:sz w:val="22"/>
          <w:szCs w:val="22"/>
          <w:lang w:val="sr-Latn-ME"/>
        </w:rPr>
        <w:t xml:space="preserve"> (</w:t>
      </w:r>
      <w:r w:rsidR="0043767B" w:rsidRPr="003F7E57">
        <w:rPr>
          <w:sz w:val="22"/>
          <w:szCs w:val="22"/>
          <w:lang w:val="sr-Latn-ME"/>
        </w:rPr>
        <w:t xml:space="preserve">50 </w:t>
      </w:r>
      <w:proofErr w:type="spellStart"/>
      <w:r w:rsidR="0043767B" w:rsidRPr="003F7E57">
        <w:rPr>
          <w:sz w:val="22"/>
          <w:szCs w:val="22"/>
          <w:lang w:val="sr-Latn-ME"/>
        </w:rPr>
        <w:t>mg+</w:t>
      </w:r>
      <w:r w:rsidRPr="003F7E57">
        <w:rPr>
          <w:sz w:val="22"/>
          <w:szCs w:val="22"/>
          <w:lang w:val="sr-Latn-ME"/>
        </w:rPr>
        <w:t>500</w:t>
      </w:r>
      <w:proofErr w:type="spellEnd"/>
      <w:r w:rsidRPr="003F7E57">
        <w:rPr>
          <w:sz w:val="22"/>
          <w:szCs w:val="22"/>
          <w:lang w:val="sr-Latn-ME"/>
        </w:rPr>
        <w:t xml:space="preserve"> mg, </w:t>
      </w:r>
      <w:r w:rsidR="0043767B" w:rsidRPr="003F7E57">
        <w:rPr>
          <w:sz w:val="22"/>
          <w:szCs w:val="22"/>
          <w:lang w:val="sr-Latn-ME"/>
        </w:rPr>
        <w:t>50 mg+</w:t>
      </w:r>
      <w:r w:rsidRPr="003F7E57">
        <w:rPr>
          <w:sz w:val="22"/>
          <w:szCs w:val="22"/>
          <w:lang w:val="sr-Latn-ME"/>
        </w:rPr>
        <w:t xml:space="preserve">850 mg i </w:t>
      </w:r>
      <w:r w:rsidR="0043767B" w:rsidRPr="003F7E57">
        <w:rPr>
          <w:sz w:val="22"/>
          <w:szCs w:val="22"/>
          <w:lang w:val="sr-Latn-ME"/>
        </w:rPr>
        <w:t>50 mg+</w:t>
      </w:r>
      <w:r w:rsidRPr="003F7E57">
        <w:rPr>
          <w:sz w:val="22"/>
          <w:szCs w:val="22"/>
          <w:lang w:val="sr-Latn-ME"/>
        </w:rPr>
        <w:t xml:space="preserve">1000 mg) u poređenju sa slobodnom kombinacijom tableta </w:t>
      </w:r>
      <w:proofErr w:type="spellStart"/>
      <w:r w:rsidRPr="003F7E57">
        <w:rPr>
          <w:sz w:val="22"/>
          <w:szCs w:val="22"/>
          <w:lang w:val="sr-Latn-ME"/>
        </w:rPr>
        <w:t>vildagliptina</w:t>
      </w:r>
      <w:proofErr w:type="spellEnd"/>
      <w:r w:rsidRPr="003F7E57">
        <w:rPr>
          <w:sz w:val="22"/>
          <w:szCs w:val="22"/>
          <w:lang w:val="sr-Latn-ME"/>
        </w:rPr>
        <w:t xml:space="preserve"> i </w:t>
      </w:r>
      <w:proofErr w:type="spellStart"/>
      <w:r w:rsidRPr="003F7E57">
        <w:rPr>
          <w:sz w:val="22"/>
          <w:szCs w:val="22"/>
          <w:lang w:val="sr-Latn-ME"/>
        </w:rPr>
        <w:t>metformin-hidrohlorida</w:t>
      </w:r>
      <w:proofErr w:type="spellEnd"/>
      <w:r w:rsidRPr="003F7E57">
        <w:rPr>
          <w:sz w:val="22"/>
          <w:szCs w:val="22"/>
          <w:lang w:val="sr-Latn-ME"/>
        </w:rPr>
        <w:t xml:space="preserve"> u odgovarajućim dozama.</w:t>
      </w:r>
    </w:p>
    <w:p w14:paraId="316FD5A9" w14:textId="77777777" w:rsidR="0064325B" w:rsidRPr="003F7E57" w:rsidRDefault="0064325B">
      <w:pPr>
        <w:autoSpaceDE w:val="0"/>
        <w:autoSpaceDN w:val="0"/>
        <w:adjustRightInd w:val="0"/>
        <w:jc w:val="both"/>
        <w:rPr>
          <w:sz w:val="22"/>
          <w:szCs w:val="22"/>
          <w:lang w:val="sr-Latn-ME" w:bidi="th-TH"/>
        </w:rPr>
      </w:pPr>
    </w:p>
    <w:p w14:paraId="2A6473EF" w14:textId="013EDBFF"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Hrana ne utiče na stepen i brzinu resorpcije </w:t>
      </w:r>
      <w:proofErr w:type="spellStart"/>
      <w:r w:rsidRPr="003F7E57">
        <w:rPr>
          <w:sz w:val="22"/>
          <w:szCs w:val="22"/>
          <w:lang w:val="sr-Latn-ME" w:bidi="th-TH"/>
        </w:rPr>
        <w:t>vildagliptina</w:t>
      </w:r>
      <w:proofErr w:type="spellEnd"/>
      <w:r w:rsidRPr="003F7E57">
        <w:rPr>
          <w:sz w:val="22"/>
          <w:szCs w:val="22"/>
          <w:lang w:val="sr-Latn-ME" w:bidi="th-TH"/>
        </w:rPr>
        <w:t xml:space="preserve"> iz lijeka </w:t>
      </w:r>
      <w:proofErr w:type="spellStart"/>
      <w:r w:rsidRPr="003F7E57">
        <w:rPr>
          <w:sz w:val="22"/>
          <w:szCs w:val="22"/>
          <w:lang w:val="sr-Latn-ME" w:bidi="th-TH"/>
        </w:rPr>
        <w:t>Eucreas</w:t>
      </w:r>
      <w:proofErr w:type="spellEnd"/>
      <w:r w:rsidRPr="003F7E57">
        <w:rPr>
          <w:sz w:val="22"/>
          <w:szCs w:val="22"/>
          <w:lang w:val="sr-Latn-ME" w:bidi="th-TH"/>
        </w:rPr>
        <w:t xml:space="preserve">. Brzina i stepen resorpcije </w:t>
      </w:r>
      <w:proofErr w:type="spellStart"/>
      <w:r w:rsidRPr="003F7E57">
        <w:rPr>
          <w:sz w:val="22"/>
          <w:szCs w:val="22"/>
          <w:lang w:val="sr-Latn-ME" w:bidi="th-TH"/>
        </w:rPr>
        <w:t>metformina</w:t>
      </w:r>
      <w:proofErr w:type="spellEnd"/>
      <w:r w:rsidRPr="003F7E57">
        <w:rPr>
          <w:sz w:val="22"/>
          <w:szCs w:val="22"/>
          <w:lang w:val="sr-Latn-ME" w:bidi="th-TH"/>
        </w:rPr>
        <w:t xml:space="preserve"> iz lijeka </w:t>
      </w:r>
      <w:proofErr w:type="spellStart"/>
      <w:r w:rsidRPr="003F7E57">
        <w:rPr>
          <w:sz w:val="22"/>
          <w:szCs w:val="22"/>
          <w:lang w:val="sr-Latn-ME" w:bidi="th-TH"/>
        </w:rPr>
        <w:t>Eucreas</w:t>
      </w:r>
      <w:proofErr w:type="spellEnd"/>
      <w:r w:rsidRPr="003F7E57">
        <w:rPr>
          <w:sz w:val="22"/>
          <w:szCs w:val="22"/>
          <w:lang w:val="sr-Latn-ME" w:bidi="th-TH"/>
        </w:rPr>
        <w:t xml:space="preserve"> </w:t>
      </w:r>
      <w:r w:rsidR="0043767B" w:rsidRPr="003F7E57">
        <w:rPr>
          <w:sz w:val="22"/>
          <w:szCs w:val="22"/>
          <w:lang w:val="sr-Latn-ME" w:bidi="th-TH"/>
        </w:rPr>
        <w:t>50 mg+</w:t>
      </w:r>
      <w:r w:rsidRPr="003F7E57">
        <w:rPr>
          <w:sz w:val="22"/>
          <w:szCs w:val="22"/>
          <w:lang w:val="sr-Latn-ME" w:bidi="th-TH"/>
        </w:rPr>
        <w:t xml:space="preserve">1000 mg se smanjuju kada se daje sa hranom što se odražava sniženjem </w:t>
      </w:r>
      <w:proofErr w:type="spellStart"/>
      <w:r w:rsidRPr="003F7E57">
        <w:rPr>
          <w:sz w:val="22"/>
          <w:szCs w:val="22"/>
          <w:lang w:val="sr-Latn-ME" w:bidi="th-TH"/>
        </w:rPr>
        <w:t>C</w:t>
      </w:r>
      <w:r w:rsidRPr="003F7E57">
        <w:rPr>
          <w:sz w:val="22"/>
          <w:szCs w:val="22"/>
          <w:vertAlign w:val="subscript"/>
          <w:lang w:val="sr-Latn-ME" w:bidi="th-TH"/>
        </w:rPr>
        <w:t>max</w:t>
      </w:r>
      <w:proofErr w:type="spellEnd"/>
      <w:r w:rsidRPr="003F7E57">
        <w:rPr>
          <w:sz w:val="22"/>
          <w:szCs w:val="22"/>
          <w:lang w:val="sr-Latn-ME" w:bidi="th-TH"/>
        </w:rPr>
        <w:t xml:space="preserve"> za 26%, PIK za 7% i odloženim </w:t>
      </w:r>
      <w:proofErr w:type="spellStart"/>
      <w:r w:rsidRPr="003F7E57">
        <w:rPr>
          <w:sz w:val="22"/>
          <w:szCs w:val="22"/>
          <w:lang w:val="sr-Latn-ME" w:bidi="th-TH"/>
        </w:rPr>
        <w:t>T</w:t>
      </w:r>
      <w:r w:rsidRPr="003F7E57">
        <w:rPr>
          <w:sz w:val="22"/>
          <w:szCs w:val="22"/>
          <w:vertAlign w:val="subscript"/>
          <w:lang w:val="sr-Latn-ME" w:bidi="th-TH"/>
        </w:rPr>
        <w:t>max</w:t>
      </w:r>
      <w:proofErr w:type="spellEnd"/>
      <w:r w:rsidRPr="003F7E57">
        <w:rPr>
          <w:sz w:val="22"/>
          <w:szCs w:val="22"/>
          <w:lang w:val="sr-Latn-ME" w:bidi="th-TH"/>
        </w:rPr>
        <w:t xml:space="preserve"> (2,0 h do 4,0 h).</w:t>
      </w:r>
    </w:p>
    <w:p w14:paraId="6AC072DC" w14:textId="77777777" w:rsidR="0064325B" w:rsidRPr="003F7E57" w:rsidRDefault="0064325B">
      <w:pPr>
        <w:autoSpaceDE w:val="0"/>
        <w:autoSpaceDN w:val="0"/>
        <w:adjustRightInd w:val="0"/>
        <w:jc w:val="both"/>
        <w:rPr>
          <w:sz w:val="22"/>
          <w:szCs w:val="22"/>
          <w:lang w:val="sr-Latn-ME" w:bidi="th-TH"/>
        </w:rPr>
      </w:pPr>
    </w:p>
    <w:p w14:paraId="7403565C" w14:textId="77777777"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Sljedeće izjave potvrđuju </w:t>
      </w:r>
      <w:proofErr w:type="spellStart"/>
      <w:r w:rsidRPr="003F7E57">
        <w:rPr>
          <w:sz w:val="22"/>
          <w:szCs w:val="22"/>
          <w:lang w:val="sr-Latn-ME" w:bidi="th-TH"/>
        </w:rPr>
        <w:t>farmakokinetička</w:t>
      </w:r>
      <w:proofErr w:type="spellEnd"/>
      <w:r w:rsidRPr="003F7E57">
        <w:rPr>
          <w:sz w:val="22"/>
          <w:szCs w:val="22"/>
          <w:lang w:val="sr-Latn-ME" w:bidi="th-TH"/>
        </w:rPr>
        <w:t xml:space="preserve"> svojstava pojedinih aktivnih supstanci  u lijeku </w:t>
      </w:r>
      <w:proofErr w:type="spellStart"/>
      <w:r w:rsidRPr="003F7E57">
        <w:rPr>
          <w:sz w:val="22"/>
          <w:szCs w:val="22"/>
          <w:lang w:val="sr-Latn-ME" w:bidi="th-TH"/>
        </w:rPr>
        <w:t>Eucreas</w:t>
      </w:r>
      <w:proofErr w:type="spellEnd"/>
      <w:r w:rsidRPr="003F7E57">
        <w:rPr>
          <w:sz w:val="22"/>
          <w:szCs w:val="22"/>
          <w:lang w:val="sr-Latn-ME" w:bidi="th-TH"/>
        </w:rPr>
        <w:t>.</w:t>
      </w:r>
    </w:p>
    <w:p w14:paraId="3BDFF07A" w14:textId="77777777" w:rsidR="0064325B" w:rsidRPr="003F7E57" w:rsidRDefault="0064325B">
      <w:pPr>
        <w:tabs>
          <w:tab w:val="left" w:pos="540"/>
          <w:tab w:val="left" w:pos="569"/>
        </w:tabs>
        <w:jc w:val="both"/>
        <w:rPr>
          <w:b/>
          <w:bCs/>
          <w:sz w:val="22"/>
          <w:szCs w:val="22"/>
          <w:lang w:val="sr-Latn-ME"/>
        </w:rPr>
      </w:pPr>
    </w:p>
    <w:p w14:paraId="2B3EBE2D" w14:textId="4139E812" w:rsidR="0064325B" w:rsidRPr="003F7E57" w:rsidRDefault="0064325B">
      <w:pPr>
        <w:tabs>
          <w:tab w:val="left" w:pos="567"/>
        </w:tabs>
        <w:jc w:val="both"/>
        <w:rPr>
          <w:iCs/>
          <w:noProof/>
          <w:sz w:val="22"/>
          <w:szCs w:val="22"/>
          <w:u w:val="single"/>
          <w:lang w:val="sr-Latn-ME"/>
        </w:rPr>
      </w:pPr>
      <w:r w:rsidRPr="003F7E57">
        <w:rPr>
          <w:iCs/>
          <w:noProof/>
          <w:sz w:val="22"/>
          <w:szCs w:val="22"/>
          <w:u w:val="single"/>
          <w:lang w:val="sr-Latn-ME"/>
        </w:rPr>
        <w:t>Vildagliptin</w:t>
      </w:r>
    </w:p>
    <w:p w14:paraId="6588E443" w14:textId="77777777" w:rsidR="000B7131" w:rsidRPr="003F7E57" w:rsidRDefault="000B7131">
      <w:pPr>
        <w:tabs>
          <w:tab w:val="left" w:pos="567"/>
        </w:tabs>
        <w:jc w:val="both"/>
        <w:rPr>
          <w:iCs/>
          <w:noProof/>
          <w:sz w:val="22"/>
          <w:szCs w:val="22"/>
          <w:u w:val="single"/>
          <w:lang w:val="sr-Latn-ME"/>
        </w:rPr>
      </w:pPr>
    </w:p>
    <w:p w14:paraId="21129426" w14:textId="77777777" w:rsidR="0064325B" w:rsidRPr="003F7E57" w:rsidRDefault="0064325B">
      <w:pPr>
        <w:tabs>
          <w:tab w:val="left" w:pos="567"/>
        </w:tabs>
        <w:jc w:val="both"/>
        <w:rPr>
          <w:sz w:val="22"/>
          <w:szCs w:val="22"/>
          <w:u w:val="single"/>
          <w:lang w:val="sr-Latn-ME" w:bidi="th-TH"/>
        </w:rPr>
      </w:pPr>
      <w:r w:rsidRPr="003F7E57">
        <w:rPr>
          <w:i/>
          <w:sz w:val="22"/>
          <w:szCs w:val="22"/>
          <w:u w:val="single"/>
          <w:lang w:val="sr-Latn-ME" w:bidi="th-TH"/>
        </w:rPr>
        <w:t xml:space="preserve">Resorpcija </w:t>
      </w:r>
    </w:p>
    <w:p w14:paraId="70CF1644" w14:textId="793C8FD1" w:rsidR="0072020E" w:rsidRPr="003F7E57" w:rsidRDefault="0064325B">
      <w:pPr>
        <w:tabs>
          <w:tab w:val="left" w:pos="540"/>
          <w:tab w:val="left" w:pos="569"/>
        </w:tabs>
        <w:jc w:val="both"/>
        <w:rPr>
          <w:sz w:val="22"/>
          <w:szCs w:val="22"/>
          <w:lang w:val="sr-Latn-ME"/>
        </w:rPr>
      </w:pPr>
      <w:r w:rsidRPr="003F7E57">
        <w:rPr>
          <w:sz w:val="22"/>
          <w:szCs w:val="22"/>
          <w:lang w:val="sr-Latn-ME"/>
        </w:rPr>
        <w:t xml:space="preserve">Nakon </w:t>
      </w:r>
      <w:proofErr w:type="spellStart"/>
      <w:r w:rsidRPr="003F7E57">
        <w:rPr>
          <w:sz w:val="22"/>
          <w:szCs w:val="22"/>
          <w:lang w:val="sr-Latn-ME"/>
        </w:rPr>
        <w:t>peroralne</w:t>
      </w:r>
      <w:proofErr w:type="spellEnd"/>
      <w:r w:rsidRPr="003F7E57">
        <w:rPr>
          <w:sz w:val="22"/>
          <w:szCs w:val="22"/>
          <w:lang w:val="sr-Latn-ME"/>
        </w:rPr>
        <w:t xml:space="preserve"> primjene </w:t>
      </w:r>
      <w:proofErr w:type="spellStart"/>
      <w:r w:rsidRPr="003F7E57">
        <w:rPr>
          <w:sz w:val="22"/>
          <w:szCs w:val="22"/>
          <w:lang w:val="sr-Latn-ME"/>
        </w:rPr>
        <w:t>na</w:t>
      </w:r>
      <w:r w:rsidR="00522F79" w:rsidRPr="003F7E57">
        <w:rPr>
          <w:sz w:val="22"/>
          <w:szCs w:val="22"/>
          <w:lang w:val="sr-Latn-ME"/>
        </w:rPr>
        <w:t>ta</w:t>
      </w:r>
      <w:r w:rsidRPr="003F7E57">
        <w:rPr>
          <w:sz w:val="22"/>
          <w:szCs w:val="22"/>
          <w:lang w:val="sr-Latn-ME"/>
        </w:rPr>
        <w:t>šte</w:t>
      </w:r>
      <w:proofErr w:type="spellEnd"/>
      <w:r w:rsidRPr="003F7E57">
        <w:rPr>
          <w:sz w:val="22"/>
          <w:szCs w:val="22"/>
          <w:lang w:val="sr-Latn-ME"/>
        </w:rPr>
        <w:t xml:space="preserve"> </w:t>
      </w:r>
      <w:proofErr w:type="spellStart"/>
      <w:r w:rsidRPr="003F7E57">
        <w:rPr>
          <w:sz w:val="22"/>
          <w:szCs w:val="22"/>
          <w:lang w:val="sr-Latn-ME"/>
        </w:rPr>
        <w:t>vildagliptin</w:t>
      </w:r>
      <w:proofErr w:type="spellEnd"/>
      <w:r w:rsidRPr="003F7E57">
        <w:rPr>
          <w:sz w:val="22"/>
          <w:szCs w:val="22"/>
          <w:lang w:val="sr-Latn-ME"/>
        </w:rPr>
        <w:t xml:space="preserve"> se brzo resorbuje pri čemu su maksimalne koncentracije u plazmi zapažene nakon 1,7 sati. Hrana neznatno odlaže vrijeme do postizanja maksimalne koncentracije u plazmi na 2,5 sata, ali ne mijenja ukupnu izloženost (PIK). Primjena </w:t>
      </w:r>
      <w:proofErr w:type="spellStart"/>
      <w:r w:rsidRPr="003F7E57">
        <w:rPr>
          <w:sz w:val="22"/>
          <w:szCs w:val="22"/>
          <w:lang w:val="sr-Latn-ME"/>
        </w:rPr>
        <w:t>vildagliptina</w:t>
      </w:r>
      <w:proofErr w:type="spellEnd"/>
      <w:r w:rsidRPr="003F7E57">
        <w:rPr>
          <w:sz w:val="22"/>
          <w:szCs w:val="22"/>
          <w:lang w:val="sr-Latn-ME"/>
        </w:rPr>
        <w:t xml:space="preserve"> sa hranom rezultuje smanjenim </w:t>
      </w:r>
      <w:proofErr w:type="spellStart"/>
      <w:r w:rsidRPr="003F7E57">
        <w:rPr>
          <w:sz w:val="22"/>
          <w:szCs w:val="22"/>
          <w:lang w:val="sr-Latn-ME"/>
        </w:rPr>
        <w:t>C</w:t>
      </w:r>
      <w:r w:rsidRPr="003F7E57">
        <w:rPr>
          <w:sz w:val="22"/>
          <w:szCs w:val="22"/>
          <w:vertAlign w:val="subscript"/>
          <w:lang w:val="sr-Latn-ME"/>
        </w:rPr>
        <w:t>max</w:t>
      </w:r>
      <w:proofErr w:type="spellEnd"/>
      <w:r w:rsidRPr="003F7E57">
        <w:rPr>
          <w:sz w:val="22"/>
          <w:szCs w:val="22"/>
          <w:lang w:val="sr-Latn-ME"/>
        </w:rPr>
        <w:t xml:space="preserve"> (19%) u poređenju sa primjenom na prazan stomak. Međutim, stepen promjene nije klinički značajan pa se </w:t>
      </w:r>
      <w:proofErr w:type="spellStart"/>
      <w:r w:rsidRPr="003F7E57">
        <w:rPr>
          <w:sz w:val="22"/>
          <w:szCs w:val="22"/>
          <w:lang w:val="sr-Latn-ME"/>
        </w:rPr>
        <w:t>vildagliptin</w:t>
      </w:r>
      <w:proofErr w:type="spellEnd"/>
      <w:r w:rsidRPr="003F7E57">
        <w:rPr>
          <w:sz w:val="22"/>
          <w:szCs w:val="22"/>
          <w:lang w:val="sr-Latn-ME"/>
        </w:rPr>
        <w:t xml:space="preserve"> može primjenjivati sa hranom ili bez nje. Apsolutna </w:t>
      </w:r>
      <w:proofErr w:type="spellStart"/>
      <w:r w:rsidRPr="003F7E57">
        <w:rPr>
          <w:sz w:val="22"/>
          <w:szCs w:val="22"/>
          <w:lang w:val="sr-Latn-ME"/>
        </w:rPr>
        <w:t>bioraspoloživost</w:t>
      </w:r>
      <w:proofErr w:type="spellEnd"/>
      <w:r w:rsidRPr="003F7E57">
        <w:rPr>
          <w:sz w:val="22"/>
          <w:szCs w:val="22"/>
          <w:lang w:val="sr-Latn-ME"/>
        </w:rPr>
        <w:t xml:space="preserve"> je 85%.</w:t>
      </w:r>
    </w:p>
    <w:p w14:paraId="41DFF2FA" w14:textId="47792B13" w:rsidR="0064325B" w:rsidRPr="003F7E57" w:rsidRDefault="0064325B" w:rsidP="00991A59">
      <w:pPr>
        <w:tabs>
          <w:tab w:val="left" w:pos="540"/>
          <w:tab w:val="left" w:pos="569"/>
        </w:tabs>
        <w:jc w:val="both"/>
        <w:rPr>
          <w:sz w:val="22"/>
          <w:szCs w:val="22"/>
          <w:lang w:val="sr-Latn-ME"/>
        </w:rPr>
      </w:pPr>
    </w:p>
    <w:p w14:paraId="6C33574E" w14:textId="77777777" w:rsidR="0064325B" w:rsidRPr="003F7E57" w:rsidRDefault="0064325B" w:rsidP="00CE2D38">
      <w:pPr>
        <w:tabs>
          <w:tab w:val="left" w:pos="567"/>
        </w:tabs>
        <w:jc w:val="both"/>
        <w:rPr>
          <w:i/>
          <w:noProof/>
          <w:sz w:val="22"/>
          <w:szCs w:val="22"/>
          <w:u w:val="single"/>
          <w:lang w:val="sr-Latn-ME"/>
        </w:rPr>
      </w:pPr>
      <w:r w:rsidRPr="003F7E57">
        <w:rPr>
          <w:i/>
          <w:noProof/>
          <w:sz w:val="22"/>
          <w:szCs w:val="22"/>
          <w:u w:val="single"/>
          <w:lang w:val="sr-Latn-ME"/>
        </w:rPr>
        <w:t>Distribucija</w:t>
      </w:r>
    </w:p>
    <w:p w14:paraId="08A93EBB" w14:textId="77777777" w:rsidR="0064325B" w:rsidRPr="003F7E57" w:rsidRDefault="0064325B">
      <w:pPr>
        <w:tabs>
          <w:tab w:val="left" w:pos="567"/>
        </w:tabs>
        <w:autoSpaceDE w:val="0"/>
        <w:autoSpaceDN w:val="0"/>
        <w:adjustRightInd w:val="0"/>
        <w:jc w:val="both"/>
        <w:rPr>
          <w:sz w:val="22"/>
          <w:szCs w:val="22"/>
          <w:lang w:val="sr-Latn-ME"/>
        </w:rPr>
      </w:pPr>
      <w:r w:rsidRPr="003F7E57">
        <w:rPr>
          <w:sz w:val="22"/>
          <w:szCs w:val="22"/>
          <w:lang w:val="sr-Latn-ME"/>
        </w:rPr>
        <w:t xml:space="preserve">Vezivanje </w:t>
      </w:r>
      <w:proofErr w:type="spellStart"/>
      <w:r w:rsidRPr="003F7E57">
        <w:rPr>
          <w:sz w:val="22"/>
          <w:szCs w:val="22"/>
          <w:lang w:val="sr-Latn-ME"/>
        </w:rPr>
        <w:t>vildagliptina</w:t>
      </w:r>
      <w:proofErr w:type="spellEnd"/>
      <w:r w:rsidRPr="003F7E57">
        <w:rPr>
          <w:sz w:val="22"/>
          <w:szCs w:val="22"/>
          <w:lang w:val="sr-Latn-ME"/>
        </w:rPr>
        <w:t xml:space="preserve"> za proteine plazme je nisko (9,3%) i </w:t>
      </w:r>
      <w:proofErr w:type="spellStart"/>
      <w:r w:rsidRPr="003F7E57">
        <w:rPr>
          <w:sz w:val="22"/>
          <w:szCs w:val="22"/>
          <w:lang w:val="sr-Latn-ME"/>
        </w:rPr>
        <w:t>vildagliptin</w:t>
      </w:r>
      <w:proofErr w:type="spellEnd"/>
      <w:r w:rsidRPr="003F7E57">
        <w:rPr>
          <w:sz w:val="22"/>
          <w:szCs w:val="22"/>
          <w:lang w:val="sr-Latn-ME"/>
        </w:rPr>
        <w:t xml:space="preserve"> se jednako distribuira između plazme i </w:t>
      </w:r>
      <w:proofErr w:type="spellStart"/>
      <w:r w:rsidRPr="003F7E57">
        <w:rPr>
          <w:sz w:val="22"/>
          <w:szCs w:val="22"/>
          <w:lang w:val="sr-Latn-ME"/>
        </w:rPr>
        <w:t>eritrocita</w:t>
      </w:r>
      <w:proofErr w:type="spellEnd"/>
      <w:r w:rsidRPr="003F7E57">
        <w:rPr>
          <w:sz w:val="22"/>
          <w:szCs w:val="22"/>
          <w:lang w:val="sr-Latn-ME"/>
        </w:rPr>
        <w:t xml:space="preserve">. Srednji volumen distribucije </w:t>
      </w:r>
      <w:proofErr w:type="spellStart"/>
      <w:r w:rsidRPr="003F7E57">
        <w:rPr>
          <w:sz w:val="22"/>
          <w:szCs w:val="22"/>
          <w:lang w:val="sr-Latn-ME"/>
        </w:rPr>
        <w:t>vildagliptina</w:t>
      </w:r>
      <w:proofErr w:type="spellEnd"/>
      <w:r w:rsidRPr="003F7E57">
        <w:rPr>
          <w:sz w:val="22"/>
          <w:szCs w:val="22"/>
          <w:lang w:val="sr-Latn-ME"/>
        </w:rPr>
        <w:t xml:space="preserve"> u stanju dinamičke ravnoteže nakon </w:t>
      </w:r>
      <w:proofErr w:type="spellStart"/>
      <w:r w:rsidRPr="003F7E57">
        <w:rPr>
          <w:sz w:val="22"/>
          <w:szCs w:val="22"/>
          <w:lang w:val="sr-Latn-ME"/>
        </w:rPr>
        <w:t>intravenske</w:t>
      </w:r>
      <w:proofErr w:type="spellEnd"/>
      <w:r w:rsidRPr="003F7E57">
        <w:rPr>
          <w:sz w:val="22"/>
          <w:szCs w:val="22"/>
          <w:lang w:val="sr-Latn-ME"/>
        </w:rPr>
        <w:t xml:space="preserve"> primjene (</w:t>
      </w:r>
      <w:proofErr w:type="spellStart"/>
      <w:r w:rsidRPr="003F7E57">
        <w:rPr>
          <w:sz w:val="22"/>
          <w:szCs w:val="22"/>
          <w:lang w:val="sr-Latn-ME"/>
        </w:rPr>
        <w:t>V</w:t>
      </w:r>
      <w:r w:rsidRPr="003F7E57">
        <w:rPr>
          <w:sz w:val="22"/>
          <w:szCs w:val="22"/>
          <w:vertAlign w:val="subscript"/>
          <w:lang w:val="sr-Latn-ME"/>
        </w:rPr>
        <w:t>ss</w:t>
      </w:r>
      <w:proofErr w:type="spellEnd"/>
      <w:r w:rsidRPr="003F7E57">
        <w:rPr>
          <w:sz w:val="22"/>
          <w:szCs w:val="22"/>
          <w:lang w:val="sr-Latn-ME"/>
        </w:rPr>
        <w:t xml:space="preserve">) je 71 litar, što upućuje na </w:t>
      </w:r>
      <w:proofErr w:type="spellStart"/>
      <w:r w:rsidRPr="003F7E57">
        <w:rPr>
          <w:sz w:val="22"/>
          <w:szCs w:val="22"/>
          <w:lang w:val="sr-Latn-ME"/>
        </w:rPr>
        <w:t>ekstravaskularnu</w:t>
      </w:r>
      <w:proofErr w:type="spellEnd"/>
      <w:r w:rsidRPr="003F7E57">
        <w:rPr>
          <w:sz w:val="22"/>
          <w:szCs w:val="22"/>
          <w:lang w:val="sr-Latn-ME"/>
        </w:rPr>
        <w:t xml:space="preserve"> raspodjelu.</w:t>
      </w:r>
    </w:p>
    <w:p w14:paraId="5FD834EB" w14:textId="77777777" w:rsidR="0064325B" w:rsidRPr="003F7E57" w:rsidRDefault="0064325B" w:rsidP="00991A59">
      <w:pPr>
        <w:tabs>
          <w:tab w:val="left" w:pos="567"/>
        </w:tabs>
        <w:autoSpaceDE w:val="0"/>
        <w:autoSpaceDN w:val="0"/>
        <w:adjustRightInd w:val="0"/>
        <w:jc w:val="both"/>
        <w:rPr>
          <w:sz w:val="22"/>
          <w:szCs w:val="22"/>
          <w:lang w:val="sr-Latn-ME"/>
        </w:rPr>
      </w:pPr>
    </w:p>
    <w:p w14:paraId="047302ED" w14:textId="77777777" w:rsidR="0064325B" w:rsidRPr="003F7E57" w:rsidRDefault="0064325B" w:rsidP="00CE2D38">
      <w:pPr>
        <w:tabs>
          <w:tab w:val="left" w:pos="567"/>
        </w:tabs>
        <w:autoSpaceDE w:val="0"/>
        <w:autoSpaceDN w:val="0"/>
        <w:adjustRightInd w:val="0"/>
        <w:jc w:val="both"/>
        <w:rPr>
          <w:i/>
          <w:sz w:val="22"/>
          <w:szCs w:val="22"/>
          <w:u w:val="single"/>
          <w:lang w:val="sr-Latn-ME"/>
        </w:rPr>
      </w:pPr>
      <w:proofErr w:type="spellStart"/>
      <w:r w:rsidRPr="003F7E57">
        <w:rPr>
          <w:i/>
          <w:sz w:val="22"/>
          <w:szCs w:val="22"/>
          <w:u w:val="single"/>
          <w:lang w:val="sr-Latn-ME"/>
        </w:rPr>
        <w:t>Biotransformacija</w:t>
      </w:r>
      <w:proofErr w:type="spellEnd"/>
    </w:p>
    <w:p w14:paraId="4B43F29F" w14:textId="738B674C" w:rsidR="0064325B" w:rsidRPr="003F7E57" w:rsidRDefault="0064325B">
      <w:pPr>
        <w:tabs>
          <w:tab w:val="left" w:pos="567"/>
        </w:tabs>
        <w:autoSpaceDE w:val="0"/>
        <w:autoSpaceDN w:val="0"/>
        <w:adjustRightInd w:val="0"/>
        <w:jc w:val="both"/>
        <w:rPr>
          <w:sz w:val="22"/>
          <w:szCs w:val="22"/>
          <w:lang w:val="sr-Latn-ME"/>
        </w:rPr>
      </w:pPr>
      <w:r w:rsidRPr="003F7E57">
        <w:rPr>
          <w:sz w:val="22"/>
          <w:szCs w:val="22"/>
          <w:lang w:val="sr-Latn-ME"/>
        </w:rPr>
        <w:t xml:space="preserve">Glavni put eliminacije </w:t>
      </w:r>
      <w:proofErr w:type="spellStart"/>
      <w:r w:rsidRPr="003F7E57">
        <w:rPr>
          <w:sz w:val="22"/>
          <w:szCs w:val="22"/>
          <w:lang w:val="sr-Latn-ME"/>
        </w:rPr>
        <w:t>vildagliptina</w:t>
      </w:r>
      <w:proofErr w:type="spellEnd"/>
      <w:r w:rsidRPr="003F7E57">
        <w:rPr>
          <w:sz w:val="22"/>
          <w:szCs w:val="22"/>
          <w:lang w:val="sr-Latn-ME"/>
        </w:rPr>
        <w:t xml:space="preserve"> kod </w:t>
      </w:r>
      <w:proofErr w:type="spellStart"/>
      <w:r w:rsidRPr="003F7E57">
        <w:rPr>
          <w:sz w:val="22"/>
          <w:szCs w:val="22"/>
          <w:lang w:val="sr-Latn-ME"/>
        </w:rPr>
        <w:t>ljudi</w:t>
      </w:r>
      <w:proofErr w:type="spellEnd"/>
      <w:r w:rsidRPr="003F7E57">
        <w:rPr>
          <w:sz w:val="22"/>
          <w:szCs w:val="22"/>
          <w:lang w:val="sr-Latn-ME"/>
        </w:rPr>
        <w:t xml:space="preserve"> je metabolizam, koji čini 69% doze. Glavni </w:t>
      </w:r>
      <w:proofErr w:type="spellStart"/>
      <w:r w:rsidRPr="003F7E57">
        <w:rPr>
          <w:sz w:val="22"/>
          <w:szCs w:val="22"/>
          <w:lang w:val="sr-Latn-ME"/>
        </w:rPr>
        <w:t>metabolit</w:t>
      </w:r>
      <w:proofErr w:type="spellEnd"/>
      <w:r w:rsidRPr="003F7E57">
        <w:rPr>
          <w:sz w:val="22"/>
          <w:szCs w:val="22"/>
          <w:lang w:val="sr-Latn-ME"/>
        </w:rPr>
        <w:t xml:space="preserve"> (</w:t>
      </w:r>
      <w:proofErr w:type="spellStart"/>
      <w:r w:rsidRPr="003F7E57">
        <w:rPr>
          <w:sz w:val="22"/>
          <w:szCs w:val="22"/>
          <w:lang w:val="sr-Latn-ME"/>
        </w:rPr>
        <w:t>LAY</w:t>
      </w:r>
      <w:proofErr w:type="spellEnd"/>
      <w:r w:rsidRPr="003F7E57">
        <w:rPr>
          <w:sz w:val="22"/>
          <w:szCs w:val="22"/>
          <w:lang w:val="sr-Latn-ME"/>
        </w:rPr>
        <w:t xml:space="preserve"> 151) je farmakološki neaktivan i produkt je hidrolize </w:t>
      </w:r>
      <w:proofErr w:type="spellStart"/>
      <w:r w:rsidRPr="003F7E57">
        <w:rPr>
          <w:sz w:val="22"/>
          <w:szCs w:val="22"/>
          <w:lang w:val="sr-Latn-ME"/>
        </w:rPr>
        <w:t>cijano</w:t>
      </w:r>
      <w:proofErr w:type="spellEnd"/>
      <w:r w:rsidRPr="003F7E57">
        <w:rPr>
          <w:sz w:val="22"/>
          <w:szCs w:val="22"/>
          <w:lang w:val="sr-Latn-ME"/>
        </w:rPr>
        <w:t xml:space="preserve"> - dijela molekula, koji čini 57% doze, nakon čega slijedi proizvod hidrolize </w:t>
      </w:r>
      <w:proofErr w:type="spellStart"/>
      <w:r w:rsidRPr="003F7E57">
        <w:rPr>
          <w:sz w:val="22"/>
          <w:szCs w:val="22"/>
          <w:lang w:val="sr-Latn-ME"/>
        </w:rPr>
        <w:t>amida</w:t>
      </w:r>
      <w:proofErr w:type="spellEnd"/>
      <w:r w:rsidRPr="003F7E57">
        <w:rPr>
          <w:sz w:val="22"/>
          <w:szCs w:val="22"/>
          <w:lang w:val="sr-Latn-ME"/>
        </w:rPr>
        <w:t xml:space="preserve"> (4% doze). Na osnovu </w:t>
      </w:r>
      <w:r w:rsidRPr="003F7E57">
        <w:rPr>
          <w:i/>
          <w:iCs/>
          <w:sz w:val="22"/>
          <w:szCs w:val="22"/>
          <w:lang w:val="sr-Latn-ME"/>
        </w:rPr>
        <w:t xml:space="preserve">in </w:t>
      </w:r>
      <w:proofErr w:type="spellStart"/>
      <w:r w:rsidRPr="003F7E57">
        <w:rPr>
          <w:i/>
          <w:iCs/>
          <w:sz w:val="22"/>
          <w:szCs w:val="22"/>
          <w:lang w:val="sr-Latn-ME"/>
        </w:rPr>
        <w:t>vivo</w:t>
      </w:r>
      <w:proofErr w:type="spellEnd"/>
      <w:r w:rsidRPr="003F7E57">
        <w:rPr>
          <w:sz w:val="22"/>
          <w:szCs w:val="22"/>
          <w:lang w:val="sr-Latn-ME"/>
        </w:rPr>
        <w:t xml:space="preserve"> ispitivanja u kojem su korišćeni pacovi sa </w:t>
      </w:r>
      <w:proofErr w:type="spellStart"/>
      <w:r w:rsidRPr="003F7E57">
        <w:rPr>
          <w:sz w:val="22"/>
          <w:szCs w:val="22"/>
          <w:lang w:val="sr-Latn-ME"/>
        </w:rPr>
        <w:t>deficijencijom</w:t>
      </w:r>
      <w:proofErr w:type="spellEnd"/>
      <w:r w:rsidRPr="003F7E57">
        <w:rPr>
          <w:sz w:val="22"/>
          <w:szCs w:val="22"/>
          <w:lang w:val="sr-Latn-ME"/>
        </w:rPr>
        <w:t xml:space="preserve"> </w:t>
      </w:r>
      <w:proofErr w:type="spellStart"/>
      <w:r w:rsidRPr="003F7E57">
        <w:rPr>
          <w:sz w:val="22"/>
          <w:szCs w:val="22"/>
          <w:lang w:val="sr-Latn-ME"/>
        </w:rPr>
        <w:t>DPP</w:t>
      </w:r>
      <w:proofErr w:type="spellEnd"/>
      <w:r w:rsidRPr="003F7E57">
        <w:rPr>
          <w:sz w:val="22"/>
          <w:szCs w:val="22"/>
          <w:lang w:val="sr-Latn-ME"/>
        </w:rPr>
        <w:t xml:space="preserve">-4 otkriveno je da DPP-4 djelimično doprinosi hidrolizi </w:t>
      </w:r>
      <w:proofErr w:type="spellStart"/>
      <w:r w:rsidRPr="003F7E57">
        <w:rPr>
          <w:sz w:val="22"/>
          <w:szCs w:val="22"/>
          <w:lang w:val="sr-Latn-ME"/>
        </w:rPr>
        <w:t>vildagliptina</w:t>
      </w:r>
      <w:proofErr w:type="spellEnd"/>
      <w:r w:rsidRPr="003F7E57">
        <w:rPr>
          <w:sz w:val="22"/>
          <w:szCs w:val="22"/>
          <w:lang w:val="sr-Latn-ME"/>
        </w:rPr>
        <w:t xml:space="preserve">. </w:t>
      </w:r>
      <w:proofErr w:type="spellStart"/>
      <w:r w:rsidRPr="003F7E57">
        <w:rPr>
          <w:sz w:val="22"/>
          <w:szCs w:val="22"/>
          <w:lang w:val="sr-Latn-ME"/>
        </w:rPr>
        <w:t>Vildagliptin</w:t>
      </w:r>
      <w:proofErr w:type="spellEnd"/>
      <w:r w:rsidRPr="003F7E57">
        <w:rPr>
          <w:sz w:val="22"/>
          <w:szCs w:val="22"/>
          <w:lang w:val="sr-Latn-ME"/>
        </w:rPr>
        <w:t xml:space="preserve"> se ne </w:t>
      </w:r>
      <w:proofErr w:type="spellStart"/>
      <w:r w:rsidRPr="003F7E57">
        <w:rPr>
          <w:sz w:val="22"/>
          <w:szCs w:val="22"/>
          <w:lang w:val="sr-Latn-ME"/>
        </w:rPr>
        <w:t>metaboliše</w:t>
      </w:r>
      <w:proofErr w:type="spellEnd"/>
      <w:r w:rsidRPr="003F7E57">
        <w:rPr>
          <w:sz w:val="22"/>
          <w:szCs w:val="22"/>
          <w:lang w:val="sr-Latn-ME"/>
        </w:rPr>
        <w:t xml:space="preserve"> enzimima CYP 450 do bilo kog mjerljivog opsega i zbog toga se ne očekuje da na </w:t>
      </w:r>
      <w:proofErr w:type="spellStart"/>
      <w:r w:rsidRPr="003F7E57">
        <w:rPr>
          <w:sz w:val="22"/>
          <w:szCs w:val="22"/>
          <w:lang w:val="sr-Latn-ME"/>
        </w:rPr>
        <w:t>metabolički</w:t>
      </w:r>
      <w:proofErr w:type="spellEnd"/>
      <w:r w:rsidRPr="003F7E57">
        <w:rPr>
          <w:sz w:val="22"/>
          <w:szCs w:val="22"/>
          <w:lang w:val="sr-Latn-ME"/>
        </w:rPr>
        <w:t xml:space="preserve"> </w:t>
      </w:r>
      <w:proofErr w:type="spellStart"/>
      <w:r w:rsidRPr="003F7E57">
        <w:rPr>
          <w:sz w:val="22"/>
          <w:szCs w:val="22"/>
          <w:lang w:val="sr-Latn-ME"/>
        </w:rPr>
        <w:t>klirens</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 xml:space="preserve"> utiče istovremena primjena ljekova koji su </w:t>
      </w:r>
      <w:proofErr w:type="spellStart"/>
      <w:r w:rsidRPr="003F7E57">
        <w:rPr>
          <w:sz w:val="22"/>
          <w:szCs w:val="22"/>
          <w:lang w:val="sr-Latn-ME"/>
        </w:rPr>
        <w:t>inhibitori</w:t>
      </w:r>
      <w:proofErr w:type="spellEnd"/>
      <w:r w:rsidRPr="003F7E57">
        <w:rPr>
          <w:sz w:val="22"/>
          <w:szCs w:val="22"/>
          <w:lang w:val="sr-Latn-ME"/>
        </w:rPr>
        <w:t xml:space="preserve"> i/ili induktori </w:t>
      </w:r>
      <w:proofErr w:type="spellStart"/>
      <w:r w:rsidRPr="003F7E57">
        <w:rPr>
          <w:sz w:val="22"/>
          <w:szCs w:val="22"/>
          <w:lang w:val="sr-Latn-ME"/>
        </w:rPr>
        <w:t>CYP</w:t>
      </w:r>
      <w:proofErr w:type="spellEnd"/>
      <w:r w:rsidRPr="003F7E57">
        <w:rPr>
          <w:sz w:val="22"/>
          <w:szCs w:val="22"/>
          <w:lang w:val="sr-Latn-ME"/>
        </w:rPr>
        <w:t xml:space="preserve"> 450. Studije </w:t>
      </w:r>
      <w:r w:rsidRPr="003F7E57">
        <w:rPr>
          <w:i/>
          <w:iCs/>
          <w:sz w:val="22"/>
          <w:szCs w:val="22"/>
          <w:lang w:val="sr-Latn-ME"/>
        </w:rPr>
        <w:t xml:space="preserve">in </w:t>
      </w:r>
      <w:proofErr w:type="spellStart"/>
      <w:r w:rsidRPr="003F7E57">
        <w:rPr>
          <w:i/>
          <w:iCs/>
          <w:sz w:val="22"/>
          <w:szCs w:val="22"/>
          <w:lang w:val="sr-Latn-ME"/>
        </w:rPr>
        <w:t>vitro</w:t>
      </w:r>
      <w:proofErr w:type="spellEnd"/>
      <w:r w:rsidRPr="003F7E57">
        <w:rPr>
          <w:sz w:val="22"/>
          <w:szCs w:val="22"/>
          <w:lang w:val="sr-Latn-ME"/>
        </w:rPr>
        <w:t xml:space="preserve"> pokazale su da </w:t>
      </w:r>
      <w:proofErr w:type="spellStart"/>
      <w:r w:rsidRPr="003F7E57">
        <w:rPr>
          <w:sz w:val="22"/>
          <w:szCs w:val="22"/>
          <w:lang w:val="sr-Latn-ME"/>
        </w:rPr>
        <w:t>vildagliptin</w:t>
      </w:r>
      <w:proofErr w:type="spellEnd"/>
      <w:r w:rsidRPr="003F7E57">
        <w:rPr>
          <w:sz w:val="22"/>
          <w:szCs w:val="22"/>
          <w:lang w:val="sr-Latn-ME"/>
        </w:rPr>
        <w:t xml:space="preserve"> ne inhibira/indukuje </w:t>
      </w:r>
      <w:proofErr w:type="spellStart"/>
      <w:r w:rsidRPr="003F7E57">
        <w:rPr>
          <w:sz w:val="22"/>
          <w:szCs w:val="22"/>
          <w:lang w:val="sr-Latn-ME"/>
        </w:rPr>
        <w:t>CYP</w:t>
      </w:r>
      <w:proofErr w:type="spellEnd"/>
      <w:r w:rsidRPr="003F7E57">
        <w:rPr>
          <w:sz w:val="22"/>
          <w:szCs w:val="22"/>
          <w:lang w:val="sr-Latn-ME"/>
        </w:rPr>
        <w:t xml:space="preserve"> 450 enzime. Zbog toga nije vjerovatno da će </w:t>
      </w:r>
      <w:proofErr w:type="spellStart"/>
      <w:r w:rsidRPr="003F7E57">
        <w:rPr>
          <w:sz w:val="22"/>
          <w:szCs w:val="22"/>
          <w:lang w:val="sr-Latn-ME"/>
        </w:rPr>
        <w:t>vildagliptin</w:t>
      </w:r>
      <w:proofErr w:type="spellEnd"/>
      <w:r w:rsidRPr="003F7E57">
        <w:rPr>
          <w:sz w:val="22"/>
          <w:szCs w:val="22"/>
          <w:lang w:val="sr-Latn-ME"/>
        </w:rPr>
        <w:t xml:space="preserve"> uticati na </w:t>
      </w:r>
      <w:proofErr w:type="spellStart"/>
      <w:r w:rsidRPr="003F7E57">
        <w:rPr>
          <w:sz w:val="22"/>
          <w:szCs w:val="22"/>
          <w:lang w:val="sr-Latn-ME"/>
        </w:rPr>
        <w:t>metabolički</w:t>
      </w:r>
      <w:proofErr w:type="spellEnd"/>
      <w:r w:rsidRPr="003F7E57">
        <w:rPr>
          <w:sz w:val="22"/>
          <w:szCs w:val="22"/>
          <w:lang w:val="sr-Latn-ME"/>
        </w:rPr>
        <w:t xml:space="preserve"> </w:t>
      </w:r>
      <w:proofErr w:type="spellStart"/>
      <w:r w:rsidRPr="003F7E57">
        <w:rPr>
          <w:sz w:val="22"/>
          <w:szCs w:val="22"/>
          <w:lang w:val="sr-Latn-ME"/>
        </w:rPr>
        <w:t>klirens</w:t>
      </w:r>
      <w:proofErr w:type="spellEnd"/>
      <w:r w:rsidRPr="003F7E57">
        <w:rPr>
          <w:sz w:val="22"/>
          <w:szCs w:val="22"/>
          <w:lang w:val="sr-Latn-ME"/>
        </w:rPr>
        <w:t xml:space="preserve"> istovremeno prim</w:t>
      </w:r>
      <w:r w:rsidR="00CE2D38" w:rsidRPr="003F7E57">
        <w:rPr>
          <w:sz w:val="22"/>
          <w:szCs w:val="22"/>
          <w:lang w:val="sr-Latn-ME"/>
        </w:rPr>
        <w:t>i</w:t>
      </w:r>
      <w:r w:rsidRPr="003F7E57">
        <w:rPr>
          <w:sz w:val="22"/>
          <w:szCs w:val="22"/>
          <w:lang w:val="sr-Latn-ME"/>
        </w:rPr>
        <w:t xml:space="preserve">jenjenih ljekova koji se </w:t>
      </w:r>
      <w:proofErr w:type="spellStart"/>
      <w:r w:rsidRPr="003F7E57">
        <w:rPr>
          <w:sz w:val="22"/>
          <w:szCs w:val="22"/>
          <w:lang w:val="sr-Latn-ME"/>
        </w:rPr>
        <w:t>metabolišu</w:t>
      </w:r>
      <w:proofErr w:type="spellEnd"/>
      <w:r w:rsidRPr="003F7E57">
        <w:rPr>
          <w:sz w:val="22"/>
          <w:szCs w:val="22"/>
          <w:lang w:val="sr-Latn-ME"/>
        </w:rPr>
        <w:t xml:space="preserve"> putem </w:t>
      </w:r>
      <w:proofErr w:type="spellStart"/>
      <w:r w:rsidRPr="003F7E57">
        <w:rPr>
          <w:sz w:val="22"/>
          <w:szCs w:val="22"/>
          <w:lang w:val="sr-Latn-ME"/>
        </w:rPr>
        <w:t>CYP</w:t>
      </w:r>
      <w:proofErr w:type="spellEnd"/>
      <w:r w:rsidRPr="003F7E57">
        <w:rPr>
          <w:sz w:val="22"/>
          <w:szCs w:val="22"/>
          <w:lang w:val="sr-Latn-ME"/>
        </w:rPr>
        <w:t> </w:t>
      </w:r>
      <w:proofErr w:type="spellStart"/>
      <w:r w:rsidRPr="003F7E57">
        <w:rPr>
          <w:sz w:val="22"/>
          <w:szCs w:val="22"/>
          <w:lang w:val="sr-Latn-ME"/>
        </w:rPr>
        <w:t>1A2</w:t>
      </w:r>
      <w:proofErr w:type="spellEnd"/>
      <w:r w:rsidRPr="003F7E57">
        <w:rPr>
          <w:sz w:val="22"/>
          <w:szCs w:val="22"/>
          <w:lang w:val="sr-Latn-ME"/>
        </w:rPr>
        <w:t xml:space="preserve">, </w:t>
      </w:r>
      <w:proofErr w:type="spellStart"/>
      <w:r w:rsidRPr="003F7E57">
        <w:rPr>
          <w:sz w:val="22"/>
          <w:szCs w:val="22"/>
          <w:lang w:val="sr-Latn-ME"/>
        </w:rPr>
        <w:t>CYP</w:t>
      </w:r>
      <w:proofErr w:type="spellEnd"/>
      <w:r w:rsidRPr="003F7E57">
        <w:rPr>
          <w:sz w:val="22"/>
          <w:szCs w:val="22"/>
          <w:lang w:val="sr-Latn-ME"/>
        </w:rPr>
        <w:t> </w:t>
      </w:r>
      <w:proofErr w:type="spellStart"/>
      <w:r w:rsidRPr="003F7E57">
        <w:rPr>
          <w:sz w:val="22"/>
          <w:szCs w:val="22"/>
          <w:lang w:val="sr-Latn-ME"/>
        </w:rPr>
        <w:t>2C8</w:t>
      </w:r>
      <w:proofErr w:type="spellEnd"/>
      <w:r w:rsidRPr="003F7E57">
        <w:rPr>
          <w:sz w:val="22"/>
          <w:szCs w:val="22"/>
          <w:lang w:val="sr-Latn-ME"/>
        </w:rPr>
        <w:t>, CYP 2C9, CYP 2C19, CYP 2D6, CYP 2E1 ili CYP 3A4/5.</w:t>
      </w:r>
    </w:p>
    <w:p w14:paraId="08BFA444" w14:textId="77777777" w:rsidR="0064325B" w:rsidRPr="003F7E57" w:rsidRDefault="0064325B" w:rsidP="00991A59">
      <w:pPr>
        <w:tabs>
          <w:tab w:val="left" w:pos="567"/>
        </w:tabs>
        <w:autoSpaceDE w:val="0"/>
        <w:autoSpaceDN w:val="0"/>
        <w:adjustRightInd w:val="0"/>
        <w:jc w:val="both"/>
        <w:rPr>
          <w:sz w:val="22"/>
          <w:szCs w:val="22"/>
          <w:lang w:val="sr-Latn-ME"/>
        </w:rPr>
      </w:pPr>
    </w:p>
    <w:p w14:paraId="3B0D8AC3" w14:textId="77777777" w:rsidR="0064325B" w:rsidRPr="003F7E57" w:rsidRDefault="0064325B" w:rsidP="00CE2D38">
      <w:pPr>
        <w:tabs>
          <w:tab w:val="left" w:pos="567"/>
        </w:tabs>
        <w:jc w:val="both"/>
        <w:rPr>
          <w:i/>
          <w:noProof/>
          <w:sz w:val="22"/>
          <w:szCs w:val="22"/>
          <w:u w:val="single"/>
          <w:lang w:val="sr-Latn-ME"/>
        </w:rPr>
      </w:pPr>
      <w:r w:rsidRPr="003F7E57">
        <w:rPr>
          <w:i/>
          <w:noProof/>
          <w:sz w:val="22"/>
          <w:szCs w:val="22"/>
          <w:u w:val="single"/>
          <w:lang w:val="sr-Latn-ME"/>
        </w:rPr>
        <w:t>Eliminacija</w:t>
      </w:r>
    </w:p>
    <w:p w14:paraId="11912E50" w14:textId="429CF5E4" w:rsidR="0064325B" w:rsidRPr="003F7E57" w:rsidRDefault="0064325B">
      <w:pPr>
        <w:tabs>
          <w:tab w:val="left" w:pos="567"/>
        </w:tabs>
        <w:autoSpaceDE w:val="0"/>
        <w:autoSpaceDN w:val="0"/>
        <w:adjustRightInd w:val="0"/>
        <w:jc w:val="both"/>
        <w:rPr>
          <w:sz w:val="22"/>
          <w:szCs w:val="22"/>
          <w:lang w:val="sr-Latn-ME"/>
        </w:rPr>
      </w:pPr>
      <w:r w:rsidRPr="003F7E57">
        <w:rPr>
          <w:sz w:val="22"/>
          <w:szCs w:val="22"/>
          <w:lang w:val="sr-Latn-ME"/>
        </w:rPr>
        <w:lastRenderedPageBreak/>
        <w:t xml:space="preserve">Nakon </w:t>
      </w:r>
      <w:proofErr w:type="spellStart"/>
      <w:r w:rsidRPr="003F7E57">
        <w:rPr>
          <w:sz w:val="22"/>
          <w:szCs w:val="22"/>
          <w:lang w:val="sr-Latn-ME"/>
        </w:rPr>
        <w:t>peroralne</w:t>
      </w:r>
      <w:proofErr w:type="spellEnd"/>
      <w:r w:rsidRPr="003F7E57">
        <w:rPr>
          <w:sz w:val="22"/>
          <w:szCs w:val="22"/>
          <w:lang w:val="sr-Latn-ME"/>
        </w:rPr>
        <w:t xml:space="preserve"> primjene [</w:t>
      </w:r>
      <w:proofErr w:type="spellStart"/>
      <w:r w:rsidRPr="003F7E57">
        <w:rPr>
          <w:sz w:val="22"/>
          <w:szCs w:val="22"/>
          <w:vertAlign w:val="superscript"/>
          <w:lang w:val="sr-Latn-ME"/>
        </w:rPr>
        <w:t>14</w:t>
      </w:r>
      <w:r w:rsidRPr="003F7E57">
        <w:rPr>
          <w:sz w:val="22"/>
          <w:szCs w:val="22"/>
          <w:lang w:val="sr-Latn-ME"/>
        </w:rPr>
        <w:t>C</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 xml:space="preserve"> oko 85% doze se izlučuje u urin, a 15% doze pronađeno je u stolici. Nakon oralne primjene 23% doze izlučuje se putem bubrega kao </w:t>
      </w:r>
      <w:proofErr w:type="spellStart"/>
      <w:r w:rsidRPr="003F7E57">
        <w:rPr>
          <w:sz w:val="22"/>
          <w:szCs w:val="22"/>
          <w:lang w:val="sr-Latn-ME"/>
        </w:rPr>
        <w:t>neprom</w:t>
      </w:r>
      <w:r w:rsidR="00CE2D38" w:rsidRPr="003F7E57">
        <w:rPr>
          <w:sz w:val="22"/>
          <w:szCs w:val="22"/>
          <w:lang w:val="sr-Latn-ME"/>
        </w:rPr>
        <w:t>i</w:t>
      </w:r>
      <w:r w:rsidRPr="003F7E57">
        <w:rPr>
          <w:sz w:val="22"/>
          <w:szCs w:val="22"/>
          <w:lang w:val="sr-Latn-ME"/>
        </w:rPr>
        <w:t>jenjeni</w:t>
      </w:r>
      <w:proofErr w:type="spellEnd"/>
      <w:r w:rsidRPr="003F7E57">
        <w:rPr>
          <w:sz w:val="22"/>
          <w:szCs w:val="22"/>
          <w:lang w:val="sr-Latn-ME"/>
        </w:rPr>
        <w:t xml:space="preserve"> </w:t>
      </w:r>
      <w:proofErr w:type="spellStart"/>
      <w:r w:rsidRPr="003F7E57">
        <w:rPr>
          <w:sz w:val="22"/>
          <w:szCs w:val="22"/>
          <w:lang w:val="sr-Latn-ME"/>
        </w:rPr>
        <w:t>vildagliptin</w:t>
      </w:r>
      <w:proofErr w:type="spellEnd"/>
      <w:r w:rsidRPr="003F7E57">
        <w:rPr>
          <w:sz w:val="22"/>
          <w:szCs w:val="22"/>
          <w:lang w:val="sr-Latn-ME"/>
        </w:rPr>
        <w:t xml:space="preserve">. Nakon </w:t>
      </w:r>
      <w:proofErr w:type="spellStart"/>
      <w:r w:rsidRPr="003F7E57">
        <w:rPr>
          <w:sz w:val="22"/>
          <w:szCs w:val="22"/>
          <w:lang w:val="sr-Latn-ME"/>
        </w:rPr>
        <w:t>intravenske</w:t>
      </w:r>
      <w:proofErr w:type="spellEnd"/>
      <w:r w:rsidRPr="003F7E57">
        <w:rPr>
          <w:sz w:val="22"/>
          <w:szCs w:val="22"/>
          <w:lang w:val="sr-Latn-ME"/>
        </w:rPr>
        <w:t xml:space="preserve"> primjene kod zdravih ispitanika ukupni plazma i bubrežni </w:t>
      </w:r>
      <w:proofErr w:type="spellStart"/>
      <w:r w:rsidRPr="003F7E57">
        <w:rPr>
          <w:sz w:val="22"/>
          <w:szCs w:val="22"/>
          <w:lang w:val="sr-Latn-ME"/>
        </w:rPr>
        <w:t>klirens</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 xml:space="preserve"> je 41 l/h, odnosno 13 l/h. Srednja vrijednost </w:t>
      </w:r>
      <w:proofErr w:type="spellStart"/>
      <w:r w:rsidRPr="003F7E57">
        <w:rPr>
          <w:sz w:val="22"/>
          <w:szCs w:val="22"/>
          <w:lang w:val="sr-Latn-ME"/>
        </w:rPr>
        <w:t>poluvremena</w:t>
      </w:r>
      <w:proofErr w:type="spellEnd"/>
      <w:r w:rsidRPr="003F7E57">
        <w:rPr>
          <w:sz w:val="22"/>
          <w:szCs w:val="22"/>
          <w:lang w:val="sr-Latn-ME"/>
        </w:rPr>
        <w:t xml:space="preserve"> eliminacije nakon </w:t>
      </w:r>
      <w:proofErr w:type="spellStart"/>
      <w:r w:rsidRPr="003F7E57">
        <w:rPr>
          <w:sz w:val="22"/>
          <w:szCs w:val="22"/>
          <w:lang w:val="sr-Latn-ME"/>
        </w:rPr>
        <w:t>intravenske</w:t>
      </w:r>
      <w:proofErr w:type="spellEnd"/>
      <w:r w:rsidRPr="003F7E57">
        <w:rPr>
          <w:sz w:val="22"/>
          <w:szCs w:val="22"/>
          <w:lang w:val="sr-Latn-ME"/>
        </w:rPr>
        <w:t xml:space="preserve"> primjene iznosi oko 2 sata. Poluvrijeme eliminacije nakon oralne primjene iznosi oko 3 sata.</w:t>
      </w:r>
    </w:p>
    <w:p w14:paraId="09AA73E1" w14:textId="77777777" w:rsidR="0064325B" w:rsidRPr="003F7E57" w:rsidRDefault="0064325B">
      <w:pPr>
        <w:tabs>
          <w:tab w:val="left" w:pos="567"/>
        </w:tabs>
        <w:autoSpaceDE w:val="0"/>
        <w:autoSpaceDN w:val="0"/>
        <w:adjustRightInd w:val="0"/>
        <w:jc w:val="both"/>
        <w:rPr>
          <w:i/>
          <w:sz w:val="22"/>
          <w:szCs w:val="22"/>
          <w:lang w:val="sr-Latn-ME"/>
        </w:rPr>
      </w:pPr>
    </w:p>
    <w:p w14:paraId="6B2C36C8" w14:textId="77777777" w:rsidR="0064325B" w:rsidRPr="003F7E57" w:rsidRDefault="0064325B">
      <w:pPr>
        <w:tabs>
          <w:tab w:val="left" w:pos="567"/>
        </w:tabs>
        <w:autoSpaceDE w:val="0"/>
        <w:autoSpaceDN w:val="0"/>
        <w:adjustRightInd w:val="0"/>
        <w:jc w:val="both"/>
        <w:rPr>
          <w:sz w:val="22"/>
          <w:szCs w:val="22"/>
          <w:u w:val="single"/>
          <w:lang w:val="sr-Latn-ME"/>
        </w:rPr>
      </w:pPr>
      <w:proofErr w:type="spellStart"/>
      <w:r w:rsidRPr="003F7E57">
        <w:rPr>
          <w:i/>
          <w:sz w:val="22"/>
          <w:szCs w:val="22"/>
          <w:u w:val="single"/>
          <w:lang w:val="sr-Latn-ME"/>
        </w:rPr>
        <w:t>Linearnost</w:t>
      </w:r>
      <w:proofErr w:type="spellEnd"/>
      <w:r w:rsidRPr="003F7E57">
        <w:rPr>
          <w:i/>
          <w:sz w:val="22"/>
          <w:szCs w:val="22"/>
          <w:u w:val="single"/>
          <w:lang w:val="sr-Latn-ME"/>
        </w:rPr>
        <w:t xml:space="preserve"> / </w:t>
      </w:r>
      <w:proofErr w:type="spellStart"/>
      <w:r w:rsidRPr="003F7E57">
        <w:rPr>
          <w:i/>
          <w:sz w:val="22"/>
          <w:szCs w:val="22"/>
          <w:u w:val="single"/>
          <w:lang w:val="sr-Latn-ME"/>
        </w:rPr>
        <w:t>nelinearnost</w:t>
      </w:r>
      <w:proofErr w:type="spellEnd"/>
    </w:p>
    <w:p w14:paraId="1A3E91C4" w14:textId="77777777" w:rsidR="0064325B" w:rsidRPr="003F7E57" w:rsidRDefault="0064325B">
      <w:pPr>
        <w:tabs>
          <w:tab w:val="left" w:pos="567"/>
        </w:tabs>
        <w:autoSpaceDE w:val="0"/>
        <w:autoSpaceDN w:val="0"/>
        <w:adjustRightInd w:val="0"/>
        <w:jc w:val="both"/>
        <w:rPr>
          <w:sz w:val="22"/>
          <w:szCs w:val="22"/>
          <w:lang w:val="sr-Latn-ME"/>
        </w:rPr>
      </w:pPr>
      <w:proofErr w:type="spellStart"/>
      <w:r w:rsidRPr="003F7E57">
        <w:rPr>
          <w:sz w:val="22"/>
          <w:szCs w:val="22"/>
          <w:lang w:val="sr-Latn-ME"/>
        </w:rPr>
        <w:t>C</w:t>
      </w:r>
      <w:r w:rsidRPr="003F7E57">
        <w:rPr>
          <w:sz w:val="22"/>
          <w:szCs w:val="22"/>
          <w:vertAlign w:val="subscript"/>
          <w:lang w:val="sr-Latn-ME"/>
        </w:rPr>
        <w:t>max</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 xml:space="preserve"> i površina ispod krive koncentracija - vrijeme (PIK) povećali su se približno proporcionalno dozi unutar terapijskog raspona doza.</w:t>
      </w:r>
    </w:p>
    <w:p w14:paraId="6D6AD076" w14:textId="77777777" w:rsidR="0064325B" w:rsidRPr="003F7E57" w:rsidRDefault="0064325B" w:rsidP="00991A59">
      <w:pPr>
        <w:tabs>
          <w:tab w:val="left" w:pos="567"/>
        </w:tabs>
        <w:autoSpaceDE w:val="0"/>
        <w:autoSpaceDN w:val="0"/>
        <w:adjustRightInd w:val="0"/>
        <w:jc w:val="both"/>
        <w:rPr>
          <w:sz w:val="22"/>
          <w:szCs w:val="22"/>
          <w:lang w:val="sr-Latn-ME"/>
        </w:rPr>
      </w:pPr>
    </w:p>
    <w:p w14:paraId="35CC2AEA" w14:textId="77777777" w:rsidR="0064325B" w:rsidRPr="003F7E57" w:rsidRDefault="0064325B" w:rsidP="00CE2D38">
      <w:pPr>
        <w:tabs>
          <w:tab w:val="left" w:pos="567"/>
        </w:tabs>
        <w:adjustRightInd w:val="0"/>
        <w:jc w:val="both"/>
        <w:rPr>
          <w:i/>
          <w:sz w:val="22"/>
          <w:szCs w:val="22"/>
          <w:u w:val="single"/>
          <w:lang w:val="sr-Latn-ME"/>
        </w:rPr>
      </w:pPr>
      <w:r w:rsidRPr="003F7E57">
        <w:rPr>
          <w:i/>
          <w:sz w:val="22"/>
          <w:szCs w:val="22"/>
          <w:u w:val="single"/>
          <w:lang w:val="sr-Latn-ME"/>
        </w:rPr>
        <w:t>Karakteristike kod pacijenata</w:t>
      </w:r>
    </w:p>
    <w:p w14:paraId="74972A26" w14:textId="77777777" w:rsidR="0064325B" w:rsidRPr="003F7E57" w:rsidRDefault="0064325B">
      <w:pPr>
        <w:tabs>
          <w:tab w:val="left" w:pos="567"/>
        </w:tabs>
        <w:jc w:val="both"/>
        <w:rPr>
          <w:sz w:val="22"/>
          <w:szCs w:val="22"/>
          <w:lang w:val="sr-Latn-ME"/>
        </w:rPr>
      </w:pPr>
      <w:r w:rsidRPr="003F7E57">
        <w:rPr>
          <w:iCs/>
          <w:noProof/>
          <w:sz w:val="22"/>
          <w:szCs w:val="22"/>
          <w:lang w:val="sr-Latn-ME"/>
        </w:rPr>
        <w:t xml:space="preserve">Pol: </w:t>
      </w:r>
      <w:r w:rsidRPr="003F7E57">
        <w:rPr>
          <w:sz w:val="22"/>
          <w:szCs w:val="22"/>
          <w:lang w:val="sr-Latn-ME"/>
        </w:rPr>
        <w:t xml:space="preserve">u </w:t>
      </w:r>
      <w:proofErr w:type="spellStart"/>
      <w:r w:rsidRPr="003F7E57">
        <w:rPr>
          <w:sz w:val="22"/>
          <w:szCs w:val="22"/>
          <w:lang w:val="sr-Latn-ME"/>
        </w:rPr>
        <w:t>farmakokinetici</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 xml:space="preserve"> nijesu zapažene klinički značajne razlike između zdravih ispitanika muškog i ženskog pola unutar širokog raspona godina starosti i indeksa tjelesne mase (BMI). Pol ne utiče na inhibiciju </w:t>
      </w:r>
      <w:proofErr w:type="spellStart"/>
      <w:r w:rsidRPr="003F7E57">
        <w:rPr>
          <w:sz w:val="22"/>
          <w:szCs w:val="22"/>
          <w:lang w:val="sr-Latn-ME"/>
        </w:rPr>
        <w:t>DPP</w:t>
      </w:r>
      <w:proofErr w:type="spellEnd"/>
      <w:r w:rsidRPr="003F7E57">
        <w:rPr>
          <w:sz w:val="22"/>
          <w:szCs w:val="22"/>
          <w:lang w:val="sr-Latn-ME"/>
        </w:rPr>
        <w:t xml:space="preserve">-4 </w:t>
      </w:r>
      <w:proofErr w:type="spellStart"/>
      <w:r w:rsidRPr="003F7E57">
        <w:rPr>
          <w:sz w:val="22"/>
          <w:szCs w:val="22"/>
          <w:lang w:val="sr-Latn-ME"/>
        </w:rPr>
        <w:t>vildagliptinom</w:t>
      </w:r>
      <w:proofErr w:type="spellEnd"/>
      <w:r w:rsidRPr="003F7E57">
        <w:rPr>
          <w:sz w:val="22"/>
          <w:szCs w:val="22"/>
          <w:lang w:val="sr-Latn-ME"/>
        </w:rPr>
        <w:t>.</w:t>
      </w:r>
    </w:p>
    <w:p w14:paraId="6638D728" w14:textId="77777777" w:rsidR="0064325B" w:rsidRPr="003F7E57" w:rsidRDefault="0064325B">
      <w:pPr>
        <w:tabs>
          <w:tab w:val="left" w:pos="567"/>
        </w:tabs>
        <w:autoSpaceDE w:val="0"/>
        <w:autoSpaceDN w:val="0"/>
        <w:adjustRightInd w:val="0"/>
        <w:jc w:val="both"/>
        <w:rPr>
          <w:sz w:val="22"/>
          <w:szCs w:val="22"/>
          <w:lang w:val="sr-Latn-ME"/>
        </w:rPr>
      </w:pPr>
    </w:p>
    <w:p w14:paraId="2DA31457" w14:textId="77777777" w:rsidR="0064325B" w:rsidRPr="003F7E57" w:rsidRDefault="0064325B">
      <w:pPr>
        <w:tabs>
          <w:tab w:val="left" w:pos="567"/>
        </w:tabs>
        <w:jc w:val="both"/>
        <w:rPr>
          <w:sz w:val="22"/>
          <w:szCs w:val="22"/>
          <w:lang w:val="sr-Latn-ME"/>
        </w:rPr>
      </w:pPr>
      <w:r w:rsidRPr="003F7E57">
        <w:rPr>
          <w:iCs/>
          <w:noProof/>
          <w:sz w:val="22"/>
          <w:szCs w:val="22"/>
          <w:lang w:val="sr-Latn-ME"/>
        </w:rPr>
        <w:t>Godine starosti: kod</w:t>
      </w:r>
      <w:r w:rsidRPr="003F7E57">
        <w:rPr>
          <w:sz w:val="22"/>
          <w:szCs w:val="22"/>
          <w:lang w:val="sr-Latn-ME"/>
        </w:rPr>
        <w:t xml:space="preserve"> zdravih starijih ispitanika (≥ 70 godina) ukupna izloženost </w:t>
      </w:r>
      <w:proofErr w:type="spellStart"/>
      <w:r w:rsidRPr="003F7E57">
        <w:rPr>
          <w:sz w:val="22"/>
          <w:szCs w:val="22"/>
          <w:lang w:val="sr-Latn-ME"/>
        </w:rPr>
        <w:t>vildagliptinu</w:t>
      </w:r>
      <w:proofErr w:type="spellEnd"/>
      <w:r w:rsidRPr="003F7E57">
        <w:rPr>
          <w:sz w:val="22"/>
          <w:szCs w:val="22"/>
          <w:lang w:val="sr-Latn-ME"/>
        </w:rPr>
        <w:t xml:space="preserve"> (100 mg jedanput na dan) bila je povećana za 32%, uz 18%-</w:t>
      </w:r>
      <w:proofErr w:type="spellStart"/>
      <w:r w:rsidRPr="003F7E57">
        <w:rPr>
          <w:sz w:val="22"/>
          <w:szCs w:val="22"/>
          <w:lang w:val="sr-Latn-ME"/>
        </w:rPr>
        <w:t>tni</w:t>
      </w:r>
      <w:proofErr w:type="spellEnd"/>
      <w:r w:rsidRPr="003F7E57">
        <w:rPr>
          <w:sz w:val="22"/>
          <w:szCs w:val="22"/>
          <w:lang w:val="sr-Latn-ME"/>
        </w:rPr>
        <w:t xml:space="preserve"> porast maksimalne koncentracije u plazmi u poređenju sa mladim zdravim ispitanicima (18</w:t>
      </w:r>
      <w:r w:rsidRPr="003F7E57">
        <w:rPr>
          <w:sz w:val="22"/>
          <w:szCs w:val="22"/>
          <w:lang w:val="sr-Latn-ME"/>
        </w:rPr>
        <w:noBreakHyphen/>
        <w:t xml:space="preserve">40 godina). Ove promjene se ne smatraju klinički značajnim, međutim godine starosti ne utiču na inhibiciju </w:t>
      </w:r>
      <w:proofErr w:type="spellStart"/>
      <w:r w:rsidRPr="003F7E57">
        <w:rPr>
          <w:sz w:val="22"/>
          <w:szCs w:val="22"/>
          <w:lang w:val="sr-Latn-ME"/>
        </w:rPr>
        <w:t>DPP</w:t>
      </w:r>
      <w:proofErr w:type="spellEnd"/>
      <w:r w:rsidRPr="003F7E57">
        <w:rPr>
          <w:sz w:val="22"/>
          <w:szCs w:val="22"/>
          <w:lang w:val="sr-Latn-ME"/>
        </w:rPr>
        <w:t xml:space="preserve">-4 </w:t>
      </w:r>
      <w:proofErr w:type="spellStart"/>
      <w:r w:rsidRPr="003F7E57">
        <w:rPr>
          <w:sz w:val="22"/>
          <w:szCs w:val="22"/>
          <w:lang w:val="sr-Latn-ME"/>
        </w:rPr>
        <w:t>vildagliptinom</w:t>
      </w:r>
      <w:proofErr w:type="spellEnd"/>
      <w:r w:rsidRPr="003F7E57">
        <w:rPr>
          <w:sz w:val="22"/>
          <w:szCs w:val="22"/>
          <w:lang w:val="sr-Latn-ME"/>
        </w:rPr>
        <w:t>.</w:t>
      </w:r>
    </w:p>
    <w:p w14:paraId="64501C47" w14:textId="77777777" w:rsidR="0064325B" w:rsidRPr="003F7E57" w:rsidRDefault="0064325B">
      <w:pPr>
        <w:tabs>
          <w:tab w:val="left" w:pos="567"/>
        </w:tabs>
        <w:autoSpaceDE w:val="0"/>
        <w:autoSpaceDN w:val="0"/>
        <w:adjustRightInd w:val="0"/>
        <w:jc w:val="both"/>
        <w:rPr>
          <w:sz w:val="22"/>
          <w:szCs w:val="22"/>
          <w:lang w:val="sr-Latn-ME"/>
        </w:rPr>
      </w:pPr>
    </w:p>
    <w:p w14:paraId="7059C55A" w14:textId="77777777" w:rsidR="0064325B" w:rsidRPr="003F7E57" w:rsidRDefault="0064325B">
      <w:pPr>
        <w:tabs>
          <w:tab w:val="left" w:pos="567"/>
        </w:tabs>
        <w:jc w:val="both"/>
        <w:rPr>
          <w:sz w:val="22"/>
          <w:szCs w:val="22"/>
          <w:lang w:val="sr-Latn-ME"/>
        </w:rPr>
      </w:pPr>
      <w:r w:rsidRPr="003F7E57">
        <w:rPr>
          <w:iCs/>
          <w:noProof/>
          <w:sz w:val="22"/>
          <w:szCs w:val="22"/>
          <w:lang w:val="sr-Latn-ME"/>
        </w:rPr>
        <w:t xml:space="preserve">Oštećenje jetre: nije bilo klinički značajnih promjena </w:t>
      </w:r>
      <w:r w:rsidRPr="003F7E57">
        <w:rPr>
          <w:sz w:val="22"/>
          <w:szCs w:val="22"/>
          <w:lang w:val="sr-Latn-ME"/>
        </w:rPr>
        <w:t xml:space="preserve">(najviše ~30%) u izloženosti </w:t>
      </w:r>
      <w:proofErr w:type="spellStart"/>
      <w:r w:rsidRPr="003F7E57">
        <w:rPr>
          <w:sz w:val="22"/>
          <w:szCs w:val="22"/>
          <w:lang w:val="sr-Latn-ME"/>
        </w:rPr>
        <w:t>vildagliptinu</w:t>
      </w:r>
      <w:proofErr w:type="spellEnd"/>
      <w:r w:rsidRPr="003F7E57">
        <w:rPr>
          <w:sz w:val="22"/>
          <w:szCs w:val="22"/>
          <w:lang w:val="sr-Latn-ME"/>
        </w:rPr>
        <w:t xml:space="preserve"> kod </w:t>
      </w:r>
      <w:r w:rsidRPr="003F7E57">
        <w:rPr>
          <w:iCs/>
          <w:noProof/>
          <w:sz w:val="22"/>
          <w:szCs w:val="22"/>
          <w:lang w:val="sr-Latn-ME"/>
        </w:rPr>
        <w:t>ispitanika sa blagim, umjerenim ili teškim oštećenjem jetre (Child-Pugh A-C)</w:t>
      </w:r>
      <w:r w:rsidRPr="003F7E57">
        <w:rPr>
          <w:sz w:val="22"/>
          <w:szCs w:val="22"/>
          <w:lang w:val="sr-Latn-ME"/>
        </w:rPr>
        <w:t>.</w:t>
      </w:r>
    </w:p>
    <w:p w14:paraId="3EF50DAC" w14:textId="77777777" w:rsidR="0064325B" w:rsidRPr="003F7E57" w:rsidRDefault="0064325B">
      <w:pPr>
        <w:tabs>
          <w:tab w:val="left" w:pos="567"/>
        </w:tabs>
        <w:autoSpaceDE w:val="0"/>
        <w:autoSpaceDN w:val="0"/>
        <w:adjustRightInd w:val="0"/>
        <w:jc w:val="both"/>
        <w:rPr>
          <w:sz w:val="22"/>
          <w:szCs w:val="22"/>
          <w:lang w:val="sr-Latn-ME"/>
        </w:rPr>
      </w:pPr>
    </w:p>
    <w:p w14:paraId="5A1A629D" w14:textId="77777777" w:rsidR="0064325B" w:rsidRPr="003F7E57" w:rsidRDefault="0064325B">
      <w:pPr>
        <w:tabs>
          <w:tab w:val="left" w:pos="567"/>
        </w:tabs>
        <w:jc w:val="both"/>
        <w:rPr>
          <w:sz w:val="22"/>
          <w:szCs w:val="22"/>
          <w:lang w:val="sr-Latn-ME"/>
        </w:rPr>
      </w:pPr>
      <w:r w:rsidRPr="003F7E57">
        <w:rPr>
          <w:iCs/>
          <w:noProof/>
          <w:sz w:val="22"/>
          <w:szCs w:val="22"/>
          <w:lang w:val="sr-Latn-ME"/>
        </w:rPr>
        <w:t xml:space="preserve">Oštećenje bubrega: </w:t>
      </w:r>
      <w:r w:rsidRPr="003F7E57">
        <w:rPr>
          <w:sz w:val="22"/>
          <w:szCs w:val="22"/>
          <w:lang w:val="sr-Latn-ME"/>
        </w:rPr>
        <w:t xml:space="preserve">kod ispitanika sa blagim, umjerenim ili teškim oštećenjem funkcije bubrega sistemska  izloženost </w:t>
      </w:r>
      <w:proofErr w:type="spellStart"/>
      <w:r w:rsidRPr="003F7E57">
        <w:rPr>
          <w:sz w:val="22"/>
          <w:szCs w:val="22"/>
          <w:lang w:val="sr-Latn-ME"/>
        </w:rPr>
        <w:t>vildagliptinu</w:t>
      </w:r>
      <w:proofErr w:type="spellEnd"/>
      <w:r w:rsidRPr="003F7E57">
        <w:rPr>
          <w:sz w:val="22"/>
          <w:szCs w:val="22"/>
          <w:lang w:val="sr-Latn-ME"/>
        </w:rPr>
        <w:t xml:space="preserve">  je bila povećana (</w:t>
      </w:r>
      <w:proofErr w:type="spellStart"/>
      <w:r w:rsidRPr="003F7E57">
        <w:rPr>
          <w:sz w:val="22"/>
          <w:szCs w:val="22"/>
          <w:lang w:val="sr-Latn-ME"/>
        </w:rPr>
        <w:t>C</w:t>
      </w:r>
      <w:r w:rsidRPr="003F7E57">
        <w:rPr>
          <w:sz w:val="22"/>
          <w:szCs w:val="22"/>
          <w:vertAlign w:val="subscript"/>
          <w:lang w:val="sr-Latn-ME"/>
        </w:rPr>
        <w:t>max</w:t>
      </w:r>
      <w:proofErr w:type="spellEnd"/>
      <w:r w:rsidRPr="003F7E57">
        <w:rPr>
          <w:sz w:val="22"/>
          <w:szCs w:val="22"/>
          <w:lang w:val="sr-Latn-ME"/>
        </w:rPr>
        <w:t xml:space="preserve"> 8</w:t>
      </w:r>
      <w:r w:rsidRPr="003F7E57">
        <w:rPr>
          <w:sz w:val="22"/>
          <w:szCs w:val="22"/>
          <w:lang w:val="sr-Latn-ME"/>
        </w:rPr>
        <w:noBreakHyphen/>
        <w:t>66%; PIK 32</w:t>
      </w:r>
      <w:r w:rsidRPr="003F7E57">
        <w:rPr>
          <w:sz w:val="22"/>
          <w:szCs w:val="22"/>
          <w:lang w:val="sr-Latn-ME"/>
        </w:rPr>
        <w:noBreakHyphen/>
        <w:t xml:space="preserve">134%), a ukupan tjelesni </w:t>
      </w:r>
      <w:proofErr w:type="spellStart"/>
      <w:r w:rsidRPr="003F7E57">
        <w:rPr>
          <w:sz w:val="22"/>
          <w:szCs w:val="22"/>
          <w:lang w:val="sr-Latn-ME"/>
        </w:rPr>
        <w:t>klirens</w:t>
      </w:r>
      <w:proofErr w:type="spellEnd"/>
      <w:r w:rsidRPr="003F7E57">
        <w:rPr>
          <w:sz w:val="22"/>
          <w:szCs w:val="22"/>
          <w:lang w:val="sr-Latn-ME"/>
        </w:rPr>
        <w:t xml:space="preserve"> smanjen u poređenju  sa ispitanicima sa normalnom funkcijom bubrega.</w:t>
      </w:r>
    </w:p>
    <w:p w14:paraId="414606CA" w14:textId="77777777" w:rsidR="0064325B" w:rsidRPr="003F7E57" w:rsidRDefault="0064325B">
      <w:pPr>
        <w:tabs>
          <w:tab w:val="left" w:pos="567"/>
        </w:tabs>
        <w:jc w:val="both"/>
        <w:rPr>
          <w:sz w:val="22"/>
          <w:szCs w:val="22"/>
          <w:lang w:val="sr-Latn-ME"/>
        </w:rPr>
      </w:pPr>
    </w:p>
    <w:p w14:paraId="367F407C" w14:textId="77777777" w:rsidR="0064325B" w:rsidRPr="003F7E57" w:rsidRDefault="0064325B">
      <w:pPr>
        <w:tabs>
          <w:tab w:val="left" w:pos="567"/>
        </w:tabs>
        <w:jc w:val="both"/>
        <w:rPr>
          <w:sz w:val="22"/>
          <w:szCs w:val="22"/>
          <w:lang w:val="sr-Latn-ME"/>
        </w:rPr>
      </w:pPr>
      <w:r w:rsidRPr="003F7E57">
        <w:rPr>
          <w:iCs/>
          <w:noProof/>
          <w:sz w:val="22"/>
          <w:szCs w:val="22"/>
          <w:lang w:val="sr-Latn-ME"/>
        </w:rPr>
        <w:t xml:space="preserve">Etnička grupa: </w:t>
      </w:r>
      <w:r w:rsidRPr="003F7E57">
        <w:rPr>
          <w:sz w:val="22"/>
          <w:szCs w:val="22"/>
          <w:lang w:val="sr-Latn-ME"/>
        </w:rPr>
        <w:t xml:space="preserve">ograničeni podaci navode na zaključak da rasa nema nikakav značajniji uticaj na </w:t>
      </w:r>
      <w:proofErr w:type="spellStart"/>
      <w:r w:rsidRPr="003F7E57">
        <w:rPr>
          <w:sz w:val="22"/>
          <w:szCs w:val="22"/>
          <w:lang w:val="sr-Latn-ME"/>
        </w:rPr>
        <w:t>farmakokinetiku</w:t>
      </w:r>
      <w:proofErr w:type="spellEnd"/>
      <w:r w:rsidRPr="003F7E57">
        <w:rPr>
          <w:sz w:val="22"/>
          <w:szCs w:val="22"/>
          <w:lang w:val="sr-Latn-ME"/>
        </w:rPr>
        <w:t xml:space="preserve"> </w:t>
      </w:r>
      <w:proofErr w:type="spellStart"/>
      <w:r w:rsidRPr="003F7E57">
        <w:rPr>
          <w:sz w:val="22"/>
          <w:szCs w:val="22"/>
          <w:lang w:val="sr-Latn-ME"/>
        </w:rPr>
        <w:t>vildagliptina</w:t>
      </w:r>
      <w:proofErr w:type="spellEnd"/>
      <w:r w:rsidRPr="003F7E57">
        <w:rPr>
          <w:sz w:val="22"/>
          <w:szCs w:val="22"/>
          <w:lang w:val="sr-Latn-ME"/>
        </w:rPr>
        <w:t>.</w:t>
      </w:r>
    </w:p>
    <w:p w14:paraId="0E7651F8" w14:textId="77777777" w:rsidR="0064325B" w:rsidRPr="003F7E57" w:rsidRDefault="0064325B" w:rsidP="00991A59">
      <w:pPr>
        <w:tabs>
          <w:tab w:val="left" w:pos="540"/>
          <w:tab w:val="left" w:pos="569"/>
        </w:tabs>
        <w:jc w:val="both"/>
        <w:rPr>
          <w:sz w:val="22"/>
          <w:szCs w:val="22"/>
          <w:lang w:val="sr-Latn-ME"/>
        </w:rPr>
      </w:pPr>
    </w:p>
    <w:p w14:paraId="28994980" w14:textId="0B517774" w:rsidR="0064325B" w:rsidRPr="003F7E57" w:rsidRDefault="0064325B" w:rsidP="00CE2D38">
      <w:pPr>
        <w:tabs>
          <w:tab w:val="left" w:pos="567"/>
        </w:tabs>
        <w:autoSpaceDE w:val="0"/>
        <w:autoSpaceDN w:val="0"/>
        <w:adjustRightInd w:val="0"/>
        <w:jc w:val="both"/>
        <w:rPr>
          <w:iCs/>
          <w:sz w:val="22"/>
          <w:szCs w:val="22"/>
          <w:u w:val="single"/>
          <w:lang w:val="sr-Latn-ME"/>
        </w:rPr>
      </w:pPr>
      <w:proofErr w:type="spellStart"/>
      <w:r w:rsidRPr="003F7E57">
        <w:rPr>
          <w:iCs/>
          <w:sz w:val="22"/>
          <w:szCs w:val="22"/>
          <w:u w:val="single"/>
          <w:lang w:val="sr-Latn-ME"/>
        </w:rPr>
        <w:t>Metformin</w:t>
      </w:r>
      <w:proofErr w:type="spellEnd"/>
    </w:p>
    <w:p w14:paraId="4F604155" w14:textId="77777777" w:rsidR="000B7131" w:rsidRPr="003F7E57" w:rsidRDefault="000B7131" w:rsidP="00CE2D38">
      <w:pPr>
        <w:tabs>
          <w:tab w:val="left" w:pos="567"/>
        </w:tabs>
        <w:autoSpaceDE w:val="0"/>
        <w:autoSpaceDN w:val="0"/>
        <w:adjustRightInd w:val="0"/>
        <w:jc w:val="both"/>
        <w:rPr>
          <w:iCs/>
          <w:sz w:val="22"/>
          <w:szCs w:val="22"/>
          <w:u w:val="single"/>
          <w:lang w:val="sr-Latn-ME"/>
        </w:rPr>
      </w:pPr>
    </w:p>
    <w:p w14:paraId="1BA56A33" w14:textId="77777777" w:rsidR="0064325B" w:rsidRPr="003F7E57" w:rsidRDefault="0064325B">
      <w:pPr>
        <w:autoSpaceDE w:val="0"/>
        <w:autoSpaceDN w:val="0"/>
        <w:adjustRightInd w:val="0"/>
        <w:jc w:val="both"/>
        <w:rPr>
          <w:i/>
          <w:sz w:val="22"/>
          <w:szCs w:val="22"/>
          <w:u w:val="single"/>
          <w:lang w:val="sr-Latn-ME" w:bidi="th-TH"/>
        </w:rPr>
      </w:pPr>
      <w:r w:rsidRPr="003F7E57">
        <w:rPr>
          <w:i/>
          <w:iCs/>
          <w:sz w:val="22"/>
          <w:szCs w:val="22"/>
          <w:u w:val="single"/>
          <w:lang w:val="sr-Latn-ME" w:bidi="th-TH"/>
        </w:rPr>
        <w:t xml:space="preserve">Resorpcija </w:t>
      </w:r>
    </w:p>
    <w:p w14:paraId="33E7F0EF" w14:textId="77777777"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Nakon primjene oralne doze </w:t>
      </w:r>
      <w:proofErr w:type="spellStart"/>
      <w:r w:rsidRPr="003F7E57">
        <w:rPr>
          <w:sz w:val="22"/>
          <w:szCs w:val="22"/>
          <w:lang w:val="sr-Latn-ME" w:bidi="th-TH"/>
        </w:rPr>
        <w:t>metformina</w:t>
      </w:r>
      <w:proofErr w:type="spellEnd"/>
      <w:r w:rsidRPr="003F7E57">
        <w:rPr>
          <w:sz w:val="22"/>
          <w:szCs w:val="22"/>
          <w:lang w:val="sr-Latn-ME" w:bidi="th-TH"/>
        </w:rPr>
        <w:t xml:space="preserve"> maksimalna koncentracija u plazmi (</w:t>
      </w:r>
      <w:proofErr w:type="spellStart"/>
      <w:r w:rsidRPr="003F7E57">
        <w:rPr>
          <w:sz w:val="22"/>
          <w:szCs w:val="22"/>
          <w:lang w:val="sr-Latn-ME" w:bidi="th-TH"/>
        </w:rPr>
        <w:t>C</w:t>
      </w:r>
      <w:r w:rsidRPr="003F7E57">
        <w:rPr>
          <w:sz w:val="22"/>
          <w:szCs w:val="22"/>
          <w:vertAlign w:val="subscript"/>
          <w:lang w:val="sr-Latn-ME" w:bidi="th-TH"/>
        </w:rPr>
        <w:t>max</w:t>
      </w:r>
      <w:proofErr w:type="spellEnd"/>
      <w:r w:rsidRPr="003F7E57">
        <w:rPr>
          <w:sz w:val="22"/>
          <w:szCs w:val="22"/>
          <w:lang w:val="sr-Latn-ME" w:bidi="th-TH"/>
        </w:rPr>
        <w:t xml:space="preserve">) se postiže nakon približno 2,5 sata. Apsolutna </w:t>
      </w:r>
      <w:proofErr w:type="spellStart"/>
      <w:r w:rsidRPr="003F7E57">
        <w:rPr>
          <w:sz w:val="22"/>
          <w:szCs w:val="22"/>
          <w:lang w:val="sr-Latn-ME" w:bidi="th-TH"/>
        </w:rPr>
        <w:t>bioraspoloživost</w:t>
      </w:r>
      <w:proofErr w:type="spellEnd"/>
      <w:r w:rsidRPr="003F7E57">
        <w:rPr>
          <w:sz w:val="22"/>
          <w:szCs w:val="22"/>
          <w:lang w:val="sr-Latn-ME" w:bidi="th-TH"/>
        </w:rPr>
        <w:t xml:space="preserve"> tablete od 500 mg </w:t>
      </w:r>
      <w:proofErr w:type="spellStart"/>
      <w:r w:rsidRPr="003F7E57">
        <w:rPr>
          <w:sz w:val="22"/>
          <w:szCs w:val="22"/>
          <w:lang w:val="sr-Latn-ME" w:bidi="th-TH"/>
        </w:rPr>
        <w:t>metformina</w:t>
      </w:r>
      <w:proofErr w:type="spellEnd"/>
      <w:r w:rsidRPr="003F7E57">
        <w:rPr>
          <w:sz w:val="22"/>
          <w:szCs w:val="22"/>
          <w:lang w:val="sr-Latn-ME" w:bidi="th-TH"/>
        </w:rPr>
        <w:t xml:space="preserve"> je približno 50</w:t>
      </w:r>
      <w:r w:rsidRPr="003F7E57">
        <w:rPr>
          <w:sz w:val="22"/>
          <w:szCs w:val="22"/>
          <w:lang w:val="sr-Latn-ME" w:bidi="th-TH"/>
        </w:rPr>
        <w:noBreakHyphen/>
        <w:t xml:space="preserve">60% kod zdravih ispitanika. </w:t>
      </w:r>
      <w:proofErr w:type="spellStart"/>
      <w:r w:rsidRPr="003F7E57">
        <w:rPr>
          <w:sz w:val="22"/>
          <w:szCs w:val="22"/>
          <w:lang w:val="sr-Latn-ME" w:bidi="th-TH"/>
        </w:rPr>
        <w:t>Neresorbovana</w:t>
      </w:r>
      <w:proofErr w:type="spellEnd"/>
      <w:r w:rsidRPr="003F7E57">
        <w:rPr>
          <w:sz w:val="22"/>
          <w:szCs w:val="22"/>
          <w:lang w:val="sr-Latn-ME" w:bidi="th-TH"/>
        </w:rPr>
        <w:t xml:space="preserve"> frakcija otkrivena u stolici nakon oralne doze je bila 20-30%.</w:t>
      </w:r>
    </w:p>
    <w:p w14:paraId="6412C276" w14:textId="77777777" w:rsidR="0064325B" w:rsidRPr="003F7E57" w:rsidRDefault="0064325B" w:rsidP="00991A59">
      <w:pPr>
        <w:autoSpaceDE w:val="0"/>
        <w:autoSpaceDN w:val="0"/>
        <w:adjustRightInd w:val="0"/>
        <w:jc w:val="both"/>
        <w:rPr>
          <w:sz w:val="22"/>
          <w:szCs w:val="22"/>
          <w:lang w:val="sr-Latn-ME" w:bidi="th-TH"/>
        </w:rPr>
      </w:pPr>
    </w:p>
    <w:p w14:paraId="3EBB0734" w14:textId="77777777" w:rsidR="0064325B" w:rsidRPr="003F7E57" w:rsidRDefault="0064325B" w:rsidP="00CE2D38">
      <w:pPr>
        <w:autoSpaceDE w:val="0"/>
        <w:autoSpaceDN w:val="0"/>
        <w:adjustRightInd w:val="0"/>
        <w:jc w:val="both"/>
        <w:rPr>
          <w:sz w:val="22"/>
          <w:szCs w:val="22"/>
          <w:lang w:val="sr-Latn-ME" w:bidi="th-TH"/>
        </w:rPr>
      </w:pPr>
      <w:r w:rsidRPr="003F7E57">
        <w:rPr>
          <w:sz w:val="22"/>
          <w:szCs w:val="22"/>
          <w:lang w:val="sr-Latn-ME" w:bidi="th-TH"/>
        </w:rPr>
        <w:t xml:space="preserve">Nakon oralne primjene resorpcija </w:t>
      </w:r>
      <w:proofErr w:type="spellStart"/>
      <w:r w:rsidRPr="003F7E57">
        <w:rPr>
          <w:sz w:val="22"/>
          <w:szCs w:val="22"/>
          <w:lang w:val="sr-Latn-ME" w:bidi="th-TH"/>
        </w:rPr>
        <w:t>metformina</w:t>
      </w:r>
      <w:proofErr w:type="spellEnd"/>
      <w:r w:rsidRPr="003F7E57">
        <w:rPr>
          <w:sz w:val="22"/>
          <w:szCs w:val="22"/>
          <w:lang w:val="sr-Latn-ME" w:bidi="th-TH"/>
        </w:rPr>
        <w:t xml:space="preserve"> je nepotpuna i odvija se do zasićenja. Pretpostavlja se da </w:t>
      </w:r>
      <w:proofErr w:type="spellStart"/>
      <w:r w:rsidRPr="003F7E57">
        <w:rPr>
          <w:sz w:val="22"/>
          <w:szCs w:val="22"/>
          <w:lang w:val="sr-Latn-ME" w:bidi="th-TH"/>
        </w:rPr>
        <w:t>farmakokinetika</w:t>
      </w:r>
      <w:proofErr w:type="spellEnd"/>
      <w:r w:rsidRPr="003F7E57">
        <w:rPr>
          <w:sz w:val="22"/>
          <w:szCs w:val="22"/>
          <w:lang w:val="sr-Latn-ME" w:bidi="th-TH"/>
        </w:rPr>
        <w:t xml:space="preserve"> </w:t>
      </w:r>
      <w:proofErr w:type="spellStart"/>
      <w:r w:rsidRPr="003F7E57">
        <w:rPr>
          <w:sz w:val="22"/>
          <w:szCs w:val="22"/>
          <w:lang w:val="sr-Latn-ME" w:bidi="th-TH"/>
        </w:rPr>
        <w:t>repsorpcije</w:t>
      </w:r>
      <w:proofErr w:type="spellEnd"/>
      <w:r w:rsidRPr="003F7E57">
        <w:rPr>
          <w:sz w:val="22"/>
          <w:szCs w:val="22"/>
          <w:lang w:val="sr-Latn-ME" w:bidi="th-TH"/>
        </w:rPr>
        <w:t xml:space="preserve"> </w:t>
      </w:r>
      <w:proofErr w:type="spellStart"/>
      <w:r w:rsidRPr="003F7E57">
        <w:rPr>
          <w:sz w:val="22"/>
          <w:szCs w:val="22"/>
          <w:lang w:val="sr-Latn-ME" w:bidi="th-TH"/>
        </w:rPr>
        <w:t>metformina</w:t>
      </w:r>
      <w:proofErr w:type="spellEnd"/>
      <w:r w:rsidRPr="003F7E57">
        <w:rPr>
          <w:sz w:val="22"/>
          <w:szCs w:val="22"/>
          <w:lang w:val="sr-Latn-ME" w:bidi="th-TH"/>
        </w:rPr>
        <w:t xml:space="preserve"> nije linearna. Pri uobičajenim dozama i režimima doziranja </w:t>
      </w:r>
      <w:proofErr w:type="spellStart"/>
      <w:r w:rsidRPr="003F7E57">
        <w:rPr>
          <w:sz w:val="22"/>
          <w:szCs w:val="22"/>
          <w:lang w:val="sr-Latn-ME" w:bidi="th-TH"/>
        </w:rPr>
        <w:t>metformina</w:t>
      </w:r>
      <w:proofErr w:type="spellEnd"/>
      <w:r w:rsidRPr="003F7E57">
        <w:rPr>
          <w:sz w:val="22"/>
          <w:szCs w:val="22"/>
          <w:lang w:val="sr-Latn-ME" w:bidi="th-TH"/>
        </w:rPr>
        <w:t xml:space="preserve"> koncentracije u plazmi u stanju dinamičke ravnoteže postižu</w:t>
      </w:r>
      <w:r w:rsidRPr="003F7E57" w:rsidDel="002B18C2">
        <w:rPr>
          <w:sz w:val="22"/>
          <w:szCs w:val="22"/>
          <w:lang w:val="sr-Latn-ME" w:bidi="th-TH"/>
        </w:rPr>
        <w:t xml:space="preserve"> </w:t>
      </w:r>
      <w:r w:rsidRPr="003F7E57">
        <w:rPr>
          <w:sz w:val="22"/>
          <w:szCs w:val="22"/>
          <w:lang w:val="sr-Latn-ME" w:bidi="th-TH"/>
        </w:rPr>
        <w:t>se unutar 24</w:t>
      </w:r>
      <w:r w:rsidRPr="003F7E57">
        <w:rPr>
          <w:sz w:val="22"/>
          <w:szCs w:val="22"/>
          <w:lang w:val="sr-Latn-ME" w:bidi="th-TH"/>
        </w:rPr>
        <w:noBreakHyphen/>
        <w:t>48 sati i generalno su manje od 1 </w:t>
      </w:r>
      <w:proofErr w:type="spellStart"/>
      <w:r w:rsidRPr="003F7E57">
        <w:rPr>
          <w:sz w:val="22"/>
          <w:szCs w:val="22"/>
          <w:lang w:val="sr-Latn-ME" w:bidi="th-TH"/>
        </w:rPr>
        <w:t>mikrogram</w:t>
      </w:r>
      <w:proofErr w:type="spellEnd"/>
      <w:r w:rsidRPr="003F7E57">
        <w:rPr>
          <w:sz w:val="22"/>
          <w:szCs w:val="22"/>
          <w:lang w:val="sr-Latn-ME" w:bidi="th-TH"/>
        </w:rPr>
        <w:t xml:space="preserve">/ml. U kontrolisanim kliničkim ispitivanjima maksimalne koncentracije </w:t>
      </w:r>
      <w:proofErr w:type="spellStart"/>
      <w:r w:rsidRPr="003F7E57">
        <w:rPr>
          <w:sz w:val="22"/>
          <w:szCs w:val="22"/>
          <w:lang w:val="sr-Latn-ME" w:bidi="th-TH"/>
        </w:rPr>
        <w:t>metformina</w:t>
      </w:r>
      <w:proofErr w:type="spellEnd"/>
      <w:r w:rsidRPr="003F7E57">
        <w:rPr>
          <w:sz w:val="22"/>
          <w:szCs w:val="22"/>
          <w:lang w:val="sr-Latn-ME" w:bidi="th-TH"/>
        </w:rPr>
        <w:t xml:space="preserve"> u plazmi (</w:t>
      </w:r>
      <w:proofErr w:type="spellStart"/>
      <w:r w:rsidRPr="003F7E57">
        <w:rPr>
          <w:sz w:val="22"/>
          <w:szCs w:val="22"/>
          <w:lang w:val="sr-Latn-ME" w:bidi="th-TH"/>
        </w:rPr>
        <w:t>C</w:t>
      </w:r>
      <w:r w:rsidRPr="003F7E57">
        <w:rPr>
          <w:sz w:val="22"/>
          <w:szCs w:val="22"/>
          <w:vertAlign w:val="subscript"/>
          <w:lang w:val="sr-Latn-ME" w:bidi="th-TH"/>
        </w:rPr>
        <w:t>max</w:t>
      </w:r>
      <w:proofErr w:type="spellEnd"/>
      <w:r w:rsidRPr="003F7E57">
        <w:rPr>
          <w:sz w:val="22"/>
          <w:szCs w:val="22"/>
          <w:lang w:val="sr-Latn-ME" w:bidi="th-TH"/>
        </w:rPr>
        <w:t>) nijesu prelazile 4 </w:t>
      </w:r>
      <w:proofErr w:type="spellStart"/>
      <w:r w:rsidRPr="003F7E57">
        <w:rPr>
          <w:sz w:val="22"/>
          <w:szCs w:val="22"/>
          <w:lang w:val="sr-Latn-ME" w:bidi="th-TH"/>
        </w:rPr>
        <w:t>mikrograma</w:t>
      </w:r>
      <w:proofErr w:type="spellEnd"/>
      <w:r w:rsidRPr="003F7E57">
        <w:rPr>
          <w:sz w:val="22"/>
          <w:szCs w:val="22"/>
          <w:lang w:val="sr-Latn-ME" w:bidi="th-TH"/>
        </w:rPr>
        <w:t>/ml, čak i pri najvišim dozama.</w:t>
      </w:r>
    </w:p>
    <w:p w14:paraId="281023AB" w14:textId="77777777" w:rsidR="0064325B" w:rsidRPr="003F7E57" w:rsidRDefault="0064325B">
      <w:pPr>
        <w:autoSpaceDE w:val="0"/>
        <w:autoSpaceDN w:val="0"/>
        <w:adjustRightInd w:val="0"/>
        <w:jc w:val="both"/>
        <w:rPr>
          <w:sz w:val="22"/>
          <w:szCs w:val="22"/>
          <w:lang w:val="sr-Latn-ME" w:bidi="th-TH"/>
        </w:rPr>
      </w:pPr>
    </w:p>
    <w:p w14:paraId="0E351F6E" w14:textId="77777777"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Hrana neznatno odlaže i smanjuje stepen resorpcije </w:t>
      </w:r>
      <w:proofErr w:type="spellStart"/>
      <w:r w:rsidRPr="003F7E57">
        <w:rPr>
          <w:sz w:val="22"/>
          <w:szCs w:val="22"/>
          <w:lang w:val="sr-Latn-ME" w:bidi="th-TH"/>
        </w:rPr>
        <w:t>metformina</w:t>
      </w:r>
      <w:proofErr w:type="spellEnd"/>
      <w:r w:rsidRPr="003F7E57">
        <w:rPr>
          <w:sz w:val="22"/>
          <w:szCs w:val="22"/>
          <w:lang w:val="sr-Latn-ME" w:bidi="th-TH"/>
        </w:rPr>
        <w:t>. Nakon primjene doze od 850 mg maksimalna  koncentracija u plazmi je bila 40% niža, PIK je bio smanjen za 25%, a vrijeme do postizanja maksimalne koncentracije u plazmi je bilo produženo za 35 minuta. Nije poznat klinički značaj ovog smanjenja.</w:t>
      </w:r>
    </w:p>
    <w:p w14:paraId="27037D4E" w14:textId="77777777" w:rsidR="0064325B" w:rsidRPr="003F7E57" w:rsidRDefault="0064325B" w:rsidP="00991A59">
      <w:pPr>
        <w:autoSpaceDE w:val="0"/>
        <w:autoSpaceDN w:val="0"/>
        <w:adjustRightInd w:val="0"/>
        <w:jc w:val="both"/>
        <w:rPr>
          <w:sz w:val="22"/>
          <w:szCs w:val="22"/>
          <w:lang w:val="sr-Latn-ME" w:bidi="th-TH"/>
        </w:rPr>
      </w:pPr>
    </w:p>
    <w:p w14:paraId="4BEAD19B" w14:textId="77777777" w:rsidR="0064325B" w:rsidRPr="003F7E57" w:rsidRDefault="0064325B" w:rsidP="00CE2D38">
      <w:pPr>
        <w:autoSpaceDE w:val="0"/>
        <w:autoSpaceDN w:val="0"/>
        <w:adjustRightInd w:val="0"/>
        <w:jc w:val="both"/>
        <w:rPr>
          <w:i/>
          <w:iCs/>
          <w:sz w:val="22"/>
          <w:szCs w:val="22"/>
          <w:u w:val="single"/>
          <w:lang w:val="sr-Latn-ME" w:bidi="th-TH"/>
        </w:rPr>
      </w:pPr>
      <w:r w:rsidRPr="003F7E57">
        <w:rPr>
          <w:i/>
          <w:iCs/>
          <w:sz w:val="22"/>
          <w:szCs w:val="22"/>
          <w:u w:val="single"/>
          <w:lang w:val="sr-Latn-ME" w:bidi="th-TH"/>
        </w:rPr>
        <w:t xml:space="preserve">Distribucija </w:t>
      </w:r>
    </w:p>
    <w:p w14:paraId="0A7810F6" w14:textId="77777777"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Vezivanje za proteine plazme je zanemarljivo. </w:t>
      </w:r>
      <w:proofErr w:type="spellStart"/>
      <w:r w:rsidRPr="003F7E57">
        <w:rPr>
          <w:sz w:val="22"/>
          <w:szCs w:val="22"/>
          <w:lang w:val="sr-Latn-ME" w:bidi="th-TH"/>
        </w:rPr>
        <w:t>Metformin</w:t>
      </w:r>
      <w:proofErr w:type="spellEnd"/>
      <w:r w:rsidRPr="003F7E57">
        <w:rPr>
          <w:sz w:val="22"/>
          <w:szCs w:val="22"/>
          <w:lang w:val="sr-Latn-ME" w:bidi="th-TH"/>
        </w:rPr>
        <w:t xml:space="preserve"> se distribuira u </w:t>
      </w:r>
      <w:proofErr w:type="spellStart"/>
      <w:r w:rsidRPr="003F7E57">
        <w:rPr>
          <w:sz w:val="22"/>
          <w:szCs w:val="22"/>
          <w:lang w:val="sr-Latn-ME" w:bidi="th-TH"/>
        </w:rPr>
        <w:t>eritrocite</w:t>
      </w:r>
      <w:proofErr w:type="spellEnd"/>
      <w:r w:rsidRPr="003F7E57">
        <w:rPr>
          <w:sz w:val="22"/>
          <w:szCs w:val="22"/>
          <w:lang w:val="sr-Latn-ME" w:bidi="th-TH"/>
        </w:rPr>
        <w:t>. Srednji volumen distribucije (</w:t>
      </w:r>
      <w:proofErr w:type="spellStart"/>
      <w:r w:rsidRPr="003F7E57">
        <w:rPr>
          <w:sz w:val="22"/>
          <w:szCs w:val="22"/>
          <w:lang w:val="sr-Latn-ME" w:bidi="th-TH"/>
        </w:rPr>
        <w:t>V</w:t>
      </w:r>
      <w:r w:rsidRPr="003F7E57">
        <w:rPr>
          <w:sz w:val="22"/>
          <w:szCs w:val="22"/>
          <w:vertAlign w:val="subscript"/>
          <w:lang w:val="sr-Latn-ME" w:bidi="th-TH"/>
        </w:rPr>
        <w:t>d</w:t>
      </w:r>
      <w:proofErr w:type="spellEnd"/>
      <w:r w:rsidRPr="003F7E57">
        <w:rPr>
          <w:sz w:val="22"/>
          <w:szCs w:val="22"/>
          <w:lang w:val="sr-Latn-ME" w:bidi="th-TH"/>
        </w:rPr>
        <w:t>) je između 63</w:t>
      </w:r>
      <w:r w:rsidRPr="003F7E57">
        <w:rPr>
          <w:sz w:val="22"/>
          <w:szCs w:val="22"/>
          <w:lang w:val="sr-Latn-ME" w:bidi="th-TH"/>
        </w:rPr>
        <w:noBreakHyphen/>
        <w:t>276 litara.</w:t>
      </w:r>
    </w:p>
    <w:p w14:paraId="3B2F6530" w14:textId="77777777" w:rsidR="0064325B" w:rsidRPr="003F7E57" w:rsidRDefault="0064325B">
      <w:pPr>
        <w:autoSpaceDE w:val="0"/>
        <w:autoSpaceDN w:val="0"/>
        <w:adjustRightInd w:val="0"/>
        <w:jc w:val="both"/>
        <w:rPr>
          <w:sz w:val="22"/>
          <w:szCs w:val="22"/>
          <w:lang w:val="sr-Latn-ME" w:bidi="th-TH"/>
        </w:rPr>
      </w:pPr>
    </w:p>
    <w:p w14:paraId="2449C8A4" w14:textId="77777777" w:rsidR="0064325B" w:rsidRPr="003F7E57" w:rsidRDefault="0064325B">
      <w:pPr>
        <w:tabs>
          <w:tab w:val="left" w:pos="567"/>
        </w:tabs>
        <w:adjustRightInd w:val="0"/>
        <w:jc w:val="both"/>
        <w:rPr>
          <w:i/>
          <w:sz w:val="22"/>
          <w:szCs w:val="22"/>
          <w:u w:val="single"/>
          <w:lang w:val="sr-Latn-ME" w:bidi="th-TH"/>
        </w:rPr>
      </w:pPr>
      <w:proofErr w:type="spellStart"/>
      <w:r w:rsidRPr="003F7E57">
        <w:rPr>
          <w:i/>
          <w:iCs/>
          <w:sz w:val="22"/>
          <w:szCs w:val="22"/>
          <w:u w:val="single"/>
          <w:lang w:val="sr-Latn-ME" w:bidi="th-TH"/>
        </w:rPr>
        <w:t>Biotransformacija</w:t>
      </w:r>
      <w:proofErr w:type="spellEnd"/>
    </w:p>
    <w:p w14:paraId="3DA30C20" w14:textId="77777777" w:rsidR="0064325B" w:rsidRPr="003F7E57" w:rsidRDefault="0064325B">
      <w:pPr>
        <w:autoSpaceDE w:val="0"/>
        <w:autoSpaceDN w:val="0"/>
        <w:adjustRightInd w:val="0"/>
        <w:jc w:val="both"/>
        <w:rPr>
          <w:sz w:val="22"/>
          <w:szCs w:val="22"/>
          <w:lang w:val="sr-Latn-ME" w:bidi="th-TH"/>
        </w:rPr>
      </w:pPr>
      <w:proofErr w:type="spellStart"/>
      <w:r w:rsidRPr="003F7E57">
        <w:rPr>
          <w:sz w:val="22"/>
          <w:szCs w:val="22"/>
          <w:lang w:val="sr-Latn-ME" w:bidi="th-TH"/>
        </w:rPr>
        <w:t>Metformin</w:t>
      </w:r>
      <w:proofErr w:type="spellEnd"/>
      <w:r w:rsidRPr="003F7E57">
        <w:rPr>
          <w:sz w:val="22"/>
          <w:szCs w:val="22"/>
          <w:lang w:val="sr-Latn-ME" w:bidi="th-TH"/>
        </w:rPr>
        <w:t xml:space="preserve"> se izlučuje </w:t>
      </w:r>
      <w:proofErr w:type="spellStart"/>
      <w:r w:rsidRPr="003F7E57">
        <w:rPr>
          <w:sz w:val="22"/>
          <w:szCs w:val="22"/>
          <w:lang w:val="sr-Latn-ME" w:bidi="th-TH"/>
        </w:rPr>
        <w:t>nepromijenjen</w:t>
      </w:r>
      <w:proofErr w:type="spellEnd"/>
      <w:r w:rsidRPr="003F7E57">
        <w:rPr>
          <w:sz w:val="22"/>
          <w:szCs w:val="22"/>
          <w:lang w:val="sr-Latn-ME" w:bidi="th-TH"/>
        </w:rPr>
        <w:t xml:space="preserve"> u mokraći. Nijesu pronađeni </w:t>
      </w:r>
      <w:proofErr w:type="spellStart"/>
      <w:r w:rsidRPr="003F7E57">
        <w:rPr>
          <w:sz w:val="22"/>
          <w:szCs w:val="22"/>
          <w:lang w:val="sr-Latn-ME" w:bidi="th-TH"/>
        </w:rPr>
        <w:t>metaboliti</w:t>
      </w:r>
      <w:proofErr w:type="spellEnd"/>
      <w:r w:rsidRPr="003F7E57">
        <w:rPr>
          <w:sz w:val="22"/>
          <w:szCs w:val="22"/>
          <w:lang w:val="sr-Latn-ME" w:bidi="th-TH"/>
        </w:rPr>
        <w:t xml:space="preserve"> kod </w:t>
      </w:r>
      <w:proofErr w:type="spellStart"/>
      <w:r w:rsidRPr="003F7E57">
        <w:rPr>
          <w:sz w:val="22"/>
          <w:szCs w:val="22"/>
          <w:lang w:val="sr-Latn-ME" w:bidi="th-TH"/>
        </w:rPr>
        <w:t>ljudi</w:t>
      </w:r>
      <w:proofErr w:type="spellEnd"/>
      <w:r w:rsidRPr="003F7E57">
        <w:rPr>
          <w:sz w:val="22"/>
          <w:szCs w:val="22"/>
          <w:lang w:val="sr-Latn-ME" w:bidi="th-TH"/>
        </w:rPr>
        <w:t>.</w:t>
      </w:r>
    </w:p>
    <w:p w14:paraId="33150B95" w14:textId="77777777" w:rsidR="0064325B" w:rsidRPr="003F7E57" w:rsidRDefault="0064325B">
      <w:pPr>
        <w:autoSpaceDE w:val="0"/>
        <w:autoSpaceDN w:val="0"/>
        <w:adjustRightInd w:val="0"/>
        <w:jc w:val="both"/>
        <w:rPr>
          <w:sz w:val="22"/>
          <w:szCs w:val="22"/>
          <w:lang w:val="sr-Latn-ME" w:bidi="th-TH"/>
        </w:rPr>
      </w:pPr>
    </w:p>
    <w:p w14:paraId="496A1271" w14:textId="77777777" w:rsidR="0064325B" w:rsidRPr="003F7E57" w:rsidRDefault="0064325B">
      <w:pPr>
        <w:autoSpaceDE w:val="0"/>
        <w:autoSpaceDN w:val="0"/>
        <w:adjustRightInd w:val="0"/>
        <w:jc w:val="both"/>
        <w:rPr>
          <w:i/>
          <w:sz w:val="22"/>
          <w:szCs w:val="22"/>
          <w:u w:val="single"/>
          <w:lang w:val="sr-Latn-ME" w:bidi="th-TH"/>
        </w:rPr>
      </w:pPr>
      <w:r w:rsidRPr="003F7E57">
        <w:rPr>
          <w:i/>
          <w:iCs/>
          <w:sz w:val="22"/>
          <w:szCs w:val="22"/>
          <w:u w:val="single"/>
          <w:lang w:val="sr-Latn-ME" w:bidi="th-TH"/>
        </w:rPr>
        <w:t>Eliminacija</w:t>
      </w:r>
    </w:p>
    <w:p w14:paraId="0552658D" w14:textId="77777777" w:rsidR="0064325B" w:rsidRPr="003F7E57" w:rsidRDefault="0064325B">
      <w:pPr>
        <w:autoSpaceDE w:val="0"/>
        <w:autoSpaceDN w:val="0"/>
        <w:adjustRightInd w:val="0"/>
        <w:jc w:val="both"/>
        <w:rPr>
          <w:sz w:val="22"/>
          <w:szCs w:val="22"/>
          <w:lang w:val="sr-Latn-ME" w:bidi="th-TH"/>
        </w:rPr>
      </w:pPr>
      <w:proofErr w:type="spellStart"/>
      <w:r w:rsidRPr="003F7E57">
        <w:rPr>
          <w:sz w:val="22"/>
          <w:szCs w:val="22"/>
          <w:lang w:val="sr-Latn-ME" w:bidi="th-TH"/>
        </w:rPr>
        <w:lastRenderedPageBreak/>
        <w:t>Metformin</w:t>
      </w:r>
      <w:proofErr w:type="spellEnd"/>
      <w:r w:rsidRPr="003F7E57">
        <w:rPr>
          <w:sz w:val="22"/>
          <w:szCs w:val="22"/>
          <w:lang w:val="sr-Latn-ME" w:bidi="th-TH"/>
        </w:rPr>
        <w:t xml:space="preserve"> se eliminiše putem bubrega. Bubrežni </w:t>
      </w:r>
      <w:proofErr w:type="spellStart"/>
      <w:r w:rsidRPr="003F7E57">
        <w:rPr>
          <w:sz w:val="22"/>
          <w:szCs w:val="22"/>
          <w:lang w:val="sr-Latn-ME" w:bidi="th-TH"/>
        </w:rPr>
        <w:t>klirens</w:t>
      </w:r>
      <w:proofErr w:type="spellEnd"/>
      <w:r w:rsidRPr="003F7E57">
        <w:rPr>
          <w:sz w:val="22"/>
          <w:szCs w:val="22"/>
          <w:lang w:val="sr-Latn-ME" w:bidi="th-TH"/>
        </w:rPr>
        <w:t xml:space="preserve"> </w:t>
      </w:r>
      <w:proofErr w:type="spellStart"/>
      <w:r w:rsidRPr="003F7E57">
        <w:rPr>
          <w:sz w:val="22"/>
          <w:szCs w:val="22"/>
          <w:lang w:val="sr-Latn-ME" w:bidi="th-TH"/>
        </w:rPr>
        <w:t>metformina</w:t>
      </w:r>
      <w:proofErr w:type="spellEnd"/>
      <w:r w:rsidRPr="003F7E57">
        <w:rPr>
          <w:sz w:val="22"/>
          <w:szCs w:val="22"/>
          <w:lang w:val="sr-Latn-ME" w:bidi="th-TH"/>
        </w:rPr>
        <w:t xml:space="preserve"> je &gt; 400 ml/min što upućuje da se </w:t>
      </w:r>
      <w:proofErr w:type="spellStart"/>
      <w:r w:rsidRPr="003F7E57">
        <w:rPr>
          <w:sz w:val="22"/>
          <w:szCs w:val="22"/>
          <w:lang w:val="sr-Latn-ME" w:bidi="th-TH"/>
        </w:rPr>
        <w:t>metformin</w:t>
      </w:r>
      <w:proofErr w:type="spellEnd"/>
      <w:r w:rsidRPr="003F7E57">
        <w:rPr>
          <w:sz w:val="22"/>
          <w:szCs w:val="22"/>
          <w:lang w:val="sr-Latn-ME" w:bidi="th-TH"/>
        </w:rPr>
        <w:t xml:space="preserve"> eliminiše </w:t>
      </w:r>
      <w:proofErr w:type="spellStart"/>
      <w:r w:rsidRPr="003F7E57">
        <w:rPr>
          <w:sz w:val="22"/>
          <w:szCs w:val="22"/>
          <w:lang w:val="sr-Latn-ME" w:bidi="th-TH"/>
        </w:rPr>
        <w:t>glomerularnom</w:t>
      </w:r>
      <w:proofErr w:type="spellEnd"/>
      <w:r w:rsidRPr="003F7E57">
        <w:rPr>
          <w:sz w:val="22"/>
          <w:szCs w:val="22"/>
          <w:lang w:val="sr-Latn-ME" w:bidi="th-TH"/>
        </w:rPr>
        <w:t xml:space="preserve"> filtracijom i </w:t>
      </w:r>
      <w:proofErr w:type="spellStart"/>
      <w:r w:rsidRPr="003F7E57">
        <w:rPr>
          <w:sz w:val="22"/>
          <w:szCs w:val="22"/>
          <w:lang w:val="sr-Latn-ME" w:bidi="th-TH"/>
        </w:rPr>
        <w:t>tubularnom</w:t>
      </w:r>
      <w:proofErr w:type="spellEnd"/>
      <w:r w:rsidRPr="003F7E57">
        <w:rPr>
          <w:sz w:val="22"/>
          <w:szCs w:val="22"/>
          <w:lang w:val="sr-Latn-ME" w:bidi="th-TH"/>
        </w:rPr>
        <w:t xml:space="preserve"> sekrecijom. Nakon oralne doze prividno poluvrijeme eliminacije je približno 6,5 sati. Ako je bubrežna funkcija oštećena, bubrežni </w:t>
      </w:r>
      <w:proofErr w:type="spellStart"/>
      <w:r w:rsidRPr="003F7E57">
        <w:rPr>
          <w:sz w:val="22"/>
          <w:szCs w:val="22"/>
          <w:lang w:val="sr-Latn-ME" w:bidi="th-TH"/>
        </w:rPr>
        <w:t>klirens</w:t>
      </w:r>
      <w:proofErr w:type="spellEnd"/>
      <w:r w:rsidRPr="003F7E57">
        <w:rPr>
          <w:sz w:val="22"/>
          <w:szCs w:val="22"/>
          <w:lang w:val="sr-Latn-ME" w:bidi="th-TH"/>
        </w:rPr>
        <w:t xml:space="preserve"> se smanjuje srazmjerno smanjenju </w:t>
      </w:r>
      <w:proofErr w:type="spellStart"/>
      <w:r w:rsidRPr="003F7E57">
        <w:rPr>
          <w:sz w:val="22"/>
          <w:szCs w:val="22"/>
          <w:lang w:val="sr-Latn-ME" w:bidi="th-TH"/>
        </w:rPr>
        <w:t>klirensa</w:t>
      </w:r>
      <w:proofErr w:type="spellEnd"/>
      <w:r w:rsidRPr="003F7E57">
        <w:rPr>
          <w:sz w:val="22"/>
          <w:szCs w:val="22"/>
          <w:lang w:val="sr-Latn-ME" w:bidi="th-TH"/>
        </w:rPr>
        <w:t xml:space="preserve"> </w:t>
      </w:r>
      <w:proofErr w:type="spellStart"/>
      <w:r w:rsidRPr="003F7E57">
        <w:rPr>
          <w:sz w:val="22"/>
          <w:szCs w:val="22"/>
          <w:lang w:val="sr-Latn-ME" w:bidi="th-TH"/>
        </w:rPr>
        <w:t>kreatinina</w:t>
      </w:r>
      <w:proofErr w:type="spellEnd"/>
      <w:r w:rsidRPr="003F7E57">
        <w:rPr>
          <w:sz w:val="22"/>
          <w:szCs w:val="22"/>
          <w:lang w:val="sr-Latn-ME" w:bidi="th-TH"/>
        </w:rPr>
        <w:t xml:space="preserve"> i stoga se poluvrijeme eliminacije produžava što dovodi do povećanja koncentracije </w:t>
      </w:r>
      <w:proofErr w:type="spellStart"/>
      <w:r w:rsidRPr="003F7E57">
        <w:rPr>
          <w:sz w:val="22"/>
          <w:szCs w:val="22"/>
          <w:lang w:val="sr-Latn-ME" w:bidi="th-TH"/>
        </w:rPr>
        <w:t>metformina</w:t>
      </w:r>
      <w:proofErr w:type="spellEnd"/>
      <w:r w:rsidRPr="003F7E57">
        <w:rPr>
          <w:sz w:val="22"/>
          <w:szCs w:val="22"/>
          <w:lang w:val="sr-Latn-ME" w:bidi="th-TH"/>
        </w:rPr>
        <w:t xml:space="preserve"> u plazmi.</w:t>
      </w:r>
    </w:p>
    <w:p w14:paraId="18982313" w14:textId="77777777" w:rsidR="0064325B" w:rsidRPr="003F7E57" w:rsidRDefault="0064325B">
      <w:pPr>
        <w:tabs>
          <w:tab w:val="left" w:pos="540"/>
          <w:tab w:val="left" w:pos="569"/>
        </w:tabs>
        <w:jc w:val="both"/>
        <w:rPr>
          <w:bCs/>
          <w:sz w:val="22"/>
          <w:szCs w:val="22"/>
          <w:lang w:val="sr-Latn-ME"/>
        </w:rPr>
      </w:pPr>
    </w:p>
    <w:p w14:paraId="53962397" w14:textId="7194BC6E" w:rsidR="0072020E" w:rsidRPr="003F7E57" w:rsidRDefault="0072020E">
      <w:pPr>
        <w:tabs>
          <w:tab w:val="left" w:pos="540"/>
          <w:tab w:val="left" w:pos="569"/>
        </w:tabs>
        <w:jc w:val="both"/>
        <w:rPr>
          <w:b/>
          <w:bCs/>
          <w:sz w:val="22"/>
          <w:szCs w:val="22"/>
          <w:lang w:val="sr-Latn-ME"/>
        </w:rPr>
      </w:pPr>
      <w:r w:rsidRPr="003F7E57">
        <w:rPr>
          <w:b/>
          <w:bCs/>
          <w:sz w:val="22"/>
          <w:szCs w:val="22"/>
          <w:lang w:val="sr-Latn-ME"/>
        </w:rPr>
        <w:t xml:space="preserve">5.3. </w:t>
      </w:r>
      <w:r w:rsidR="00480FB1" w:rsidRPr="003F7E57">
        <w:rPr>
          <w:b/>
          <w:bCs/>
          <w:sz w:val="22"/>
          <w:szCs w:val="22"/>
          <w:lang w:val="sr-Latn-ME"/>
        </w:rPr>
        <w:tab/>
      </w:r>
      <w:proofErr w:type="spellStart"/>
      <w:r w:rsidRPr="003F7E57">
        <w:rPr>
          <w:b/>
          <w:bCs/>
          <w:sz w:val="22"/>
          <w:szCs w:val="22"/>
          <w:lang w:val="sr-Latn-ME"/>
        </w:rPr>
        <w:t>Pretklinički</w:t>
      </w:r>
      <w:proofErr w:type="spellEnd"/>
      <w:r w:rsidRPr="003F7E57">
        <w:rPr>
          <w:b/>
          <w:bCs/>
          <w:sz w:val="22"/>
          <w:szCs w:val="22"/>
          <w:lang w:val="sr-Latn-ME"/>
        </w:rPr>
        <w:t xml:space="preserve"> podaci o bezbjednosti </w:t>
      </w:r>
    </w:p>
    <w:p w14:paraId="41E03F7B" w14:textId="77777777" w:rsidR="00836B35" w:rsidRPr="003F7E57" w:rsidRDefault="00836B35">
      <w:pPr>
        <w:tabs>
          <w:tab w:val="left" w:pos="540"/>
          <w:tab w:val="left" w:pos="569"/>
        </w:tabs>
        <w:jc w:val="both"/>
        <w:rPr>
          <w:bCs/>
          <w:sz w:val="22"/>
          <w:szCs w:val="22"/>
          <w:lang w:val="sr-Latn-ME"/>
        </w:rPr>
      </w:pPr>
    </w:p>
    <w:p w14:paraId="63C2A091" w14:textId="6C194FA2" w:rsidR="0064325B" w:rsidRPr="003F7E57" w:rsidRDefault="0064325B">
      <w:pPr>
        <w:autoSpaceDE w:val="0"/>
        <w:autoSpaceDN w:val="0"/>
        <w:adjustRightInd w:val="0"/>
        <w:jc w:val="both"/>
        <w:rPr>
          <w:sz w:val="22"/>
          <w:szCs w:val="22"/>
          <w:lang w:val="sr-Latn-ME" w:bidi="th-TH"/>
        </w:rPr>
      </w:pPr>
      <w:r w:rsidRPr="003F7E57">
        <w:rPr>
          <w:sz w:val="22"/>
          <w:szCs w:val="22"/>
          <w:lang w:val="sr-Latn-ME" w:bidi="th-TH"/>
        </w:rPr>
        <w:t xml:space="preserve">Ispitivanja kombinacije supstanci iz lijeka </w:t>
      </w:r>
      <w:proofErr w:type="spellStart"/>
      <w:r w:rsidRPr="003F7E57">
        <w:rPr>
          <w:sz w:val="22"/>
          <w:szCs w:val="22"/>
          <w:lang w:val="sr-Latn-ME" w:bidi="th-TH"/>
        </w:rPr>
        <w:t>Eucreas</w:t>
      </w:r>
      <w:proofErr w:type="spellEnd"/>
      <w:r w:rsidRPr="003F7E57">
        <w:rPr>
          <w:sz w:val="22"/>
          <w:szCs w:val="22"/>
          <w:lang w:val="sr-Latn-ME" w:bidi="th-TH"/>
        </w:rPr>
        <w:t xml:space="preserve"> sprovedena su na životinjama u trajanju do 13 nedjelja. Nijesu utvrđene nove toksičnosti povezane sa kombinacijom. Sljedeći podaci odnose se na nalaze ispitivanja sprovedenih posebno sa </w:t>
      </w:r>
      <w:proofErr w:type="spellStart"/>
      <w:r w:rsidRPr="003F7E57">
        <w:rPr>
          <w:sz w:val="22"/>
          <w:szCs w:val="22"/>
          <w:lang w:val="sr-Latn-ME" w:bidi="th-TH"/>
        </w:rPr>
        <w:t>vildagliptinom</w:t>
      </w:r>
      <w:proofErr w:type="spellEnd"/>
      <w:r w:rsidRPr="003F7E57">
        <w:rPr>
          <w:sz w:val="22"/>
          <w:szCs w:val="22"/>
          <w:lang w:val="sr-Latn-ME" w:bidi="th-TH"/>
        </w:rPr>
        <w:t xml:space="preserve"> i </w:t>
      </w:r>
      <w:proofErr w:type="spellStart"/>
      <w:r w:rsidRPr="003F7E57">
        <w:rPr>
          <w:sz w:val="22"/>
          <w:szCs w:val="22"/>
          <w:lang w:val="sr-Latn-ME" w:bidi="th-TH"/>
        </w:rPr>
        <w:t>metforminom</w:t>
      </w:r>
      <w:proofErr w:type="spellEnd"/>
      <w:r w:rsidRPr="003F7E57">
        <w:rPr>
          <w:sz w:val="22"/>
          <w:szCs w:val="22"/>
          <w:lang w:val="sr-Latn-ME" w:bidi="th-TH"/>
        </w:rPr>
        <w:t>.</w:t>
      </w:r>
    </w:p>
    <w:p w14:paraId="2210E800" w14:textId="7DA0FC12" w:rsidR="0064325B" w:rsidRPr="003F7E57" w:rsidRDefault="0064325B" w:rsidP="00991A59">
      <w:pPr>
        <w:autoSpaceDE w:val="0"/>
        <w:autoSpaceDN w:val="0"/>
        <w:adjustRightInd w:val="0"/>
        <w:jc w:val="both"/>
        <w:rPr>
          <w:sz w:val="22"/>
          <w:szCs w:val="22"/>
          <w:lang w:val="sr-Latn-ME" w:bidi="th-TH"/>
        </w:rPr>
      </w:pPr>
    </w:p>
    <w:p w14:paraId="471C60F0" w14:textId="77777777" w:rsidR="0064325B" w:rsidRPr="003F7E57" w:rsidRDefault="0064325B" w:rsidP="00CE2D38">
      <w:pPr>
        <w:tabs>
          <w:tab w:val="left" w:pos="567"/>
        </w:tabs>
        <w:autoSpaceDE w:val="0"/>
        <w:autoSpaceDN w:val="0"/>
        <w:adjustRightInd w:val="0"/>
        <w:jc w:val="both"/>
        <w:rPr>
          <w:iCs/>
          <w:sz w:val="22"/>
          <w:szCs w:val="22"/>
          <w:u w:val="single"/>
          <w:lang w:val="sr-Latn-ME"/>
        </w:rPr>
      </w:pPr>
      <w:proofErr w:type="spellStart"/>
      <w:r w:rsidRPr="003F7E57">
        <w:rPr>
          <w:iCs/>
          <w:sz w:val="22"/>
          <w:szCs w:val="22"/>
          <w:u w:val="single"/>
          <w:lang w:val="sr-Latn-ME"/>
        </w:rPr>
        <w:t>Vildagliptin</w:t>
      </w:r>
      <w:proofErr w:type="spellEnd"/>
    </w:p>
    <w:p w14:paraId="26BFB659" w14:textId="77777777" w:rsidR="0064325B" w:rsidRPr="003F7E57" w:rsidRDefault="0064325B">
      <w:pPr>
        <w:tabs>
          <w:tab w:val="left" w:pos="567"/>
        </w:tabs>
        <w:jc w:val="both"/>
        <w:rPr>
          <w:bCs/>
          <w:iCs/>
          <w:sz w:val="22"/>
          <w:szCs w:val="22"/>
          <w:lang w:val="sr-Latn-ME"/>
        </w:rPr>
      </w:pPr>
      <w:r w:rsidRPr="003F7E57">
        <w:rPr>
          <w:bCs/>
          <w:iCs/>
          <w:sz w:val="22"/>
          <w:szCs w:val="22"/>
          <w:lang w:val="sr-Latn-ME"/>
        </w:rPr>
        <w:t xml:space="preserve">Odlaganje </w:t>
      </w:r>
      <w:proofErr w:type="spellStart"/>
      <w:r w:rsidRPr="003F7E57">
        <w:rPr>
          <w:bCs/>
          <w:iCs/>
          <w:sz w:val="22"/>
          <w:szCs w:val="22"/>
          <w:lang w:val="sr-Latn-ME"/>
        </w:rPr>
        <w:t>intrakardijalnog</w:t>
      </w:r>
      <w:proofErr w:type="spellEnd"/>
      <w:r w:rsidRPr="003F7E57">
        <w:rPr>
          <w:bCs/>
          <w:iCs/>
          <w:sz w:val="22"/>
          <w:szCs w:val="22"/>
          <w:lang w:val="sr-Latn-ME"/>
        </w:rPr>
        <w:t xml:space="preserve"> sprovođenja impulsa zapaženo je kod pasa, pri čemu doza koja ne izaziva efekat iznosi 15 mg/kg (7 puta veća od izloženosti kod </w:t>
      </w:r>
      <w:proofErr w:type="spellStart"/>
      <w:r w:rsidRPr="003F7E57">
        <w:rPr>
          <w:bCs/>
          <w:iCs/>
          <w:sz w:val="22"/>
          <w:szCs w:val="22"/>
          <w:lang w:val="sr-Latn-ME"/>
        </w:rPr>
        <w:t>ljudi</w:t>
      </w:r>
      <w:proofErr w:type="spellEnd"/>
      <w:r w:rsidRPr="003F7E57">
        <w:rPr>
          <w:bCs/>
          <w:iCs/>
          <w:sz w:val="22"/>
          <w:szCs w:val="22"/>
          <w:lang w:val="sr-Latn-ME"/>
        </w:rPr>
        <w:t xml:space="preserve"> na osnovu </w:t>
      </w:r>
      <w:proofErr w:type="spellStart"/>
      <w:r w:rsidRPr="003F7E57">
        <w:rPr>
          <w:bCs/>
          <w:iCs/>
          <w:sz w:val="22"/>
          <w:szCs w:val="22"/>
          <w:lang w:val="sr-Latn-ME"/>
        </w:rPr>
        <w:t>C</w:t>
      </w:r>
      <w:r w:rsidRPr="003F7E57">
        <w:rPr>
          <w:bCs/>
          <w:iCs/>
          <w:sz w:val="22"/>
          <w:szCs w:val="22"/>
          <w:vertAlign w:val="subscript"/>
          <w:lang w:val="sr-Latn-ME"/>
        </w:rPr>
        <w:t>max</w:t>
      </w:r>
      <w:proofErr w:type="spellEnd"/>
      <w:r w:rsidRPr="003F7E57">
        <w:rPr>
          <w:bCs/>
          <w:iCs/>
          <w:sz w:val="22"/>
          <w:szCs w:val="22"/>
          <w:lang w:val="sr-Latn-ME"/>
        </w:rPr>
        <w:t>).</w:t>
      </w:r>
    </w:p>
    <w:p w14:paraId="23F347F6" w14:textId="77777777" w:rsidR="0064325B" w:rsidRPr="003F7E57" w:rsidRDefault="0064325B">
      <w:pPr>
        <w:autoSpaceDE w:val="0"/>
        <w:autoSpaceDN w:val="0"/>
        <w:adjustRightInd w:val="0"/>
        <w:jc w:val="both"/>
        <w:rPr>
          <w:sz w:val="22"/>
          <w:szCs w:val="22"/>
          <w:lang w:val="sr-Latn-ME" w:bidi="th-TH"/>
        </w:rPr>
      </w:pPr>
    </w:p>
    <w:p w14:paraId="74E05FD5" w14:textId="77777777" w:rsidR="0064325B" w:rsidRPr="003F7E57" w:rsidRDefault="0064325B">
      <w:pPr>
        <w:tabs>
          <w:tab w:val="left" w:pos="567"/>
        </w:tabs>
        <w:jc w:val="both"/>
        <w:rPr>
          <w:bCs/>
          <w:iCs/>
          <w:sz w:val="22"/>
          <w:szCs w:val="22"/>
          <w:lang w:val="sr-Latn-ME"/>
        </w:rPr>
      </w:pPr>
      <w:r w:rsidRPr="003F7E57">
        <w:rPr>
          <w:bCs/>
          <w:iCs/>
          <w:sz w:val="22"/>
          <w:szCs w:val="22"/>
          <w:lang w:val="sr-Latn-ME"/>
        </w:rPr>
        <w:t xml:space="preserve">Kod pacova i miševa zapaženo je nakupljanje pjenastih alveolarnih </w:t>
      </w:r>
      <w:proofErr w:type="spellStart"/>
      <w:r w:rsidRPr="003F7E57">
        <w:rPr>
          <w:bCs/>
          <w:iCs/>
          <w:sz w:val="22"/>
          <w:szCs w:val="22"/>
          <w:lang w:val="sr-Latn-ME"/>
        </w:rPr>
        <w:t>makrofaga</w:t>
      </w:r>
      <w:proofErr w:type="spellEnd"/>
      <w:r w:rsidRPr="003F7E57">
        <w:rPr>
          <w:bCs/>
          <w:iCs/>
          <w:sz w:val="22"/>
          <w:szCs w:val="22"/>
          <w:lang w:val="sr-Latn-ME"/>
        </w:rPr>
        <w:t xml:space="preserve"> u plućima. Kod pacova je doza bez efekta bila 25 mg/kg (5 puta veća od izloženosti kod </w:t>
      </w:r>
      <w:proofErr w:type="spellStart"/>
      <w:r w:rsidRPr="003F7E57">
        <w:rPr>
          <w:bCs/>
          <w:iCs/>
          <w:sz w:val="22"/>
          <w:szCs w:val="22"/>
          <w:lang w:val="sr-Latn-ME"/>
        </w:rPr>
        <w:t>ljudi</w:t>
      </w:r>
      <w:proofErr w:type="spellEnd"/>
      <w:r w:rsidRPr="003F7E57">
        <w:rPr>
          <w:bCs/>
          <w:iCs/>
          <w:sz w:val="22"/>
          <w:szCs w:val="22"/>
          <w:lang w:val="sr-Latn-ME"/>
        </w:rPr>
        <w:t xml:space="preserve"> na osnovu PIK-a), a kod miševa 750 mg/kg (142 puta veća od izloženosti kod </w:t>
      </w:r>
      <w:proofErr w:type="spellStart"/>
      <w:r w:rsidRPr="003F7E57">
        <w:rPr>
          <w:bCs/>
          <w:iCs/>
          <w:sz w:val="22"/>
          <w:szCs w:val="22"/>
          <w:lang w:val="sr-Latn-ME"/>
        </w:rPr>
        <w:t>ljudi</w:t>
      </w:r>
      <w:proofErr w:type="spellEnd"/>
      <w:r w:rsidRPr="003F7E57">
        <w:rPr>
          <w:bCs/>
          <w:iCs/>
          <w:sz w:val="22"/>
          <w:szCs w:val="22"/>
          <w:lang w:val="sr-Latn-ME"/>
        </w:rPr>
        <w:t>).</w:t>
      </w:r>
    </w:p>
    <w:p w14:paraId="5EC95F72" w14:textId="77777777" w:rsidR="0064325B" w:rsidRPr="003F7E57" w:rsidRDefault="0064325B">
      <w:pPr>
        <w:tabs>
          <w:tab w:val="left" w:pos="567"/>
        </w:tabs>
        <w:jc w:val="both"/>
        <w:rPr>
          <w:bCs/>
          <w:iCs/>
          <w:sz w:val="22"/>
          <w:szCs w:val="22"/>
          <w:lang w:val="sr-Latn-ME"/>
        </w:rPr>
      </w:pPr>
    </w:p>
    <w:p w14:paraId="6E5F75FF" w14:textId="77777777" w:rsidR="0064325B" w:rsidRPr="003F7E57" w:rsidRDefault="0064325B">
      <w:pPr>
        <w:tabs>
          <w:tab w:val="left" w:pos="567"/>
        </w:tabs>
        <w:jc w:val="both"/>
        <w:rPr>
          <w:bCs/>
          <w:iCs/>
          <w:sz w:val="22"/>
          <w:szCs w:val="22"/>
          <w:lang w:val="sr-Latn-ME"/>
        </w:rPr>
      </w:pPr>
      <w:r w:rsidRPr="003F7E57">
        <w:rPr>
          <w:bCs/>
          <w:iCs/>
          <w:sz w:val="22"/>
          <w:szCs w:val="22"/>
          <w:lang w:val="sr-Latn-ME"/>
        </w:rPr>
        <w:t>Gastrointestinalni simptomi, posebno meka stolica, sluzava stolica, dijareja i pri višim dozama, krv u stolici zapaženi su kod pasa. Nije ustanovljena doza koja ne izaziva efekat.</w:t>
      </w:r>
    </w:p>
    <w:p w14:paraId="5F3EB2D1" w14:textId="77777777" w:rsidR="0064325B" w:rsidRPr="003F7E57" w:rsidRDefault="0064325B" w:rsidP="00991A59">
      <w:pPr>
        <w:tabs>
          <w:tab w:val="left" w:pos="567"/>
        </w:tabs>
        <w:jc w:val="both"/>
        <w:rPr>
          <w:bCs/>
          <w:iCs/>
          <w:sz w:val="22"/>
          <w:szCs w:val="22"/>
          <w:lang w:val="sr-Latn-ME"/>
        </w:rPr>
      </w:pPr>
    </w:p>
    <w:p w14:paraId="035EED72" w14:textId="77777777" w:rsidR="0064325B" w:rsidRPr="003F7E57" w:rsidRDefault="0064325B" w:rsidP="00CE2D38">
      <w:pPr>
        <w:tabs>
          <w:tab w:val="left" w:pos="567"/>
        </w:tabs>
        <w:jc w:val="both"/>
        <w:rPr>
          <w:bCs/>
          <w:iCs/>
          <w:sz w:val="22"/>
          <w:szCs w:val="22"/>
          <w:lang w:val="sr-Latn-ME"/>
        </w:rPr>
      </w:pPr>
      <w:r w:rsidRPr="003F7E57">
        <w:rPr>
          <w:bCs/>
          <w:iCs/>
          <w:sz w:val="22"/>
          <w:szCs w:val="22"/>
          <w:lang w:val="sr-Latn-ME"/>
        </w:rPr>
        <w:t xml:space="preserve">U konvencionalnim </w:t>
      </w:r>
      <w:r w:rsidRPr="003F7E57">
        <w:rPr>
          <w:bCs/>
          <w:i/>
          <w:iCs/>
          <w:sz w:val="22"/>
          <w:szCs w:val="22"/>
          <w:lang w:val="sr-Latn-ME"/>
        </w:rPr>
        <w:t xml:space="preserve">in </w:t>
      </w:r>
      <w:proofErr w:type="spellStart"/>
      <w:r w:rsidRPr="003F7E57">
        <w:rPr>
          <w:bCs/>
          <w:i/>
          <w:iCs/>
          <w:sz w:val="22"/>
          <w:szCs w:val="22"/>
          <w:lang w:val="sr-Latn-ME"/>
        </w:rPr>
        <w:t>vitro</w:t>
      </w:r>
      <w:proofErr w:type="spellEnd"/>
      <w:r w:rsidRPr="003F7E57">
        <w:rPr>
          <w:bCs/>
          <w:iCs/>
          <w:sz w:val="22"/>
          <w:szCs w:val="22"/>
          <w:lang w:val="sr-Latn-ME"/>
        </w:rPr>
        <w:t xml:space="preserve"> i </w:t>
      </w:r>
      <w:r w:rsidRPr="003F7E57">
        <w:rPr>
          <w:bCs/>
          <w:i/>
          <w:iCs/>
          <w:sz w:val="22"/>
          <w:szCs w:val="22"/>
          <w:lang w:val="sr-Latn-ME"/>
        </w:rPr>
        <w:t xml:space="preserve">in </w:t>
      </w:r>
      <w:proofErr w:type="spellStart"/>
      <w:r w:rsidRPr="003F7E57">
        <w:rPr>
          <w:bCs/>
          <w:i/>
          <w:iCs/>
          <w:sz w:val="22"/>
          <w:szCs w:val="22"/>
          <w:lang w:val="sr-Latn-ME"/>
        </w:rPr>
        <w:t>vivo</w:t>
      </w:r>
      <w:proofErr w:type="spellEnd"/>
      <w:r w:rsidRPr="003F7E57">
        <w:rPr>
          <w:bCs/>
          <w:iCs/>
          <w:sz w:val="22"/>
          <w:szCs w:val="22"/>
          <w:lang w:val="sr-Latn-ME"/>
        </w:rPr>
        <w:t xml:space="preserve"> testovima </w:t>
      </w:r>
      <w:proofErr w:type="spellStart"/>
      <w:r w:rsidRPr="003F7E57">
        <w:rPr>
          <w:bCs/>
          <w:iCs/>
          <w:sz w:val="22"/>
          <w:szCs w:val="22"/>
          <w:lang w:val="sr-Latn-ME"/>
        </w:rPr>
        <w:t>genotoksičnosti</w:t>
      </w:r>
      <w:proofErr w:type="spellEnd"/>
      <w:r w:rsidRPr="003F7E57">
        <w:rPr>
          <w:bCs/>
          <w:iCs/>
          <w:sz w:val="22"/>
          <w:szCs w:val="22"/>
          <w:lang w:val="sr-Latn-ME"/>
        </w:rPr>
        <w:t xml:space="preserve"> </w:t>
      </w:r>
      <w:proofErr w:type="spellStart"/>
      <w:r w:rsidRPr="003F7E57">
        <w:rPr>
          <w:bCs/>
          <w:iCs/>
          <w:sz w:val="22"/>
          <w:szCs w:val="22"/>
          <w:lang w:val="sr-Latn-ME"/>
        </w:rPr>
        <w:t>vildagliptin</w:t>
      </w:r>
      <w:proofErr w:type="spellEnd"/>
      <w:r w:rsidRPr="003F7E57">
        <w:rPr>
          <w:bCs/>
          <w:iCs/>
          <w:sz w:val="22"/>
          <w:szCs w:val="22"/>
          <w:lang w:val="sr-Latn-ME"/>
        </w:rPr>
        <w:t xml:space="preserve"> nije bio </w:t>
      </w:r>
      <w:proofErr w:type="spellStart"/>
      <w:r w:rsidRPr="003F7E57">
        <w:rPr>
          <w:bCs/>
          <w:iCs/>
          <w:sz w:val="22"/>
          <w:szCs w:val="22"/>
          <w:lang w:val="sr-Latn-ME"/>
        </w:rPr>
        <w:t>mutagen</w:t>
      </w:r>
      <w:proofErr w:type="spellEnd"/>
      <w:r w:rsidRPr="003F7E57">
        <w:rPr>
          <w:bCs/>
          <w:iCs/>
          <w:sz w:val="22"/>
          <w:szCs w:val="22"/>
          <w:lang w:val="sr-Latn-ME"/>
        </w:rPr>
        <w:t>.</w:t>
      </w:r>
    </w:p>
    <w:p w14:paraId="52F0338A" w14:textId="5631560A" w:rsidR="00396DFD" w:rsidRPr="003F7E57" w:rsidRDefault="00396DFD">
      <w:pPr>
        <w:tabs>
          <w:tab w:val="left" w:pos="540"/>
          <w:tab w:val="left" w:pos="569"/>
        </w:tabs>
        <w:jc w:val="both"/>
        <w:rPr>
          <w:b/>
          <w:bCs/>
          <w:sz w:val="22"/>
          <w:szCs w:val="22"/>
          <w:lang w:val="sr-Latn-ME"/>
        </w:rPr>
      </w:pPr>
    </w:p>
    <w:p w14:paraId="3DBE9228" w14:textId="4979529A" w:rsidR="0064325B" w:rsidRPr="003F7E57" w:rsidRDefault="0064325B">
      <w:pPr>
        <w:tabs>
          <w:tab w:val="left" w:pos="540"/>
          <w:tab w:val="left" w:pos="569"/>
        </w:tabs>
        <w:jc w:val="both"/>
        <w:rPr>
          <w:bCs/>
          <w:iCs/>
          <w:sz w:val="22"/>
          <w:szCs w:val="22"/>
          <w:lang w:val="sr-Latn-ME"/>
        </w:rPr>
      </w:pPr>
      <w:r w:rsidRPr="003F7E57">
        <w:rPr>
          <w:iCs/>
          <w:sz w:val="22"/>
          <w:szCs w:val="22"/>
          <w:lang w:val="sr-Latn-ME"/>
        </w:rPr>
        <w:t xml:space="preserve">Ispitivanje plodnosti i ranog embrionalnog razvoja kod pacova nije pokazalo da dolazi do oštećenja plodnosti, reproduktivne sposobnosti ili ranog embrionalnog razvoja zbog </w:t>
      </w:r>
      <w:proofErr w:type="spellStart"/>
      <w:r w:rsidRPr="003F7E57">
        <w:rPr>
          <w:iCs/>
          <w:sz w:val="22"/>
          <w:szCs w:val="22"/>
          <w:lang w:val="sr-Latn-ME"/>
        </w:rPr>
        <w:t>vildagliptina</w:t>
      </w:r>
      <w:proofErr w:type="spellEnd"/>
      <w:r w:rsidRPr="003F7E57">
        <w:rPr>
          <w:iCs/>
          <w:sz w:val="22"/>
          <w:szCs w:val="22"/>
          <w:lang w:val="sr-Latn-ME"/>
        </w:rPr>
        <w:t xml:space="preserve">. </w:t>
      </w:r>
      <w:proofErr w:type="spellStart"/>
      <w:r w:rsidRPr="003F7E57">
        <w:rPr>
          <w:iCs/>
          <w:sz w:val="22"/>
          <w:szCs w:val="22"/>
          <w:lang w:val="sr-Latn-ME"/>
        </w:rPr>
        <w:t>Embriofetalna</w:t>
      </w:r>
      <w:proofErr w:type="spellEnd"/>
      <w:r w:rsidRPr="003F7E57">
        <w:rPr>
          <w:iCs/>
          <w:sz w:val="22"/>
          <w:szCs w:val="22"/>
          <w:lang w:val="sr-Latn-ME"/>
        </w:rPr>
        <w:t xml:space="preserve"> toksičnost je ispitivana kod pacova i kunića. Povećana </w:t>
      </w:r>
      <w:proofErr w:type="spellStart"/>
      <w:r w:rsidRPr="003F7E57">
        <w:rPr>
          <w:iCs/>
          <w:sz w:val="22"/>
          <w:szCs w:val="22"/>
          <w:lang w:val="sr-Latn-ME"/>
        </w:rPr>
        <w:t>incidenca</w:t>
      </w:r>
      <w:proofErr w:type="spellEnd"/>
      <w:r w:rsidRPr="003F7E57">
        <w:rPr>
          <w:iCs/>
          <w:sz w:val="22"/>
          <w:szCs w:val="22"/>
          <w:lang w:val="sr-Latn-ME"/>
        </w:rPr>
        <w:t xml:space="preserve"> valovitih rebara </w:t>
      </w:r>
      <w:r w:rsidRPr="003F7E57">
        <w:rPr>
          <w:bCs/>
          <w:iCs/>
          <w:sz w:val="22"/>
          <w:szCs w:val="22"/>
          <w:lang w:val="sr-Latn-ME"/>
        </w:rPr>
        <w:t xml:space="preserve">zapažena je kod pacova, a povezana je sa smanjenim parametrima tjelesne mase, pri čemu doza koja ne izaziva efekat iznosi 75 mg/kg (10 puta veća od izloženosti kod </w:t>
      </w:r>
      <w:proofErr w:type="spellStart"/>
      <w:r w:rsidRPr="003F7E57">
        <w:rPr>
          <w:bCs/>
          <w:iCs/>
          <w:sz w:val="22"/>
          <w:szCs w:val="22"/>
          <w:lang w:val="sr-Latn-ME"/>
        </w:rPr>
        <w:t>ljudi</w:t>
      </w:r>
      <w:proofErr w:type="spellEnd"/>
      <w:r w:rsidRPr="003F7E57">
        <w:rPr>
          <w:bCs/>
          <w:iCs/>
          <w:sz w:val="22"/>
          <w:szCs w:val="22"/>
          <w:lang w:val="sr-Latn-ME"/>
        </w:rPr>
        <w:t xml:space="preserve">). Kod kunića su smanjena masa fetusa i promjene na skeletu, koje upućuju na zastoj u razvoju, bile zapažene samo u prisustvu teške toksičnosti po majku, pri čemu doza bez efekta iznosi 50 mg/kg (9 puta veća od  izloženosti kod </w:t>
      </w:r>
      <w:proofErr w:type="spellStart"/>
      <w:r w:rsidRPr="003F7E57">
        <w:rPr>
          <w:bCs/>
          <w:iCs/>
          <w:sz w:val="22"/>
          <w:szCs w:val="22"/>
          <w:lang w:val="sr-Latn-ME"/>
        </w:rPr>
        <w:t>ljudi</w:t>
      </w:r>
      <w:proofErr w:type="spellEnd"/>
      <w:r w:rsidRPr="003F7E57">
        <w:rPr>
          <w:bCs/>
          <w:iCs/>
          <w:sz w:val="22"/>
          <w:szCs w:val="22"/>
          <w:lang w:val="sr-Latn-ME"/>
        </w:rPr>
        <w:t xml:space="preserve">). Na pacovima je sprovedena studija prenatalnog i </w:t>
      </w:r>
      <w:proofErr w:type="spellStart"/>
      <w:r w:rsidRPr="003F7E57">
        <w:rPr>
          <w:bCs/>
          <w:iCs/>
          <w:sz w:val="22"/>
          <w:szCs w:val="22"/>
          <w:lang w:val="sr-Latn-ME"/>
        </w:rPr>
        <w:t>postnatalnog</w:t>
      </w:r>
      <w:proofErr w:type="spellEnd"/>
      <w:r w:rsidRPr="003F7E57">
        <w:rPr>
          <w:bCs/>
          <w:iCs/>
          <w:sz w:val="22"/>
          <w:szCs w:val="22"/>
          <w:lang w:val="sr-Latn-ME"/>
        </w:rPr>
        <w:t xml:space="preserve"> razvoja. Efekti su zapaženi samo u vezi sa toksičnošću po majku pri ≥ 150 mg/kg, a uključivali su prolazno smanjenje tjelesne mase i smanjenu motoričku aktivnost u generaciji F1.</w:t>
      </w:r>
    </w:p>
    <w:p w14:paraId="4E62C9B1" w14:textId="3EE06CC8" w:rsidR="0064325B" w:rsidRPr="003F7E57" w:rsidRDefault="0064325B" w:rsidP="00991A59">
      <w:pPr>
        <w:tabs>
          <w:tab w:val="left" w:pos="540"/>
          <w:tab w:val="left" w:pos="569"/>
        </w:tabs>
        <w:jc w:val="both"/>
        <w:rPr>
          <w:bCs/>
          <w:iCs/>
          <w:sz w:val="22"/>
          <w:szCs w:val="22"/>
          <w:lang w:val="sr-Latn-ME"/>
        </w:rPr>
      </w:pPr>
    </w:p>
    <w:p w14:paraId="78CE2CDF" w14:textId="77777777" w:rsidR="0064325B" w:rsidRPr="003F7E57" w:rsidRDefault="0064325B" w:rsidP="00CE2D38">
      <w:pPr>
        <w:tabs>
          <w:tab w:val="left" w:pos="567"/>
        </w:tabs>
        <w:jc w:val="both"/>
        <w:rPr>
          <w:iCs/>
          <w:sz w:val="22"/>
          <w:szCs w:val="22"/>
          <w:lang w:val="sr-Latn-ME"/>
        </w:rPr>
      </w:pPr>
      <w:r w:rsidRPr="003F7E57">
        <w:rPr>
          <w:iCs/>
          <w:sz w:val="22"/>
          <w:szCs w:val="22"/>
          <w:lang w:val="sr-Latn-ME"/>
        </w:rPr>
        <w:t xml:space="preserve">Dvogodišnje ispitivanje kancerogenosti sprovedeno je na pacovima sa oralnim dozama do 900 mg/kg (oko 200 puta veća izloženost od izloženosti kod </w:t>
      </w:r>
      <w:proofErr w:type="spellStart"/>
      <w:r w:rsidRPr="003F7E57">
        <w:rPr>
          <w:bCs/>
          <w:iCs/>
          <w:sz w:val="22"/>
          <w:szCs w:val="22"/>
          <w:lang w:val="sr-Latn-ME"/>
        </w:rPr>
        <w:t>ljudi</w:t>
      </w:r>
      <w:proofErr w:type="spellEnd"/>
      <w:r w:rsidRPr="003F7E57">
        <w:rPr>
          <w:bCs/>
          <w:iCs/>
          <w:sz w:val="22"/>
          <w:szCs w:val="22"/>
          <w:lang w:val="sr-Latn-ME"/>
        </w:rPr>
        <w:t xml:space="preserve"> </w:t>
      </w:r>
      <w:r w:rsidRPr="003F7E57">
        <w:rPr>
          <w:iCs/>
          <w:sz w:val="22"/>
          <w:szCs w:val="22"/>
          <w:lang w:val="sr-Latn-ME"/>
        </w:rPr>
        <w:t xml:space="preserve">pri maksimalnoj preporučenoj dozi). Nijesu zapažena povećanja </w:t>
      </w:r>
      <w:proofErr w:type="spellStart"/>
      <w:r w:rsidRPr="003F7E57">
        <w:rPr>
          <w:iCs/>
          <w:sz w:val="22"/>
          <w:szCs w:val="22"/>
          <w:lang w:val="sr-Latn-ME"/>
        </w:rPr>
        <w:t>incidence</w:t>
      </w:r>
      <w:proofErr w:type="spellEnd"/>
      <w:r w:rsidRPr="003F7E57">
        <w:rPr>
          <w:iCs/>
          <w:sz w:val="22"/>
          <w:szCs w:val="22"/>
          <w:lang w:val="sr-Latn-ME"/>
        </w:rPr>
        <w:t xml:space="preserve"> tumora koja bi se mogla pripisati </w:t>
      </w:r>
      <w:proofErr w:type="spellStart"/>
      <w:r w:rsidRPr="003F7E57">
        <w:rPr>
          <w:iCs/>
          <w:sz w:val="22"/>
          <w:szCs w:val="22"/>
          <w:lang w:val="sr-Latn-ME"/>
        </w:rPr>
        <w:t>vildagliptinu</w:t>
      </w:r>
      <w:proofErr w:type="spellEnd"/>
      <w:r w:rsidRPr="003F7E57">
        <w:rPr>
          <w:iCs/>
          <w:sz w:val="22"/>
          <w:szCs w:val="22"/>
          <w:lang w:val="sr-Latn-ME"/>
        </w:rPr>
        <w:t xml:space="preserve">. Druga dvogodišnja studija </w:t>
      </w:r>
      <w:proofErr w:type="spellStart"/>
      <w:r w:rsidRPr="003F7E57">
        <w:rPr>
          <w:iCs/>
          <w:sz w:val="22"/>
          <w:szCs w:val="22"/>
          <w:lang w:val="sr-Latn-ME"/>
        </w:rPr>
        <w:t>karcinogenosti</w:t>
      </w:r>
      <w:proofErr w:type="spellEnd"/>
      <w:r w:rsidRPr="003F7E57">
        <w:rPr>
          <w:iCs/>
          <w:sz w:val="22"/>
          <w:szCs w:val="22"/>
          <w:lang w:val="sr-Latn-ME"/>
        </w:rPr>
        <w:t xml:space="preserve"> sprovedena je na miševima sa oralnim dozama do 1000 mg/kg. Zapažena je povećana </w:t>
      </w:r>
      <w:proofErr w:type="spellStart"/>
      <w:r w:rsidRPr="003F7E57">
        <w:rPr>
          <w:iCs/>
          <w:sz w:val="22"/>
          <w:szCs w:val="22"/>
          <w:lang w:val="sr-Latn-ME"/>
        </w:rPr>
        <w:t>incidenca</w:t>
      </w:r>
      <w:proofErr w:type="spellEnd"/>
      <w:r w:rsidRPr="003F7E57">
        <w:rPr>
          <w:iCs/>
          <w:sz w:val="22"/>
          <w:szCs w:val="22"/>
          <w:lang w:val="sr-Latn-ME"/>
        </w:rPr>
        <w:t xml:space="preserve"> </w:t>
      </w:r>
      <w:proofErr w:type="spellStart"/>
      <w:r w:rsidRPr="003F7E57">
        <w:rPr>
          <w:iCs/>
          <w:sz w:val="22"/>
          <w:szCs w:val="22"/>
          <w:lang w:val="sr-Latn-ME"/>
        </w:rPr>
        <w:t>adenokarcinoma</w:t>
      </w:r>
      <w:proofErr w:type="spellEnd"/>
      <w:r w:rsidRPr="003F7E57">
        <w:rPr>
          <w:iCs/>
          <w:sz w:val="22"/>
          <w:szCs w:val="22"/>
          <w:lang w:val="sr-Latn-ME"/>
        </w:rPr>
        <w:t xml:space="preserve"> dojke, pri čemu doza bez efekta iznosi 500 mg/kg (59 puta veća od izloženosti kod </w:t>
      </w:r>
      <w:proofErr w:type="spellStart"/>
      <w:r w:rsidRPr="003F7E57">
        <w:rPr>
          <w:bCs/>
          <w:iCs/>
          <w:sz w:val="22"/>
          <w:szCs w:val="22"/>
          <w:lang w:val="sr-Latn-ME"/>
        </w:rPr>
        <w:t>ljudi</w:t>
      </w:r>
      <w:proofErr w:type="spellEnd"/>
      <w:r w:rsidRPr="003F7E57">
        <w:rPr>
          <w:iCs/>
          <w:sz w:val="22"/>
          <w:szCs w:val="22"/>
          <w:lang w:val="sr-Latn-ME"/>
        </w:rPr>
        <w:t xml:space="preserve">) i </w:t>
      </w:r>
      <w:proofErr w:type="spellStart"/>
      <w:r w:rsidRPr="003F7E57">
        <w:rPr>
          <w:iCs/>
          <w:sz w:val="22"/>
          <w:szCs w:val="22"/>
          <w:lang w:val="sr-Latn-ME"/>
        </w:rPr>
        <w:t>hemangiosarkoma</w:t>
      </w:r>
      <w:proofErr w:type="spellEnd"/>
      <w:r w:rsidRPr="003F7E57">
        <w:rPr>
          <w:iCs/>
          <w:sz w:val="22"/>
          <w:szCs w:val="22"/>
          <w:lang w:val="sr-Latn-ME"/>
        </w:rPr>
        <w:t xml:space="preserve">, pri čemu doza bez efekta iznosi 100 mg/kg (16 puta veće od izloženosti kod </w:t>
      </w:r>
      <w:proofErr w:type="spellStart"/>
      <w:r w:rsidRPr="003F7E57">
        <w:rPr>
          <w:bCs/>
          <w:iCs/>
          <w:sz w:val="22"/>
          <w:szCs w:val="22"/>
          <w:lang w:val="sr-Latn-ME"/>
        </w:rPr>
        <w:t>ljudi</w:t>
      </w:r>
      <w:proofErr w:type="spellEnd"/>
      <w:r w:rsidRPr="003F7E57">
        <w:rPr>
          <w:iCs/>
          <w:sz w:val="22"/>
          <w:szCs w:val="22"/>
          <w:lang w:val="sr-Latn-ME"/>
        </w:rPr>
        <w:t xml:space="preserve">). Smatra se da povećana </w:t>
      </w:r>
      <w:proofErr w:type="spellStart"/>
      <w:r w:rsidRPr="003F7E57">
        <w:rPr>
          <w:iCs/>
          <w:sz w:val="22"/>
          <w:szCs w:val="22"/>
          <w:lang w:val="sr-Latn-ME"/>
        </w:rPr>
        <w:t>incidenca</w:t>
      </w:r>
      <w:proofErr w:type="spellEnd"/>
      <w:r w:rsidRPr="003F7E57">
        <w:rPr>
          <w:iCs/>
          <w:sz w:val="22"/>
          <w:szCs w:val="22"/>
          <w:lang w:val="sr-Latn-ME"/>
        </w:rPr>
        <w:t xml:space="preserve"> tih tumora kod miševa ne predstavlja značajan rizik za </w:t>
      </w:r>
      <w:proofErr w:type="spellStart"/>
      <w:r w:rsidRPr="003F7E57">
        <w:rPr>
          <w:iCs/>
          <w:sz w:val="22"/>
          <w:szCs w:val="22"/>
          <w:lang w:val="sr-Latn-ME"/>
        </w:rPr>
        <w:t>ljude</w:t>
      </w:r>
      <w:proofErr w:type="spellEnd"/>
      <w:r w:rsidRPr="003F7E57">
        <w:rPr>
          <w:iCs/>
          <w:sz w:val="22"/>
          <w:szCs w:val="22"/>
          <w:lang w:val="sr-Latn-ME"/>
        </w:rPr>
        <w:t xml:space="preserve"> na osnovu nepostojanja </w:t>
      </w:r>
      <w:proofErr w:type="spellStart"/>
      <w:r w:rsidRPr="003F7E57">
        <w:rPr>
          <w:iCs/>
          <w:sz w:val="22"/>
          <w:szCs w:val="22"/>
          <w:lang w:val="sr-Latn-ME"/>
        </w:rPr>
        <w:t>genotoksičnosti</w:t>
      </w:r>
      <w:proofErr w:type="spellEnd"/>
      <w:r w:rsidRPr="003F7E57">
        <w:rPr>
          <w:iCs/>
          <w:sz w:val="22"/>
          <w:szCs w:val="22"/>
          <w:lang w:val="sr-Latn-ME"/>
        </w:rPr>
        <w:t xml:space="preserve"> </w:t>
      </w:r>
      <w:proofErr w:type="spellStart"/>
      <w:r w:rsidRPr="003F7E57">
        <w:rPr>
          <w:iCs/>
          <w:sz w:val="22"/>
          <w:szCs w:val="22"/>
          <w:lang w:val="sr-Latn-ME"/>
        </w:rPr>
        <w:t>vildagliptina</w:t>
      </w:r>
      <w:proofErr w:type="spellEnd"/>
      <w:r w:rsidRPr="003F7E57">
        <w:rPr>
          <w:iCs/>
          <w:sz w:val="22"/>
          <w:szCs w:val="22"/>
          <w:lang w:val="sr-Latn-ME"/>
        </w:rPr>
        <w:t xml:space="preserve"> i njegovog glavnog </w:t>
      </w:r>
      <w:proofErr w:type="spellStart"/>
      <w:r w:rsidRPr="003F7E57">
        <w:rPr>
          <w:iCs/>
          <w:sz w:val="22"/>
          <w:szCs w:val="22"/>
          <w:lang w:val="sr-Latn-ME"/>
        </w:rPr>
        <w:t>metabolita</w:t>
      </w:r>
      <w:proofErr w:type="spellEnd"/>
      <w:r w:rsidRPr="003F7E57">
        <w:rPr>
          <w:iCs/>
          <w:sz w:val="22"/>
          <w:szCs w:val="22"/>
          <w:lang w:val="sr-Latn-ME"/>
        </w:rPr>
        <w:t>, zbog pojave tumora samo kod jedne vrste i velikih ispitivanja sistemske izloženosti kod kojih su tumori zapaženi.</w:t>
      </w:r>
    </w:p>
    <w:p w14:paraId="42BA1A8F" w14:textId="0F1418B2" w:rsidR="0064325B" w:rsidRPr="003F7E57" w:rsidRDefault="0064325B" w:rsidP="00CE2D38">
      <w:pPr>
        <w:tabs>
          <w:tab w:val="left" w:pos="540"/>
          <w:tab w:val="left" w:pos="569"/>
        </w:tabs>
        <w:jc w:val="both"/>
        <w:rPr>
          <w:b/>
          <w:bCs/>
          <w:sz w:val="22"/>
          <w:szCs w:val="22"/>
          <w:lang w:val="sr-Latn-ME"/>
        </w:rPr>
      </w:pPr>
    </w:p>
    <w:p w14:paraId="4B660607" w14:textId="638A7716" w:rsidR="0064325B" w:rsidRPr="003F7E57" w:rsidRDefault="0064325B">
      <w:pPr>
        <w:tabs>
          <w:tab w:val="left" w:pos="567"/>
        </w:tabs>
        <w:jc w:val="both"/>
        <w:rPr>
          <w:iCs/>
          <w:sz w:val="22"/>
          <w:szCs w:val="22"/>
          <w:lang w:val="sr-Latn-ME"/>
        </w:rPr>
      </w:pPr>
      <w:r w:rsidRPr="003F7E57">
        <w:rPr>
          <w:color w:val="000000"/>
          <w:sz w:val="22"/>
          <w:szCs w:val="22"/>
          <w:lang w:val="sr-Latn-ME"/>
        </w:rPr>
        <w:t xml:space="preserve">U </w:t>
      </w:r>
      <w:proofErr w:type="spellStart"/>
      <w:r w:rsidRPr="003F7E57">
        <w:rPr>
          <w:color w:val="000000"/>
          <w:sz w:val="22"/>
          <w:szCs w:val="22"/>
          <w:lang w:val="sr-Latn-ME"/>
        </w:rPr>
        <w:t>toksikološkom</w:t>
      </w:r>
      <w:proofErr w:type="spellEnd"/>
      <w:r w:rsidRPr="003F7E57">
        <w:rPr>
          <w:color w:val="000000"/>
          <w:sz w:val="22"/>
          <w:szCs w:val="22"/>
          <w:lang w:val="sr-Latn-ME"/>
        </w:rPr>
        <w:t xml:space="preserve"> ispitivanju u trajanju od 13 nedjelja na </w:t>
      </w:r>
      <w:proofErr w:type="spellStart"/>
      <w:r w:rsidRPr="003F7E57">
        <w:rPr>
          <w:color w:val="000000"/>
          <w:sz w:val="22"/>
          <w:szCs w:val="22"/>
          <w:lang w:val="sr-Latn-ME"/>
        </w:rPr>
        <w:t>makaki</w:t>
      </w:r>
      <w:proofErr w:type="spellEnd"/>
      <w:r w:rsidRPr="003F7E57">
        <w:rPr>
          <w:color w:val="000000"/>
          <w:sz w:val="22"/>
          <w:szCs w:val="22"/>
          <w:lang w:val="sr-Latn-ME"/>
        </w:rPr>
        <w:t xml:space="preserve"> (</w:t>
      </w:r>
      <w:proofErr w:type="spellStart"/>
      <w:r w:rsidRPr="003F7E57">
        <w:rPr>
          <w:i/>
          <w:color w:val="000000"/>
          <w:sz w:val="22"/>
          <w:szCs w:val="22"/>
          <w:lang w:val="sr-Latn-ME"/>
        </w:rPr>
        <w:t>Cynomolgus</w:t>
      </w:r>
      <w:proofErr w:type="spellEnd"/>
      <w:r w:rsidRPr="003F7E57">
        <w:rPr>
          <w:color w:val="000000"/>
          <w:sz w:val="22"/>
          <w:szCs w:val="22"/>
          <w:lang w:val="sr-Latn-ME"/>
        </w:rPr>
        <w:t xml:space="preserve">) majmunima zabilježene su kožne </w:t>
      </w:r>
      <w:proofErr w:type="spellStart"/>
      <w:r w:rsidRPr="003F7E57">
        <w:rPr>
          <w:color w:val="000000"/>
          <w:sz w:val="22"/>
          <w:szCs w:val="22"/>
          <w:lang w:val="sr-Latn-ME"/>
        </w:rPr>
        <w:t>lezije</w:t>
      </w:r>
      <w:proofErr w:type="spellEnd"/>
      <w:r w:rsidRPr="003F7E57">
        <w:rPr>
          <w:color w:val="000000"/>
          <w:sz w:val="22"/>
          <w:szCs w:val="22"/>
          <w:lang w:val="sr-Latn-ME"/>
        </w:rPr>
        <w:t xml:space="preserve"> pri dozama ≥ 5 mg/kg/dan. Bile su uglavnom smještene na ekstremitetima (šake, stopala, uši i rep). Pri dozi od 5 mg/kg/dan (približno odgovara PIK izloženosti kod </w:t>
      </w:r>
      <w:proofErr w:type="spellStart"/>
      <w:r w:rsidRPr="003F7E57">
        <w:rPr>
          <w:bCs/>
          <w:iCs/>
          <w:sz w:val="22"/>
          <w:szCs w:val="22"/>
          <w:lang w:val="sr-Latn-ME"/>
        </w:rPr>
        <w:t>ljudi</w:t>
      </w:r>
      <w:proofErr w:type="spellEnd"/>
      <w:r w:rsidRPr="003F7E57">
        <w:rPr>
          <w:bCs/>
          <w:iCs/>
          <w:sz w:val="22"/>
          <w:szCs w:val="22"/>
          <w:lang w:val="sr-Latn-ME"/>
        </w:rPr>
        <w:t xml:space="preserve"> </w:t>
      </w:r>
      <w:r w:rsidRPr="003F7E57">
        <w:rPr>
          <w:color w:val="000000"/>
          <w:sz w:val="22"/>
          <w:szCs w:val="22"/>
          <w:lang w:val="sr-Latn-ME"/>
        </w:rPr>
        <w:t>pri dozi od 100 mg), zapaženi su samo pli</w:t>
      </w:r>
      <w:r w:rsidR="00CE2D38" w:rsidRPr="003F7E57">
        <w:rPr>
          <w:color w:val="000000"/>
          <w:sz w:val="22"/>
          <w:szCs w:val="22"/>
          <w:lang w:val="sr-Latn-ME"/>
        </w:rPr>
        <w:t>k</w:t>
      </w:r>
      <w:r w:rsidRPr="003F7E57">
        <w:rPr>
          <w:color w:val="000000"/>
          <w:sz w:val="22"/>
          <w:szCs w:val="22"/>
          <w:lang w:val="sr-Latn-ME"/>
        </w:rPr>
        <w:t xml:space="preserve">ovi. Oni su bili </w:t>
      </w:r>
      <w:proofErr w:type="spellStart"/>
      <w:r w:rsidRPr="003F7E57">
        <w:rPr>
          <w:color w:val="000000"/>
          <w:sz w:val="22"/>
          <w:szCs w:val="22"/>
          <w:lang w:val="sr-Latn-ME"/>
        </w:rPr>
        <w:t>reverzibilni</w:t>
      </w:r>
      <w:proofErr w:type="spellEnd"/>
      <w:r w:rsidRPr="003F7E57">
        <w:rPr>
          <w:color w:val="000000"/>
          <w:sz w:val="22"/>
          <w:szCs w:val="22"/>
          <w:lang w:val="sr-Latn-ME"/>
        </w:rPr>
        <w:t xml:space="preserve"> uprkos nastavljenom liječenju i nijesu bili povezani sa histopatološkim abnormalnostima. Perutanje kože, ljuštenje kože, kraste i rane na repu sa histopatološkim promjenama koje su bile sa time povezane, zabilježene su kod doza ≥ 20 mg/kg/dan (približno 3 puta veća od PIK izloženosti kod </w:t>
      </w:r>
      <w:proofErr w:type="spellStart"/>
      <w:r w:rsidRPr="003F7E57">
        <w:rPr>
          <w:bCs/>
          <w:iCs/>
          <w:sz w:val="22"/>
          <w:szCs w:val="22"/>
          <w:lang w:val="sr-Latn-ME"/>
        </w:rPr>
        <w:t>ljudi</w:t>
      </w:r>
      <w:proofErr w:type="spellEnd"/>
      <w:r w:rsidRPr="003F7E57">
        <w:rPr>
          <w:bCs/>
          <w:iCs/>
          <w:sz w:val="22"/>
          <w:szCs w:val="22"/>
          <w:lang w:val="sr-Latn-ME"/>
        </w:rPr>
        <w:t xml:space="preserve"> </w:t>
      </w:r>
      <w:r w:rsidRPr="003F7E57">
        <w:rPr>
          <w:color w:val="000000"/>
          <w:sz w:val="22"/>
          <w:szCs w:val="22"/>
          <w:lang w:val="sr-Latn-ME"/>
        </w:rPr>
        <w:t xml:space="preserve">pri dozi od </w:t>
      </w:r>
      <w:r w:rsidRPr="003F7E57">
        <w:rPr>
          <w:sz w:val="22"/>
          <w:szCs w:val="22"/>
          <w:lang w:val="sr-Latn-ME"/>
        </w:rPr>
        <w:t>100 mg</w:t>
      </w:r>
      <w:r w:rsidRPr="003F7E57">
        <w:rPr>
          <w:color w:val="000000"/>
          <w:sz w:val="22"/>
          <w:szCs w:val="22"/>
          <w:lang w:val="sr-Latn-ME"/>
        </w:rPr>
        <w:t xml:space="preserve">). </w:t>
      </w:r>
      <w:proofErr w:type="spellStart"/>
      <w:r w:rsidRPr="003F7E57">
        <w:rPr>
          <w:color w:val="000000"/>
          <w:sz w:val="22"/>
          <w:szCs w:val="22"/>
          <w:lang w:val="sr-Latn-ME"/>
        </w:rPr>
        <w:t>Nekrotične</w:t>
      </w:r>
      <w:proofErr w:type="spellEnd"/>
      <w:r w:rsidRPr="003F7E57">
        <w:rPr>
          <w:color w:val="000000"/>
          <w:sz w:val="22"/>
          <w:szCs w:val="22"/>
          <w:lang w:val="sr-Latn-ME"/>
        </w:rPr>
        <w:t xml:space="preserve"> </w:t>
      </w:r>
      <w:proofErr w:type="spellStart"/>
      <w:r w:rsidRPr="003F7E57">
        <w:rPr>
          <w:color w:val="000000"/>
          <w:sz w:val="22"/>
          <w:szCs w:val="22"/>
          <w:lang w:val="sr-Latn-ME"/>
        </w:rPr>
        <w:t>lezije</w:t>
      </w:r>
      <w:proofErr w:type="spellEnd"/>
      <w:r w:rsidRPr="003F7E57">
        <w:rPr>
          <w:color w:val="000000"/>
          <w:sz w:val="22"/>
          <w:szCs w:val="22"/>
          <w:lang w:val="sr-Latn-ME"/>
        </w:rPr>
        <w:t xml:space="preserve"> repa zapažene su pri dozi ≥ 80 </w:t>
      </w:r>
      <w:r w:rsidRPr="003F7E57">
        <w:rPr>
          <w:sz w:val="22"/>
          <w:szCs w:val="22"/>
          <w:lang w:val="sr-Latn-ME"/>
        </w:rPr>
        <w:t xml:space="preserve">mg/kg/dan. </w:t>
      </w:r>
      <w:r w:rsidRPr="003F7E57">
        <w:rPr>
          <w:color w:val="000000"/>
          <w:sz w:val="22"/>
          <w:szCs w:val="22"/>
          <w:lang w:val="sr-Latn-ME"/>
        </w:rPr>
        <w:t xml:space="preserve">Kožne </w:t>
      </w:r>
      <w:proofErr w:type="spellStart"/>
      <w:r w:rsidRPr="003F7E57">
        <w:rPr>
          <w:color w:val="000000"/>
          <w:sz w:val="22"/>
          <w:szCs w:val="22"/>
          <w:lang w:val="sr-Latn-ME"/>
        </w:rPr>
        <w:t>lezije</w:t>
      </w:r>
      <w:proofErr w:type="spellEnd"/>
      <w:r w:rsidRPr="003F7E57">
        <w:rPr>
          <w:color w:val="000000"/>
          <w:sz w:val="22"/>
          <w:szCs w:val="22"/>
          <w:lang w:val="sr-Latn-ME"/>
        </w:rPr>
        <w:t xml:space="preserve"> nijesu bile </w:t>
      </w:r>
      <w:proofErr w:type="spellStart"/>
      <w:r w:rsidRPr="003F7E57">
        <w:rPr>
          <w:color w:val="000000"/>
          <w:sz w:val="22"/>
          <w:szCs w:val="22"/>
          <w:lang w:val="sr-Latn-ME"/>
        </w:rPr>
        <w:t>reverzibilne</w:t>
      </w:r>
      <w:proofErr w:type="spellEnd"/>
      <w:r w:rsidRPr="003F7E57">
        <w:rPr>
          <w:color w:val="000000"/>
          <w:sz w:val="22"/>
          <w:szCs w:val="22"/>
          <w:lang w:val="sr-Latn-ME"/>
        </w:rPr>
        <w:t xml:space="preserve"> kod majmuna liječenih dozom od 160 mg/kg/dan tokom perioda oporavka od 4 nedjelje.</w:t>
      </w:r>
    </w:p>
    <w:p w14:paraId="1104136C" w14:textId="2C994D96" w:rsidR="0064325B" w:rsidRPr="003F7E57" w:rsidRDefault="0064325B" w:rsidP="00991A59">
      <w:pPr>
        <w:tabs>
          <w:tab w:val="left" w:pos="540"/>
          <w:tab w:val="left" w:pos="569"/>
        </w:tabs>
        <w:jc w:val="both"/>
        <w:rPr>
          <w:b/>
          <w:bCs/>
          <w:sz w:val="22"/>
          <w:szCs w:val="22"/>
          <w:lang w:val="sr-Latn-ME"/>
        </w:rPr>
      </w:pPr>
    </w:p>
    <w:p w14:paraId="774314E1" w14:textId="77777777" w:rsidR="0064325B" w:rsidRPr="003F7E57" w:rsidRDefault="0064325B" w:rsidP="00991A59">
      <w:pPr>
        <w:tabs>
          <w:tab w:val="left" w:pos="567"/>
        </w:tabs>
        <w:autoSpaceDE w:val="0"/>
        <w:autoSpaceDN w:val="0"/>
        <w:adjustRightInd w:val="0"/>
        <w:jc w:val="both"/>
        <w:rPr>
          <w:iCs/>
          <w:sz w:val="22"/>
          <w:szCs w:val="22"/>
          <w:u w:val="single"/>
          <w:lang w:val="sr-Latn-ME"/>
        </w:rPr>
      </w:pPr>
      <w:proofErr w:type="spellStart"/>
      <w:r w:rsidRPr="003F7E57">
        <w:rPr>
          <w:iCs/>
          <w:sz w:val="22"/>
          <w:szCs w:val="22"/>
          <w:u w:val="single"/>
          <w:lang w:val="sr-Latn-ME"/>
        </w:rPr>
        <w:lastRenderedPageBreak/>
        <w:t>Metformin</w:t>
      </w:r>
      <w:proofErr w:type="spellEnd"/>
    </w:p>
    <w:p w14:paraId="6384FDBD" w14:textId="77777777" w:rsidR="0064325B" w:rsidRPr="003F7E57" w:rsidRDefault="0064325B" w:rsidP="00CE2D38">
      <w:pPr>
        <w:autoSpaceDE w:val="0"/>
        <w:autoSpaceDN w:val="0"/>
        <w:adjustRightInd w:val="0"/>
        <w:jc w:val="both"/>
        <w:rPr>
          <w:sz w:val="22"/>
          <w:szCs w:val="22"/>
          <w:lang w:val="sr-Latn-ME" w:bidi="th-TH"/>
        </w:rPr>
      </w:pPr>
      <w:proofErr w:type="spellStart"/>
      <w:r w:rsidRPr="003F7E57">
        <w:rPr>
          <w:sz w:val="22"/>
          <w:szCs w:val="22"/>
          <w:lang w:val="sr-Latn-ME" w:bidi="th-TH"/>
        </w:rPr>
        <w:t>Pretklinički</w:t>
      </w:r>
      <w:proofErr w:type="spellEnd"/>
      <w:r w:rsidRPr="003F7E57">
        <w:rPr>
          <w:sz w:val="22"/>
          <w:szCs w:val="22"/>
          <w:lang w:val="sr-Latn-ME" w:bidi="th-TH"/>
        </w:rPr>
        <w:t xml:space="preserve"> podaci o </w:t>
      </w:r>
      <w:proofErr w:type="spellStart"/>
      <w:r w:rsidRPr="003F7E57">
        <w:rPr>
          <w:sz w:val="22"/>
          <w:szCs w:val="22"/>
          <w:lang w:val="sr-Latn-ME" w:bidi="th-TH"/>
        </w:rPr>
        <w:t>metforminu</w:t>
      </w:r>
      <w:proofErr w:type="spellEnd"/>
      <w:r w:rsidRPr="003F7E57">
        <w:rPr>
          <w:sz w:val="22"/>
          <w:szCs w:val="22"/>
          <w:lang w:val="sr-Latn-ME" w:bidi="th-TH"/>
        </w:rPr>
        <w:t xml:space="preserve"> ne ukazuju na poseban rizik za </w:t>
      </w:r>
      <w:proofErr w:type="spellStart"/>
      <w:r w:rsidRPr="003F7E57">
        <w:rPr>
          <w:sz w:val="22"/>
          <w:szCs w:val="22"/>
          <w:lang w:val="sr-Latn-ME" w:bidi="th-TH"/>
        </w:rPr>
        <w:t>ljude</w:t>
      </w:r>
      <w:proofErr w:type="spellEnd"/>
      <w:r w:rsidRPr="003F7E57">
        <w:rPr>
          <w:sz w:val="22"/>
          <w:szCs w:val="22"/>
          <w:lang w:val="sr-Latn-ME" w:bidi="th-TH"/>
        </w:rPr>
        <w:t xml:space="preserve"> na osnovu konvencionalnih ispitivanja </w:t>
      </w:r>
      <w:proofErr w:type="spellStart"/>
      <w:r w:rsidRPr="003F7E57">
        <w:rPr>
          <w:sz w:val="22"/>
          <w:szCs w:val="22"/>
          <w:lang w:val="sr-Latn-ME" w:bidi="th-TH"/>
        </w:rPr>
        <w:t>bezbjednosne</w:t>
      </w:r>
      <w:proofErr w:type="spellEnd"/>
      <w:r w:rsidRPr="003F7E57">
        <w:rPr>
          <w:sz w:val="22"/>
          <w:szCs w:val="22"/>
          <w:lang w:val="sr-Latn-ME" w:bidi="th-TH"/>
        </w:rPr>
        <w:t xml:space="preserve"> farmakologije, toksičnosti ponovljenih doza, </w:t>
      </w:r>
      <w:proofErr w:type="spellStart"/>
      <w:r w:rsidRPr="003F7E57">
        <w:rPr>
          <w:sz w:val="22"/>
          <w:szCs w:val="22"/>
          <w:lang w:val="sr-Latn-ME" w:bidi="th-TH"/>
        </w:rPr>
        <w:t>genotoksičnosti</w:t>
      </w:r>
      <w:proofErr w:type="spellEnd"/>
      <w:r w:rsidRPr="003F7E57">
        <w:rPr>
          <w:sz w:val="22"/>
          <w:szCs w:val="22"/>
          <w:lang w:val="sr-Latn-ME" w:bidi="th-TH"/>
        </w:rPr>
        <w:t xml:space="preserve">, </w:t>
      </w:r>
      <w:proofErr w:type="spellStart"/>
      <w:r w:rsidRPr="003F7E57">
        <w:rPr>
          <w:sz w:val="22"/>
          <w:szCs w:val="22"/>
          <w:lang w:val="sr-Latn-ME" w:bidi="th-TH"/>
        </w:rPr>
        <w:t>kanrcinogenosti</w:t>
      </w:r>
      <w:proofErr w:type="spellEnd"/>
      <w:r w:rsidRPr="003F7E57">
        <w:rPr>
          <w:sz w:val="22"/>
          <w:szCs w:val="22"/>
          <w:lang w:val="sr-Latn-ME" w:bidi="th-TH"/>
        </w:rPr>
        <w:t xml:space="preserve"> i reproduktivne toksičnosti.</w:t>
      </w:r>
    </w:p>
    <w:p w14:paraId="10423C7A" w14:textId="756ED7A4" w:rsidR="0064325B" w:rsidRPr="003F7E57" w:rsidRDefault="0064325B" w:rsidP="00991A59">
      <w:pPr>
        <w:tabs>
          <w:tab w:val="left" w:pos="540"/>
          <w:tab w:val="left" w:pos="569"/>
        </w:tabs>
        <w:jc w:val="both"/>
        <w:rPr>
          <w:b/>
          <w:bCs/>
          <w:sz w:val="22"/>
          <w:szCs w:val="22"/>
          <w:lang w:val="sr-Latn-ME"/>
        </w:rPr>
      </w:pPr>
    </w:p>
    <w:p w14:paraId="3853941B" w14:textId="77777777" w:rsidR="00CE2D38" w:rsidRPr="003F7E57" w:rsidRDefault="00CE2D38" w:rsidP="00991A59">
      <w:pPr>
        <w:tabs>
          <w:tab w:val="left" w:pos="540"/>
          <w:tab w:val="left" w:pos="569"/>
        </w:tabs>
        <w:jc w:val="both"/>
        <w:rPr>
          <w:b/>
          <w:bCs/>
          <w:sz w:val="22"/>
          <w:szCs w:val="22"/>
          <w:lang w:val="sr-Latn-ME"/>
        </w:rPr>
      </w:pPr>
    </w:p>
    <w:p w14:paraId="63F61783"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6. </w:t>
      </w:r>
      <w:r w:rsidR="00480FB1" w:rsidRPr="003F7E57">
        <w:rPr>
          <w:b/>
          <w:bCs/>
          <w:sz w:val="22"/>
          <w:szCs w:val="22"/>
          <w:lang w:val="sr-Latn-ME"/>
        </w:rPr>
        <w:tab/>
      </w:r>
      <w:r w:rsidRPr="003F7E57">
        <w:rPr>
          <w:b/>
          <w:bCs/>
          <w:sz w:val="22"/>
          <w:szCs w:val="22"/>
          <w:lang w:val="sr-Latn-ME"/>
        </w:rPr>
        <w:t>FARMACEUTSKI PODACI</w:t>
      </w:r>
    </w:p>
    <w:p w14:paraId="72F0E962" w14:textId="77777777" w:rsidR="00836B35" w:rsidRPr="003F7E57" w:rsidRDefault="00836B35" w:rsidP="00991A59">
      <w:pPr>
        <w:tabs>
          <w:tab w:val="left" w:pos="540"/>
          <w:tab w:val="left" w:pos="569"/>
        </w:tabs>
        <w:jc w:val="both"/>
        <w:rPr>
          <w:bCs/>
          <w:sz w:val="22"/>
          <w:szCs w:val="22"/>
          <w:lang w:val="sr-Latn-ME"/>
        </w:rPr>
      </w:pPr>
    </w:p>
    <w:p w14:paraId="1F364AEA"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6.1. </w:t>
      </w:r>
      <w:r w:rsidR="00480FB1" w:rsidRPr="003F7E57">
        <w:rPr>
          <w:b/>
          <w:bCs/>
          <w:sz w:val="22"/>
          <w:szCs w:val="22"/>
          <w:lang w:val="sr-Latn-ME"/>
        </w:rPr>
        <w:tab/>
      </w:r>
      <w:r w:rsidRPr="003F7E57">
        <w:rPr>
          <w:b/>
          <w:bCs/>
          <w:sz w:val="22"/>
          <w:szCs w:val="22"/>
          <w:lang w:val="sr-Latn-ME"/>
        </w:rPr>
        <w:t>Lista pomoćnih supstanci</w:t>
      </w:r>
      <w:r w:rsidR="002E0135" w:rsidRPr="003F7E57">
        <w:rPr>
          <w:b/>
          <w:bCs/>
          <w:sz w:val="22"/>
          <w:szCs w:val="22"/>
          <w:lang w:val="sr-Latn-ME"/>
        </w:rPr>
        <w:t xml:space="preserve"> (</w:t>
      </w:r>
      <w:proofErr w:type="spellStart"/>
      <w:r w:rsidR="002E0135" w:rsidRPr="003F7E57">
        <w:rPr>
          <w:b/>
          <w:bCs/>
          <w:sz w:val="22"/>
          <w:szCs w:val="22"/>
          <w:lang w:val="sr-Latn-ME"/>
        </w:rPr>
        <w:t>ekscipijenasa</w:t>
      </w:r>
      <w:proofErr w:type="spellEnd"/>
      <w:r w:rsidR="002E0135" w:rsidRPr="003F7E57">
        <w:rPr>
          <w:b/>
          <w:bCs/>
          <w:sz w:val="22"/>
          <w:szCs w:val="22"/>
          <w:lang w:val="sr-Latn-ME"/>
        </w:rPr>
        <w:t>)</w:t>
      </w:r>
    </w:p>
    <w:p w14:paraId="00E4C5A8" w14:textId="732C9292" w:rsidR="0072020E" w:rsidRPr="003F7E57" w:rsidRDefault="0072020E" w:rsidP="00991A59">
      <w:pPr>
        <w:tabs>
          <w:tab w:val="left" w:pos="540"/>
          <w:tab w:val="left" w:pos="569"/>
        </w:tabs>
        <w:jc w:val="both"/>
        <w:rPr>
          <w:bCs/>
          <w:sz w:val="22"/>
          <w:szCs w:val="22"/>
          <w:lang w:val="sr-Latn-ME"/>
        </w:rPr>
      </w:pPr>
    </w:p>
    <w:p w14:paraId="69DF2432" w14:textId="7EDF405F" w:rsidR="0064325B" w:rsidRPr="003F7E57" w:rsidRDefault="0064325B" w:rsidP="00CE2D38">
      <w:pPr>
        <w:tabs>
          <w:tab w:val="left" w:pos="567"/>
          <w:tab w:val="left" w:pos="2340"/>
        </w:tabs>
        <w:jc w:val="both"/>
        <w:rPr>
          <w:b/>
          <w:sz w:val="22"/>
          <w:szCs w:val="22"/>
          <w:lang w:val="sr-Latn-ME"/>
        </w:rPr>
      </w:pPr>
      <w:r w:rsidRPr="003F7E57">
        <w:rPr>
          <w:b/>
          <w:sz w:val="22"/>
          <w:szCs w:val="22"/>
          <w:lang w:val="sr-Latn-ME"/>
        </w:rPr>
        <w:t xml:space="preserve">Jezgro </w:t>
      </w:r>
      <w:r w:rsidR="00124845" w:rsidRPr="003F7E57">
        <w:rPr>
          <w:b/>
          <w:sz w:val="22"/>
          <w:szCs w:val="22"/>
          <w:lang w:val="sr-Latn-ME"/>
        </w:rPr>
        <w:t xml:space="preserve">film </w:t>
      </w:r>
      <w:r w:rsidRPr="003F7E57">
        <w:rPr>
          <w:b/>
          <w:sz w:val="22"/>
          <w:szCs w:val="22"/>
          <w:lang w:val="sr-Latn-ME"/>
        </w:rPr>
        <w:t>tablete:</w:t>
      </w:r>
    </w:p>
    <w:p w14:paraId="307C8F85" w14:textId="77777777" w:rsidR="0064325B" w:rsidRPr="003F7E57" w:rsidRDefault="0064325B" w:rsidP="00CE2D38">
      <w:pPr>
        <w:tabs>
          <w:tab w:val="left" w:pos="567"/>
        </w:tabs>
        <w:jc w:val="both"/>
        <w:rPr>
          <w:sz w:val="22"/>
          <w:szCs w:val="22"/>
          <w:lang w:val="sr-Latn-ME"/>
        </w:rPr>
      </w:pPr>
      <w:proofErr w:type="spellStart"/>
      <w:r w:rsidRPr="003F7E57">
        <w:rPr>
          <w:sz w:val="22"/>
          <w:szCs w:val="22"/>
          <w:lang w:val="sr-Latn-ME"/>
        </w:rPr>
        <w:t>hidroksipropilceluloza</w:t>
      </w:r>
      <w:proofErr w:type="spellEnd"/>
      <w:r w:rsidRPr="003F7E57">
        <w:rPr>
          <w:sz w:val="22"/>
          <w:szCs w:val="22"/>
          <w:lang w:val="sr-Latn-ME"/>
        </w:rPr>
        <w:t>;</w:t>
      </w:r>
    </w:p>
    <w:p w14:paraId="359AB6BC" w14:textId="77777777" w:rsidR="0064325B" w:rsidRPr="003F7E57" w:rsidRDefault="0064325B">
      <w:pPr>
        <w:tabs>
          <w:tab w:val="left" w:pos="567"/>
        </w:tabs>
        <w:jc w:val="both"/>
        <w:rPr>
          <w:sz w:val="22"/>
          <w:szCs w:val="22"/>
          <w:lang w:val="sr-Latn-ME"/>
        </w:rPr>
      </w:pPr>
      <w:r w:rsidRPr="003F7E57">
        <w:rPr>
          <w:sz w:val="22"/>
          <w:szCs w:val="22"/>
          <w:lang w:val="sr-Latn-ME"/>
        </w:rPr>
        <w:t xml:space="preserve">magnezijum </w:t>
      </w:r>
      <w:proofErr w:type="spellStart"/>
      <w:r w:rsidRPr="003F7E57">
        <w:rPr>
          <w:sz w:val="22"/>
          <w:szCs w:val="22"/>
          <w:lang w:val="sr-Latn-ME"/>
        </w:rPr>
        <w:t>stearat</w:t>
      </w:r>
      <w:proofErr w:type="spellEnd"/>
      <w:r w:rsidRPr="003F7E57">
        <w:rPr>
          <w:sz w:val="22"/>
          <w:szCs w:val="22"/>
          <w:lang w:val="sr-Latn-ME"/>
        </w:rPr>
        <w:t>.</w:t>
      </w:r>
    </w:p>
    <w:p w14:paraId="0B6126D6" w14:textId="77777777" w:rsidR="0064325B" w:rsidRPr="003F7E57" w:rsidRDefault="0064325B">
      <w:pPr>
        <w:jc w:val="both"/>
        <w:rPr>
          <w:iCs/>
          <w:sz w:val="22"/>
          <w:szCs w:val="22"/>
          <w:lang w:val="sr-Latn-ME"/>
        </w:rPr>
      </w:pPr>
    </w:p>
    <w:p w14:paraId="291B9FBC" w14:textId="77777777" w:rsidR="0064325B" w:rsidRPr="003F7E57" w:rsidRDefault="0064325B">
      <w:pPr>
        <w:tabs>
          <w:tab w:val="left" w:pos="567"/>
        </w:tabs>
        <w:jc w:val="both"/>
        <w:rPr>
          <w:b/>
          <w:iCs/>
          <w:sz w:val="22"/>
          <w:szCs w:val="22"/>
          <w:lang w:val="sr-Latn-ME"/>
        </w:rPr>
      </w:pPr>
      <w:r w:rsidRPr="003F7E57">
        <w:rPr>
          <w:b/>
          <w:iCs/>
          <w:sz w:val="22"/>
          <w:szCs w:val="22"/>
          <w:lang w:val="sr-Latn-ME"/>
        </w:rPr>
        <w:t>Omotač film tablete:</w:t>
      </w:r>
    </w:p>
    <w:p w14:paraId="23CBA76C" w14:textId="77777777" w:rsidR="0064325B" w:rsidRPr="003F7E57" w:rsidRDefault="0064325B">
      <w:pPr>
        <w:tabs>
          <w:tab w:val="left" w:pos="567"/>
        </w:tabs>
        <w:jc w:val="both"/>
        <w:rPr>
          <w:iCs/>
          <w:sz w:val="22"/>
          <w:szCs w:val="22"/>
          <w:lang w:val="sr-Latn-ME"/>
        </w:rPr>
      </w:pPr>
      <w:proofErr w:type="spellStart"/>
      <w:r w:rsidRPr="003F7E57">
        <w:rPr>
          <w:iCs/>
          <w:sz w:val="22"/>
          <w:szCs w:val="22"/>
          <w:lang w:val="sr-Latn-ME"/>
        </w:rPr>
        <w:t>hipromeloza</w:t>
      </w:r>
      <w:proofErr w:type="spellEnd"/>
      <w:r w:rsidRPr="003F7E57">
        <w:rPr>
          <w:iCs/>
          <w:sz w:val="22"/>
          <w:szCs w:val="22"/>
          <w:lang w:val="sr-Latn-ME"/>
        </w:rPr>
        <w:t>;</w:t>
      </w:r>
    </w:p>
    <w:p w14:paraId="56E28F95" w14:textId="77777777" w:rsidR="0064325B" w:rsidRPr="003F7E57" w:rsidRDefault="0064325B">
      <w:pPr>
        <w:spacing w:line="260" w:lineRule="exact"/>
        <w:ind w:right="-2"/>
        <w:jc w:val="both"/>
        <w:rPr>
          <w:sz w:val="22"/>
          <w:szCs w:val="22"/>
          <w:lang w:val="sr-Latn-ME"/>
        </w:rPr>
      </w:pPr>
      <w:r w:rsidRPr="003F7E57">
        <w:rPr>
          <w:sz w:val="22"/>
          <w:szCs w:val="22"/>
          <w:lang w:val="sr-Latn-ME"/>
        </w:rPr>
        <w:t xml:space="preserve">titan dioksid (E 171); </w:t>
      </w:r>
    </w:p>
    <w:p w14:paraId="4CAB2D8E" w14:textId="77777777" w:rsidR="0064325B" w:rsidRPr="003F7E57" w:rsidRDefault="0064325B">
      <w:pPr>
        <w:spacing w:line="260" w:lineRule="exact"/>
        <w:ind w:right="-2"/>
        <w:jc w:val="both"/>
        <w:rPr>
          <w:sz w:val="22"/>
          <w:szCs w:val="22"/>
          <w:lang w:val="sr-Latn-ME"/>
        </w:rPr>
      </w:pPr>
      <w:r w:rsidRPr="003F7E57">
        <w:rPr>
          <w:sz w:val="22"/>
          <w:szCs w:val="22"/>
          <w:lang w:val="sr-Latn-ME"/>
        </w:rPr>
        <w:t>gvožđe (III) oksid, žuti (E 172);</w:t>
      </w:r>
    </w:p>
    <w:p w14:paraId="5DFF860A" w14:textId="77777777" w:rsidR="0064325B" w:rsidRPr="003F7E57" w:rsidRDefault="0064325B">
      <w:pPr>
        <w:jc w:val="both"/>
        <w:rPr>
          <w:iCs/>
          <w:noProof/>
          <w:sz w:val="22"/>
          <w:szCs w:val="22"/>
          <w:lang w:val="sr-Latn-ME"/>
        </w:rPr>
      </w:pPr>
      <w:proofErr w:type="spellStart"/>
      <w:r w:rsidRPr="003F7E57">
        <w:rPr>
          <w:iCs/>
          <w:sz w:val="22"/>
          <w:szCs w:val="22"/>
          <w:lang w:val="sr-Latn-ME"/>
        </w:rPr>
        <w:t>makrogol</w:t>
      </w:r>
      <w:proofErr w:type="spellEnd"/>
      <w:r w:rsidRPr="003F7E57">
        <w:rPr>
          <w:iCs/>
          <w:noProof/>
          <w:sz w:val="22"/>
          <w:szCs w:val="22"/>
          <w:lang w:val="sr-Latn-ME"/>
        </w:rPr>
        <w:t xml:space="preserve"> 4000;</w:t>
      </w:r>
    </w:p>
    <w:p w14:paraId="2EC6053A" w14:textId="77777777" w:rsidR="0064325B" w:rsidRPr="003F7E57" w:rsidRDefault="0064325B">
      <w:pPr>
        <w:jc w:val="both"/>
        <w:rPr>
          <w:iCs/>
          <w:noProof/>
          <w:sz w:val="22"/>
          <w:szCs w:val="22"/>
          <w:lang w:val="sr-Latn-ME"/>
        </w:rPr>
      </w:pPr>
      <w:r w:rsidRPr="003F7E57">
        <w:rPr>
          <w:iCs/>
          <w:noProof/>
          <w:sz w:val="22"/>
          <w:szCs w:val="22"/>
          <w:lang w:val="sr-Latn-ME"/>
        </w:rPr>
        <w:t>talk.</w:t>
      </w:r>
    </w:p>
    <w:p w14:paraId="68F06853" w14:textId="77777777" w:rsidR="0064325B" w:rsidRPr="003F7E57" w:rsidRDefault="0064325B" w:rsidP="00991A59">
      <w:pPr>
        <w:tabs>
          <w:tab w:val="left" w:pos="540"/>
          <w:tab w:val="left" w:pos="569"/>
        </w:tabs>
        <w:jc w:val="both"/>
        <w:rPr>
          <w:bCs/>
          <w:sz w:val="22"/>
          <w:szCs w:val="22"/>
          <w:lang w:val="sr-Latn-ME"/>
        </w:rPr>
      </w:pPr>
    </w:p>
    <w:p w14:paraId="637F7EEB"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6.2. </w:t>
      </w:r>
      <w:r w:rsidR="00480FB1" w:rsidRPr="003F7E57">
        <w:rPr>
          <w:b/>
          <w:bCs/>
          <w:sz w:val="22"/>
          <w:szCs w:val="22"/>
          <w:lang w:val="sr-Latn-ME"/>
        </w:rPr>
        <w:tab/>
      </w:r>
      <w:r w:rsidRPr="003F7E57">
        <w:rPr>
          <w:b/>
          <w:bCs/>
          <w:sz w:val="22"/>
          <w:szCs w:val="22"/>
          <w:lang w:val="sr-Latn-ME"/>
        </w:rPr>
        <w:t>Inkompatibilnost</w:t>
      </w:r>
      <w:r w:rsidR="002846DB" w:rsidRPr="003F7E57">
        <w:rPr>
          <w:b/>
          <w:bCs/>
          <w:sz w:val="22"/>
          <w:szCs w:val="22"/>
          <w:lang w:val="sr-Latn-ME"/>
        </w:rPr>
        <w:t>i</w:t>
      </w:r>
    </w:p>
    <w:p w14:paraId="2D34E2C0" w14:textId="3E859CA7" w:rsidR="0072020E" w:rsidRPr="003F7E57" w:rsidRDefault="0072020E" w:rsidP="00991A59">
      <w:pPr>
        <w:tabs>
          <w:tab w:val="left" w:pos="540"/>
          <w:tab w:val="left" w:pos="569"/>
        </w:tabs>
        <w:jc w:val="both"/>
        <w:rPr>
          <w:bCs/>
          <w:sz w:val="22"/>
          <w:szCs w:val="22"/>
          <w:lang w:val="sr-Latn-ME"/>
        </w:rPr>
      </w:pPr>
    </w:p>
    <w:p w14:paraId="32B8311F" w14:textId="77777777" w:rsidR="0064325B" w:rsidRPr="003F7E57" w:rsidRDefault="0064325B" w:rsidP="00991A59">
      <w:pPr>
        <w:tabs>
          <w:tab w:val="left" w:pos="540"/>
          <w:tab w:val="left" w:pos="569"/>
        </w:tabs>
        <w:jc w:val="both"/>
        <w:rPr>
          <w:sz w:val="22"/>
          <w:szCs w:val="22"/>
          <w:lang w:val="sr-Latn-ME"/>
        </w:rPr>
      </w:pPr>
      <w:r w:rsidRPr="003F7E57">
        <w:rPr>
          <w:sz w:val="22"/>
          <w:szCs w:val="22"/>
          <w:lang w:val="sr-Latn-ME"/>
        </w:rPr>
        <w:t>Nije primjenljivo.</w:t>
      </w:r>
    </w:p>
    <w:p w14:paraId="26D77535" w14:textId="77777777" w:rsidR="0064325B" w:rsidRPr="003F7E57" w:rsidRDefault="0064325B" w:rsidP="00991A59">
      <w:pPr>
        <w:tabs>
          <w:tab w:val="left" w:pos="540"/>
          <w:tab w:val="left" w:pos="569"/>
        </w:tabs>
        <w:jc w:val="both"/>
        <w:rPr>
          <w:bCs/>
          <w:sz w:val="22"/>
          <w:szCs w:val="22"/>
          <w:lang w:val="sr-Latn-ME"/>
        </w:rPr>
      </w:pPr>
    </w:p>
    <w:p w14:paraId="60EBBBD6" w14:textId="50801E9E"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6.3.</w:t>
      </w:r>
      <w:r w:rsidR="00C05DF8" w:rsidRPr="003F7E57">
        <w:rPr>
          <w:b/>
          <w:bCs/>
          <w:sz w:val="22"/>
          <w:szCs w:val="22"/>
          <w:lang w:val="sr-Latn-ME"/>
        </w:rPr>
        <w:t xml:space="preserve"> </w:t>
      </w:r>
      <w:r w:rsidR="00480FB1" w:rsidRPr="003F7E57">
        <w:rPr>
          <w:b/>
          <w:bCs/>
          <w:sz w:val="22"/>
          <w:szCs w:val="22"/>
          <w:lang w:val="sr-Latn-ME"/>
        </w:rPr>
        <w:tab/>
      </w:r>
      <w:r w:rsidRPr="003F7E57">
        <w:rPr>
          <w:b/>
          <w:bCs/>
          <w:sz w:val="22"/>
          <w:szCs w:val="22"/>
          <w:lang w:val="sr-Latn-ME"/>
        </w:rPr>
        <w:t>Rok upotrebe</w:t>
      </w:r>
    </w:p>
    <w:p w14:paraId="5E238058" w14:textId="12FF8DDB" w:rsidR="0064325B" w:rsidRPr="003F7E57" w:rsidRDefault="0064325B" w:rsidP="00991A59">
      <w:pPr>
        <w:tabs>
          <w:tab w:val="left" w:pos="540"/>
          <w:tab w:val="left" w:pos="569"/>
        </w:tabs>
        <w:jc w:val="both"/>
        <w:rPr>
          <w:b/>
          <w:bCs/>
          <w:sz w:val="22"/>
          <w:szCs w:val="22"/>
          <w:lang w:val="sr-Latn-ME"/>
        </w:rPr>
      </w:pPr>
    </w:p>
    <w:p w14:paraId="0880E980" w14:textId="0EA54C29" w:rsidR="0064325B" w:rsidRPr="003F7E57" w:rsidRDefault="0064325B" w:rsidP="00CE2D38">
      <w:pPr>
        <w:pStyle w:val="Header"/>
        <w:tabs>
          <w:tab w:val="left" w:pos="284"/>
        </w:tabs>
        <w:jc w:val="both"/>
        <w:rPr>
          <w:bCs/>
          <w:sz w:val="22"/>
          <w:szCs w:val="22"/>
          <w:lang w:val="sr-Latn-ME"/>
        </w:rPr>
      </w:pPr>
      <w:r w:rsidRPr="003F7E57">
        <w:rPr>
          <w:bCs/>
          <w:sz w:val="22"/>
          <w:szCs w:val="22"/>
          <w:lang w:val="sr-Latn-ME"/>
        </w:rPr>
        <w:t>Poliamid/</w:t>
      </w:r>
      <w:r w:rsidR="00CE2D38" w:rsidRPr="003F7E57">
        <w:rPr>
          <w:bCs/>
          <w:sz w:val="22"/>
          <w:szCs w:val="22"/>
          <w:lang w:val="sr-Latn-ME"/>
        </w:rPr>
        <w:t>a</w:t>
      </w:r>
      <w:r w:rsidRPr="003F7E57">
        <w:rPr>
          <w:bCs/>
          <w:sz w:val="22"/>
          <w:szCs w:val="22"/>
          <w:lang w:val="sr-Latn-ME"/>
        </w:rPr>
        <w:t>lu/PVC/</w:t>
      </w:r>
      <w:r w:rsidR="00CE2D38" w:rsidRPr="003F7E57">
        <w:rPr>
          <w:bCs/>
          <w:sz w:val="22"/>
          <w:szCs w:val="22"/>
          <w:lang w:val="sr-Latn-ME"/>
        </w:rPr>
        <w:t>a</w:t>
      </w:r>
      <w:r w:rsidRPr="003F7E57">
        <w:rPr>
          <w:bCs/>
          <w:sz w:val="22"/>
          <w:szCs w:val="22"/>
          <w:lang w:val="sr-Latn-ME"/>
        </w:rPr>
        <w:t xml:space="preserve">lu </w:t>
      </w:r>
      <w:proofErr w:type="spellStart"/>
      <w:r w:rsidRPr="003F7E57">
        <w:rPr>
          <w:bCs/>
          <w:sz w:val="22"/>
          <w:szCs w:val="22"/>
          <w:lang w:val="sr-Latn-ME"/>
        </w:rPr>
        <w:t>blister</w:t>
      </w:r>
      <w:proofErr w:type="spellEnd"/>
      <w:r w:rsidR="000B7131" w:rsidRPr="003F7E57">
        <w:rPr>
          <w:bCs/>
          <w:sz w:val="22"/>
          <w:szCs w:val="22"/>
          <w:lang w:val="sr-Latn-ME"/>
        </w:rPr>
        <w:t>:</w:t>
      </w:r>
      <w:r w:rsidRPr="003F7E57">
        <w:rPr>
          <w:bCs/>
          <w:sz w:val="22"/>
          <w:szCs w:val="22"/>
          <w:lang w:val="sr-Latn-ME"/>
        </w:rPr>
        <w:t xml:space="preserve"> 2 godine</w:t>
      </w:r>
    </w:p>
    <w:p w14:paraId="548A8FAB" w14:textId="2F7FA8EE" w:rsidR="0064325B" w:rsidRPr="003F7E57" w:rsidRDefault="0064325B" w:rsidP="00CE2D38">
      <w:pPr>
        <w:pStyle w:val="Header"/>
        <w:tabs>
          <w:tab w:val="left" w:pos="284"/>
        </w:tabs>
        <w:jc w:val="both"/>
        <w:rPr>
          <w:sz w:val="22"/>
          <w:szCs w:val="22"/>
          <w:lang w:val="sr-Latn-ME"/>
        </w:rPr>
      </w:pPr>
      <w:proofErr w:type="spellStart"/>
      <w:r w:rsidRPr="003F7E57">
        <w:rPr>
          <w:bCs/>
          <w:sz w:val="22"/>
          <w:szCs w:val="22"/>
          <w:lang w:val="sr-Latn-ME"/>
        </w:rPr>
        <w:t>PCTFE</w:t>
      </w:r>
      <w:proofErr w:type="spellEnd"/>
      <w:r w:rsidRPr="003F7E57">
        <w:rPr>
          <w:bCs/>
          <w:sz w:val="22"/>
          <w:szCs w:val="22"/>
          <w:lang w:val="sr-Latn-ME"/>
        </w:rPr>
        <w:t>/PVC/</w:t>
      </w:r>
      <w:r w:rsidR="00CE2D38" w:rsidRPr="003F7E57">
        <w:rPr>
          <w:bCs/>
          <w:sz w:val="22"/>
          <w:szCs w:val="22"/>
          <w:lang w:val="sr-Latn-ME"/>
        </w:rPr>
        <w:t>a</w:t>
      </w:r>
      <w:r w:rsidRPr="003F7E57">
        <w:rPr>
          <w:bCs/>
          <w:sz w:val="22"/>
          <w:szCs w:val="22"/>
          <w:lang w:val="sr-Latn-ME"/>
        </w:rPr>
        <w:t xml:space="preserve">lu </w:t>
      </w:r>
      <w:proofErr w:type="spellStart"/>
      <w:r w:rsidRPr="003F7E57">
        <w:rPr>
          <w:bCs/>
          <w:sz w:val="22"/>
          <w:szCs w:val="22"/>
          <w:lang w:val="sr-Latn-ME"/>
        </w:rPr>
        <w:t>blister</w:t>
      </w:r>
      <w:proofErr w:type="spellEnd"/>
      <w:r w:rsidR="000B7131" w:rsidRPr="003F7E57">
        <w:rPr>
          <w:bCs/>
          <w:sz w:val="22"/>
          <w:szCs w:val="22"/>
          <w:lang w:val="sr-Latn-ME"/>
        </w:rPr>
        <w:t>:</w:t>
      </w:r>
      <w:r w:rsidRPr="003F7E57">
        <w:rPr>
          <w:bCs/>
          <w:sz w:val="22"/>
          <w:szCs w:val="22"/>
          <w:lang w:val="sr-Latn-ME"/>
        </w:rPr>
        <w:t xml:space="preserve"> </w:t>
      </w:r>
      <w:r w:rsidRPr="003F7E57">
        <w:rPr>
          <w:sz w:val="22"/>
          <w:szCs w:val="22"/>
          <w:lang w:val="sr-Latn-ME"/>
        </w:rPr>
        <w:t>18 mjeseci</w:t>
      </w:r>
    </w:p>
    <w:p w14:paraId="3BC78DCD" w14:textId="757F110C" w:rsidR="00CE2D38" w:rsidRPr="003F7E57" w:rsidRDefault="00CE2D38" w:rsidP="00CE2D38">
      <w:pPr>
        <w:pStyle w:val="Header"/>
        <w:tabs>
          <w:tab w:val="left" w:pos="284"/>
        </w:tabs>
        <w:rPr>
          <w:sz w:val="22"/>
          <w:szCs w:val="22"/>
          <w:lang w:val="sr-Latn-ME"/>
        </w:rPr>
      </w:pPr>
      <w:r w:rsidRPr="003F7E57">
        <w:rPr>
          <w:sz w:val="22"/>
          <w:szCs w:val="22"/>
          <w:lang w:val="sr-Latn-ME"/>
        </w:rPr>
        <w:t>PVC/</w:t>
      </w:r>
      <w:proofErr w:type="spellStart"/>
      <w:r w:rsidRPr="003F7E57">
        <w:rPr>
          <w:sz w:val="22"/>
          <w:szCs w:val="22"/>
          <w:lang w:val="sr-Latn-ME"/>
        </w:rPr>
        <w:t>PE</w:t>
      </w:r>
      <w:proofErr w:type="spellEnd"/>
      <w:r w:rsidRPr="003F7E57">
        <w:rPr>
          <w:sz w:val="22"/>
          <w:szCs w:val="22"/>
          <w:lang w:val="sr-Latn-ME"/>
        </w:rPr>
        <w:t>/</w:t>
      </w:r>
      <w:proofErr w:type="spellStart"/>
      <w:r w:rsidRPr="003F7E57">
        <w:rPr>
          <w:sz w:val="22"/>
          <w:szCs w:val="22"/>
          <w:lang w:val="sr-Latn-ME"/>
        </w:rPr>
        <w:t>PVDC</w:t>
      </w:r>
      <w:proofErr w:type="spellEnd"/>
      <w:r w:rsidRPr="003F7E57">
        <w:rPr>
          <w:sz w:val="22"/>
          <w:szCs w:val="22"/>
          <w:lang w:val="sr-Latn-ME"/>
        </w:rPr>
        <w:t xml:space="preserve">/alu </w:t>
      </w:r>
      <w:proofErr w:type="spellStart"/>
      <w:r w:rsidRPr="003F7E57">
        <w:rPr>
          <w:sz w:val="22"/>
          <w:szCs w:val="22"/>
          <w:lang w:val="sr-Latn-ME"/>
        </w:rPr>
        <w:t>blister</w:t>
      </w:r>
      <w:proofErr w:type="spellEnd"/>
      <w:r w:rsidR="000B7131" w:rsidRPr="003F7E57">
        <w:rPr>
          <w:sz w:val="22"/>
          <w:szCs w:val="22"/>
          <w:lang w:val="sr-Latn-ME"/>
        </w:rPr>
        <w:t>:</w:t>
      </w:r>
      <w:r w:rsidRPr="003F7E57">
        <w:rPr>
          <w:sz w:val="22"/>
          <w:szCs w:val="22"/>
          <w:lang w:val="sr-Latn-ME"/>
        </w:rPr>
        <w:t xml:space="preserve"> 18 mjeseci</w:t>
      </w:r>
    </w:p>
    <w:p w14:paraId="4E91E3A6" w14:textId="77777777" w:rsidR="0072020E" w:rsidRPr="003F7E57" w:rsidRDefault="0072020E" w:rsidP="00991A59">
      <w:pPr>
        <w:tabs>
          <w:tab w:val="left" w:pos="540"/>
          <w:tab w:val="left" w:pos="569"/>
        </w:tabs>
        <w:jc w:val="both"/>
        <w:rPr>
          <w:bCs/>
          <w:sz w:val="22"/>
          <w:szCs w:val="22"/>
          <w:lang w:val="sr-Latn-ME"/>
        </w:rPr>
      </w:pPr>
    </w:p>
    <w:p w14:paraId="4DD72827"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6.4. </w:t>
      </w:r>
      <w:r w:rsidR="00480FB1" w:rsidRPr="003F7E57">
        <w:rPr>
          <w:b/>
          <w:bCs/>
          <w:sz w:val="22"/>
          <w:szCs w:val="22"/>
          <w:lang w:val="sr-Latn-ME"/>
        </w:rPr>
        <w:tab/>
      </w:r>
      <w:r w:rsidRPr="003F7E57">
        <w:rPr>
          <w:b/>
          <w:bCs/>
          <w:sz w:val="22"/>
          <w:szCs w:val="22"/>
          <w:lang w:val="sr-Latn-ME"/>
        </w:rPr>
        <w:t>Posebne mjere upozorenja pri čuvanju</w:t>
      </w:r>
      <w:r w:rsidR="00F8570A" w:rsidRPr="003F7E57">
        <w:rPr>
          <w:b/>
          <w:bCs/>
          <w:sz w:val="22"/>
          <w:szCs w:val="22"/>
          <w:lang w:val="sr-Latn-ME"/>
        </w:rPr>
        <w:t xml:space="preserve"> lijeka</w:t>
      </w:r>
    </w:p>
    <w:p w14:paraId="522C39A2" w14:textId="2FABE044" w:rsidR="00EC2532" w:rsidRPr="003F7E57" w:rsidRDefault="00EC2532" w:rsidP="00991A59">
      <w:pPr>
        <w:tabs>
          <w:tab w:val="left" w:pos="540"/>
          <w:tab w:val="left" w:pos="569"/>
        </w:tabs>
        <w:jc w:val="both"/>
        <w:rPr>
          <w:bCs/>
          <w:sz w:val="22"/>
          <w:szCs w:val="22"/>
          <w:lang w:val="sr-Latn-ME"/>
        </w:rPr>
      </w:pPr>
    </w:p>
    <w:p w14:paraId="78488E85" w14:textId="32B872A2" w:rsidR="0064325B" w:rsidRPr="003F7E57" w:rsidRDefault="0064325B" w:rsidP="00CE2D38">
      <w:pPr>
        <w:jc w:val="both"/>
        <w:rPr>
          <w:sz w:val="22"/>
          <w:szCs w:val="22"/>
          <w:lang w:val="sr-Latn-ME"/>
        </w:rPr>
      </w:pPr>
      <w:r w:rsidRPr="003F7E57">
        <w:rPr>
          <w:sz w:val="22"/>
          <w:szCs w:val="22"/>
          <w:lang w:val="sr-Latn-ME"/>
        </w:rPr>
        <w:t>Čuvati na temperaturi do 30</w:t>
      </w:r>
      <w:r w:rsidRPr="003F7E57">
        <w:rPr>
          <w:sz w:val="22"/>
          <w:szCs w:val="22"/>
          <w:lang w:val="sr-Latn-ME"/>
        </w:rPr>
        <w:sym w:font="Symbol" w:char="F0B0"/>
      </w:r>
      <w:r w:rsidRPr="003F7E57">
        <w:rPr>
          <w:sz w:val="22"/>
          <w:szCs w:val="22"/>
          <w:lang w:val="sr-Latn-ME"/>
        </w:rPr>
        <w:t>C</w:t>
      </w:r>
      <w:r w:rsidR="00FF6ED5" w:rsidRPr="003F7E57">
        <w:rPr>
          <w:sz w:val="22"/>
          <w:szCs w:val="22"/>
          <w:lang w:val="sr-Latn-ME"/>
        </w:rPr>
        <w:t xml:space="preserve">, </w:t>
      </w:r>
      <w:r w:rsidRPr="003F7E57">
        <w:rPr>
          <w:sz w:val="22"/>
          <w:szCs w:val="22"/>
          <w:lang w:val="sr-Latn-ME"/>
        </w:rPr>
        <w:t>u originalnom pakovanju</w:t>
      </w:r>
      <w:r w:rsidR="00FF6ED5" w:rsidRPr="003F7E57">
        <w:rPr>
          <w:sz w:val="22"/>
          <w:szCs w:val="22"/>
          <w:lang w:val="sr-Latn-ME"/>
        </w:rPr>
        <w:t xml:space="preserve"> </w:t>
      </w:r>
      <w:r w:rsidRPr="003F7E57">
        <w:rPr>
          <w:sz w:val="22"/>
          <w:szCs w:val="22"/>
          <w:lang w:val="sr-Latn-ME"/>
        </w:rPr>
        <w:t>(</w:t>
      </w:r>
      <w:proofErr w:type="spellStart"/>
      <w:r w:rsidRPr="003F7E57">
        <w:rPr>
          <w:sz w:val="22"/>
          <w:szCs w:val="22"/>
          <w:lang w:val="sr-Latn-ME"/>
        </w:rPr>
        <w:t>blisteru</w:t>
      </w:r>
      <w:proofErr w:type="spellEnd"/>
      <w:r w:rsidRPr="003F7E57">
        <w:rPr>
          <w:sz w:val="22"/>
          <w:szCs w:val="22"/>
          <w:lang w:val="sr-Latn-ME"/>
        </w:rPr>
        <w:t>)</w:t>
      </w:r>
      <w:r w:rsidR="00FF6ED5" w:rsidRPr="003F7E57">
        <w:rPr>
          <w:sz w:val="22"/>
          <w:szCs w:val="22"/>
          <w:lang w:val="sr-Latn-ME"/>
        </w:rPr>
        <w:t>,</w:t>
      </w:r>
      <w:r w:rsidRPr="003F7E57">
        <w:rPr>
          <w:sz w:val="22"/>
          <w:szCs w:val="22"/>
          <w:lang w:val="sr-Latn-ME"/>
        </w:rPr>
        <w:t xml:space="preserve"> radi zaštite od vlage.</w:t>
      </w:r>
    </w:p>
    <w:p w14:paraId="238B6D89" w14:textId="2D1BE535" w:rsidR="00CA6FA3" w:rsidRPr="003F7E57" w:rsidRDefault="00CA6FA3" w:rsidP="00991A59">
      <w:pPr>
        <w:tabs>
          <w:tab w:val="left" w:pos="540"/>
          <w:tab w:val="left" w:pos="569"/>
        </w:tabs>
        <w:jc w:val="both"/>
        <w:rPr>
          <w:b/>
          <w:bCs/>
          <w:sz w:val="22"/>
          <w:szCs w:val="22"/>
          <w:lang w:val="sr-Latn-ME"/>
        </w:rPr>
      </w:pPr>
    </w:p>
    <w:p w14:paraId="05ABD10D" w14:textId="233AD85F"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6.5. </w:t>
      </w:r>
      <w:r w:rsidR="00480FB1" w:rsidRPr="003F7E57">
        <w:rPr>
          <w:b/>
          <w:bCs/>
          <w:sz w:val="22"/>
          <w:szCs w:val="22"/>
          <w:lang w:val="sr-Latn-ME"/>
        </w:rPr>
        <w:tab/>
      </w:r>
      <w:r w:rsidR="002846DB" w:rsidRPr="003F7E57">
        <w:rPr>
          <w:b/>
          <w:bCs/>
          <w:sz w:val="22"/>
          <w:szCs w:val="22"/>
          <w:lang w:val="sr-Latn-ME"/>
        </w:rPr>
        <w:t xml:space="preserve">Vrsta i sadržaj </w:t>
      </w:r>
      <w:r w:rsidR="00F8570A" w:rsidRPr="003F7E57">
        <w:rPr>
          <w:b/>
          <w:bCs/>
          <w:sz w:val="22"/>
          <w:szCs w:val="22"/>
          <w:lang w:val="sr-Latn-ME"/>
        </w:rPr>
        <w:t>pakovanja</w:t>
      </w:r>
      <w:r w:rsidR="00C06864" w:rsidRPr="003F7E57">
        <w:rPr>
          <w:b/>
          <w:bCs/>
          <w:sz w:val="22"/>
          <w:szCs w:val="22"/>
          <w:lang w:val="sr-Latn-ME"/>
        </w:rPr>
        <w:t xml:space="preserve"> </w:t>
      </w:r>
    </w:p>
    <w:p w14:paraId="2B7F80FE" w14:textId="5190AEC4" w:rsidR="0072020E" w:rsidRPr="003F7E57" w:rsidRDefault="0072020E" w:rsidP="00991A59">
      <w:pPr>
        <w:tabs>
          <w:tab w:val="left" w:pos="540"/>
          <w:tab w:val="left" w:pos="569"/>
        </w:tabs>
        <w:jc w:val="both"/>
        <w:rPr>
          <w:bCs/>
          <w:sz w:val="22"/>
          <w:szCs w:val="22"/>
          <w:lang w:val="sr-Latn-ME"/>
        </w:rPr>
      </w:pPr>
    </w:p>
    <w:p w14:paraId="77A1556B" w14:textId="444B21FF" w:rsidR="002A0DB6" w:rsidRPr="003F7E57" w:rsidRDefault="0064325B" w:rsidP="000B7131">
      <w:pPr>
        <w:pStyle w:val="Header"/>
        <w:jc w:val="both"/>
        <w:rPr>
          <w:bCs/>
          <w:sz w:val="22"/>
          <w:szCs w:val="22"/>
          <w:lang w:val="sr-Latn-ME"/>
        </w:rPr>
      </w:pPr>
      <w:r w:rsidRPr="003F7E57">
        <w:rPr>
          <w:bCs/>
          <w:sz w:val="22"/>
          <w:szCs w:val="22"/>
          <w:lang w:val="sr-Latn-ME"/>
        </w:rPr>
        <w:t>Unutrašnje pakovanje</w:t>
      </w:r>
      <w:r w:rsidR="00CE2D38" w:rsidRPr="003F7E57">
        <w:rPr>
          <w:bCs/>
          <w:sz w:val="22"/>
          <w:szCs w:val="22"/>
          <w:lang w:val="sr-Latn-ME"/>
        </w:rPr>
        <w:t xml:space="preserve"> je </w:t>
      </w:r>
      <w:r w:rsidRPr="003F7E57">
        <w:rPr>
          <w:bCs/>
          <w:sz w:val="22"/>
          <w:szCs w:val="22"/>
          <w:lang w:val="sr-Latn-ME"/>
        </w:rPr>
        <w:t>Poliamid/</w:t>
      </w:r>
      <w:r w:rsidR="006C28AE" w:rsidRPr="003F7E57">
        <w:rPr>
          <w:bCs/>
          <w:sz w:val="22"/>
          <w:szCs w:val="22"/>
          <w:lang w:val="sr-Latn-ME"/>
        </w:rPr>
        <w:t>a</w:t>
      </w:r>
      <w:r w:rsidRPr="003F7E57">
        <w:rPr>
          <w:bCs/>
          <w:sz w:val="22"/>
          <w:szCs w:val="22"/>
          <w:lang w:val="sr-Latn-ME"/>
        </w:rPr>
        <w:t>lu/PVC/</w:t>
      </w:r>
      <w:r w:rsidR="006C28AE" w:rsidRPr="003F7E57">
        <w:rPr>
          <w:bCs/>
          <w:sz w:val="22"/>
          <w:szCs w:val="22"/>
          <w:lang w:val="sr-Latn-ME"/>
        </w:rPr>
        <w:t>a</w:t>
      </w:r>
      <w:r w:rsidRPr="003F7E57">
        <w:rPr>
          <w:bCs/>
          <w:sz w:val="22"/>
          <w:szCs w:val="22"/>
          <w:lang w:val="sr-Latn-ME"/>
        </w:rPr>
        <w:t xml:space="preserve">lu </w:t>
      </w:r>
      <w:proofErr w:type="spellStart"/>
      <w:r w:rsidRPr="003F7E57">
        <w:rPr>
          <w:bCs/>
          <w:sz w:val="22"/>
          <w:szCs w:val="22"/>
          <w:lang w:val="sr-Latn-ME"/>
        </w:rPr>
        <w:t>blister</w:t>
      </w:r>
      <w:proofErr w:type="spellEnd"/>
      <w:r w:rsidRPr="003F7E57">
        <w:rPr>
          <w:bCs/>
          <w:sz w:val="22"/>
          <w:szCs w:val="22"/>
          <w:lang w:val="sr-Latn-ME"/>
        </w:rPr>
        <w:t xml:space="preserve"> ili </w:t>
      </w:r>
      <w:proofErr w:type="spellStart"/>
      <w:r w:rsidRPr="003F7E57">
        <w:rPr>
          <w:bCs/>
          <w:sz w:val="22"/>
          <w:szCs w:val="22"/>
          <w:lang w:val="sr-Latn-ME"/>
        </w:rPr>
        <w:t>PCTFE</w:t>
      </w:r>
      <w:proofErr w:type="spellEnd"/>
      <w:r w:rsidRPr="003F7E57">
        <w:rPr>
          <w:bCs/>
          <w:sz w:val="22"/>
          <w:szCs w:val="22"/>
          <w:lang w:val="sr-Latn-ME"/>
        </w:rPr>
        <w:t>/PVC/</w:t>
      </w:r>
      <w:r w:rsidR="006C28AE" w:rsidRPr="003F7E57">
        <w:rPr>
          <w:bCs/>
          <w:sz w:val="22"/>
          <w:szCs w:val="22"/>
          <w:lang w:val="sr-Latn-ME"/>
        </w:rPr>
        <w:t>a</w:t>
      </w:r>
      <w:r w:rsidRPr="003F7E57">
        <w:rPr>
          <w:bCs/>
          <w:sz w:val="22"/>
          <w:szCs w:val="22"/>
          <w:lang w:val="sr-Latn-ME"/>
        </w:rPr>
        <w:t xml:space="preserve">lu </w:t>
      </w:r>
      <w:proofErr w:type="spellStart"/>
      <w:r w:rsidRPr="003F7E57">
        <w:rPr>
          <w:bCs/>
          <w:sz w:val="22"/>
          <w:szCs w:val="22"/>
          <w:lang w:val="sr-Latn-ME"/>
        </w:rPr>
        <w:t>blister</w:t>
      </w:r>
      <w:proofErr w:type="spellEnd"/>
      <w:r w:rsidRPr="003F7E57">
        <w:rPr>
          <w:bCs/>
          <w:sz w:val="22"/>
          <w:szCs w:val="22"/>
          <w:lang w:val="sr-Latn-ME"/>
        </w:rPr>
        <w:t xml:space="preserve"> </w:t>
      </w:r>
      <w:r w:rsidR="00A32F43" w:rsidRPr="003F7E57">
        <w:rPr>
          <w:bCs/>
          <w:sz w:val="22"/>
          <w:szCs w:val="22"/>
          <w:lang w:val="sr-Latn-ME"/>
        </w:rPr>
        <w:t>ili PVC/</w:t>
      </w:r>
      <w:proofErr w:type="spellStart"/>
      <w:r w:rsidR="00A32F43" w:rsidRPr="003F7E57">
        <w:rPr>
          <w:bCs/>
          <w:sz w:val="22"/>
          <w:szCs w:val="22"/>
          <w:lang w:val="sr-Latn-ME"/>
        </w:rPr>
        <w:t>PE</w:t>
      </w:r>
      <w:proofErr w:type="spellEnd"/>
      <w:r w:rsidR="00A32F43" w:rsidRPr="003F7E57">
        <w:rPr>
          <w:bCs/>
          <w:sz w:val="22"/>
          <w:szCs w:val="22"/>
          <w:lang w:val="sr-Latn-ME"/>
        </w:rPr>
        <w:t>/</w:t>
      </w:r>
      <w:proofErr w:type="spellStart"/>
      <w:r w:rsidR="00A32F43" w:rsidRPr="003F7E57">
        <w:rPr>
          <w:bCs/>
          <w:sz w:val="22"/>
          <w:szCs w:val="22"/>
          <w:lang w:val="sr-Latn-ME"/>
        </w:rPr>
        <w:t>PVDC</w:t>
      </w:r>
      <w:proofErr w:type="spellEnd"/>
      <w:r w:rsidR="00A32F43" w:rsidRPr="003F7E57">
        <w:rPr>
          <w:bCs/>
          <w:sz w:val="22"/>
          <w:szCs w:val="22"/>
          <w:lang w:val="sr-Latn-ME"/>
        </w:rPr>
        <w:t xml:space="preserve">/alu </w:t>
      </w:r>
      <w:proofErr w:type="spellStart"/>
      <w:r w:rsidR="00A32F43" w:rsidRPr="003F7E57">
        <w:rPr>
          <w:bCs/>
          <w:sz w:val="22"/>
          <w:szCs w:val="22"/>
          <w:lang w:val="sr-Latn-ME"/>
        </w:rPr>
        <w:t>blister</w:t>
      </w:r>
      <w:proofErr w:type="spellEnd"/>
      <w:r w:rsidR="00A32F43" w:rsidRPr="003F7E57">
        <w:rPr>
          <w:bCs/>
          <w:sz w:val="22"/>
          <w:szCs w:val="22"/>
          <w:lang w:val="sr-Latn-ME"/>
        </w:rPr>
        <w:t xml:space="preserve"> </w:t>
      </w:r>
      <w:r w:rsidR="002A0DB6" w:rsidRPr="003F7E57">
        <w:rPr>
          <w:bCs/>
          <w:sz w:val="22"/>
          <w:szCs w:val="22"/>
          <w:lang w:val="sr-Latn-ME"/>
        </w:rPr>
        <w:t xml:space="preserve">koji sadrži </w:t>
      </w:r>
      <w:r w:rsidR="00A32F43" w:rsidRPr="003F7E57">
        <w:rPr>
          <w:bCs/>
          <w:sz w:val="22"/>
          <w:szCs w:val="22"/>
          <w:lang w:val="sr-Latn-ME"/>
        </w:rPr>
        <w:t>10 film tableta</w:t>
      </w:r>
      <w:r w:rsidRPr="003F7E57">
        <w:rPr>
          <w:bCs/>
          <w:sz w:val="22"/>
          <w:szCs w:val="22"/>
          <w:lang w:val="sr-Latn-ME"/>
        </w:rPr>
        <w:t>.</w:t>
      </w:r>
    </w:p>
    <w:p w14:paraId="37107376" w14:textId="77777777" w:rsidR="0064325B" w:rsidRPr="003F7E57" w:rsidRDefault="0064325B" w:rsidP="000B7131">
      <w:pPr>
        <w:pStyle w:val="Header"/>
        <w:jc w:val="both"/>
        <w:rPr>
          <w:bCs/>
          <w:sz w:val="22"/>
          <w:szCs w:val="22"/>
          <w:lang w:val="sr-Latn-ME"/>
        </w:rPr>
      </w:pPr>
    </w:p>
    <w:p w14:paraId="29F3336E" w14:textId="07D05C96" w:rsidR="0064325B" w:rsidRPr="003F7E57" w:rsidRDefault="0064325B" w:rsidP="000B7131">
      <w:pPr>
        <w:pStyle w:val="Header"/>
        <w:jc w:val="both"/>
        <w:rPr>
          <w:bCs/>
          <w:sz w:val="22"/>
          <w:szCs w:val="22"/>
          <w:lang w:val="sr-Latn-ME"/>
        </w:rPr>
      </w:pPr>
      <w:r w:rsidRPr="003F7E57">
        <w:rPr>
          <w:bCs/>
          <w:sz w:val="22"/>
          <w:szCs w:val="22"/>
          <w:lang w:val="sr-Latn-ME"/>
        </w:rPr>
        <w:t>Spoljašnje pakovanje</w:t>
      </w:r>
      <w:r w:rsidR="002A0DB6" w:rsidRPr="003F7E57">
        <w:rPr>
          <w:bCs/>
          <w:sz w:val="22"/>
          <w:szCs w:val="22"/>
          <w:lang w:val="sr-Latn-ME"/>
        </w:rPr>
        <w:t xml:space="preserve"> je </w:t>
      </w:r>
      <w:proofErr w:type="spellStart"/>
      <w:r w:rsidR="002A0DB6" w:rsidRPr="003F7E57">
        <w:rPr>
          <w:bCs/>
          <w:sz w:val="22"/>
          <w:szCs w:val="22"/>
          <w:lang w:val="sr-Latn-ME"/>
        </w:rPr>
        <w:t>s</w:t>
      </w:r>
      <w:r w:rsidRPr="003F7E57">
        <w:rPr>
          <w:bCs/>
          <w:sz w:val="22"/>
          <w:szCs w:val="22"/>
          <w:lang w:val="sr-Latn-ME"/>
        </w:rPr>
        <w:t>loživa</w:t>
      </w:r>
      <w:proofErr w:type="spellEnd"/>
      <w:r w:rsidRPr="003F7E57">
        <w:rPr>
          <w:bCs/>
          <w:sz w:val="22"/>
          <w:szCs w:val="22"/>
          <w:lang w:val="sr-Latn-ME"/>
        </w:rPr>
        <w:t xml:space="preserve"> kartonska kutija </w:t>
      </w:r>
      <w:r w:rsidR="002A0DB6" w:rsidRPr="003F7E57">
        <w:rPr>
          <w:bCs/>
          <w:sz w:val="22"/>
          <w:szCs w:val="22"/>
          <w:lang w:val="sr-Latn-ME"/>
        </w:rPr>
        <w:t xml:space="preserve">koja sadrži </w:t>
      </w:r>
      <w:r w:rsidRPr="003F7E57">
        <w:rPr>
          <w:bCs/>
          <w:sz w:val="22"/>
          <w:szCs w:val="22"/>
          <w:lang w:val="sr-Latn-ME"/>
        </w:rPr>
        <w:t xml:space="preserve">6 </w:t>
      </w:r>
      <w:proofErr w:type="spellStart"/>
      <w:r w:rsidRPr="003F7E57">
        <w:rPr>
          <w:bCs/>
          <w:sz w:val="22"/>
          <w:szCs w:val="22"/>
          <w:lang w:val="sr-Latn-ME"/>
        </w:rPr>
        <w:t>blistera</w:t>
      </w:r>
      <w:proofErr w:type="spellEnd"/>
      <w:r w:rsidRPr="003F7E57">
        <w:rPr>
          <w:bCs/>
          <w:sz w:val="22"/>
          <w:szCs w:val="22"/>
          <w:lang w:val="sr-Latn-ME"/>
        </w:rPr>
        <w:t xml:space="preserve"> (ukupno 60 film tableta) i Uputstvo za lijek.</w:t>
      </w:r>
    </w:p>
    <w:p w14:paraId="368D6AD9" w14:textId="77777777" w:rsidR="0064325B" w:rsidRPr="003F7E57" w:rsidRDefault="0064325B" w:rsidP="00991A59">
      <w:pPr>
        <w:tabs>
          <w:tab w:val="left" w:pos="540"/>
          <w:tab w:val="left" w:pos="569"/>
        </w:tabs>
        <w:jc w:val="both"/>
        <w:rPr>
          <w:bCs/>
          <w:sz w:val="22"/>
          <w:szCs w:val="22"/>
          <w:lang w:val="sr-Latn-ME"/>
        </w:rPr>
      </w:pPr>
    </w:p>
    <w:p w14:paraId="55845CA0" w14:textId="77777777" w:rsidR="002846DB" w:rsidRPr="003F7E57" w:rsidRDefault="0072020E" w:rsidP="00991A59">
      <w:pPr>
        <w:tabs>
          <w:tab w:val="left" w:pos="540"/>
          <w:tab w:val="left" w:pos="569"/>
        </w:tabs>
        <w:jc w:val="both"/>
        <w:rPr>
          <w:b/>
          <w:bCs/>
          <w:sz w:val="22"/>
          <w:szCs w:val="22"/>
          <w:lang w:val="sr-Latn-ME"/>
        </w:rPr>
      </w:pPr>
      <w:bookmarkStart w:id="1" w:name="_Hlk78459984"/>
      <w:r w:rsidRPr="003F7E57">
        <w:rPr>
          <w:b/>
          <w:bCs/>
          <w:sz w:val="22"/>
          <w:szCs w:val="22"/>
          <w:lang w:val="sr-Latn-ME"/>
        </w:rPr>
        <w:t xml:space="preserve">6.6. </w:t>
      </w:r>
      <w:r w:rsidR="00480FB1" w:rsidRPr="003F7E57">
        <w:rPr>
          <w:b/>
          <w:bCs/>
          <w:sz w:val="22"/>
          <w:szCs w:val="22"/>
          <w:lang w:val="sr-Latn-ME"/>
        </w:rPr>
        <w:tab/>
      </w:r>
      <w:r w:rsidRPr="003F7E57">
        <w:rPr>
          <w:b/>
          <w:bCs/>
          <w:color w:val="000000"/>
          <w:sz w:val="22"/>
          <w:szCs w:val="22"/>
          <w:lang w:val="sr-Latn-ME"/>
        </w:rPr>
        <w:t>Posebne mjere opreza pri odlaganju materijala koji treba odbaciti nakon primjene lijeka</w:t>
      </w:r>
      <w:r w:rsidRPr="003F7E57">
        <w:rPr>
          <w:b/>
          <w:bCs/>
          <w:sz w:val="22"/>
          <w:szCs w:val="22"/>
          <w:lang w:val="sr-Latn-ME"/>
        </w:rPr>
        <w:t xml:space="preserve"> </w:t>
      </w:r>
      <w:r w:rsidR="00310F03" w:rsidRPr="003F7E57">
        <w:rPr>
          <w:b/>
          <w:bCs/>
          <w:sz w:val="22"/>
          <w:szCs w:val="22"/>
          <w:lang w:val="sr-Latn-ME"/>
        </w:rPr>
        <w:t>(i druga uputs</w:t>
      </w:r>
      <w:r w:rsidR="004109FA" w:rsidRPr="003F7E57">
        <w:rPr>
          <w:b/>
          <w:bCs/>
          <w:sz w:val="22"/>
          <w:szCs w:val="22"/>
          <w:lang w:val="sr-Latn-ME"/>
        </w:rPr>
        <w:t>t</w:t>
      </w:r>
      <w:r w:rsidR="00310F03" w:rsidRPr="003F7E57">
        <w:rPr>
          <w:b/>
          <w:bCs/>
          <w:sz w:val="22"/>
          <w:szCs w:val="22"/>
          <w:lang w:val="sr-Latn-ME"/>
        </w:rPr>
        <w:t xml:space="preserve">va za rukovanje lijekom) </w:t>
      </w:r>
    </w:p>
    <w:bookmarkEnd w:id="1"/>
    <w:p w14:paraId="51E2437C" w14:textId="4575771C" w:rsidR="00B66A70" w:rsidRPr="003F7E57" w:rsidRDefault="00B66A70" w:rsidP="00991A59">
      <w:pPr>
        <w:tabs>
          <w:tab w:val="left" w:pos="540"/>
          <w:tab w:val="left" w:pos="569"/>
        </w:tabs>
        <w:jc w:val="both"/>
        <w:rPr>
          <w:b/>
          <w:bCs/>
          <w:sz w:val="22"/>
          <w:szCs w:val="22"/>
          <w:lang w:val="sr-Latn-ME"/>
        </w:rPr>
      </w:pPr>
    </w:p>
    <w:p w14:paraId="2363F661" w14:textId="4711BD76" w:rsidR="00C94B41" w:rsidRPr="003F7E57" w:rsidRDefault="00C94B41" w:rsidP="00991A59">
      <w:pPr>
        <w:tabs>
          <w:tab w:val="left" w:pos="540"/>
          <w:tab w:val="left" w:pos="569"/>
        </w:tabs>
        <w:jc w:val="both"/>
        <w:rPr>
          <w:bCs/>
          <w:sz w:val="22"/>
          <w:szCs w:val="22"/>
          <w:lang w:val="sr-Latn-ME"/>
        </w:rPr>
      </w:pPr>
      <w:proofErr w:type="spellStart"/>
      <w:r w:rsidRPr="003F7E57">
        <w:rPr>
          <w:sz w:val="22"/>
          <w:szCs w:val="22"/>
          <w:lang w:val="sr-Latn-ME"/>
        </w:rPr>
        <w:t>Neupotr</w:t>
      </w:r>
      <w:r w:rsidR="002A0DB6" w:rsidRPr="003F7E57">
        <w:rPr>
          <w:sz w:val="22"/>
          <w:szCs w:val="22"/>
          <w:lang w:val="sr-Latn-ME"/>
        </w:rPr>
        <w:t>ij</w:t>
      </w:r>
      <w:r w:rsidRPr="003F7E57">
        <w:rPr>
          <w:sz w:val="22"/>
          <w:szCs w:val="22"/>
          <w:lang w:val="sr-Latn-ME"/>
        </w:rPr>
        <w:t>ebljeni</w:t>
      </w:r>
      <w:proofErr w:type="spellEnd"/>
      <w:r w:rsidRPr="003F7E57">
        <w:rPr>
          <w:sz w:val="22"/>
          <w:szCs w:val="22"/>
          <w:lang w:val="sr-Latn-ME"/>
        </w:rPr>
        <w:t xml:space="preserve"> lijek se uništava u skladu sa važećim propisima</w:t>
      </w:r>
      <w:r w:rsidR="002A0DB6" w:rsidRPr="003F7E57">
        <w:rPr>
          <w:bCs/>
          <w:sz w:val="22"/>
          <w:szCs w:val="22"/>
          <w:lang w:val="sr-Latn-ME"/>
        </w:rPr>
        <w:t>.</w:t>
      </w:r>
    </w:p>
    <w:p w14:paraId="112C976E" w14:textId="32F47E7D" w:rsidR="00CA6FA3" w:rsidRPr="003F7E57" w:rsidRDefault="00CA6FA3" w:rsidP="00991A59">
      <w:pPr>
        <w:tabs>
          <w:tab w:val="left" w:pos="540"/>
          <w:tab w:val="left" w:pos="569"/>
        </w:tabs>
        <w:jc w:val="both"/>
        <w:rPr>
          <w:b/>
          <w:bCs/>
          <w:sz w:val="22"/>
          <w:szCs w:val="22"/>
          <w:lang w:val="sr-Latn-ME"/>
        </w:rPr>
      </w:pPr>
    </w:p>
    <w:p w14:paraId="68A54478" w14:textId="77777777" w:rsidR="000B7131" w:rsidRPr="003F7E57" w:rsidRDefault="000B7131" w:rsidP="00991A59">
      <w:pPr>
        <w:tabs>
          <w:tab w:val="left" w:pos="540"/>
          <w:tab w:val="left" w:pos="569"/>
        </w:tabs>
        <w:jc w:val="both"/>
        <w:rPr>
          <w:b/>
          <w:bCs/>
          <w:sz w:val="22"/>
          <w:szCs w:val="22"/>
          <w:lang w:val="sr-Latn-ME"/>
        </w:rPr>
      </w:pPr>
    </w:p>
    <w:p w14:paraId="74E891AA" w14:textId="36F5DD03" w:rsidR="00F8570A"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7. </w:t>
      </w:r>
      <w:r w:rsidR="00480FB1" w:rsidRPr="003F7E57">
        <w:rPr>
          <w:b/>
          <w:bCs/>
          <w:sz w:val="22"/>
          <w:szCs w:val="22"/>
          <w:lang w:val="sr-Latn-ME"/>
        </w:rPr>
        <w:tab/>
      </w:r>
      <w:r w:rsidRPr="003F7E57">
        <w:rPr>
          <w:b/>
          <w:bCs/>
          <w:sz w:val="22"/>
          <w:szCs w:val="22"/>
          <w:lang w:val="sr-Latn-ME"/>
        </w:rPr>
        <w:t>NOSILAC DOZVOLE</w:t>
      </w:r>
      <w:r w:rsidR="00483928" w:rsidRPr="003F7E57">
        <w:rPr>
          <w:b/>
          <w:bCs/>
          <w:sz w:val="22"/>
          <w:szCs w:val="22"/>
          <w:lang w:val="sr-Latn-ME"/>
        </w:rPr>
        <w:t xml:space="preserve"> </w:t>
      </w:r>
    </w:p>
    <w:p w14:paraId="2755B1CD" w14:textId="77777777" w:rsidR="00C94B41" w:rsidRPr="003F7E57" w:rsidRDefault="00C94B41" w:rsidP="00991A59">
      <w:pPr>
        <w:tabs>
          <w:tab w:val="left" w:pos="540"/>
          <w:tab w:val="left" w:pos="569"/>
        </w:tabs>
        <w:jc w:val="both"/>
        <w:rPr>
          <w:bCs/>
          <w:sz w:val="22"/>
          <w:szCs w:val="22"/>
          <w:lang w:val="sr-Latn-ME"/>
        </w:rPr>
      </w:pPr>
    </w:p>
    <w:p w14:paraId="61A164D3" w14:textId="1C38B3C3" w:rsidR="00C94B41" w:rsidRPr="003F7E57" w:rsidRDefault="00C94B41" w:rsidP="00CE2D38">
      <w:pPr>
        <w:pStyle w:val="Header"/>
        <w:jc w:val="both"/>
        <w:rPr>
          <w:sz w:val="22"/>
          <w:szCs w:val="22"/>
          <w:lang w:val="sr-Latn-ME"/>
        </w:rPr>
      </w:pPr>
      <w:r w:rsidRPr="003F7E57">
        <w:rPr>
          <w:sz w:val="22"/>
          <w:szCs w:val="22"/>
          <w:lang w:val="sr-Latn-ME"/>
        </w:rPr>
        <w:t>“</w:t>
      </w:r>
      <w:proofErr w:type="spellStart"/>
      <w:r w:rsidRPr="003F7E57">
        <w:rPr>
          <w:sz w:val="22"/>
          <w:szCs w:val="22"/>
          <w:lang w:val="sr-Latn-ME"/>
        </w:rPr>
        <w:t>Novartis</w:t>
      </w:r>
      <w:proofErr w:type="spellEnd"/>
      <w:r w:rsidRPr="003F7E57">
        <w:rPr>
          <w:sz w:val="22"/>
          <w:szCs w:val="22"/>
          <w:lang w:val="sr-Latn-ME"/>
        </w:rPr>
        <w:t xml:space="preserve"> Pharma </w:t>
      </w:r>
      <w:proofErr w:type="spellStart"/>
      <w:r w:rsidRPr="003F7E57">
        <w:rPr>
          <w:sz w:val="22"/>
          <w:szCs w:val="22"/>
          <w:lang w:val="sr-Latn-ME"/>
        </w:rPr>
        <w:t>Services</w:t>
      </w:r>
      <w:proofErr w:type="spellEnd"/>
      <w:r w:rsidRPr="003F7E57">
        <w:rPr>
          <w:sz w:val="22"/>
          <w:szCs w:val="22"/>
          <w:lang w:val="sr-Latn-ME"/>
        </w:rPr>
        <w:t xml:space="preserve"> </w:t>
      </w:r>
      <w:proofErr w:type="spellStart"/>
      <w:r w:rsidRPr="003F7E57">
        <w:rPr>
          <w:sz w:val="22"/>
          <w:szCs w:val="22"/>
          <w:lang w:val="sr-Latn-ME"/>
        </w:rPr>
        <w:t>AG</w:t>
      </w:r>
      <w:proofErr w:type="spellEnd"/>
      <w:r w:rsidRPr="003F7E57">
        <w:rPr>
          <w:sz w:val="22"/>
          <w:szCs w:val="22"/>
          <w:lang w:val="sr-Latn-ME"/>
        </w:rPr>
        <w:t>” dio stranog društva Podgorica</w:t>
      </w:r>
      <w:r w:rsidR="002A0DB6" w:rsidRPr="003F7E57">
        <w:rPr>
          <w:sz w:val="22"/>
          <w:szCs w:val="22"/>
          <w:lang w:val="sr-Latn-ME"/>
        </w:rPr>
        <w:t>,</w:t>
      </w:r>
    </w:p>
    <w:p w14:paraId="5BAE72C4" w14:textId="633C7D13" w:rsidR="00C37FD7" w:rsidRPr="003F7E57" w:rsidRDefault="00C94B41">
      <w:pPr>
        <w:tabs>
          <w:tab w:val="left" w:pos="540"/>
          <w:tab w:val="left" w:pos="569"/>
        </w:tabs>
        <w:jc w:val="both"/>
        <w:rPr>
          <w:sz w:val="22"/>
          <w:szCs w:val="22"/>
          <w:lang w:val="sr-Latn-ME"/>
        </w:rPr>
      </w:pPr>
      <w:proofErr w:type="spellStart"/>
      <w:r w:rsidRPr="003F7E57">
        <w:rPr>
          <w:sz w:val="22"/>
          <w:szCs w:val="22"/>
          <w:lang w:val="sr-Latn-ME"/>
        </w:rPr>
        <w:t>Svetlane</w:t>
      </w:r>
      <w:proofErr w:type="spellEnd"/>
      <w:r w:rsidRPr="003F7E57">
        <w:rPr>
          <w:sz w:val="22"/>
          <w:szCs w:val="22"/>
          <w:lang w:val="sr-Latn-ME"/>
        </w:rPr>
        <w:t xml:space="preserve"> Kane </w:t>
      </w:r>
      <w:proofErr w:type="spellStart"/>
      <w:r w:rsidRPr="003F7E57">
        <w:rPr>
          <w:sz w:val="22"/>
          <w:szCs w:val="22"/>
          <w:lang w:val="sr-Latn-ME"/>
        </w:rPr>
        <w:t>Radević</w:t>
      </w:r>
      <w:proofErr w:type="spellEnd"/>
      <w:r w:rsidRPr="003F7E57">
        <w:rPr>
          <w:sz w:val="22"/>
          <w:szCs w:val="22"/>
          <w:lang w:val="sr-Latn-ME"/>
        </w:rPr>
        <w:t xml:space="preserve"> 3, </w:t>
      </w:r>
      <w:r w:rsidR="002A0DB6" w:rsidRPr="003F7E57">
        <w:rPr>
          <w:sz w:val="22"/>
          <w:szCs w:val="22"/>
          <w:lang w:val="sr-Latn-ME"/>
        </w:rPr>
        <w:t xml:space="preserve">81000 </w:t>
      </w:r>
      <w:r w:rsidRPr="003F7E57">
        <w:rPr>
          <w:sz w:val="22"/>
          <w:szCs w:val="22"/>
          <w:lang w:val="sr-Latn-ME"/>
        </w:rPr>
        <w:t>Podgorica</w:t>
      </w:r>
      <w:r w:rsidR="002A0DB6" w:rsidRPr="003F7E57">
        <w:rPr>
          <w:sz w:val="22"/>
          <w:szCs w:val="22"/>
          <w:lang w:val="sr-Latn-ME"/>
        </w:rPr>
        <w:t>, Crna Gora</w:t>
      </w:r>
    </w:p>
    <w:p w14:paraId="3652DAB9" w14:textId="080347FF" w:rsidR="00C94B41" w:rsidRPr="003F7E57" w:rsidRDefault="00C94B41" w:rsidP="00991A59">
      <w:pPr>
        <w:tabs>
          <w:tab w:val="left" w:pos="540"/>
          <w:tab w:val="left" w:pos="569"/>
        </w:tabs>
        <w:jc w:val="both"/>
        <w:rPr>
          <w:bCs/>
          <w:sz w:val="22"/>
          <w:szCs w:val="22"/>
          <w:lang w:val="sr-Latn-ME"/>
        </w:rPr>
      </w:pPr>
    </w:p>
    <w:p w14:paraId="00EDBAE3" w14:textId="77777777" w:rsidR="002A0DB6" w:rsidRPr="003F7E57" w:rsidRDefault="002A0DB6" w:rsidP="00991A59">
      <w:pPr>
        <w:tabs>
          <w:tab w:val="left" w:pos="540"/>
          <w:tab w:val="left" w:pos="569"/>
        </w:tabs>
        <w:jc w:val="both"/>
        <w:rPr>
          <w:bCs/>
          <w:sz w:val="22"/>
          <w:szCs w:val="22"/>
          <w:lang w:val="sr-Latn-ME"/>
        </w:rPr>
      </w:pPr>
    </w:p>
    <w:p w14:paraId="78A41587" w14:textId="77777777" w:rsidR="005115E8" w:rsidRDefault="005115E8" w:rsidP="00991A59">
      <w:pPr>
        <w:tabs>
          <w:tab w:val="left" w:pos="540"/>
          <w:tab w:val="left" w:pos="569"/>
        </w:tabs>
        <w:jc w:val="both"/>
        <w:rPr>
          <w:b/>
          <w:bCs/>
          <w:sz w:val="22"/>
          <w:szCs w:val="22"/>
          <w:lang w:val="sr-Latn-ME"/>
        </w:rPr>
      </w:pPr>
    </w:p>
    <w:p w14:paraId="43807BC9" w14:textId="77777777" w:rsidR="005115E8" w:rsidRDefault="005115E8" w:rsidP="00991A59">
      <w:pPr>
        <w:tabs>
          <w:tab w:val="left" w:pos="540"/>
          <w:tab w:val="left" w:pos="569"/>
        </w:tabs>
        <w:jc w:val="both"/>
        <w:rPr>
          <w:b/>
          <w:bCs/>
          <w:sz w:val="22"/>
          <w:szCs w:val="22"/>
          <w:lang w:val="sr-Latn-ME"/>
        </w:rPr>
      </w:pPr>
    </w:p>
    <w:p w14:paraId="4E75B925" w14:textId="73FCC78E" w:rsidR="0072020E" w:rsidRPr="003F7E57" w:rsidRDefault="0072020E" w:rsidP="00991A59">
      <w:pPr>
        <w:tabs>
          <w:tab w:val="left" w:pos="540"/>
          <w:tab w:val="left" w:pos="569"/>
        </w:tabs>
        <w:jc w:val="both"/>
        <w:rPr>
          <w:b/>
          <w:bCs/>
          <w:sz w:val="22"/>
          <w:szCs w:val="22"/>
          <w:lang w:val="sr-Latn-ME"/>
        </w:rPr>
      </w:pPr>
      <w:bookmarkStart w:id="2" w:name="_GoBack"/>
      <w:bookmarkEnd w:id="2"/>
      <w:r w:rsidRPr="003F7E57">
        <w:rPr>
          <w:b/>
          <w:bCs/>
          <w:sz w:val="22"/>
          <w:szCs w:val="22"/>
          <w:lang w:val="sr-Latn-ME"/>
        </w:rPr>
        <w:lastRenderedPageBreak/>
        <w:t xml:space="preserve">8. </w:t>
      </w:r>
      <w:r w:rsidR="00480FB1" w:rsidRPr="003F7E57">
        <w:rPr>
          <w:b/>
          <w:bCs/>
          <w:sz w:val="22"/>
          <w:szCs w:val="22"/>
          <w:lang w:val="sr-Latn-ME"/>
        </w:rPr>
        <w:tab/>
      </w:r>
      <w:r w:rsidRPr="003F7E57">
        <w:rPr>
          <w:b/>
          <w:bCs/>
          <w:sz w:val="22"/>
          <w:szCs w:val="22"/>
          <w:lang w:val="sr-Latn-ME"/>
        </w:rPr>
        <w:t>BROJ DOZVOLE</w:t>
      </w:r>
      <w:r w:rsidR="008A6D43" w:rsidRPr="003F7E57">
        <w:rPr>
          <w:b/>
          <w:bCs/>
          <w:sz w:val="22"/>
          <w:szCs w:val="22"/>
          <w:lang w:val="sr-Latn-ME"/>
        </w:rPr>
        <w:t xml:space="preserve"> ZA STAVLJANJE LIJEKA U PROMET</w:t>
      </w:r>
    </w:p>
    <w:p w14:paraId="154CA885" w14:textId="77777777" w:rsidR="0072020E" w:rsidRPr="003F7E57" w:rsidRDefault="0072020E" w:rsidP="00991A59">
      <w:pPr>
        <w:tabs>
          <w:tab w:val="left" w:pos="540"/>
          <w:tab w:val="left" w:pos="569"/>
        </w:tabs>
        <w:jc w:val="both"/>
        <w:rPr>
          <w:bCs/>
          <w:sz w:val="22"/>
          <w:szCs w:val="22"/>
          <w:lang w:val="sr-Latn-ME"/>
        </w:rPr>
      </w:pPr>
    </w:p>
    <w:p w14:paraId="5E5CB0B9" w14:textId="446C18C0" w:rsidR="00C94B41" w:rsidRPr="003F7E57" w:rsidRDefault="00C94B41">
      <w:pPr>
        <w:pStyle w:val="Header"/>
        <w:tabs>
          <w:tab w:val="left" w:pos="284"/>
        </w:tabs>
        <w:jc w:val="both"/>
        <w:rPr>
          <w:sz w:val="22"/>
          <w:szCs w:val="22"/>
          <w:lang w:val="sr-Latn-ME"/>
        </w:rPr>
      </w:pPr>
      <w:proofErr w:type="spellStart"/>
      <w:r w:rsidRPr="003F7E57">
        <w:rPr>
          <w:sz w:val="22"/>
          <w:szCs w:val="22"/>
          <w:lang w:val="sr-Latn-ME"/>
        </w:rPr>
        <w:t>Eucreas</w:t>
      </w:r>
      <w:proofErr w:type="spellEnd"/>
      <w:r w:rsidRPr="003F7E57">
        <w:rPr>
          <w:sz w:val="22"/>
          <w:szCs w:val="22"/>
          <w:lang w:val="sr-Latn-ME"/>
        </w:rPr>
        <w:t>, film tableta, 50 mg</w:t>
      </w:r>
      <w:r w:rsidR="002A0DB6" w:rsidRPr="003F7E57">
        <w:rPr>
          <w:sz w:val="22"/>
          <w:szCs w:val="22"/>
          <w:lang w:val="sr-Latn-ME"/>
        </w:rPr>
        <w:t xml:space="preserve"> + 850 mg</w:t>
      </w:r>
      <w:r w:rsidRPr="003F7E57">
        <w:rPr>
          <w:sz w:val="22"/>
          <w:szCs w:val="22"/>
          <w:lang w:val="sr-Latn-ME"/>
        </w:rPr>
        <w:t xml:space="preserve">, </w:t>
      </w:r>
      <w:proofErr w:type="spellStart"/>
      <w:r w:rsidRPr="003F7E57">
        <w:rPr>
          <w:sz w:val="22"/>
          <w:szCs w:val="22"/>
          <w:lang w:val="sr-Latn-ME"/>
        </w:rPr>
        <w:t>blister</w:t>
      </w:r>
      <w:proofErr w:type="spellEnd"/>
      <w:r w:rsidRPr="003F7E57">
        <w:rPr>
          <w:sz w:val="22"/>
          <w:szCs w:val="22"/>
          <w:lang w:val="sr-Latn-ME"/>
        </w:rPr>
        <w:t xml:space="preserve">, </w:t>
      </w:r>
      <w:proofErr w:type="spellStart"/>
      <w:r w:rsidRPr="003F7E57">
        <w:rPr>
          <w:sz w:val="22"/>
          <w:szCs w:val="22"/>
          <w:lang w:val="sr-Latn-ME"/>
        </w:rPr>
        <w:t>6x10</w:t>
      </w:r>
      <w:proofErr w:type="spellEnd"/>
      <w:r w:rsidRPr="003F7E57">
        <w:rPr>
          <w:sz w:val="22"/>
          <w:szCs w:val="22"/>
          <w:lang w:val="sr-Latn-ME"/>
        </w:rPr>
        <w:t xml:space="preserve"> film tableta: </w:t>
      </w:r>
      <w:r w:rsidR="002923B5" w:rsidRPr="003F7E57">
        <w:rPr>
          <w:sz w:val="22"/>
          <w:szCs w:val="22"/>
          <w:lang w:val="sr-Latn-ME"/>
        </w:rPr>
        <w:t xml:space="preserve">2030/24/3637 – 7701 </w:t>
      </w:r>
    </w:p>
    <w:p w14:paraId="24F4A2E4" w14:textId="1E791876" w:rsidR="00C94B41" w:rsidRPr="003F7E57" w:rsidRDefault="00C94B41">
      <w:pPr>
        <w:pStyle w:val="Header"/>
        <w:tabs>
          <w:tab w:val="left" w:pos="284"/>
        </w:tabs>
        <w:jc w:val="both"/>
        <w:rPr>
          <w:sz w:val="22"/>
          <w:szCs w:val="22"/>
          <w:lang w:val="sr-Latn-ME"/>
        </w:rPr>
      </w:pPr>
      <w:proofErr w:type="spellStart"/>
      <w:r w:rsidRPr="003F7E57">
        <w:rPr>
          <w:sz w:val="22"/>
          <w:szCs w:val="22"/>
          <w:lang w:val="sr-Latn-ME"/>
        </w:rPr>
        <w:t>Eucreas</w:t>
      </w:r>
      <w:proofErr w:type="spellEnd"/>
      <w:r w:rsidRPr="003F7E57">
        <w:rPr>
          <w:sz w:val="22"/>
          <w:szCs w:val="22"/>
          <w:lang w:val="sr-Latn-ME"/>
        </w:rPr>
        <w:t>, film tableta, 50 mg</w:t>
      </w:r>
      <w:r w:rsidR="002A0DB6" w:rsidRPr="003F7E57">
        <w:rPr>
          <w:sz w:val="22"/>
          <w:szCs w:val="22"/>
          <w:lang w:val="sr-Latn-ME"/>
        </w:rPr>
        <w:t xml:space="preserve"> + 1000 mg,</w:t>
      </w:r>
      <w:r w:rsidRPr="003F7E57">
        <w:rPr>
          <w:sz w:val="22"/>
          <w:szCs w:val="22"/>
          <w:lang w:val="sr-Latn-ME"/>
        </w:rPr>
        <w:t xml:space="preserve"> </w:t>
      </w:r>
      <w:proofErr w:type="spellStart"/>
      <w:r w:rsidRPr="003F7E57">
        <w:rPr>
          <w:sz w:val="22"/>
          <w:szCs w:val="22"/>
          <w:lang w:val="sr-Latn-ME"/>
        </w:rPr>
        <w:t>blister</w:t>
      </w:r>
      <w:proofErr w:type="spellEnd"/>
      <w:r w:rsidRPr="003F7E57">
        <w:rPr>
          <w:sz w:val="22"/>
          <w:szCs w:val="22"/>
          <w:lang w:val="sr-Latn-ME"/>
        </w:rPr>
        <w:t xml:space="preserve">, </w:t>
      </w:r>
      <w:proofErr w:type="spellStart"/>
      <w:r w:rsidRPr="003F7E57">
        <w:rPr>
          <w:sz w:val="22"/>
          <w:szCs w:val="22"/>
          <w:lang w:val="sr-Latn-ME"/>
        </w:rPr>
        <w:t>6x10</w:t>
      </w:r>
      <w:proofErr w:type="spellEnd"/>
      <w:r w:rsidRPr="003F7E57">
        <w:rPr>
          <w:sz w:val="22"/>
          <w:szCs w:val="22"/>
          <w:lang w:val="sr-Latn-ME"/>
        </w:rPr>
        <w:t xml:space="preserve"> film tableta: </w:t>
      </w:r>
      <w:r w:rsidR="003F7E57" w:rsidRPr="003F7E57">
        <w:rPr>
          <w:sz w:val="22"/>
          <w:szCs w:val="22"/>
          <w:lang w:val="sr-Latn-ME"/>
        </w:rPr>
        <w:t xml:space="preserve">2030/24/3638 – 7702 </w:t>
      </w:r>
    </w:p>
    <w:p w14:paraId="38E9B542" w14:textId="49669006" w:rsidR="00F45F77" w:rsidRPr="003F7E57" w:rsidRDefault="00F45F77" w:rsidP="00991A59">
      <w:pPr>
        <w:tabs>
          <w:tab w:val="left" w:pos="540"/>
          <w:tab w:val="left" w:pos="569"/>
        </w:tabs>
        <w:jc w:val="both"/>
        <w:rPr>
          <w:bCs/>
          <w:sz w:val="22"/>
          <w:szCs w:val="22"/>
          <w:lang w:val="sr-Latn-ME"/>
        </w:rPr>
      </w:pPr>
    </w:p>
    <w:p w14:paraId="7EB00920" w14:textId="77777777" w:rsidR="002A0DB6" w:rsidRPr="003F7E57" w:rsidRDefault="002A0DB6" w:rsidP="00991A59">
      <w:pPr>
        <w:tabs>
          <w:tab w:val="left" w:pos="540"/>
          <w:tab w:val="left" w:pos="569"/>
        </w:tabs>
        <w:jc w:val="both"/>
        <w:rPr>
          <w:bCs/>
          <w:sz w:val="22"/>
          <w:szCs w:val="22"/>
          <w:lang w:val="sr-Latn-ME"/>
        </w:rPr>
      </w:pPr>
    </w:p>
    <w:p w14:paraId="78DB6EA1" w14:textId="77777777" w:rsidR="0072020E" w:rsidRPr="003F7E57" w:rsidRDefault="0072020E" w:rsidP="00991A59">
      <w:pPr>
        <w:tabs>
          <w:tab w:val="left" w:pos="540"/>
          <w:tab w:val="left" w:pos="569"/>
        </w:tabs>
        <w:jc w:val="both"/>
        <w:rPr>
          <w:b/>
          <w:bCs/>
          <w:sz w:val="22"/>
          <w:szCs w:val="22"/>
          <w:lang w:val="sr-Latn-ME"/>
        </w:rPr>
      </w:pPr>
      <w:r w:rsidRPr="003F7E57">
        <w:rPr>
          <w:b/>
          <w:bCs/>
          <w:sz w:val="22"/>
          <w:szCs w:val="22"/>
          <w:lang w:val="sr-Latn-ME"/>
        </w:rPr>
        <w:t xml:space="preserve">9. </w:t>
      </w:r>
      <w:r w:rsidR="00480FB1" w:rsidRPr="003F7E57">
        <w:rPr>
          <w:b/>
          <w:bCs/>
          <w:sz w:val="22"/>
          <w:szCs w:val="22"/>
          <w:lang w:val="sr-Latn-ME"/>
        </w:rPr>
        <w:tab/>
      </w:r>
      <w:r w:rsidRPr="003F7E57">
        <w:rPr>
          <w:b/>
          <w:bCs/>
          <w:sz w:val="22"/>
          <w:szCs w:val="22"/>
          <w:lang w:val="sr-Latn-ME"/>
        </w:rPr>
        <w:t xml:space="preserve">DATUM </w:t>
      </w:r>
      <w:r w:rsidR="00C05DF8" w:rsidRPr="003F7E57">
        <w:rPr>
          <w:b/>
          <w:bCs/>
          <w:sz w:val="22"/>
          <w:szCs w:val="22"/>
          <w:lang w:val="sr-Latn-ME"/>
        </w:rPr>
        <w:t xml:space="preserve">PRVE </w:t>
      </w:r>
      <w:r w:rsidR="008A6D43" w:rsidRPr="003F7E57">
        <w:rPr>
          <w:b/>
          <w:bCs/>
          <w:sz w:val="22"/>
          <w:szCs w:val="22"/>
          <w:lang w:val="sr-Latn-ME"/>
        </w:rPr>
        <w:t>DOZVOLE</w:t>
      </w:r>
      <w:r w:rsidR="00C05DF8" w:rsidRPr="003F7E57">
        <w:rPr>
          <w:b/>
          <w:bCs/>
          <w:sz w:val="22"/>
          <w:szCs w:val="22"/>
          <w:lang w:val="sr-Latn-ME"/>
        </w:rPr>
        <w:t>/OBNOVE DOZVOLE</w:t>
      </w:r>
      <w:r w:rsidR="008A6D43" w:rsidRPr="003F7E57">
        <w:rPr>
          <w:b/>
          <w:bCs/>
          <w:sz w:val="22"/>
          <w:szCs w:val="22"/>
          <w:lang w:val="sr-Latn-ME"/>
        </w:rPr>
        <w:t xml:space="preserve"> ZA STAVLJANJE LIJEKA U PROMET</w:t>
      </w:r>
    </w:p>
    <w:p w14:paraId="15300589" w14:textId="77777777" w:rsidR="0072020E" w:rsidRPr="003F7E57" w:rsidRDefault="0072020E" w:rsidP="00991A59">
      <w:pPr>
        <w:tabs>
          <w:tab w:val="left" w:pos="540"/>
          <w:tab w:val="left" w:pos="569"/>
        </w:tabs>
        <w:jc w:val="both"/>
        <w:rPr>
          <w:bCs/>
          <w:sz w:val="22"/>
          <w:szCs w:val="22"/>
          <w:lang w:val="sr-Latn-ME"/>
        </w:rPr>
      </w:pPr>
    </w:p>
    <w:p w14:paraId="183C8C17" w14:textId="57B1A42C" w:rsidR="00C94B41" w:rsidRPr="003F7E57" w:rsidRDefault="002A0DB6" w:rsidP="00CE2D38">
      <w:pPr>
        <w:pStyle w:val="Header"/>
        <w:tabs>
          <w:tab w:val="left" w:pos="284"/>
        </w:tabs>
        <w:jc w:val="both"/>
        <w:rPr>
          <w:sz w:val="22"/>
          <w:szCs w:val="22"/>
          <w:lang w:val="sr-Latn-ME"/>
        </w:rPr>
      </w:pPr>
      <w:r w:rsidRPr="003F7E57">
        <w:rPr>
          <w:sz w:val="22"/>
          <w:szCs w:val="22"/>
          <w:lang w:val="sr-Latn-ME"/>
        </w:rPr>
        <w:t xml:space="preserve">Datum prve dozvole: </w:t>
      </w:r>
      <w:r w:rsidR="00C94B41" w:rsidRPr="003F7E57">
        <w:rPr>
          <w:sz w:val="22"/>
          <w:szCs w:val="22"/>
          <w:lang w:val="sr-Latn-ME"/>
        </w:rPr>
        <w:t>17.04.2015. godine</w:t>
      </w:r>
    </w:p>
    <w:p w14:paraId="38D9AB6F" w14:textId="1C18D85A" w:rsidR="002923B5" w:rsidRPr="003F7E57" w:rsidRDefault="002A0DB6" w:rsidP="002923B5">
      <w:pPr>
        <w:pStyle w:val="Header"/>
        <w:tabs>
          <w:tab w:val="left" w:pos="284"/>
        </w:tabs>
        <w:jc w:val="both"/>
        <w:rPr>
          <w:sz w:val="22"/>
          <w:szCs w:val="22"/>
          <w:lang w:val="sr-Latn-ME"/>
        </w:rPr>
      </w:pPr>
      <w:r w:rsidRPr="003F7E57">
        <w:rPr>
          <w:sz w:val="22"/>
          <w:szCs w:val="22"/>
          <w:lang w:val="sr-Latn-ME"/>
        </w:rPr>
        <w:t>Datum posljednje obnove dozvole:</w:t>
      </w:r>
      <w:r w:rsidR="002923B5" w:rsidRPr="003F7E57">
        <w:rPr>
          <w:sz w:val="22"/>
          <w:szCs w:val="22"/>
          <w:lang w:val="sr-Latn-ME"/>
        </w:rPr>
        <w:t xml:space="preserve"> 08.07.2024. godine</w:t>
      </w:r>
    </w:p>
    <w:p w14:paraId="48B4A188" w14:textId="54F40D77" w:rsidR="002A0DB6" w:rsidRPr="003F7E57" w:rsidRDefault="002A0DB6">
      <w:pPr>
        <w:pStyle w:val="Header"/>
        <w:tabs>
          <w:tab w:val="left" w:pos="284"/>
        </w:tabs>
        <w:jc w:val="both"/>
        <w:rPr>
          <w:sz w:val="22"/>
          <w:szCs w:val="22"/>
          <w:lang w:val="sr-Latn-ME"/>
        </w:rPr>
      </w:pPr>
    </w:p>
    <w:p w14:paraId="6E5113BC" w14:textId="44BF3FE9" w:rsidR="00836B35" w:rsidRPr="003F7E57" w:rsidRDefault="00836B35" w:rsidP="00991A59">
      <w:pPr>
        <w:tabs>
          <w:tab w:val="left" w:pos="540"/>
          <w:tab w:val="left" w:pos="569"/>
        </w:tabs>
        <w:jc w:val="both"/>
        <w:rPr>
          <w:bCs/>
          <w:sz w:val="22"/>
          <w:szCs w:val="22"/>
          <w:lang w:val="sr-Latn-ME"/>
        </w:rPr>
      </w:pPr>
    </w:p>
    <w:p w14:paraId="376F11A0" w14:textId="77777777" w:rsidR="003F6A59" w:rsidRPr="003F7E57" w:rsidRDefault="0072020E" w:rsidP="00991A59">
      <w:pPr>
        <w:tabs>
          <w:tab w:val="left" w:pos="540"/>
          <w:tab w:val="left" w:pos="569"/>
        </w:tabs>
        <w:ind w:left="540" w:hanging="540"/>
        <w:jc w:val="both"/>
        <w:rPr>
          <w:bCs/>
          <w:sz w:val="22"/>
          <w:szCs w:val="22"/>
          <w:lang w:val="sr-Latn-ME"/>
        </w:rPr>
      </w:pPr>
      <w:r w:rsidRPr="003F7E57">
        <w:rPr>
          <w:b/>
          <w:bCs/>
          <w:sz w:val="22"/>
          <w:szCs w:val="22"/>
          <w:lang w:val="sr-Latn-ME"/>
        </w:rPr>
        <w:t xml:space="preserve">10. </w:t>
      </w:r>
      <w:r w:rsidR="00480FB1" w:rsidRPr="003F7E57">
        <w:rPr>
          <w:b/>
          <w:bCs/>
          <w:sz w:val="22"/>
          <w:szCs w:val="22"/>
          <w:lang w:val="sr-Latn-ME"/>
        </w:rPr>
        <w:tab/>
      </w:r>
      <w:r w:rsidR="002846DB" w:rsidRPr="003F7E57">
        <w:rPr>
          <w:b/>
          <w:bCs/>
          <w:sz w:val="22"/>
          <w:szCs w:val="22"/>
          <w:lang w:val="sr-Latn-ME"/>
        </w:rPr>
        <w:t>D</w:t>
      </w:r>
      <w:r w:rsidR="00EC2532" w:rsidRPr="003F7E57">
        <w:rPr>
          <w:b/>
          <w:bCs/>
          <w:sz w:val="22"/>
          <w:szCs w:val="22"/>
          <w:lang w:val="sr-Latn-ME"/>
        </w:rPr>
        <w:t xml:space="preserve">ATUM REVIZIJE TEKSTA </w:t>
      </w:r>
    </w:p>
    <w:p w14:paraId="3B040A8E" w14:textId="77777777" w:rsidR="003F6A59" w:rsidRPr="003F7E57" w:rsidRDefault="003F6A59" w:rsidP="00991A59">
      <w:pPr>
        <w:tabs>
          <w:tab w:val="left" w:pos="540"/>
          <w:tab w:val="left" w:pos="569"/>
        </w:tabs>
        <w:jc w:val="both"/>
        <w:rPr>
          <w:bCs/>
          <w:sz w:val="22"/>
          <w:szCs w:val="22"/>
          <w:lang w:val="sr-Latn-ME"/>
        </w:rPr>
      </w:pPr>
    </w:p>
    <w:p w14:paraId="7B872E6B" w14:textId="46C9E1D6" w:rsidR="00C94B41" w:rsidRPr="003F7E57" w:rsidRDefault="002923B5" w:rsidP="00991A59">
      <w:pPr>
        <w:tabs>
          <w:tab w:val="left" w:pos="540"/>
          <w:tab w:val="left" w:pos="569"/>
        </w:tabs>
        <w:jc w:val="both"/>
        <w:rPr>
          <w:bCs/>
          <w:sz w:val="22"/>
          <w:szCs w:val="22"/>
          <w:lang w:val="sr-Latn-ME"/>
        </w:rPr>
      </w:pPr>
      <w:r w:rsidRPr="003F7E57">
        <w:rPr>
          <w:bCs/>
          <w:sz w:val="22"/>
          <w:szCs w:val="22"/>
          <w:lang w:val="sr-Latn-ME"/>
        </w:rPr>
        <w:t>Jul, 2024. godine</w:t>
      </w:r>
    </w:p>
    <w:sectPr w:rsidR="00C94B41" w:rsidRPr="003F7E5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9CE1" w14:textId="77777777" w:rsidR="00B46768" w:rsidRDefault="00B46768">
      <w:r>
        <w:separator/>
      </w:r>
    </w:p>
  </w:endnote>
  <w:endnote w:type="continuationSeparator" w:id="0">
    <w:p w14:paraId="622E6182" w14:textId="77777777" w:rsidR="00B46768" w:rsidRDefault="00B4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E18B8" w14:textId="505CBB82" w:rsidR="007A2CE8" w:rsidRPr="00B23F69" w:rsidRDefault="007A2CE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115E8">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115E8">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AADF" w14:textId="77777777" w:rsidR="00B46768" w:rsidRDefault="00B46768">
      <w:r>
        <w:separator/>
      </w:r>
    </w:p>
  </w:footnote>
  <w:footnote w:type="continuationSeparator" w:id="0">
    <w:p w14:paraId="07257716" w14:textId="77777777" w:rsidR="00B46768" w:rsidRDefault="00B4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75pt;height:11.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93CE4"/>
    <w:multiLevelType w:val="hybridMultilevel"/>
    <w:tmpl w:val="DEA057DA"/>
    <w:lvl w:ilvl="0" w:tplc="A77A5DEA">
      <w:start w:val="1"/>
      <w:numFmt w:val="bullet"/>
      <w:lvlText w:val=""/>
      <w:lvlJc w:val="left"/>
      <w:pPr>
        <w:tabs>
          <w:tab w:val="num" w:pos="360"/>
        </w:tabs>
        <w:ind w:left="360" w:hanging="360"/>
      </w:pPr>
      <w:rPr>
        <w:rFonts w:ascii="Symbol" w:hAnsi="Symbol" w:cs="Times New Roman" w:hint="default"/>
        <w:color w:val="auto"/>
      </w:rPr>
    </w:lvl>
    <w:lvl w:ilvl="1" w:tplc="3ABED4D8">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BC3719"/>
    <w:multiLevelType w:val="hybridMultilevel"/>
    <w:tmpl w:val="F6F4728A"/>
    <w:lvl w:ilvl="0" w:tplc="A77A5DEA">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2"/>
  </w:num>
  <w:num w:numId="5">
    <w:abstractNumId w:val="4"/>
  </w:num>
  <w:num w:numId="6">
    <w:abstractNumId w:val="1"/>
  </w:num>
  <w:num w:numId="7">
    <w:abstractNumId w:val="10"/>
  </w:num>
  <w:num w:numId="8">
    <w:abstractNumId w:val="3"/>
  </w:num>
  <w:num w:numId="9">
    <w:abstractNumId w:val="6"/>
  </w:num>
  <w:num w:numId="10">
    <w:abstractNumId w:val="15"/>
  </w:num>
  <w:num w:numId="11">
    <w:abstractNumId w:val="5"/>
  </w:num>
  <w:num w:numId="12">
    <w:abstractNumId w:val="9"/>
  </w:num>
  <w:num w:numId="13">
    <w:abstractNumId w:val="13"/>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B7131"/>
    <w:rsid w:val="000D2343"/>
    <w:rsid w:val="000D3449"/>
    <w:rsid w:val="000D425A"/>
    <w:rsid w:val="000D60CC"/>
    <w:rsid w:val="000E2084"/>
    <w:rsid w:val="000E6F55"/>
    <w:rsid w:val="000F6D08"/>
    <w:rsid w:val="000F77FA"/>
    <w:rsid w:val="00107BF7"/>
    <w:rsid w:val="00124845"/>
    <w:rsid w:val="00126F53"/>
    <w:rsid w:val="0014766D"/>
    <w:rsid w:val="00152364"/>
    <w:rsid w:val="001536CC"/>
    <w:rsid w:val="00161A04"/>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923B5"/>
    <w:rsid w:val="002A0DB6"/>
    <w:rsid w:val="002B216B"/>
    <w:rsid w:val="002C05D5"/>
    <w:rsid w:val="002C6637"/>
    <w:rsid w:val="002E0135"/>
    <w:rsid w:val="002E37A5"/>
    <w:rsid w:val="00310F03"/>
    <w:rsid w:val="003247D2"/>
    <w:rsid w:val="00341B19"/>
    <w:rsid w:val="003445C1"/>
    <w:rsid w:val="00355B61"/>
    <w:rsid w:val="00362686"/>
    <w:rsid w:val="00371510"/>
    <w:rsid w:val="003845F6"/>
    <w:rsid w:val="00396DFD"/>
    <w:rsid w:val="003A7059"/>
    <w:rsid w:val="003B56E8"/>
    <w:rsid w:val="003B7A36"/>
    <w:rsid w:val="003C17AB"/>
    <w:rsid w:val="003C3491"/>
    <w:rsid w:val="003C7823"/>
    <w:rsid w:val="003E1DCC"/>
    <w:rsid w:val="003F11A1"/>
    <w:rsid w:val="003F6A59"/>
    <w:rsid w:val="003F7E57"/>
    <w:rsid w:val="004065C8"/>
    <w:rsid w:val="004109FA"/>
    <w:rsid w:val="00411B4B"/>
    <w:rsid w:val="00413051"/>
    <w:rsid w:val="00415BEE"/>
    <w:rsid w:val="00427F85"/>
    <w:rsid w:val="00436F42"/>
    <w:rsid w:val="0043767B"/>
    <w:rsid w:val="004378B4"/>
    <w:rsid w:val="00451314"/>
    <w:rsid w:val="00452E9D"/>
    <w:rsid w:val="004534C7"/>
    <w:rsid w:val="004671AA"/>
    <w:rsid w:val="00480FB1"/>
    <w:rsid w:val="00483928"/>
    <w:rsid w:val="004C331F"/>
    <w:rsid w:val="004D6103"/>
    <w:rsid w:val="004E3BCE"/>
    <w:rsid w:val="004E70AD"/>
    <w:rsid w:val="004F0E97"/>
    <w:rsid w:val="00501DD1"/>
    <w:rsid w:val="005115E8"/>
    <w:rsid w:val="00515C21"/>
    <w:rsid w:val="00522F79"/>
    <w:rsid w:val="00530BD7"/>
    <w:rsid w:val="00545CD2"/>
    <w:rsid w:val="005476F3"/>
    <w:rsid w:val="00571AA4"/>
    <w:rsid w:val="00572527"/>
    <w:rsid w:val="00573E40"/>
    <w:rsid w:val="00575CB7"/>
    <w:rsid w:val="00576348"/>
    <w:rsid w:val="005A0B2E"/>
    <w:rsid w:val="005A23D2"/>
    <w:rsid w:val="005A36CB"/>
    <w:rsid w:val="005B49B8"/>
    <w:rsid w:val="005C0741"/>
    <w:rsid w:val="005C5EF4"/>
    <w:rsid w:val="005E2E0B"/>
    <w:rsid w:val="005E7A7D"/>
    <w:rsid w:val="00602457"/>
    <w:rsid w:val="0064325B"/>
    <w:rsid w:val="00644FC3"/>
    <w:rsid w:val="00646BD1"/>
    <w:rsid w:val="006561C2"/>
    <w:rsid w:val="00671CB3"/>
    <w:rsid w:val="00674BAF"/>
    <w:rsid w:val="00682200"/>
    <w:rsid w:val="00692BF6"/>
    <w:rsid w:val="006A1497"/>
    <w:rsid w:val="006B039A"/>
    <w:rsid w:val="006B0BD1"/>
    <w:rsid w:val="006B5404"/>
    <w:rsid w:val="006C28AE"/>
    <w:rsid w:val="006D20A5"/>
    <w:rsid w:val="006D37BF"/>
    <w:rsid w:val="00702891"/>
    <w:rsid w:val="00702E22"/>
    <w:rsid w:val="0072020E"/>
    <w:rsid w:val="00731F8A"/>
    <w:rsid w:val="0075476C"/>
    <w:rsid w:val="0077422D"/>
    <w:rsid w:val="00776169"/>
    <w:rsid w:val="00780614"/>
    <w:rsid w:val="00786071"/>
    <w:rsid w:val="007A2123"/>
    <w:rsid w:val="007A2272"/>
    <w:rsid w:val="007A2CE8"/>
    <w:rsid w:val="007A3ECB"/>
    <w:rsid w:val="007D7BB3"/>
    <w:rsid w:val="00806C70"/>
    <w:rsid w:val="00824AB9"/>
    <w:rsid w:val="00830F94"/>
    <w:rsid w:val="00836B35"/>
    <w:rsid w:val="00843BDE"/>
    <w:rsid w:val="0087588C"/>
    <w:rsid w:val="0089705C"/>
    <w:rsid w:val="008978C8"/>
    <w:rsid w:val="008A225A"/>
    <w:rsid w:val="008A6D43"/>
    <w:rsid w:val="008B491E"/>
    <w:rsid w:val="008C1A28"/>
    <w:rsid w:val="008C2E98"/>
    <w:rsid w:val="008E49BD"/>
    <w:rsid w:val="008E53E9"/>
    <w:rsid w:val="008E5771"/>
    <w:rsid w:val="008F4ACF"/>
    <w:rsid w:val="0091202D"/>
    <w:rsid w:val="00916DD6"/>
    <w:rsid w:val="00924166"/>
    <w:rsid w:val="00940B9B"/>
    <w:rsid w:val="0095676E"/>
    <w:rsid w:val="00956983"/>
    <w:rsid w:val="00963CF0"/>
    <w:rsid w:val="00964BB1"/>
    <w:rsid w:val="00976E8D"/>
    <w:rsid w:val="009775D9"/>
    <w:rsid w:val="00991A59"/>
    <w:rsid w:val="00997175"/>
    <w:rsid w:val="009972F4"/>
    <w:rsid w:val="009A1847"/>
    <w:rsid w:val="009B062A"/>
    <w:rsid w:val="009E7C6F"/>
    <w:rsid w:val="009F1793"/>
    <w:rsid w:val="009F2D23"/>
    <w:rsid w:val="00A01D69"/>
    <w:rsid w:val="00A02335"/>
    <w:rsid w:val="00A32F43"/>
    <w:rsid w:val="00A4051E"/>
    <w:rsid w:val="00A42C24"/>
    <w:rsid w:val="00A46C9A"/>
    <w:rsid w:val="00A619F3"/>
    <w:rsid w:val="00A62A73"/>
    <w:rsid w:val="00A754D0"/>
    <w:rsid w:val="00A87FF6"/>
    <w:rsid w:val="00AA0A3B"/>
    <w:rsid w:val="00AA2763"/>
    <w:rsid w:val="00AA33B6"/>
    <w:rsid w:val="00AB50CA"/>
    <w:rsid w:val="00AB6D64"/>
    <w:rsid w:val="00AC53CE"/>
    <w:rsid w:val="00AD2193"/>
    <w:rsid w:val="00AF2AC7"/>
    <w:rsid w:val="00AF74CE"/>
    <w:rsid w:val="00B208DB"/>
    <w:rsid w:val="00B23F69"/>
    <w:rsid w:val="00B46768"/>
    <w:rsid w:val="00B60619"/>
    <w:rsid w:val="00B66A70"/>
    <w:rsid w:val="00B67366"/>
    <w:rsid w:val="00B80EE1"/>
    <w:rsid w:val="00B84135"/>
    <w:rsid w:val="00C04D34"/>
    <w:rsid w:val="00C05DF8"/>
    <w:rsid w:val="00C06864"/>
    <w:rsid w:val="00C10CDE"/>
    <w:rsid w:val="00C10F54"/>
    <w:rsid w:val="00C12FF9"/>
    <w:rsid w:val="00C23D8D"/>
    <w:rsid w:val="00C37AA3"/>
    <w:rsid w:val="00C37FD7"/>
    <w:rsid w:val="00C43419"/>
    <w:rsid w:val="00C44CF3"/>
    <w:rsid w:val="00C61BE0"/>
    <w:rsid w:val="00C6707E"/>
    <w:rsid w:val="00C70B0E"/>
    <w:rsid w:val="00C773CA"/>
    <w:rsid w:val="00C83785"/>
    <w:rsid w:val="00C94B41"/>
    <w:rsid w:val="00C94C0D"/>
    <w:rsid w:val="00CA1FEB"/>
    <w:rsid w:val="00CA6FA3"/>
    <w:rsid w:val="00CD28F0"/>
    <w:rsid w:val="00CD4F85"/>
    <w:rsid w:val="00CD6F02"/>
    <w:rsid w:val="00CE108B"/>
    <w:rsid w:val="00CE246D"/>
    <w:rsid w:val="00CE2D38"/>
    <w:rsid w:val="00CF07A0"/>
    <w:rsid w:val="00CF3E03"/>
    <w:rsid w:val="00CF5C69"/>
    <w:rsid w:val="00D0082A"/>
    <w:rsid w:val="00D21455"/>
    <w:rsid w:val="00D47634"/>
    <w:rsid w:val="00D56654"/>
    <w:rsid w:val="00D6147E"/>
    <w:rsid w:val="00D709B3"/>
    <w:rsid w:val="00DA2ED6"/>
    <w:rsid w:val="00DB76B8"/>
    <w:rsid w:val="00DC2EA1"/>
    <w:rsid w:val="00DC4254"/>
    <w:rsid w:val="00DD6AAF"/>
    <w:rsid w:val="00DE3F5C"/>
    <w:rsid w:val="00DF1D20"/>
    <w:rsid w:val="00E21324"/>
    <w:rsid w:val="00E246B9"/>
    <w:rsid w:val="00E31FEA"/>
    <w:rsid w:val="00E45169"/>
    <w:rsid w:val="00E47787"/>
    <w:rsid w:val="00E51C30"/>
    <w:rsid w:val="00E64180"/>
    <w:rsid w:val="00E74AEE"/>
    <w:rsid w:val="00E74FDC"/>
    <w:rsid w:val="00E868E5"/>
    <w:rsid w:val="00E9237A"/>
    <w:rsid w:val="00E939FA"/>
    <w:rsid w:val="00EA5765"/>
    <w:rsid w:val="00EC2532"/>
    <w:rsid w:val="00ED00A1"/>
    <w:rsid w:val="00ED7812"/>
    <w:rsid w:val="00EF3B86"/>
    <w:rsid w:val="00F317E9"/>
    <w:rsid w:val="00F34554"/>
    <w:rsid w:val="00F45F77"/>
    <w:rsid w:val="00F5167F"/>
    <w:rsid w:val="00F52258"/>
    <w:rsid w:val="00F803AA"/>
    <w:rsid w:val="00F8570A"/>
    <w:rsid w:val="00F91C7B"/>
    <w:rsid w:val="00FC7081"/>
    <w:rsid w:val="00FF5F82"/>
    <w:rsid w:val="00FF6ED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D7186"/>
  <w15:docId w15:val="{B1173A20-7ABE-4B54-9756-75432673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DE"/>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uiPriority w:val="99"/>
    <w:rsid w:val="00ED00A1"/>
    <w:rPr>
      <w:sz w:val="24"/>
      <w:szCs w:val="24"/>
      <w:lang w:val="en-US" w:eastAsia="en-US"/>
    </w:rPr>
  </w:style>
  <w:style w:type="paragraph" w:styleId="ListParagraph">
    <w:name w:val="List Paragraph"/>
    <w:basedOn w:val="Normal"/>
    <w:uiPriority w:val="34"/>
    <w:qFormat/>
    <w:rsid w:val="00ED00A1"/>
    <w:pPr>
      <w:ind w:left="720"/>
      <w:contextualSpacing/>
    </w:pPr>
  </w:style>
  <w:style w:type="paragraph" w:styleId="Revision">
    <w:name w:val="Revision"/>
    <w:hidden/>
    <w:uiPriority w:val="99"/>
    <w:semiHidden/>
    <w:rsid w:val="00161A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5703-FF7F-483A-85E4-5E710DFC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7554</Words>
  <Characters>43058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50511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
  <cp:lastModifiedBy>Gordana Boljević</cp:lastModifiedBy>
  <cp:revision>9</cp:revision>
  <dcterms:created xsi:type="dcterms:W3CDTF">2024-06-25T15:59:00Z</dcterms:created>
  <dcterms:modified xsi:type="dcterms:W3CDTF">2024-07-08T08:20:00Z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2021-07-29T11:03:22Z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6bef4134-1059-4a16-9cdf-4ce5fd4b6e4f</vt:lpwstr>
  </property>
  <property fmtid="{D5CDD505-2E9C-101B-9397-08002B2CF9AE}" pid="9" name="MSIP_Label_4929bff8-5b33-42aa-95d2-28f72e792cb0_ContentBits">
    <vt:lpwstr>0</vt:lpwstr>
  </property>
</Properties>
</file>