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297F5A" w:rsidRPr="006338E8" w14:paraId="09DCB1DF" w14:textId="77777777" w:rsidTr="00277219">
        <w:trPr>
          <w:trHeight w:val="530"/>
          <w:jc w:val="center"/>
        </w:trPr>
        <w:tc>
          <w:tcPr>
            <w:tcW w:w="9360" w:type="dxa"/>
            <w:vAlign w:val="center"/>
          </w:tcPr>
          <w:p w14:paraId="40D015AF" w14:textId="77777777" w:rsidR="00297F5A" w:rsidRPr="006338E8" w:rsidRDefault="00297F5A" w:rsidP="00297F5A">
            <w:pPr>
              <w:tabs>
                <w:tab w:val="left" w:pos="284"/>
              </w:tabs>
              <w:spacing w:after="0" w:line="240" w:lineRule="auto"/>
              <w:jc w:val="center"/>
              <w:rPr>
                <w:rFonts w:ascii="Times New Roman" w:eastAsia="Times New Roman" w:hAnsi="Times New Roman" w:cs="Times New Roman"/>
                <w:b/>
                <w:bCs/>
                <w:iCs/>
                <w:u w:val="single"/>
                <w:lang w:val="sr-Cyrl-ME"/>
              </w:rPr>
            </w:pPr>
            <w:r w:rsidRPr="006338E8">
              <w:rPr>
                <w:rFonts w:ascii="Times New Roman" w:eastAsia="Times New Roman" w:hAnsi="Times New Roman" w:cs="Times New Roman"/>
                <w:b/>
                <w:bCs/>
                <w:iCs/>
                <w:u w:val="single"/>
                <w:lang w:val="sr-Cyrl-ME"/>
              </w:rPr>
              <w:t>САЖЕТАК КАРАКТЕРИСТИКА ЛИЈЕКА</w:t>
            </w:r>
          </w:p>
        </w:tc>
      </w:tr>
    </w:tbl>
    <w:p w14:paraId="1BA7B88B" w14:textId="72523D8C"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eastAsia="en-GB"/>
        </w:rPr>
      </w:pPr>
    </w:p>
    <w:tbl>
      <w:tblPr>
        <w:tblW w:w="9639" w:type="dxa"/>
        <w:tblLook w:val="0000" w:firstRow="0" w:lastRow="0" w:firstColumn="0" w:lastColumn="0" w:noHBand="0" w:noVBand="0"/>
      </w:tblPr>
      <w:tblGrid>
        <w:gridCol w:w="828"/>
        <w:gridCol w:w="360"/>
        <w:gridCol w:w="1789"/>
        <w:gridCol w:w="6662"/>
      </w:tblGrid>
      <w:tr w:rsidR="00297F5A" w:rsidRPr="006338E8" w14:paraId="450DE14E" w14:textId="77777777" w:rsidTr="00092C16">
        <w:trPr>
          <w:trHeight w:val="284"/>
        </w:trPr>
        <w:tc>
          <w:tcPr>
            <w:tcW w:w="9639" w:type="dxa"/>
            <w:gridSpan w:val="4"/>
            <w:shd w:val="clear" w:color="auto" w:fill="auto"/>
            <w:vAlign w:val="center"/>
          </w:tcPr>
          <w:p w14:paraId="0C5F74BB"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lang w:val="sr-Cyrl-ME"/>
              </w:rPr>
              <w:br w:type="page"/>
            </w:r>
            <w:r w:rsidRPr="006338E8">
              <w:rPr>
                <w:rFonts w:ascii="Times New Roman" w:eastAsia="Times New Roman" w:hAnsi="Times New Roman" w:cs="Times New Roman"/>
                <w:b/>
                <w:bCs/>
                <w:lang w:val="sr-Cyrl-ME"/>
              </w:rPr>
              <w:t>1. НАЗИВ ЛИЈЕКА</w:t>
            </w:r>
          </w:p>
        </w:tc>
      </w:tr>
      <w:tr w:rsidR="00297F5A" w:rsidRPr="006338E8" w14:paraId="27070F9C" w14:textId="77777777" w:rsidTr="00F759CB">
        <w:trPr>
          <w:trHeight w:val="525"/>
        </w:trPr>
        <w:tc>
          <w:tcPr>
            <w:tcW w:w="9639" w:type="dxa"/>
            <w:gridSpan w:val="4"/>
            <w:vAlign w:val="center"/>
          </w:tcPr>
          <w:p w14:paraId="40895017" w14:textId="77777777" w:rsidR="00297F5A" w:rsidRPr="006338E8" w:rsidRDefault="00297F5A" w:rsidP="00297F5A">
            <w:pPr>
              <w:tabs>
                <w:tab w:val="left" w:pos="284"/>
              </w:tabs>
              <w:autoSpaceDE w:val="0"/>
              <w:autoSpaceDN w:val="0"/>
              <w:adjustRightInd w:val="0"/>
              <w:spacing w:after="0" w:line="240" w:lineRule="auto"/>
              <w:rPr>
                <w:rFonts w:ascii="Times New Roman" w:eastAsia="Times New Roman" w:hAnsi="Times New Roman" w:cs="Times New Roman"/>
                <w:bCs/>
                <w:lang w:val="sr-Cyrl-ME"/>
              </w:rPr>
            </w:pPr>
          </w:p>
          <w:p w14:paraId="6ED26BA1" w14:textId="74C5AC67" w:rsidR="00297F5A" w:rsidRPr="006338E8" w:rsidRDefault="00297F5A" w:rsidP="00297F5A">
            <w:pPr>
              <w:tabs>
                <w:tab w:val="left" w:pos="284"/>
              </w:tabs>
              <w:autoSpaceDE w:val="0"/>
              <w:autoSpaceDN w:val="0"/>
              <w:adjustRightInd w:val="0"/>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bCs/>
                <w:lang w:val="sr-Cyrl-ME"/>
              </w:rPr>
              <w:t xml:space="preserve">NIFUROKSAZID ALKALOID, </w:t>
            </w:r>
            <w:r w:rsidRPr="006338E8">
              <w:rPr>
                <w:rFonts w:ascii="Times New Roman" w:eastAsia="Times New Roman" w:hAnsi="Times New Roman" w:cs="Times New Roman"/>
                <w:lang w:val="sr-Cyrl-ME"/>
              </w:rPr>
              <w:t>200 mg/5 ml, орална суспензија</w:t>
            </w:r>
          </w:p>
          <w:p w14:paraId="1977E133" w14:textId="77777777" w:rsidR="00297F5A" w:rsidRPr="006338E8" w:rsidRDefault="00297F5A" w:rsidP="00297F5A">
            <w:pPr>
              <w:tabs>
                <w:tab w:val="left" w:pos="284"/>
              </w:tabs>
              <w:autoSpaceDE w:val="0"/>
              <w:autoSpaceDN w:val="0"/>
              <w:adjustRightInd w:val="0"/>
              <w:spacing w:after="0" w:line="240" w:lineRule="auto"/>
              <w:rPr>
                <w:rFonts w:ascii="Times New Roman" w:eastAsia="Times New Roman" w:hAnsi="Times New Roman" w:cs="Times New Roman"/>
                <w:lang w:val="sr-Cyrl-ME"/>
              </w:rPr>
            </w:pPr>
          </w:p>
        </w:tc>
      </w:tr>
      <w:tr w:rsidR="00297F5A" w:rsidRPr="006338E8" w14:paraId="1015DE06" w14:textId="77777777" w:rsidTr="00F759CB">
        <w:trPr>
          <w:trHeight w:val="338"/>
        </w:trPr>
        <w:tc>
          <w:tcPr>
            <w:tcW w:w="828" w:type="dxa"/>
            <w:vAlign w:val="center"/>
          </w:tcPr>
          <w:p w14:paraId="54EEA258" w14:textId="77777777" w:rsidR="00297F5A" w:rsidRPr="006338E8" w:rsidRDefault="00297F5A" w:rsidP="00297F5A">
            <w:pPr>
              <w:tabs>
                <w:tab w:val="left" w:pos="284"/>
              </w:tabs>
              <w:spacing w:after="0" w:line="240" w:lineRule="auto"/>
              <w:jc w:val="center"/>
              <w:rPr>
                <w:rFonts w:ascii="Times New Roman" w:eastAsia="Times New Roman" w:hAnsi="Times New Roman" w:cs="Times New Roman"/>
                <w:lang w:val="sr-Cyrl-ME"/>
              </w:rPr>
            </w:pPr>
            <w:r w:rsidRPr="006338E8">
              <w:rPr>
                <w:rFonts w:ascii="Times New Roman" w:eastAsia="Times New Roman" w:hAnsi="Times New Roman" w:cs="Times New Roman"/>
                <w:lang w:val="sr-Cyrl-ME"/>
              </w:rPr>
              <w:t>ИНН:</w:t>
            </w:r>
          </w:p>
        </w:tc>
        <w:tc>
          <w:tcPr>
            <w:tcW w:w="8811" w:type="dxa"/>
            <w:gridSpan w:val="3"/>
            <w:vAlign w:val="center"/>
          </w:tcPr>
          <w:p w14:paraId="61D6FF88" w14:textId="77777777" w:rsidR="00297F5A" w:rsidRPr="006338E8" w:rsidRDefault="0041787A" w:rsidP="00297F5A">
            <w:pPr>
              <w:tabs>
                <w:tab w:val="left" w:pos="284"/>
              </w:tabs>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lang w:val="sr-Cyrl-ME" w:eastAsia="en-GB"/>
              </w:rPr>
              <w:t>н</w:t>
            </w:r>
            <w:r w:rsidR="00297F5A" w:rsidRPr="006338E8">
              <w:rPr>
                <w:rFonts w:ascii="Times New Roman" w:eastAsia="Times New Roman" w:hAnsi="Times New Roman" w:cs="Times New Roman"/>
                <w:lang w:val="sr-Cyrl-ME" w:eastAsia="en-GB"/>
              </w:rPr>
              <w:t>ифуроксазид</w:t>
            </w:r>
          </w:p>
        </w:tc>
      </w:tr>
      <w:tr w:rsidR="00297F5A" w:rsidRPr="006338E8" w14:paraId="5D4251AA" w14:textId="77777777" w:rsidTr="00F759CB">
        <w:tc>
          <w:tcPr>
            <w:tcW w:w="9639" w:type="dxa"/>
            <w:gridSpan w:val="4"/>
            <w:shd w:val="clear" w:color="auto" w:fill="auto"/>
            <w:vAlign w:val="center"/>
          </w:tcPr>
          <w:p w14:paraId="60E7F78B" w14:textId="77777777"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p>
          <w:p w14:paraId="31F348F3" w14:textId="627FEE5B" w:rsidR="00B87144" w:rsidRPr="006338E8" w:rsidRDefault="00B87144" w:rsidP="00297F5A">
            <w:pPr>
              <w:tabs>
                <w:tab w:val="left" w:pos="284"/>
              </w:tabs>
              <w:spacing w:after="0" w:line="240" w:lineRule="auto"/>
              <w:rPr>
                <w:rFonts w:ascii="Times New Roman" w:eastAsia="Times New Roman" w:hAnsi="Times New Roman" w:cs="Times New Roman"/>
                <w:b/>
                <w:bCs/>
                <w:lang w:val="sr-Cyrl-ME"/>
              </w:rPr>
            </w:pPr>
          </w:p>
        </w:tc>
      </w:tr>
      <w:tr w:rsidR="00297F5A" w:rsidRPr="006338E8" w14:paraId="4A179306" w14:textId="77777777" w:rsidTr="00092C16">
        <w:tc>
          <w:tcPr>
            <w:tcW w:w="9639" w:type="dxa"/>
            <w:gridSpan w:val="4"/>
            <w:shd w:val="clear" w:color="auto" w:fill="auto"/>
            <w:vAlign w:val="center"/>
          </w:tcPr>
          <w:p w14:paraId="5443DA39" w14:textId="77777777"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2. КВАЛИТАТИВНИ И КВАНТИТАТИВНИ САСТАВ</w:t>
            </w:r>
          </w:p>
        </w:tc>
      </w:tr>
      <w:tr w:rsidR="00297F5A" w:rsidRPr="006338E8" w14:paraId="64518BAC" w14:textId="77777777" w:rsidTr="00F759CB">
        <w:trPr>
          <w:trHeight w:val="1145"/>
        </w:trPr>
        <w:tc>
          <w:tcPr>
            <w:tcW w:w="9639" w:type="dxa"/>
            <w:gridSpan w:val="4"/>
            <w:vAlign w:val="center"/>
          </w:tcPr>
          <w:p w14:paraId="0570309D"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3C05ABEF"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5 ml оралне суспензије садржи 200 mg нифуроксазида.</w:t>
            </w:r>
          </w:p>
          <w:p w14:paraId="40A1D2CE"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1B2100A8"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Помоћне супстанце са потврђеним дејством: </w:t>
            </w:r>
          </w:p>
          <w:p w14:paraId="5C22DC03" w14:textId="599219DD" w:rsidR="00297F5A" w:rsidRPr="006338E8" w:rsidRDefault="00297F5A" w:rsidP="00297F5A">
            <w:pPr>
              <w:numPr>
                <w:ilvl w:val="0"/>
                <w:numId w:val="1"/>
              </w:num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сорбитол, течни, некристалишући (Е 420) 2000 mg/5 ml</w:t>
            </w:r>
            <w:r w:rsidR="009667F9" w:rsidRPr="006338E8">
              <w:rPr>
                <w:rFonts w:ascii="Times New Roman" w:eastAsia="Times New Roman" w:hAnsi="Times New Roman" w:cs="Times New Roman"/>
              </w:rPr>
              <w:t>;</w:t>
            </w:r>
          </w:p>
          <w:p w14:paraId="405F34A9" w14:textId="54F72493" w:rsidR="000F67FB" w:rsidRPr="006338E8" w:rsidRDefault="00864EEF" w:rsidP="00297F5A">
            <w:pPr>
              <w:numPr>
                <w:ilvl w:val="0"/>
                <w:numId w:val="1"/>
              </w:num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RS"/>
              </w:rPr>
              <w:t>натријум бензоат</w:t>
            </w:r>
            <w:r w:rsidR="000F67FB" w:rsidRPr="006338E8">
              <w:rPr>
                <w:rFonts w:ascii="Times New Roman" w:eastAsia="Times New Roman" w:hAnsi="Times New Roman" w:cs="Times New Roman"/>
              </w:rPr>
              <w:t xml:space="preserve"> 10 mg/5 ml</w:t>
            </w:r>
            <w:r w:rsidR="009667F9" w:rsidRPr="006338E8">
              <w:rPr>
                <w:rFonts w:ascii="Times New Roman" w:eastAsia="Times New Roman" w:hAnsi="Times New Roman" w:cs="Times New Roman"/>
              </w:rPr>
              <w:t>.</w:t>
            </w:r>
          </w:p>
          <w:p w14:paraId="3F8461F9" w14:textId="77777777" w:rsidR="00297F5A" w:rsidRPr="006338E8" w:rsidRDefault="00297F5A" w:rsidP="00297F5A">
            <w:pPr>
              <w:spacing w:after="0" w:line="240" w:lineRule="auto"/>
              <w:rPr>
                <w:rFonts w:ascii="Times New Roman" w:eastAsia="Times New Roman" w:hAnsi="Times New Roman" w:cs="Times New Roman"/>
                <w:lang w:val="sr-Cyrl-ME"/>
              </w:rPr>
            </w:pPr>
          </w:p>
          <w:p w14:paraId="54AF6CB1" w14:textId="138817B7" w:rsidR="00297F5A" w:rsidRPr="006338E8" w:rsidRDefault="00297F5A" w:rsidP="00297F5A">
            <w:pPr>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За </w:t>
            </w:r>
            <w:r w:rsidR="00FF0A90" w:rsidRPr="006338E8">
              <w:rPr>
                <w:rFonts w:ascii="Times New Roman" w:eastAsia="Times New Roman" w:hAnsi="Times New Roman" w:cs="Times New Roman"/>
                <w:lang w:val="sr-Cyrl-RS"/>
              </w:rPr>
              <w:t>списак</w:t>
            </w:r>
            <w:r w:rsidRPr="006338E8">
              <w:rPr>
                <w:rFonts w:ascii="Times New Roman" w:eastAsia="Times New Roman" w:hAnsi="Times New Roman" w:cs="Times New Roman"/>
                <w:lang w:val="sr-Cyrl-ME"/>
              </w:rPr>
              <w:t xml:space="preserve"> свих </w:t>
            </w:r>
            <w:r w:rsidR="00FF0A90" w:rsidRPr="006338E8">
              <w:rPr>
                <w:rFonts w:ascii="Times New Roman" w:eastAsia="Times New Roman" w:hAnsi="Times New Roman" w:cs="Times New Roman"/>
                <w:lang w:val="sr-Cyrl-ME"/>
              </w:rPr>
              <w:t>ексципијенаса</w:t>
            </w:r>
            <w:r w:rsidRPr="006338E8">
              <w:rPr>
                <w:rFonts w:ascii="Times New Roman" w:eastAsia="Times New Roman" w:hAnsi="Times New Roman" w:cs="Times New Roman"/>
                <w:lang w:val="sr-Cyrl-ME"/>
              </w:rPr>
              <w:t xml:space="preserve">, </w:t>
            </w:r>
            <w:r w:rsidR="00FF0A90" w:rsidRPr="006338E8">
              <w:rPr>
                <w:rFonts w:ascii="Times New Roman" w:eastAsia="Times New Roman" w:hAnsi="Times New Roman" w:cs="Times New Roman"/>
                <w:lang w:val="sr-Cyrl-ME"/>
              </w:rPr>
              <w:t>погледати дио</w:t>
            </w:r>
            <w:r w:rsidRPr="006338E8">
              <w:rPr>
                <w:rFonts w:ascii="Times New Roman" w:eastAsia="Times New Roman" w:hAnsi="Times New Roman" w:cs="Times New Roman"/>
                <w:lang w:val="sr-Cyrl-ME"/>
              </w:rPr>
              <w:t xml:space="preserve"> 6.1. </w:t>
            </w:r>
          </w:p>
          <w:p w14:paraId="7F6571BF" w14:textId="77777777" w:rsidR="00B87144" w:rsidRDefault="00B87144" w:rsidP="00297F5A">
            <w:pPr>
              <w:tabs>
                <w:tab w:val="left" w:pos="284"/>
                <w:tab w:val="center" w:pos="4536"/>
                <w:tab w:val="right" w:pos="9072"/>
              </w:tabs>
              <w:spacing w:after="0" w:line="240" w:lineRule="auto"/>
              <w:jc w:val="both"/>
              <w:rPr>
                <w:rFonts w:ascii="Times New Roman" w:eastAsia="Times New Roman" w:hAnsi="Times New Roman" w:cs="Times New Roman"/>
                <w:lang w:val="sr-Cyrl-ME"/>
              </w:rPr>
            </w:pPr>
          </w:p>
          <w:p w14:paraId="68E996F8" w14:textId="075267D1" w:rsidR="006338E8" w:rsidRPr="006338E8" w:rsidRDefault="006338E8" w:rsidP="00297F5A">
            <w:pPr>
              <w:tabs>
                <w:tab w:val="left" w:pos="284"/>
                <w:tab w:val="center" w:pos="4536"/>
                <w:tab w:val="right" w:pos="9072"/>
              </w:tabs>
              <w:spacing w:after="0" w:line="240" w:lineRule="auto"/>
              <w:jc w:val="both"/>
              <w:rPr>
                <w:rFonts w:ascii="Times New Roman" w:eastAsia="Times New Roman" w:hAnsi="Times New Roman" w:cs="Times New Roman"/>
                <w:lang w:val="sr-Cyrl-ME"/>
              </w:rPr>
            </w:pPr>
          </w:p>
        </w:tc>
      </w:tr>
      <w:tr w:rsidR="00297F5A" w:rsidRPr="006338E8" w14:paraId="62D3CA50" w14:textId="77777777" w:rsidTr="00092C16">
        <w:tc>
          <w:tcPr>
            <w:tcW w:w="9639" w:type="dxa"/>
            <w:gridSpan w:val="4"/>
            <w:shd w:val="clear" w:color="auto" w:fill="auto"/>
            <w:vAlign w:val="center"/>
          </w:tcPr>
          <w:p w14:paraId="27682EAF" w14:textId="77777777"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3. ФАРМАЦЕУТСКИ ОБЛИК</w:t>
            </w:r>
          </w:p>
        </w:tc>
      </w:tr>
      <w:tr w:rsidR="00297F5A" w:rsidRPr="006338E8" w14:paraId="4A7F25A7" w14:textId="77777777" w:rsidTr="00F759CB">
        <w:trPr>
          <w:trHeight w:val="1145"/>
        </w:trPr>
        <w:tc>
          <w:tcPr>
            <w:tcW w:w="9639" w:type="dxa"/>
            <w:gridSpan w:val="4"/>
            <w:vAlign w:val="center"/>
          </w:tcPr>
          <w:p w14:paraId="720537A0"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4D33E9CA"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eastAsia="en-GB"/>
              </w:rPr>
            </w:pPr>
            <w:r w:rsidRPr="006338E8">
              <w:rPr>
                <w:rFonts w:ascii="Times New Roman" w:eastAsia="Times New Roman" w:hAnsi="Times New Roman" w:cs="Times New Roman"/>
                <w:lang w:val="sr-Cyrl-ME"/>
              </w:rPr>
              <w:t>Орална суспензија.</w:t>
            </w:r>
          </w:p>
          <w:p w14:paraId="5B9CBD2D"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27125C8A"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Жуто обојена, хомогена суспензија са карактеристичним мирисом банане.</w:t>
            </w:r>
          </w:p>
          <w:p w14:paraId="34E766E7"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0674D0E9" w14:textId="3B0E7691" w:rsidR="00B87144" w:rsidRPr="006338E8" w:rsidRDefault="00B87144" w:rsidP="00297F5A">
            <w:pPr>
              <w:tabs>
                <w:tab w:val="left" w:pos="284"/>
              </w:tabs>
              <w:spacing w:after="0" w:line="240" w:lineRule="auto"/>
              <w:jc w:val="both"/>
              <w:rPr>
                <w:rFonts w:ascii="Times New Roman" w:eastAsia="Times New Roman" w:hAnsi="Times New Roman" w:cs="Times New Roman"/>
                <w:lang w:val="sr-Cyrl-ME"/>
              </w:rPr>
            </w:pPr>
          </w:p>
        </w:tc>
      </w:tr>
      <w:tr w:rsidR="00297F5A" w:rsidRPr="006338E8" w14:paraId="0FC8E892" w14:textId="77777777" w:rsidTr="00092C16">
        <w:tc>
          <w:tcPr>
            <w:tcW w:w="9639" w:type="dxa"/>
            <w:gridSpan w:val="4"/>
            <w:shd w:val="clear" w:color="auto" w:fill="auto"/>
            <w:vAlign w:val="center"/>
          </w:tcPr>
          <w:p w14:paraId="0AD45B8D"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 КЛИНИЧКИ ПОДАЦИ</w:t>
            </w:r>
          </w:p>
        </w:tc>
      </w:tr>
      <w:tr w:rsidR="00297F5A" w:rsidRPr="006338E8" w14:paraId="7DE6E346" w14:textId="77777777" w:rsidTr="00F759CB">
        <w:tc>
          <w:tcPr>
            <w:tcW w:w="9639" w:type="dxa"/>
            <w:gridSpan w:val="4"/>
            <w:vAlign w:val="center"/>
          </w:tcPr>
          <w:p w14:paraId="298EF34B" w14:textId="77777777" w:rsidR="004E0EDB" w:rsidRPr="006338E8" w:rsidRDefault="004E0EDB" w:rsidP="00C22141">
            <w:pPr>
              <w:tabs>
                <w:tab w:val="left" w:pos="284"/>
              </w:tabs>
              <w:spacing w:after="0" w:line="240" w:lineRule="auto"/>
              <w:jc w:val="both"/>
              <w:rPr>
                <w:rFonts w:ascii="Times New Roman" w:eastAsia="Times New Roman" w:hAnsi="Times New Roman" w:cs="Times New Roman"/>
                <w:b/>
                <w:bCs/>
                <w:lang w:val="sr-Cyrl-ME"/>
              </w:rPr>
            </w:pPr>
          </w:p>
          <w:p w14:paraId="6C185E4F"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4.1. Терапијске индикације</w:t>
            </w:r>
          </w:p>
        </w:tc>
      </w:tr>
      <w:tr w:rsidR="00297F5A" w:rsidRPr="006338E8" w14:paraId="6B3F806D" w14:textId="77777777" w:rsidTr="00F759CB">
        <w:trPr>
          <w:trHeight w:val="716"/>
        </w:trPr>
        <w:tc>
          <w:tcPr>
            <w:tcW w:w="9639" w:type="dxa"/>
            <w:gridSpan w:val="4"/>
            <w:vAlign w:val="center"/>
          </w:tcPr>
          <w:p w14:paraId="1DA9E7E6" w14:textId="77777777" w:rsidR="00297F5A" w:rsidRPr="006338E8" w:rsidRDefault="00297F5A" w:rsidP="00C22141">
            <w:pPr>
              <w:spacing w:after="0" w:line="240" w:lineRule="auto"/>
              <w:jc w:val="both"/>
              <w:rPr>
                <w:rFonts w:ascii="Times New Roman" w:eastAsia="Times New Roman" w:hAnsi="Times New Roman" w:cs="Times New Roman"/>
                <w:lang w:val="sr-Cyrl-ME"/>
              </w:rPr>
            </w:pPr>
          </w:p>
          <w:p w14:paraId="33AA3BE9" w14:textId="77777777" w:rsidR="00DF404C" w:rsidRPr="006338E8" w:rsidRDefault="00DF404C" w:rsidP="00DF404C">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Као додатак рехидратацији, симптоматска терапијa акутне дијареје, најчешће бактеријског поријекла, без инвазивних симптома (погоршање општег стања, повишена тјелесна температура, знакови интоксикације итд.).</w:t>
            </w:r>
          </w:p>
          <w:p w14:paraId="0DFFC888" w14:textId="468BFCE0" w:rsidR="00297F5A" w:rsidRPr="006338E8" w:rsidRDefault="00DF404C">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Терапија не искључује дијетарни режим и рехидратацију, уколико је неопходно. Рехидратација (орална или интравенска) мора бити прилагођена стању пацијента, интензитету дијареје, годинама итд.</w:t>
            </w:r>
          </w:p>
          <w:p w14:paraId="28BCBA30" w14:textId="77777777" w:rsidR="00297F5A" w:rsidRPr="006338E8" w:rsidRDefault="00297F5A" w:rsidP="00C22141">
            <w:pPr>
              <w:spacing w:after="0" w:line="240" w:lineRule="auto"/>
              <w:jc w:val="both"/>
              <w:rPr>
                <w:rFonts w:ascii="Times New Roman" w:eastAsia="Times New Roman" w:hAnsi="Times New Roman" w:cs="Times New Roman"/>
                <w:lang w:val="sr-Cyrl-ME"/>
              </w:rPr>
            </w:pPr>
          </w:p>
        </w:tc>
      </w:tr>
      <w:tr w:rsidR="00297F5A" w:rsidRPr="006338E8" w14:paraId="64F834CA" w14:textId="77777777" w:rsidTr="00F759CB">
        <w:tc>
          <w:tcPr>
            <w:tcW w:w="9639" w:type="dxa"/>
            <w:gridSpan w:val="4"/>
            <w:vAlign w:val="center"/>
          </w:tcPr>
          <w:p w14:paraId="7E2ED040" w14:textId="77777777" w:rsidR="00297F5A" w:rsidRPr="006338E8" w:rsidRDefault="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4.2. Дозирање и начин примјене</w:t>
            </w:r>
          </w:p>
        </w:tc>
      </w:tr>
      <w:tr w:rsidR="00297F5A" w:rsidRPr="006338E8" w14:paraId="00622471" w14:textId="77777777" w:rsidTr="00F759CB">
        <w:trPr>
          <w:trHeight w:val="291"/>
        </w:trPr>
        <w:tc>
          <w:tcPr>
            <w:tcW w:w="9639" w:type="dxa"/>
            <w:gridSpan w:val="4"/>
            <w:vAlign w:val="center"/>
          </w:tcPr>
          <w:p w14:paraId="210E07DF" w14:textId="77777777" w:rsidR="00297F5A" w:rsidRPr="006338E8" w:rsidRDefault="00297F5A">
            <w:pPr>
              <w:spacing w:after="0" w:line="240" w:lineRule="auto"/>
              <w:jc w:val="both"/>
              <w:rPr>
                <w:rFonts w:ascii="Times New Roman" w:eastAsia="Times New Roman" w:hAnsi="Times New Roman" w:cs="Times New Roman"/>
                <w:lang w:val="sr-Cyrl-ME"/>
              </w:rPr>
            </w:pPr>
          </w:p>
          <w:p w14:paraId="3250AB5D" w14:textId="77777777" w:rsidR="00297F5A" w:rsidRPr="006338E8" w:rsidRDefault="00297F5A">
            <w:pPr>
              <w:tabs>
                <w:tab w:val="left" w:pos="284"/>
              </w:tabs>
              <w:spacing w:after="0" w:line="240" w:lineRule="auto"/>
              <w:jc w:val="both"/>
              <w:rPr>
                <w:rFonts w:ascii="Times New Roman" w:eastAsia="Times New Roman" w:hAnsi="Times New Roman" w:cs="Times New Roman"/>
                <w:u w:val="single"/>
                <w:lang w:val="sr-Cyrl-ME"/>
              </w:rPr>
            </w:pPr>
            <w:r w:rsidRPr="006338E8">
              <w:rPr>
                <w:rFonts w:ascii="Times New Roman" w:eastAsia="Times New Roman" w:hAnsi="Times New Roman" w:cs="Times New Roman"/>
                <w:u w:val="single"/>
                <w:lang w:val="sr-Cyrl-ME"/>
              </w:rPr>
              <w:t>Дозирање</w:t>
            </w:r>
          </w:p>
          <w:p w14:paraId="7395C10A" w14:textId="7668BF90" w:rsidR="007E5B67" w:rsidRPr="006338E8" w:rsidRDefault="00DF404C">
            <w:pPr>
              <w:tabs>
                <w:tab w:val="left" w:pos="284"/>
              </w:tabs>
              <w:spacing w:after="0" w:line="240" w:lineRule="auto"/>
              <w:jc w:val="both"/>
              <w:rPr>
                <w:rFonts w:ascii="Times New Roman" w:eastAsia="Times New Roman" w:hAnsi="Times New Roman" w:cs="Times New Roman"/>
                <w:lang w:val="mk-MK"/>
              </w:rPr>
            </w:pPr>
            <w:r w:rsidRPr="006338E8">
              <w:rPr>
                <w:rFonts w:ascii="Times New Roman" w:eastAsia="Times New Roman" w:hAnsi="Times New Roman" w:cs="Times New Roman"/>
                <w:lang w:val="sr-Cyrl-ME"/>
              </w:rPr>
              <w:t xml:space="preserve">Лијек се примјењује код дјеце старије од 6 година и одраслих. </w:t>
            </w:r>
          </w:p>
          <w:p w14:paraId="70A48436" w14:textId="77777777" w:rsidR="002C0357" w:rsidRPr="006338E8" w:rsidRDefault="002C0357">
            <w:pPr>
              <w:tabs>
                <w:tab w:val="left" w:pos="284"/>
              </w:tabs>
              <w:spacing w:after="0" w:line="240" w:lineRule="auto"/>
              <w:jc w:val="both"/>
              <w:rPr>
                <w:rFonts w:ascii="Times New Roman" w:eastAsia="Times New Roman" w:hAnsi="Times New Roman" w:cs="Times New Roman"/>
                <w:lang w:val="sr-Cyrl-ME"/>
              </w:rPr>
            </w:pPr>
          </w:p>
          <w:p w14:paraId="687740F2" w14:textId="03FBDEF1" w:rsidR="00DF404C" w:rsidRPr="006338E8" w:rsidRDefault="00DF404C">
            <w:pPr>
              <w:tabs>
                <w:tab w:val="left" w:pos="284"/>
              </w:tabs>
              <w:spacing w:after="0" w:line="240" w:lineRule="auto"/>
              <w:jc w:val="both"/>
              <w:rPr>
                <w:rFonts w:ascii="Times New Roman" w:eastAsia="Times New Roman" w:hAnsi="Times New Roman" w:cs="Times New Roman"/>
                <w:i/>
                <w:iCs/>
                <w:lang w:val="sr-Cyrl-ME"/>
              </w:rPr>
            </w:pPr>
            <w:r w:rsidRPr="006338E8">
              <w:rPr>
                <w:rFonts w:ascii="Times New Roman" w:eastAsia="Times New Roman" w:hAnsi="Times New Roman" w:cs="Times New Roman"/>
                <w:i/>
                <w:iCs/>
                <w:lang w:val="sr-Cyrl-ME"/>
              </w:rPr>
              <w:t>Дјеца старија од 6 година:</w:t>
            </w:r>
          </w:p>
          <w:p w14:paraId="564089D8" w14:textId="173579E5" w:rsidR="00DF404C" w:rsidRPr="006338E8" w:rsidRDefault="00DF404C">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3-4 пута на дан по 5 ml (200 mg) (укупно 600 mg до 800 mg) нифуроксазида дневно.</w:t>
            </w:r>
          </w:p>
          <w:p w14:paraId="3267F4B4" w14:textId="77777777" w:rsidR="00DF404C" w:rsidRPr="006338E8" w:rsidRDefault="00DF404C">
            <w:pPr>
              <w:tabs>
                <w:tab w:val="left" w:pos="284"/>
              </w:tabs>
              <w:spacing w:after="0" w:line="240" w:lineRule="auto"/>
              <w:jc w:val="both"/>
              <w:rPr>
                <w:rFonts w:ascii="Times New Roman" w:eastAsia="Times New Roman" w:hAnsi="Times New Roman" w:cs="Times New Roman"/>
                <w:lang w:val="sr-Cyrl-ME"/>
              </w:rPr>
            </w:pPr>
          </w:p>
          <w:p w14:paraId="2CE4D009" w14:textId="77777777" w:rsidR="00DF404C" w:rsidRPr="006338E8" w:rsidRDefault="00297F5A">
            <w:pPr>
              <w:tabs>
                <w:tab w:val="left" w:pos="284"/>
              </w:tabs>
              <w:spacing w:after="0" w:line="240" w:lineRule="auto"/>
              <w:jc w:val="both"/>
              <w:rPr>
                <w:rFonts w:ascii="Times New Roman" w:eastAsia="Times New Roman" w:hAnsi="Times New Roman" w:cs="Times New Roman"/>
                <w:i/>
                <w:iCs/>
                <w:lang w:val="sr-Cyrl-ME"/>
              </w:rPr>
            </w:pPr>
            <w:r w:rsidRPr="006338E8">
              <w:rPr>
                <w:rFonts w:ascii="Times New Roman" w:eastAsia="Times New Roman" w:hAnsi="Times New Roman" w:cs="Times New Roman"/>
                <w:i/>
                <w:iCs/>
                <w:lang w:val="sr-Cyrl-ME"/>
              </w:rPr>
              <w:t>Одрасли:</w:t>
            </w:r>
            <w:r w:rsidR="00FF0A90" w:rsidRPr="006338E8">
              <w:rPr>
                <w:rFonts w:ascii="Times New Roman" w:eastAsia="Times New Roman" w:hAnsi="Times New Roman" w:cs="Times New Roman"/>
                <w:i/>
                <w:iCs/>
                <w:lang w:val="sr-Cyrl-ME"/>
              </w:rPr>
              <w:t xml:space="preserve"> </w:t>
            </w:r>
          </w:p>
          <w:p w14:paraId="0E6E404A" w14:textId="047E6959" w:rsidR="00297F5A" w:rsidRPr="006338E8" w:rsidRDefault="00297F5A">
            <w:pPr>
              <w:tabs>
                <w:tab w:val="left" w:pos="284"/>
              </w:tabs>
              <w:spacing w:after="0" w:line="240" w:lineRule="auto"/>
              <w:jc w:val="both"/>
              <w:rPr>
                <w:rFonts w:ascii="Times New Roman" w:eastAsia="Times New Roman" w:hAnsi="Times New Roman" w:cs="Times New Roman"/>
              </w:rPr>
            </w:pPr>
            <w:r w:rsidRPr="006338E8">
              <w:rPr>
                <w:rFonts w:ascii="Times New Roman" w:eastAsia="Times New Roman" w:hAnsi="Times New Roman" w:cs="Times New Roman"/>
                <w:lang w:val="sr-Cyrl-ME"/>
              </w:rPr>
              <w:t xml:space="preserve">5 </w:t>
            </w:r>
            <w:r w:rsidR="00DF404C" w:rsidRPr="006338E8">
              <w:rPr>
                <w:rFonts w:ascii="Times New Roman" w:eastAsia="Times New Roman" w:hAnsi="Times New Roman" w:cs="Times New Roman"/>
                <w:lang w:val="sr-Cyrl-ME"/>
              </w:rPr>
              <w:t>ml</w:t>
            </w:r>
            <w:r w:rsidR="00DF404C" w:rsidRPr="006338E8" w:rsidDel="00DF404C">
              <w:rPr>
                <w:rFonts w:ascii="Times New Roman" w:eastAsia="Times New Roman" w:hAnsi="Times New Roman" w:cs="Times New Roman"/>
                <w:lang w:val="sr-Cyrl-ME"/>
              </w:rPr>
              <w:t xml:space="preserve"> </w:t>
            </w:r>
            <w:r w:rsidRPr="006338E8">
              <w:rPr>
                <w:rFonts w:ascii="Times New Roman" w:eastAsia="Times New Roman" w:hAnsi="Times New Roman" w:cs="Times New Roman"/>
                <w:lang w:val="sr-Cyrl-ME"/>
              </w:rPr>
              <w:t>(200 mg), четири пута дневно</w:t>
            </w:r>
            <w:r w:rsidR="00DF404C" w:rsidRPr="006338E8">
              <w:rPr>
                <w:rFonts w:ascii="Times New Roman" w:eastAsia="Times New Roman" w:hAnsi="Times New Roman" w:cs="Times New Roman"/>
                <w:lang w:val="sr-Cyrl-ME"/>
              </w:rPr>
              <w:t xml:space="preserve"> (укупно 800 mg нифуроксазида дневно)</w:t>
            </w:r>
            <w:r w:rsidR="009667F9" w:rsidRPr="006338E8">
              <w:rPr>
                <w:rFonts w:ascii="Times New Roman" w:eastAsia="Times New Roman" w:hAnsi="Times New Roman" w:cs="Times New Roman"/>
              </w:rPr>
              <w:t>.</w:t>
            </w:r>
          </w:p>
          <w:p w14:paraId="2F811B86" w14:textId="77777777" w:rsidR="00DF404C" w:rsidRPr="006338E8" w:rsidRDefault="00DF404C">
            <w:pPr>
              <w:tabs>
                <w:tab w:val="left" w:pos="284"/>
              </w:tabs>
              <w:spacing w:after="0" w:line="240" w:lineRule="auto"/>
              <w:jc w:val="both"/>
              <w:rPr>
                <w:rFonts w:ascii="Times New Roman" w:eastAsia="Times New Roman" w:hAnsi="Times New Roman" w:cs="Times New Roman"/>
                <w:lang w:val="sr-Cyrl-ME"/>
              </w:rPr>
            </w:pPr>
          </w:p>
          <w:p w14:paraId="630596DF" w14:textId="10B94B0E" w:rsidR="004E0EDB"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Напомена: </w:t>
            </w:r>
          </w:p>
          <w:p w14:paraId="6879DE80" w14:textId="77777777" w:rsidR="00FF0A90"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Трајањe терапије нифуроксазидом је ограничено на седам дана.</w:t>
            </w:r>
          </w:p>
          <w:p w14:paraId="2659B29D"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 </w:t>
            </w:r>
          </w:p>
          <w:p w14:paraId="5A25E9E8" w14:textId="77777777" w:rsidR="00297F5A" w:rsidRPr="006338E8" w:rsidRDefault="00297F5A">
            <w:pPr>
              <w:tabs>
                <w:tab w:val="left" w:pos="284"/>
                <w:tab w:val="left" w:pos="709"/>
              </w:tabs>
              <w:spacing w:after="0" w:line="240" w:lineRule="auto"/>
              <w:jc w:val="both"/>
              <w:rPr>
                <w:rFonts w:ascii="Times New Roman" w:eastAsia="Times New Roman" w:hAnsi="Times New Roman" w:cs="Times New Roman"/>
                <w:u w:val="single"/>
                <w:lang w:val="sr-Cyrl-ME"/>
              </w:rPr>
            </w:pPr>
            <w:r w:rsidRPr="006338E8">
              <w:rPr>
                <w:rFonts w:ascii="Times New Roman" w:eastAsia="Times New Roman" w:hAnsi="Times New Roman" w:cs="Times New Roman"/>
                <w:u w:val="single"/>
                <w:lang w:val="sr-Cyrl-ME"/>
              </w:rPr>
              <w:lastRenderedPageBreak/>
              <w:t>Начин примјене лијека</w:t>
            </w:r>
          </w:p>
          <w:p w14:paraId="7B8B3DF2" w14:textId="77777777" w:rsidR="00297F5A" w:rsidRPr="006338E8" w:rsidRDefault="00297F5A">
            <w:pPr>
              <w:tabs>
                <w:tab w:val="left" w:pos="284"/>
                <w:tab w:val="left" w:pos="709"/>
              </w:tabs>
              <w:spacing w:after="0" w:line="240" w:lineRule="auto"/>
              <w:jc w:val="both"/>
              <w:rPr>
                <w:rFonts w:ascii="Times New Roman" w:eastAsia="Times New Roman" w:hAnsi="Times New Roman" w:cs="Times New Roman"/>
                <w:lang w:val="sr-Cyrl-ME"/>
              </w:rPr>
            </w:pPr>
          </w:p>
          <w:p w14:paraId="27D476DC" w14:textId="1B93B721" w:rsidR="00297F5A" w:rsidRPr="006338E8" w:rsidRDefault="00297F5A">
            <w:pPr>
              <w:tabs>
                <w:tab w:val="left" w:pos="284"/>
                <w:tab w:val="left" w:pos="709"/>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bCs/>
                <w:lang w:val="sr-Cyrl-ME"/>
              </w:rPr>
              <w:t>NIFUROKSAZID ALKALOID</w:t>
            </w:r>
            <w:r w:rsidRPr="006338E8">
              <w:rPr>
                <w:rFonts w:ascii="Times New Roman" w:eastAsia="Times New Roman" w:hAnsi="Times New Roman" w:cs="Times New Roman"/>
                <w:bCs/>
                <w:vertAlign w:val="superscript"/>
                <w:lang w:val="sr-Cyrl-ME"/>
              </w:rPr>
              <w:t xml:space="preserve"> </w:t>
            </w:r>
            <w:r w:rsidRPr="006338E8">
              <w:rPr>
                <w:rFonts w:ascii="Times New Roman" w:eastAsia="Times New Roman" w:hAnsi="Times New Roman" w:cs="Times New Roman"/>
                <w:bCs/>
                <w:lang w:val="sr-Cyrl-ME"/>
              </w:rPr>
              <w:t>о</w:t>
            </w:r>
            <w:r w:rsidRPr="006338E8">
              <w:rPr>
                <w:rFonts w:ascii="Times New Roman" w:eastAsia="Times New Roman" w:hAnsi="Times New Roman" w:cs="Times New Roman"/>
                <w:lang w:val="sr-Cyrl-ME"/>
              </w:rPr>
              <w:t>ралну суспензију узимати орално.</w:t>
            </w:r>
          </w:p>
          <w:p w14:paraId="1CE098D6" w14:textId="0CE51EF8"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За дозирање се користи пластична градуи</w:t>
            </w:r>
            <w:r w:rsidR="00DF404C" w:rsidRPr="006338E8">
              <w:rPr>
                <w:rFonts w:ascii="Times New Roman" w:eastAsia="Times New Roman" w:hAnsi="Times New Roman" w:cs="Times New Roman"/>
                <w:lang w:val="sr-Cyrl-ME"/>
              </w:rPr>
              <w:t>с</w:t>
            </w:r>
            <w:r w:rsidRPr="006338E8">
              <w:rPr>
                <w:rFonts w:ascii="Times New Roman" w:eastAsia="Times New Roman" w:hAnsi="Times New Roman" w:cs="Times New Roman"/>
                <w:lang w:val="sr-Cyrl-ME"/>
              </w:rPr>
              <w:t>ана мјерица.</w:t>
            </w:r>
          </w:p>
          <w:p w14:paraId="6F540515"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Прије сваке употребе суспензију треба добро промућкати.</w:t>
            </w:r>
          </w:p>
          <w:p w14:paraId="0553F171" w14:textId="77777777" w:rsidR="00297F5A" w:rsidRPr="006338E8" w:rsidRDefault="00297F5A">
            <w:pPr>
              <w:spacing w:after="0" w:line="240" w:lineRule="auto"/>
              <w:jc w:val="both"/>
              <w:rPr>
                <w:rFonts w:ascii="Times New Roman" w:eastAsia="Times New Roman" w:hAnsi="Times New Roman" w:cs="Times New Roman"/>
                <w:lang w:val="sr-Cyrl-ME"/>
              </w:rPr>
            </w:pPr>
          </w:p>
        </w:tc>
      </w:tr>
      <w:tr w:rsidR="00297F5A" w:rsidRPr="006338E8" w14:paraId="7806510D" w14:textId="77777777" w:rsidTr="00F759CB">
        <w:tc>
          <w:tcPr>
            <w:tcW w:w="9639" w:type="dxa"/>
            <w:gridSpan w:val="4"/>
            <w:vAlign w:val="center"/>
          </w:tcPr>
          <w:p w14:paraId="501CB2DB"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lastRenderedPageBreak/>
              <w:t>4.3. Контраиндикације</w:t>
            </w:r>
          </w:p>
        </w:tc>
      </w:tr>
      <w:tr w:rsidR="00297F5A" w:rsidRPr="006338E8" w14:paraId="24C00A74" w14:textId="77777777" w:rsidTr="00F759CB">
        <w:trPr>
          <w:trHeight w:val="726"/>
        </w:trPr>
        <w:tc>
          <w:tcPr>
            <w:tcW w:w="9639" w:type="dxa"/>
            <w:gridSpan w:val="4"/>
            <w:vAlign w:val="center"/>
          </w:tcPr>
          <w:p w14:paraId="2560519E"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lang w:val="sr-Cyrl-ME"/>
              </w:rPr>
            </w:pPr>
          </w:p>
          <w:p w14:paraId="7B27D178" w14:textId="58B4FC79" w:rsidR="00297F5A" w:rsidRPr="006338E8" w:rsidRDefault="00297F5A">
            <w:pPr>
              <w:tabs>
                <w:tab w:val="left" w:pos="284"/>
                <w:tab w:val="left" w:pos="720"/>
              </w:tabs>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Преосјетљивост на </w:t>
            </w:r>
            <w:r w:rsidR="00DF404C" w:rsidRPr="006338E8">
              <w:rPr>
                <w:rFonts w:ascii="Times New Roman" w:eastAsia="Times New Roman" w:hAnsi="Times New Roman" w:cs="Times New Roman"/>
                <w:lang w:val="sr-Cyrl-ME"/>
              </w:rPr>
              <w:t xml:space="preserve">активну супстанцу, </w:t>
            </w:r>
            <w:r w:rsidRPr="006338E8">
              <w:rPr>
                <w:rFonts w:ascii="Times New Roman" w:eastAsia="Times New Roman" w:hAnsi="Times New Roman" w:cs="Times New Roman"/>
                <w:lang w:val="sr-Cyrl-ME"/>
              </w:rPr>
              <w:t>деривате нитрофурана или било кој</w:t>
            </w:r>
            <w:r w:rsidR="00CF521E" w:rsidRPr="006338E8">
              <w:rPr>
                <w:rFonts w:ascii="Times New Roman" w:eastAsia="Times New Roman" w:hAnsi="Times New Roman" w:cs="Times New Roman"/>
                <w:lang w:val="sr-Cyrl-RS"/>
              </w:rPr>
              <w:t>у</w:t>
            </w:r>
            <w:r w:rsidRPr="006338E8">
              <w:rPr>
                <w:rFonts w:ascii="Times New Roman" w:eastAsia="Times New Roman" w:hAnsi="Times New Roman" w:cs="Times New Roman"/>
                <w:lang w:val="sr-Cyrl-ME"/>
              </w:rPr>
              <w:t xml:space="preserve"> од помоћних супстанци лијека (наведено у </w:t>
            </w:r>
            <w:r w:rsidR="00FF0A90" w:rsidRPr="006338E8">
              <w:rPr>
                <w:rFonts w:ascii="Times New Roman" w:eastAsia="Times New Roman" w:hAnsi="Times New Roman" w:cs="Times New Roman"/>
                <w:lang w:val="sr-Cyrl-ME"/>
              </w:rPr>
              <w:t>дијелу</w:t>
            </w:r>
            <w:r w:rsidRPr="006338E8">
              <w:rPr>
                <w:rFonts w:ascii="Times New Roman" w:eastAsia="Times New Roman" w:hAnsi="Times New Roman" w:cs="Times New Roman"/>
                <w:lang w:val="sr-Cyrl-ME"/>
              </w:rPr>
              <w:t xml:space="preserve"> 6.1).</w:t>
            </w:r>
          </w:p>
          <w:p w14:paraId="419BD5D7" w14:textId="2639E08E" w:rsidR="00297F5A" w:rsidRPr="006338E8" w:rsidRDefault="00671322">
            <w:pPr>
              <w:tabs>
                <w:tab w:val="left" w:pos="284"/>
                <w:tab w:val="left" w:pos="720"/>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Лијек није намијењен за примјену код дјеце млађе од 6</w:t>
            </w:r>
            <w:r w:rsidR="00410708" w:rsidRPr="006338E8">
              <w:rPr>
                <w:rFonts w:ascii="Times New Roman" w:eastAsia="Times New Roman" w:hAnsi="Times New Roman" w:cs="Times New Roman"/>
              </w:rPr>
              <w:t xml:space="preserve"> </w:t>
            </w:r>
            <w:r w:rsidRPr="006338E8">
              <w:rPr>
                <w:rFonts w:ascii="Times New Roman" w:eastAsia="Times New Roman" w:hAnsi="Times New Roman" w:cs="Times New Roman"/>
                <w:lang w:val="sr-Cyrl-ME"/>
              </w:rPr>
              <w:t>година</w:t>
            </w:r>
            <w:r w:rsidR="00DF404C" w:rsidRPr="006338E8">
              <w:rPr>
                <w:rFonts w:ascii="Times New Roman" w:eastAsia="Times New Roman" w:hAnsi="Times New Roman" w:cs="Times New Roman"/>
                <w:lang w:val="sr-Cyrl-ME"/>
              </w:rPr>
              <w:t xml:space="preserve">. </w:t>
            </w:r>
          </w:p>
          <w:p w14:paraId="12676CA7"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lang w:val="sr-Cyrl-ME"/>
              </w:rPr>
            </w:pPr>
          </w:p>
        </w:tc>
      </w:tr>
      <w:tr w:rsidR="00297F5A" w:rsidRPr="006338E8" w14:paraId="046B394C" w14:textId="77777777" w:rsidTr="00F759CB">
        <w:tc>
          <w:tcPr>
            <w:tcW w:w="9639" w:type="dxa"/>
            <w:gridSpan w:val="4"/>
            <w:vAlign w:val="center"/>
          </w:tcPr>
          <w:p w14:paraId="765DB810" w14:textId="77777777" w:rsidR="00297F5A" w:rsidRPr="006338E8" w:rsidRDefault="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4.4. Посебна упозорења и мјере опреза при употреби лијека</w:t>
            </w:r>
          </w:p>
        </w:tc>
      </w:tr>
      <w:tr w:rsidR="00297F5A" w:rsidRPr="006338E8" w14:paraId="36BD77A7" w14:textId="77777777" w:rsidTr="00F759CB">
        <w:trPr>
          <w:trHeight w:val="636"/>
        </w:trPr>
        <w:tc>
          <w:tcPr>
            <w:tcW w:w="9639" w:type="dxa"/>
            <w:gridSpan w:val="4"/>
            <w:vAlign w:val="center"/>
          </w:tcPr>
          <w:p w14:paraId="2081D946" w14:textId="77777777" w:rsidR="00297F5A" w:rsidRPr="006338E8" w:rsidRDefault="00297F5A">
            <w:pPr>
              <w:spacing w:after="0" w:line="240" w:lineRule="auto"/>
              <w:jc w:val="both"/>
              <w:rPr>
                <w:rFonts w:ascii="Times New Roman" w:eastAsia="Times New Roman" w:hAnsi="Times New Roman" w:cs="Times New Roman"/>
                <w:lang w:val="sr-Cyrl-ME"/>
              </w:rPr>
            </w:pPr>
          </w:p>
          <w:p w14:paraId="307922E7" w14:textId="77777777" w:rsidR="00297F5A" w:rsidRPr="006338E8" w:rsidRDefault="00297F5A">
            <w:pPr>
              <w:tabs>
                <w:tab w:val="left" w:pos="284"/>
              </w:tabs>
              <w:spacing w:after="0" w:line="240" w:lineRule="auto"/>
              <w:jc w:val="both"/>
              <w:rPr>
                <w:rFonts w:ascii="Times New Roman" w:eastAsia="Times New Roman" w:hAnsi="Times New Roman" w:cs="Times New Roman"/>
                <w:i/>
                <w:lang w:val="sr-Cyrl-ME"/>
              </w:rPr>
            </w:pPr>
            <w:r w:rsidRPr="006338E8">
              <w:rPr>
                <w:rFonts w:ascii="Times New Roman" w:eastAsia="Times New Roman" w:hAnsi="Times New Roman" w:cs="Times New Roman"/>
                <w:i/>
                <w:lang w:val="sr-Cyrl-ME"/>
              </w:rPr>
              <w:t xml:space="preserve">Посебна упозорења: </w:t>
            </w:r>
          </w:p>
          <w:p w14:paraId="323CD4E8" w14:textId="77777777" w:rsidR="0039549E" w:rsidRPr="006338E8" w:rsidRDefault="0039549E">
            <w:pPr>
              <w:tabs>
                <w:tab w:val="left" w:pos="284"/>
              </w:tabs>
              <w:spacing w:after="0" w:line="240" w:lineRule="auto"/>
              <w:jc w:val="both"/>
              <w:rPr>
                <w:rFonts w:ascii="Times New Roman" w:eastAsia="Times New Roman" w:hAnsi="Times New Roman" w:cs="Times New Roman"/>
                <w:i/>
                <w:lang w:val="sr-Cyrl-ME"/>
              </w:rPr>
            </w:pPr>
          </w:p>
          <w:p w14:paraId="62C08BB7" w14:textId="101A0989"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Рехидратација је од есенцијалног значаја у терапији акутне дијареје</w:t>
            </w:r>
            <w:r w:rsidR="002D1F85" w:rsidRPr="006338E8">
              <w:rPr>
                <w:rFonts w:ascii="Times New Roman" w:eastAsia="Times New Roman" w:hAnsi="Times New Roman" w:cs="Times New Roman"/>
                <w:lang w:val="sr-Cyrl-ME"/>
              </w:rPr>
              <w:t>.</w:t>
            </w:r>
          </w:p>
          <w:p w14:paraId="0FBCD79B" w14:textId="77777777" w:rsidR="0039549E" w:rsidRPr="006338E8" w:rsidRDefault="0039549E">
            <w:pPr>
              <w:tabs>
                <w:tab w:val="left" w:pos="284"/>
              </w:tabs>
              <w:spacing w:after="0" w:line="240" w:lineRule="auto"/>
              <w:jc w:val="both"/>
              <w:rPr>
                <w:rFonts w:ascii="Times New Roman" w:eastAsia="Times New Roman" w:hAnsi="Times New Roman" w:cs="Times New Roman"/>
                <w:lang w:val="sr-Cyrl-ME"/>
              </w:rPr>
            </w:pPr>
          </w:p>
          <w:p w14:paraId="5AA80CE7"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Уколико се у року од 2 дана послије започињања лијечења дијареја продужава, употребу лијека треба поново процијенити и размотрити потребу за рехидратацијом помоћу оралног раствора за рехидратацију или интравенским путем. </w:t>
            </w:r>
          </w:p>
          <w:p w14:paraId="7C03F193" w14:textId="589018E9" w:rsidR="0039549E" w:rsidRPr="006338E8" w:rsidRDefault="0039549E">
            <w:pPr>
              <w:tabs>
                <w:tab w:val="left" w:pos="284"/>
              </w:tabs>
              <w:spacing w:after="0" w:line="240" w:lineRule="auto"/>
              <w:jc w:val="both"/>
              <w:rPr>
                <w:rFonts w:ascii="Times New Roman" w:eastAsia="Times New Roman" w:hAnsi="Times New Roman" w:cs="Times New Roman"/>
                <w:lang w:val="sr-Cyrl-ME"/>
              </w:rPr>
            </w:pPr>
          </w:p>
          <w:p w14:paraId="2B188DB8" w14:textId="470A84C1" w:rsidR="00634086" w:rsidRPr="006338E8" w:rsidRDefault="00634086">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У случају тешке и продужене дијареје, тешког повраћања или одбијања јела, треба размотрити рехидратацију интравенским путем. </w:t>
            </w:r>
          </w:p>
          <w:p w14:paraId="142631DC" w14:textId="77777777" w:rsidR="00634086" w:rsidRPr="006338E8" w:rsidRDefault="00634086">
            <w:pPr>
              <w:tabs>
                <w:tab w:val="left" w:pos="284"/>
              </w:tabs>
              <w:spacing w:after="0" w:line="240" w:lineRule="auto"/>
              <w:jc w:val="both"/>
              <w:rPr>
                <w:rFonts w:ascii="Times New Roman" w:eastAsia="Times New Roman" w:hAnsi="Times New Roman" w:cs="Times New Roman"/>
                <w:lang w:val="sr-Cyrl-ME"/>
              </w:rPr>
            </w:pPr>
          </w:p>
          <w:p w14:paraId="3E5797AD"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У случају инфективне дијареје са клиничким инвазивним симптомима, потребна је употреба антибактеријских љекова са добром системском дистрибуцијом.</w:t>
            </w:r>
          </w:p>
          <w:p w14:paraId="4162AAAE"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p>
          <w:p w14:paraId="013A9F18" w14:textId="77777777" w:rsidR="00297F5A" w:rsidRPr="006338E8" w:rsidRDefault="00297F5A">
            <w:pPr>
              <w:tabs>
                <w:tab w:val="left" w:pos="284"/>
              </w:tabs>
              <w:spacing w:after="0" w:line="240" w:lineRule="auto"/>
              <w:jc w:val="both"/>
              <w:rPr>
                <w:rFonts w:ascii="Times New Roman" w:eastAsia="Times New Roman" w:hAnsi="Times New Roman" w:cs="Times New Roman"/>
                <w:i/>
                <w:lang w:val="sr-Cyrl-ME"/>
              </w:rPr>
            </w:pPr>
            <w:r w:rsidRPr="006338E8">
              <w:rPr>
                <w:rFonts w:ascii="Times New Roman" w:eastAsia="Times New Roman" w:hAnsi="Times New Roman" w:cs="Times New Roman"/>
                <w:i/>
                <w:lang w:val="sr-Cyrl-ME"/>
              </w:rPr>
              <w:t xml:space="preserve">Мјере опреза: </w:t>
            </w:r>
          </w:p>
          <w:p w14:paraId="40F612F1" w14:textId="77777777" w:rsidR="0039549E" w:rsidRPr="006338E8" w:rsidRDefault="0039549E">
            <w:pPr>
              <w:tabs>
                <w:tab w:val="left" w:pos="284"/>
              </w:tabs>
              <w:spacing w:after="0" w:line="240" w:lineRule="auto"/>
              <w:jc w:val="both"/>
              <w:rPr>
                <w:rFonts w:ascii="Times New Roman" w:eastAsia="Times New Roman" w:hAnsi="Times New Roman" w:cs="Times New Roman"/>
                <w:i/>
                <w:lang w:val="sr-Cyrl-ME"/>
              </w:rPr>
            </w:pPr>
          </w:p>
          <w:p w14:paraId="3B417C5F" w14:textId="77777777" w:rsidR="00297F5A" w:rsidRPr="006338E8" w:rsidRDefault="00297F5A">
            <w:pPr>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Уколико се прописује рехидратација раствором за рехидратацију, начин употребе и начин реконституције треба да буду јасно и прецизно објашњени.</w:t>
            </w:r>
          </w:p>
          <w:p w14:paraId="5A4D1F21" w14:textId="77777777" w:rsidR="00297F5A" w:rsidRPr="006338E8" w:rsidRDefault="00297F5A">
            <w:pPr>
              <w:autoSpaceDE w:val="0"/>
              <w:autoSpaceDN w:val="0"/>
              <w:adjustRightInd w:val="0"/>
              <w:spacing w:after="0" w:line="240" w:lineRule="auto"/>
              <w:jc w:val="both"/>
              <w:rPr>
                <w:rFonts w:ascii="Times New Roman" w:eastAsia="Times New Roman" w:hAnsi="Times New Roman" w:cs="Times New Roman"/>
                <w:lang w:val="sr-Cyrl-ME"/>
              </w:rPr>
            </w:pPr>
          </w:p>
          <w:p w14:paraId="5BB00DED" w14:textId="51EC7FF2" w:rsidR="00297F5A" w:rsidRPr="006338E8" w:rsidRDefault="00634086">
            <w:pPr>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У случају да не постоји потреба за таквом рехидарат</w:t>
            </w:r>
            <w:r w:rsidR="00DC2F79" w:rsidRPr="006338E8">
              <w:rPr>
                <w:rFonts w:ascii="Times New Roman" w:eastAsia="Times New Roman" w:hAnsi="Times New Roman" w:cs="Times New Roman"/>
                <w:lang w:val="sr-Cyrl-ME"/>
              </w:rPr>
              <w:t>а</w:t>
            </w:r>
            <w:r w:rsidRPr="006338E8">
              <w:rPr>
                <w:rFonts w:ascii="Times New Roman" w:eastAsia="Times New Roman" w:hAnsi="Times New Roman" w:cs="Times New Roman"/>
                <w:lang w:val="sr-Cyrl-ME"/>
              </w:rPr>
              <w:t>цијом п</w:t>
            </w:r>
            <w:r w:rsidR="00297F5A" w:rsidRPr="006338E8">
              <w:rPr>
                <w:rFonts w:ascii="Times New Roman" w:eastAsia="Times New Roman" w:hAnsi="Times New Roman" w:cs="Times New Roman"/>
                <w:lang w:val="sr-Cyrl-ME"/>
              </w:rPr>
              <w:t>ацијент</w:t>
            </w:r>
            <w:r w:rsidRPr="006338E8">
              <w:rPr>
                <w:rFonts w:ascii="Times New Roman" w:eastAsia="Times New Roman" w:hAnsi="Times New Roman" w:cs="Times New Roman"/>
                <w:lang w:val="sr-Cyrl-ME"/>
              </w:rPr>
              <w:t xml:space="preserve"> ипак</w:t>
            </w:r>
            <w:r w:rsidR="00297F5A" w:rsidRPr="006338E8">
              <w:rPr>
                <w:rFonts w:ascii="Times New Roman" w:eastAsia="Times New Roman" w:hAnsi="Times New Roman" w:cs="Times New Roman"/>
                <w:lang w:val="sr-Cyrl-ME"/>
              </w:rPr>
              <w:t xml:space="preserve"> треба да буде обавијештен о сљедећим потребама:</w:t>
            </w:r>
          </w:p>
          <w:p w14:paraId="0C132E3E" w14:textId="78F54313" w:rsidR="00297F5A" w:rsidRPr="006338E8" w:rsidRDefault="00297F5A">
            <w:pPr>
              <w:numPr>
                <w:ilvl w:val="0"/>
                <w:numId w:val="2"/>
              </w:numPr>
              <w:tabs>
                <w:tab w:val="left" w:pos="284"/>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рехидратаци</w:t>
            </w:r>
            <w:r w:rsidR="00634086" w:rsidRPr="006338E8">
              <w:rPr>
                <w:rFonts w:ascii="Times New Roman" w:eastAsia="Times New Roman" w:hAnsi="Times New Roman" w:cs="Times New Roman"/>
                <w:lang w:val="sr-Cyrl-ME"/>
              </w:rPr>
              <w:t>ји</w:t>
            </w:r>
            <w:r w:rsidRPr="006338E8">
              <w:rPr>
                <w:rFonts w:ascii="Times New Roman" w:eastAsia="Times New Roman" w:hAnsi="Times New Roman" w:cs="Times New Roman"/>
                <w:lang w:val="sr-Cyrl-ME"/>
              </w:rPr>
              <w:t xml:space="preserve"> великом количином течности, слатким или сланим пићима, у циљу надокнаде изгубљене течности изазване дијарејом (просјечан дневни унос воде је 2</w:t>
            </w:r>
            <w:r w:rsidR="00634086" w:rsidRPr="006338E8">
              <w:rPr>
                <w:rFonts w:ascii="Times New Roman" w:eastAsia="Times New Roman" w:hAnsi="Times New Roman" w:cs="Times New Roman"/>
                <w:lang w:val="sr-Cyrl-ME"/>
              </w:rPr>
              <w:t>l</w:t>
            </w:r>
            <w:r w:rsidRPr="006338E8">
              <w:rPr>
                <w:rFonts w:ascii="Times New Roman" w:eastAsia="Times New Roman" w:hAnsi="Times New Roman" w:cs="Times New Roman"/>
                <w:lang w:val="sr-Cyrl-ME"/>
              </w:rPr>
              <w:t>).</w:t>
            </w:r>
          </w:p>
          <w:p w14:paraId="56E1BEA3" w14:textId="77777777" w:rsidR="00297F5A" w:rsidRPr="006338E8" w:rsidRDefault="00297F5A">
            <w:pPr>
              <w:autoSpaceDE w:val="0"/>
              <w:autoSpaceDN w:val="0"/>
              <w:adjustRightInd w:val="0"/>
              <w:spacing w:after="0" w:line="240" w:lineRule="auto"/>
              <w:contextualSpacing/>
              <w:jc w:val="both"/>
              <w:rPr>
                <w:rFonts w:ascii="Times New Roman" w:eastAsia="Times New Roman" w:hAnsi="Times New Roman" w:cs="Times New Roman"/>
                <w:lang w:val="sr-Cyrl-ME"/>
              </w:rPr>
            </w:pPr>
          </w:p>
          <w:p w14:paraId="053F3065" w14:textId="77777777" w:rsidR="00634086" w:rsidRPr="006338E8" w:rsidRDefault="00634086" w:rsidP="00C22141">
            <w:pPr>
              <w:autoSpaceDE w:val="0"/>
              <w:autoSpaceDN w:val="0"/>
              <w:adjustRightInd w:val="0"/>
              <w:spacing w:after="0" w:line="240" w:lineRule="auto"/>
              <w:contextualSpacing/>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Начином исхране у току дијареје који подразумијева: </w:t>
            </w:r>
          </w:p>
          <w:p w14:paraId="25FD9D5A" w14:textId="77777777" w:rsidR="00297F5A" w:rsidRPr="006338E8" w:rsidRDefault="00297F5A" w:rsidP="00C22141">
            <w:pPr>
              <w:pStyle w:val="ListParagraph"/>
              <w:numPr>
                <w:ilvl w:val="0"/>
                <w:numId w:val="2"/>
              </w:numPr>
              <w:rPr>
                <w:rFonts w:ascii="Times New Roman" w:eastAsia="Times New Roman" w:hAnsi="Times New Roman" w:cs="Times New Roman"/>
                <w:lang w:val="sr-Cyrl-ME"/>
              </w:rPr>
            </w:pPr>
            <w:r w:rsidRPr="006338E8">
              <w:rPr>
                <w:rFonts w:ascii="Times New Roman" w:eastAsia="Times New Roman" w:hAnsi="Times New Roman" w:cs="Times New Roman"/>
                <w:lang w:val="sr-Cyrl-ME"/>
              </w:rPr>
              <w:t>избјегавање одређених намирница, посебно сировог поврћа, воћа, зеленог поврћа, зачињене хране, као и замрзнуте хране или пића,</w:t>
            </w:r>
          </w:p>
          <w:p w14:paraId="0D8A3C65" w14:textId="77777777" w:rsidR="00297F5A" w:rsidRPr="006338E8" w:rsidRDefault="00297F5A">
            <w:pPr>
              <w:numPr>
                <w:ilvl w:val="0"/>
                <w:numId w:val="2"/>
              </w:numPr>
              <w:tabs>
                <w:tab w:val="left" w:pos="284"/>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препоручује се месо са </w:t>
            </w:r>
            <w:r w:rsidR="0039549E" w:rsidRPr="006338E8">
              <w:rPr>
                <w:rFonts w:ascii="Times New Roman" w:eastAsia="Times New Roman" w:hAnsi="Times New Roman" w:cs="Times New Roman"/>
                <w:lang w:val="sr-Cyrl-ME"/>
              </w:rPr>
              <w:t>роштиља и пиринач.</w:t>
            </w:r>
          </w:p>
          <w:p w14:paraId="0B3BB919" w14:textId="77777777" w:rsidR="0039549E" w:rsidRPr="006338E8" w:rsidRDefault="0039549E">
            <w:pPr>
              <w:tabs>
                <w:tab w:val="left" w:pos="284"/>
              </w:tabs>
              <w:autoSpaceDE w:val="0"/>
              <w:autoSpaceDN w:val="0"/>
              <w:adjustRightInd w:val="0"/>
              <w:spacing w:after="0" w:line="240" w:lineRule="auto"/>
              <w:ind w:left="360"/>
              <w:contextualSpacing/>
              <w:jc w:val="both"/>
              <w:rPr>
                <w:rFonts w:ascii="Times New Roman" w:eastAsia="Times New Roman" w:hAnsi="Times New Roman" w:cs="Times New Roman"/>
                <w:lang w:val="sr-Cyrl-ME"/>
              </w:rPr>
            </w:pPr>
          </w:p>
          <w:p w14:paraId="39CC926E" w14:textId="5B8B8BD8" w:rsidR="006338E8" w:rsidRDefault="00297F5A" w:rsidP="000853D8">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Избјегавање млијека и млијечних производа треба размотрити од случаја до случаја.</w:t>
            </w:r>
          </w:p>
          <w:p w14:paraId="59464BEB" w14:textId="77777777" w:rsidR="006338E8" w:rsidRPr="006338E8" w:rsidRDefault="006338E8">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3E93F6E8" w14:textId="77777777" w:rsidR="00671322" w:rsidRPr="006338E8" w:rsidRDefault="00671322" w:rsidP="00671322">
            <w:pPr>
              <w:tabs>
                <w:tab w:val="left" w:pos="284"/>
              </w:tabs>
              <w:spacing w:after="0" w:line="240" w:lineRule="auto"/>
              <w:jc w:val="both"/>
              <w:rPr>
                <w:rFonts w:ascii="Times New Roman" w:eastAsia="Times New Roman" w:hAnsi="Times New Roman" w:cs="Times New Roman"/>
                <w:b/>
                <w:lang w:val="sr-Cyrl-ME"/>
              </w:rPr>
            </w:pPr>
            <w:r w:rsidRPr="006338E8">
              <w:rPr>
                <w:rFonts w:ascii="Times New Roman" w:eastAsia="Times New Roman" w:hAnsi="Times New Roman" w:cs="Times New Roman"/>
                <w:b/>
                <w:lang w:val="sr-Cyrl-ME"/>
              </w:rPr>
              <w:t xml:space="preserve">Важне информације о неким састојцима лијека </w:t>
            </w:r>
            <w:r w:rsidRPr="006338E8">
              <w:rPr>
                <w:rFonts w:ascii="Times New Roman" w:eastAsia="Times New Roman" w:hAnsi="Times New Roman" w:cs="Times New Roman"/>
                <w:b/>
                <w:bCs/>
                <w:lang w:val="sr-Cyrl-ME"/>
              </w:rPr>
              <w:t>NIFUROKSAZID ALKALOID</w:t>
            </w:r>
          </w:p>
          <w:p w14:paraId="43B1DC7D" w14:textId="7FC4C47F" w:rsidR="00085810" w:rsidRPr="006338E8" w:rsidRDefault="00864EEF">
            <w:pPr>
              <w:tabs>
                <w:tab w:val="left" w:pos="284"/>
              </w:tabs>
              <w:autoSpaceDE w:val="0"/>
              <w:autoSpaceDN w:val="0"/>
              <w:adjustRightInd w:val="0"/>
              <w:spacing w:after="0" w:line="240" w:lineRule="auto"/>
              <w:jc w:val="both"/>
              <w:rPr>
                <w:rFonts w:ascii="Times New Roman" w:eastAsia="Times New Roman" w:hAnsi="Times New Roman" w:cs="Times New Roman"/>
              </w:rPr>
            </w:pPr>
            <w:r w:rsidRPr="006338E8">
              <w:rPr>
                <w:rFonts w:ascii="Times New Roman" w:hAnsi="Times New Roman" w:cs="Times New Roman"/>
                <w:lang w:val="sr-Cyrl-RS"/>
              </w:rPr>
              <w:t xml:space="preserve">Овај лијек садржи 2000 </w:t>
            </w:r>
            <w:r w:rsidRPr="006338E8">
              <w:rPr>
                <w:rFonts w:ascii="Times New Roman" w:hAnsi="Times New Roman" w:cs="Times New Roman"/>
              </w:rPr>
              <w:t xml:space="preserve">mg </w:t>
            </w:r>
            <w:r w:rsidRPr="006338E8">
              <w:rPr>
                <w:rFonts w:ascii="Times New Roman" w:hAnsi="Times New Roman" w:cs="Times New Roman"/>
                <w:lang w:val="sr-Cyrl-RS"/>
              </w:rPr>
              <w:t xml:space="preserve">течног, некристалишућег сорбитола (еквивалнетно 1.4 </w:t>
            </w:r>
            <w:r w:rsidRPr="006338E8">
              <w:rPr>
                <w:rFonts w:ascii="Times New Roman" w:hAnsi="Times New Roman" w:cs="Times New Roman"/>
              </w:rPr>
              <w:t xml:space="preserve">g </w:t>
            </w:r>
            <w:r w:rsidRPr="006338E8">
              <w:rPr>
                <w:rFonts w:ascii="Times New Roman" w:hAnsi="Times New Roman" w:cs="Times New Roman"/>
                <w:lang w:val="sr-Cyrl-RS"/>
              </w:rPr>
              <w:t xml:space="preserve">сорбитола) у сваких 5 </w:t>
            </w:r>
            <w:r w:rsidRPr="006338E8">
              <w:rPr>
                <w:rFonts w:ascii="Times New Roman" w:hAnsi="Times New Roman" w:cs="Times New Roman"/>
              </w:rPr>
              <w:t xml:space="preserve">ml </w:t>
            </w:r>
            <w:r w:rsidRPr="006338E8">
              <w:rPr>
                <w:rFonts w:ascii="Times New Roman" w:hAnsi="Times New Roman" w:cs="Times New Roman"/>
                <w:lang w:val="sr-Cyrl-RS"/>
              </w:rPr>
              <w:t xml:space="preserve">суспензије што је еквивалентно 280 </w:t>
            </w:r>
            <w:r w:rsidRPr="006338E8">
              <w:rPr>
                <w:rFonts w:ascii="Times New Roman" w:hAnsi="Times New Roman" w:cs="Times New Roman"/>
              </w:rPr>
              <w:t xml:space="preserve">mg </w:t>
            </w:r>
            <w:r w:rsidRPr="006338E8">
              <w:rPr>
                <w:rFonts w:ascii="Times New Roman" w:hAnsi="Times New Roman" w:cs="Times New Roman"/>
                <w:lang w:val="sr-Cyrl-RS"/>
              </w:rPr>
              <w:t xml:space="preserve">сорбитола у сваком </w:t>
            </w:r>
            <w:r w:rsidRPr="006338E8">
              <w:rPr>
                <w:rFonts w:ascii="Times New Roman" w:hAnsi="Times New Roman" w:cs="Times New Roman"/>
              </w:rPr>
              <w:t xml:space="preserve">ml </w:t>
            </w:r>
            <w:r w:rsidRPr="006338E8">
              <w:rPr>
                <w:rFonts w:ascii="Times New Roman" w:hAnsi="Times New Roman" w:cs="Times New Roman"/>
                <w:lang w:val="sr-Cyrl-RS"/>
              </w:rPr>
              <w:t>суспензије.</w:t>
            </w:r>
          </w:p>
          <w:p w14:paraId="19646FB8" w14:textId="7B235330" w:rsidR="00297F5A" w:rsidRPr="006338E8" w:rsidRDefault="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Пацијенти с</w:t>
            </w:r>
            <w:r w:rsidR="006C5C6B" w:rsidRPr="006338E8">
              <w:rPr>
                <w:rFonts w:ascii="Times New Roman" w:eastAsia="Times New Roman" w:hAnsi="Times New Roman" w:cs="Times New Roman"/>
                <w:lang w:val="sr-Latn-ME"/>
              </w:rPr>
              <w:t>a</w:t>
            </w:r>
            <w:r w:rsidRPr="006338E8">
              <w:rPr>
                <w:rFonts w:ascii="Times New Roman" w:eastAsia="Times New Roman" w:hAnsi="Times New Roman" w:cs="Times New Roman"/>
                <w:lang w:val="sr-Cyrl-ME"/>
              </w:rPr>
              <w:t xml:space="preserve"> насљедним неподношењем фруктозе не смију узимати овај лијек.</w:t>
            </w:r>
          </w:p>
          <w:p w14:paraId="153B546E" w14:textId="77777777" w:rsidR="00634086" w:rsidRPr="006338E8" w:rsidRDefault="00634086">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6C3EA997" w14:textId="7C7BA72B" w:rsidR="001F3BF4" w:rsidRPr="006338E8" w:rsidRDefault="00864EEF">
            <w:pPr>
              <w:tabs>
                <w:tab w:val="left" w:pos="284"/>
              </w:tabs>
              <w:spacing w:after="0" w:line="240" w:lineRule="auto"/>
              <w:jc w:val="both"/>
              <w:rPr>
                <w:rFonts w:ascii="Times New Roman" w:eastAsia="Times New Roman" w:hAnsi="Times New Roman" w:cs="Times New Roman"/>
                <w:lang w:val="sr-Cyrl-RS"/>
              </w:rPr>
            </w:pPr>
            <w:proofErr w:type="spellStart"/>
            <w:r w:rsidRPr="006338E8">
              <w:rPr>
                <w:rFonts w:ascii="Times New Roman" w:eastAsia="Times New Roman" w:hAnsi="Times New Roman" w:cs="Times New Roman"/>
              </w:rPr>
              <w:t>Овај</w:t>
            </w:r>
            <w:proofErr w:type="spellEnd"/>
            <w:r w:rsidRPr="006338E8">
              <w:rPr>
                <w:rFonts w:ascii="Times New Roman" w:eastAsia="Times New Roman" w:hAnsi="Times New Roman" w:cs="Times New Roman"/>
              </w:rPr>
              <w:t xml:space="preserve"> л</w:t>
            </w:r>
            <w:r w:rsidRPr="006338E8">
              <w:rPr>
                <w:rFonts w:ascii="Times New Roman" w:eastAsia="Times New Roman" w:hAnsi="Times New Roman" w:cs="Times New Roman"/>
                <w:lang w:val="sr-Cyrl-RS"/>
              </w:rPr>
              <w:t>иј</w:t>
            </w:r>
            <w:proofErr w:type="spellStart"/>
            <w:r w:rsidRPr="006338E8">
              <w:rPr>
                <w:rFonts w:ascii="Times New Roman" w:eastAsia="Times New Roman" w:hAnsi="Times New Roman" w:cs="Times New Roman"/>
              </w:rPr>
              <w:t>ек</w:t>
            </w:r>
            <w:proofErr w:type="spellEnd"/>
            <w:r w:rsidRPr="006338E8">
              <w:rPr>
                <w:rFonts w:ascii="Times New Roman" w:eastAsia="Times New Roman" w:hAnsi="Times New Roman" w:cs="Times New Roman"/>
              </w:rPr>
              <w:t xml:space="preserve"> </w:t>
            </w:r>
            <w:proofErr w:type="spellStart"/>
            <w:r w:rsidRPr="006338E8">
              <w:rPr>
                <w:rFonts w:ascii="Times New Roman" w:eastAsia="Times New Roman" w:hAnsi="Times New Roman" w:cs="Times New Roman"/>
              </w:rPr>
              <w:t>садржи</w:t>
            </w:r>
            <w:proofErr w:type="spellEnd"/>
            <w:r w:rsidRPr="006338E8">
              <w:rPr>
                <w:rFonts w:ascii="Times New Roman" w:eastAsia="Times New Roman" w:hAnsi="Times New Roman" w:cs="Times New Roman"/>
              </w:rPr>
              <w:t xml:space="preserve"> 10 mg </w:t>
            </w:r>
            <w:proofErr w:type="spellStart"/>
            <w:r w:rsidRPr="006338E8">
              <w:rPr>
                <w:rFonts w:ascii="Times New Roman" w:eastAsia="Times New Roman" w:hAnsi="Times New Roman" w:cs="Times New Roman"/>
              </w:rPr>
              <w:t>натријум</w:t>
            </w:r>
            <w:proofErr w:type="spellEnd"/>
            <w:r w:rsidRPr="006338E8">
              <w:rPr>
                <w:rFonts w:ascii="Times New Roman" w:eastAsia="Times New Roman" w:hAnsi="Times New Roman" w:cs="Times New Roman"/>
              </w:rPr>
              <w:t xml:space="preserve"> </w:t>
            </w:r>
            <w:proofErr w:type="spellStart"/>
            <w:r w:rsidRPr="006338E8">
              <w:rPr>
                <w:rFonts w:ascii="Times New Roman" w:eastAsia="Times New Roman" w:hAnsi="Times New Roman" w:cs="Times New Roman"/>
              </w:rPr>
              <w:t>бензоата</w:t>
            </w:r>
            <w:proofErr w:type="spellEnd"/>
            <w:r w:rsidRPr="006338E8">
              <w:rPr>
                <w:rFonts w:ascii="Times New Roman" w:eastAsia="Times New Roman" w:hAnsi="Times New Roman" w:cs="Times New Roman"/>
              </w:rPr>
              <w:t xml:space="preserve"> у </w:t>
            </w:r>
            <w:proofErr w:type="spellStart"/>
            <w:r w:rsidRPr="006338E8">
              <w:rPr>
                <w:rFonts w:ascii="Times New Roman" w:eastAsia="Times New Roman" w:hAnsi="Times New Roman" w:cs="Times New Roman"/>
              </w:rPr>
              <w:t>сваких</w:t>
            </w:r>
            <w:proofErr w:type="spellEnd"/>
            <w:r w:rsidRPr="006338E8">
              <w:rPr>
                <w:rFonts w:ascii="Times New Roman" w:eastAsia="Times New Roman" w:hAnsi="Times New Roman" w:cs="Times New Roman"/>
              </w:rPr>
              <w:t xml:space="preserve"> 5 ml </w:t>
            </w:r>
            <w:proofErr w:type="spellStart"/>
            <w:r w:rsidRPr="006338E8">
              <w:rPr>
                <w:rFonts w:ascii="Times New Roman" w:eastAsia="Times New Roman" w:hAnsi="Times New Roman" w:cs="Times New Roman"/>
              </w:rPr>
              <w:t>суспензије</w:t>
            </w:r>
            <w:proofErr w:type="spellEnd"/>
            <w:r w:rsidRPr="006338E8">
              <w:rPr>
                <w:rFonts w:ascii="Times New Roman" w:eastAsia="Times New Roman" w:hAnsi="Times New Roman" w:cs="Times New Roman"/>
              </w:rPr>
              <w:t xml:space="preserve"> </w:t>
            </w:r>
            <w:proofErr w:type="spellStart"/>
            <w:r w:rsidRPr="006338E8">
              <w:rPr>
                <w:rFonts w:ascii="Times New Roman" w:eastAsia="Times New Roman" w:hAnsi="Times New Roman" w:cs="Times New Roman"/>
              </w:rPr>
              <w:t>што</w:t>
            </w:r>
            <w:proofErr w:type="spellEnd"/>
            <w:r w:rsidRPr="006338E8">
              <w:rPr>
                <w:rFonts w:ascii="Times New Roman" w:eastAsia="Times New Roman" w:hAnsi="Times New Roman" w:cs="Times New Roman"/>
              </w:rPr>
              <w:t xml:space="preserve"> </w:t>
            </w:r>
            <w:proofErr w:type="spellStart"/>
            <w:r w:rsidRPr="006338E8">
              <w:rPr>
                <w:rFonts w:ascii="Times New Roman" w:eastAsia="Times New Roman" w:hAnsi="Times New Roman" w:cs="Times New Roman"/>
              </w:rPr>
              <w:t>је</w:t>
            </w:r>
            <w:proofErr w:type="spellEnd"/>
            <w:r w:rsidRPr="006338E8">
              <w:rPr>
                <w:rFonts w:ascii="Times New Roman" w:eastAsia="Times New Roman" w:hAnsi="Times New Roman" w:cs="Times New Roman"/>
              </w:rPr>
              <w:t xml:space="preserve"> </w:t>
            </w:r>
            <w:proofErr w:type="spellStart"/>
            <w:r w:rsidRPr="006338E8">
              <w:rPr>
                <w:rFonts w:ascii="Times New Roman" w:eastAsia="Times New Roman" w:hAnsi="Times New Roman" w:cs="Times New Roman"/>
              </w:rPr>
              <w:t>еквивалентно</w:t>
            </w:r>
            <w:proofErr w:type="spellEnd"/>
            <w:r w:rsidRPr="006338E8">
              <w:rPr>
                <w:rFonts w:ascii="Times New Roman" w:eastAsia="Times New Roman" w:hAnsi="Times New Roman" w:cs="Times New Roman"/>
              </w:rPr>
              <w:t xml:space="preserve"> </w:t>
            </w:r>
            <w:r w:rsidRPr="006338E8">
              <w:rPr>
                <w:rFonts w:ascii="Times New Roman" w:eastAsia="Times New Roman" w:hAnsi="Times New Roman" w:cs="Times New Roman"/>
                <w:lang w:val="sr-Cyrl-RS"/>
              </w:rPr>
              <w:t>2</w:t>
            </w:r>
            <w:r w:rsidRPr="006338E8">
              <w:rPr>
                <w:rFonts w:ascii="Times New Roman" w:eastAsia="Times New Roman" w:hAnsi="Times New Roman" w:cs="Times New Roman"/>
              </w:rPr>
              <w:t xml:space="preserve"> mg</w:t>
            </w:r>
            <w:r w:rsidR="00D115C4" w:rsidRPr="006338E8">
              <w:rPr>
                <w:rFonts w:ascii="Times New Roman" w:eastAsia="Times New Roman" w:hAnsi="Times New Roman" w:cs="Times New Roman"/>
                <w:lang w:val="sr-Cyrl-RS"/>
              </w:rPr>
              <w:t>/</w:t>
            </w:r>
            <w:r w:rsidRPr="006338E8">
              <w:rPr>
                <w:rFonts w:ascii="Times New Roman" w:eastAsia="Times New Roman" w:hAnsi="Times New Roman" w:cs="Times New Roman"/>
              </w:rPr>
              <w:t>ml</w:t>
            </w:r>
            <w:r w:rsidRPr="006338E8">
              <w:rPr>
                <w:rFonts w:ascii="Times New Roman" w:eastAsia="Times New Roman" w:hAnsi="Times New Roman" w:cs="Times New Roman"/>
                <w:lang w:val="sr-Cyrl-RS"/>
              </w:rPr>
              <w:t xml:space="preserve"> суспензије</w:t>
            </w:r>
            <w:r w:rsidRPr="006338E8">
              <w:rPr>
                <w:rFonts w:ascii="Times New Roman" w:eastAsia="Times New Roman" w:hAnsi="Times New Roman" w:cs="Times New Roman"/>
              </w:rPr>
              <w:t>.</w:t>
            </w:r>
            <w:r w:rsidRPr="006338E8">
              <w:rPr>
                <w:rFonts w:ascii="Times New Roman" w:eastAsia="Times New Roman" w:hAnsi="Times New Roman" w:cs="Times New Roman"/>
                <w:lang w:val="sr-Cyrl-RS"/>
              </w:rPr>
              <w:t xml:space="preserve"> </w:t>
            </w:r>
          </w:p>
          <w:p w14:paraId="2EC916C1" w14:textId="77777777" w:rsidR="001F3BF4" w:rsidRPr="006338E8" w:rsidRDefault="001F3BF4">
            <w:pPr>
              <w:tabs>
                <w:tab w:val="left" w:pos="284"/>
              </w:tabs>
              <w:spacing w:after="0" w:line="240" w:lineRule="auto"/>
              <w:jc w:val="both"/>
              <w:rPr>
                <w:rFonts w:ascii="Times New Roman" w:eastAsia="Times New Roman" w:hAnsi="Times New Roman" w:cs="Times New Roman"/>
                <w:lang w:val="sr-Cyrl-ME"/>
              </w:rPr>
            </w:pPr>
          </w:p>
          <w:p w14:paraId="045DB79B" w14:textId="28AE2BCA" w:rsidR="00085810" w:rsidRPr="006338E8" w:rsidRDefault="00864EEF">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mk-MK"/>
              </w:rPr>
              <w:lastRenderedPageBreak/>
              <w:t xml:space="preserve">Овај лијек садржи мање од 1 </w:t>
            </w:r>
            <w:r w:rsidRPr="006338E8">
              <w:rPr>
                <w:rFonts w:ascii="Times New Roman" w:eastAsia="Times New Roman" w:hAnsi="Times New Roman" w:cs="Times New Roman"/>
              </w:rPr>
              <w:t>mmol</w:t>
            </w:r>
            <w:r w:rsidRPr="006338E8">
              <w:rPr>
                <w:rFonts w:ascii="Times New Roman" w:eastAsia="Times New Roman" w:hAnsi="Times New Roman" w:cs="Times New Roman"/>
                <w:lang w:val="mk-MK"/>
              </w:rPr>
              <w:t xml:space="preserve"> (23 </w:t>
            </w:r>
            <w:r w:rsidRPr="006338E8">
              <w:rPr>
                <w:rFonts w:ascii="Times New Roman" w:eastAsia="Times New Roman" w:hAnsi="Times New Roman" w:cs="Times New Roman"/>
              </w:rPr>
              <w:t>mg</w:t>
            </w:r>
            <w:r w:rsidRPr="006338E8">
              <w:rPr>
                <w:rFonts w:ascii="Times New Roman" w:eastAsia="Times New Roman" w:hAnsi="Times New Roman" w:cs="Times New Roman"/>
                <w:lang w:val="mk-MK"/>
              </w:rPr>
              <w:t xml:space="preserve">) натријума у 5 </w:t>
            </w:r>
            <w:r w:rsidRPr="006338E8">
              <w:rPr>
                <w:rFonts w:ascii="Times New Roman" w:eastAsia="Times New Roman" w:hAnsi="Times New Roman" w:cs="Times New Roman"/>
              </w:rPr>
              <w:t>ml</w:t>
            </w:r>
            <w:r w:rsidRPr="006338E8">
              <w:rPr>
                <w:rFonts w:ascii="Times New Roman" w:eastAsia="Times New Roman" w:hAnsi="Times New Roman" w:cs="Times New Roman"/>
                <w:lang w:val="mk-MK"/>
              </w:rPr>
              <w:t xml:space="preserve"> оралне суспензије, што је у суштини </w:t>
            </w:r>
            <w:r w:rsidR="00D115C4" w:rsidRPr="006338E8">
              <w:rPr>
                <w:rFonts w:ascii="Times New Roman" w:eastAsia="Times New Roman" w:hAnsi="Times New Roman" w:cs="Times New Roman"/>
                <w:lang w:val="mk-MK"/>
              </w:rPr>
              <w:t>без</w:t>
            </w:r>
            <w:r w:rsidRPr="006338E8">
              <w:rPr>
                <w:rFonts w:ascii="Times New Roman" w:eastAsia="Times New Roman" w:hAnsi="Times New Roman" w:cs="Times New Roman"/>
                <w:lang w:val="mk-MK"/>
              </w:rPr>
              <w:t xml:space="preserve"> натријума.</w:t>
            </w:r>
            <w:r w:rsidRPr="006338E8">
              <w:rPr>
                <w:rFonts w:ascii="Times New Roman" w:eastAsia="Times New Roman" w:hAnsi="Times New Roman" w:cs="Times New Roman"/>
                <w:lang w:val="sr-Cyrl-ME"/>
              </w:rPr>
              <w:t xml:space="preserve"> </w:t>
            </w:r>
          </w:p>
          <w:p w14:paraId="74F0035A" w14:textId="77777777" w:rsidR="00E247C9" w:rsidRPr="006338E8" w:rsidRDefault="00E247C9">
            <w:pPr>
              <w:tabs>
                <w:tab w:val="left" w:pos="284"/>
              </w:tabs>
              <w:spacing w:after="0" w:line="240" w:lineRule="auto"/>
              <w:jc w:val="both"/>
              <w:rPr>
                <w:rFonts w:ascii="Times New Roman" w:eastAsia="Times New Roman" w:hAnsi="Times New Roman" w:cs="Times New Roman"/>
                <w:lang w:val="sr-Cyrl-ME"/>
              </w:rPr>
            </w:pPr>
          </w:p>
        </w:tc>
      </w:tr>
      <w:tr w:rsidR="00297F5A" w:rsidRPr="006338E8" w14:paraId="37CC496C" w14:textId="77777777" w:rsidTr="00F759CB">
        <w:tc>
          <w:tcPr>
            <w:tcW w:w="9639" w:type="dxa"/>
            <w:gridSpan w:val="4"/>
            <w:vAlign w:val="center"/>
          </w:tcPr>
          <w:p w14:paraId="1DA40122" w14:textId="77777777" w:rsidR="00297F5A" w:rsidRPr="006338E8" w:rsidRDefault="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lastRenderedPageBreak/>
              <w:t>4.5. Интеракције са другим љековима и друге врсте интеракција</w:t>
            </w:r>
          </w:p>
        </w:tc>
      </w:tr>
      <w:tr w:rsidR="00297F5A" w:rsidRPr="006338E8" w14:paraId="5B170DC4" w14:textId="77777777" w:rsidTr="00E247C9">
        <w:trPr>
          <w:trHeight w:val="969"/>
        </w:trPr>
        <w:tc>
          <w:tcPr>
            <w:tcW w:w="9639" w:type="dxa"/>
            <w:gridSpan w:val="4"/>
            <w:vAlign w:val="center"/>
          </w:tcPr>
          <w:p w14:paraId="3329866F" w14:textId="4EB8B418" w:rsidR="00297F5A" w:rsidRPr="006338E8" w:rsidRDefault="00297F5A" w:rsidP="00DC2F79">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Не препоручује се употреба нифуроксазида истовремено са </w:t>
            </w:r>
            <w:r w:rsidR="00634086" w:rsidRPr="006338E8">
              <w:rPr>
                <w:rFonts w:ascii="Times New Roman" w:eastAsia="Times New Roman" w:hAnsi="Times New Roman" w:cs="Times New Roman"/>
                <w:lang w:val="sr-Cyrl-ME"/>
              </w:rPr>
              <w:t>љековима који могу проузроковати дисулфирамску реакцију и депресорима ЦНС-а.</w:t>
            </w:r>
            <w:r w:rsidRPr="006338E8">
              <w:rPr>
                <w:rFonts w:ascii="Times New Roman" w:eastAsia="Times New Roman" w:hAnsi="Times New Roman" w:cs="Times New Roman"/>
                <w:lang w:val="sr-Cyrl-ME"/>
              </w:rPr>
              <w:t xml:space="preserve"> </w:t>
            </w:r>
          </w:p>
        </w:tc>
      </w:tr>
      <w:tr w:rsidR="00297F5A" w:rsidRPr="006338E8" w14:paraId="7A3CE549" w14:textId="77777777" w:rsidTr="00F759CB">
        <w:tc>
          <w:tcPr>
            <w:tcW w:w="9639" w:type="dxa"/>
            <w:gridSpan w:val="4"/>
            <w:vAlign w:val="center"/>
          </w:tcPr>
          <w:p w14:paraId="1E77EFF2" w14:textId="44326F06" w:rsidR="00297F5A" w:rsidRPr="006338E8" w:rsidRDefault="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4.6. П</w:t>
            </w:r>
            <w:r w:rsidR="006C5C6B" w:rsidRPr="006338E8">
              <w:rPr>
                <w:rFonts w:ascii="Times New Roman" w:eastAsia="Times New Roman" w:hAnsi="Times New Roman" w:cs="Times New Roman"/>
                <w:b/>
                <w:bCs/>
                <w:lang w:val="sr-Cyrl-RS"/>
              </w:rPr>
              <w:t>лодност,</w:t>
            </w:r>
            <w:r w:rsidR="006C5C6B" w:rsidRPr="006338E8">
              <w:rPr>
                <w:rFonts w:ascii="Times New Roman" w:eastAsia="Times New Roman" w:hAnsi="Times New Roman" w:cs="Times New Roman"/>
                <w:b/>
                <w:bCs/>
                <w:lang w:val="sr-Latn-ME"/>
              </w:rPr>
              <w:t xml:space="preserve"> </w:t>
            </w:r>
            <w:r w:rsidRPr="006338E8">
              <w:rPr>
                <w:rFonts w:ascii="Times New Roman" w:eastAsia="Times New Roman" w:hAnsi="Times New Roman" w:cs="Times New Roman"/>
                <w:b/>
                <w:bCs/>
                <w:lang w:val="sr-Cyrl-ME"/>
              </w:rPr>
              <w:t>трудноћ</w:t>
            </w:r>
            <w:r w:rsidR="006C5C6B" w:rsidRPr="006338E8">
              <w:rPr>
                <w:rFonts w:ascii="Times New Roman" w:eastAsia="Times New Roman" w:hAnsi="Times New Roman" w:cs="Times New Roman"/>
                <w:b/>
                <w:bCs/>
                <w:lang w:val="sr-Cyrl-ME"/>
              </w:rPr>
              <w:t>а</w:t>
            </w:r>
            <w:r w:rsidRPr="006338E8">
              <w:rPr>
                <w:rFonts w:ascii="Times New Roman" w:eastAsia="Times New Roman" w:hAnsi="Times New Roman" w:cs="Times New Roman"/>
                <w:b/>
                <w:bCs/>
                <w:lang w:val="sr-Cyrl-ME"/>
              </w:rPr>
              <w:t xml:space="preserve"> и дојењ</w:t>
            </w:r>
            <w:r w:rsidR="006C5C6B" w:rsidRPr="006338E8">
              <w:rPr>
                <w:rFonts w:ascii="Times New Roman" w:eastAsia="Times New Roman" w:hAnsi="Times New Roman" w:cs="Times New Roman"/>
                <w:b/>
                <w:bCs/>
                <w:lang w:val="sr-Cyrl-ME"/>
              </w:rPr>
              <w:t>е</w:t>
            </w:r>
          </w:p>
        </w:tc>
      </w:tr>
      <w:tr w:rsidR="00297F5A" w:rsidRPr="006338E8" w14:paraId="6F817FAA" w14:textId="77777777" w:rsidTr="00F759CB">
        <w:trPr>
          <w:trHeight w:val="1145"/>
        </w:trPr>
        <w:tc>
          <w:tcPr>
            <w:tcW w:w="9639" w:type="dxa"/>
            <w:gridSpan w:val="4"/>
            <w:vAlign w:val="center"/>
          </w:tcPr>
          <w:p w14:paraId="0D352193" w14:textId="77777777" w:rsidR="00297F5A" w:rsidRPr="006338E8" w:rsidRDefault="00297F5A">
            <w:pPr>
              <w:spacing w:after="0" w:line="240" w:lineRule="auto"/>
              <w:jc w:val="both"/>
              <w:rPr>
                <w:rFonts w:ascii="Times New Roman" w:eastAsia="Times New Roman" w:hAnsi="Times New Roman" w:cs="Times New Roman"/>
                <w:lang w:val="sr-Cyrl-ME"/>
              </w:rPr>
            </w:pPr>
          </w:p>
          <w:p w14:paraId="3EE2C42B"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i/>
                <w:lang w:val="sr-Cyrl-ME"/>
              </w:rPr>
            </w:pPr>
            <w:r w:rsidRPr="006338E8">
              <w:rPr>
                <w:rFonts w:ascii="Times New Roman" w:eastAsia="Times New Roman" w:hAnsi="Times New Roman" w:cs="Times New Roman"/>
                <w:i/>
                <w:lang w:val="sr-Cyrl-ME"/>
              </w:rPr>
              <w:t>Плодност</w:t>
            </w:r>
          </w:p>
          <w:p w14:paraId="1C8C81B6" w14:textId="0C47894E"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Нема довољно доступних информација из испитивања на животињама о ефекту лијека </w:t>
            </w:r>
            <w:r w:rsidRPr="006338E8">
              <w:rPr>
                <w:rFonts w:ascii="Times New Roman" w:eastAsia="Times New Roman" w:hAnsi="Times New Roman" w:cs="Times New Roman"/>
                <w:bCs/>
                <w:lang w:val="sr-Cyrl-ME"/>
              </w:rPr>
              <w:t>NIFUROKSAZID ALKALOID</w:t>
            </w:r>
            <w:r w:rsidRPr="006338E8">
              <w:rPr>
                <w:rFonts w:ascii="Times New Roman" w:eastAsia="Times New Roman" w:hAnsi="Times New Roman" w:cs="Times New Roman"/>
                <w:lang w:val="sr-Cyrl-ME"/>
              </w:rPr>
              <w:t xml:space="preserve"> на плодност.</w:t>
            </w:r>
          </w:p>
          <w:p w14:paraId="6A68053E"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p w14:paraId="57EEA837" w14:textId="5DDA0F20" w:rsidR="00E247C9"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i/>
                <w:lang w:val="sr-Cyrl-ME"/>
              </w:rPr>
              <w:t>Трудноћа</w:t>
            </w:r>
          </w:p>
          <w:p w14:paraId="003544AD" w14:textId="07BF2C9A" w:rsidR="0003123A" w:rsidRPr="006338E8" w:rsidRDefault="0003123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По</w:t>
            </w:r>
            <w:r w:rsidR="00C158A5" w:rsidRPr="006338E8">
              <w:rPr>
                <w:rFonts w:ascii="Times New Roman" w:eastAsia="Times New Roman" w:hAnsi="Times New Roman" w:cs="Times New Roman"/>
                <w:lang w:val="sr-Cyrl-ME"/>
              </w:rPr>
              <w:t>даци о примјени нифуроксазида код трудница су ограничени.</w:t>
            </w:r>
            <w:r w:rsidRPr="006338E8">
              <w:rPr>
                <w:rFonts w:ascii="Times New Roman" w:eastAsia="Times New Roman" w:hAnsi="Times New Roman" w:cs="Times New Roman"/>
                <w:lang w:val="sr-Cyrl-ME"/>
              </w:rPr>
              <w:t xml:space="preserve"> Испитивања на животињама у погледу репродуктивне токсичности </w:t>
            </w:r>
            <w:r w:rsidR="00430B5B" w:rsidRPr="006338E8">
              <w:rPr>
                <w:rFonts w:ascii="Times New Roman" w:eastAsia="Times New Roman" w:hAnsi="Times New Roman" w:cs="Times New Roman"/>
                <w:lang w:val="sr-Cyrl-ME"/>
              </w:rPr>
              <w:t>нијесу дово</w:t>
            </w:r>
            <w:r w:rsidR="00430B5B" w:rsidRPr="006338E8">
              <w:rPr>
                <w:rFonts w:ascii="Times New Roman" w:eastAsia="Times New Roman" w:hAnsi="Times New Roman" w:cs="Times New Roman"/>
                <w:bCs/>
                <w:lang w:val="sr-Cyrl-ME" w:eastAsia="en-GB"/>
              </w:rPr>
              <w:t>љна.</w:t>
            </w:r>
            <w:r w:rsidRPr="006338E8">
              <w:rPr>
                <w:rFonts w:ascii="Times New Roman" w:eastAsia="Times New Roman" w:hAnsi="Times New Roman" w:cs="Times New Roman"/>
                <w:lang w:val="sr-Cyrl-ME"/>
              </w:rPr>
              <w:t xml:space="preserve"> Нифуроксазид показује могући мутагени потенцијал (погледати дио 5.3). Стога се </w:t>
            </w:r>
            <w:r w:rsidR="00430B5B" w:rsidRPr="006338E8">
              <w:rPr>
                <w:rFonts w:ascii="Times New Roman" w:eastAsia="Times New Roman" w:hAnsi="Times New Roman" w:cs="Times New Roman"/>
                <w:lang w:val="sr-Cyrl-ME"/>
              </w:rPr>
              <w:t xml:space="preserve">лијек </w:t>
            </w:r>
            <w:r w:rsidR="00430B5B" w:rsidRPr="006338E8">
              <w:rPr>
                <w:rFonts w:ascii="Times New Roman" w:eastAsia="Times New Roman" w:hAnsi="Times New Roman" w:cs="Times New Roman"/>
                <w:bCs/>
                <w:lang w:val="sr-Cyrl-ME"/>
              </w:rPr>
              <w:t>NIFUROKSAZID ALKALOID</w:t>
            </w:r>
            <w:r w:rsidR="00C158A5" w:rsidRPr="006338E8">
              <w:rPr>
                <w:rFonts w:ascii="Times New Roman" w:eastAsia="Times New Roman" w:hAnsi="Times New Roman" w:cs="Times New Roman"/>
                <w:lang w:val="sr-Cyrl-ME"/>
              </w:rPr>
              <w:t xml:space="preserve"> </w:t>
            </w:r>
            <w:r w:rsidRPr="006338E8">
              <w:rPr>
                <w:rFonts w:ascii="Times New Roman" w:eastAsia="Times New Roman" w:hAnsi="Times New Roman" w:cs="Times New Roman"/>
                <w:lang w:val="sr-Cyrl-ME"/>
              </w:rPr>
              <w:t>не препоручује током трудноће и не би требало да га користе жене</w:t>
            </w:r>
            <w:r w:rsidR="00C158A5" w:rsidRPr="006338E8">
              <w:rPr>
                <w:rFonts w:ascii="Times New Roman" w:eastAsia="Times New Roman" w:hAnsi="Times New Roman" w:cs="Times New Roman"/>
                <w:lang w:val="sr-Cyrl-ME"/>
              </w:rPr>
              <w:t xml:space="preserve"> у репродуктивном периоду</w:t>
            </w:r>
            <w:r w:rsidR="00430B5B" w:rsidRPr="006338E8">
              <w:rPr>
                <w:rFonts w:ascii="Times New Roman" w:eastAsia="Times New Roman" w:hAnsi="Times New Roman" w:cs="Times New Roman"/>
                <w:lang w:val="sr-Cyrl-ME"/>
              </w:rPr>
              <w:t>,</w:t>
            </w:r>
            <w:r w:rsidRPr="006338E8">
              <w:rPr>
                <w:rFonts w:ascii="Times New Roman" w:eastAsia="Times New Roman" w:hAnsi="Times New Roman" w:cs="Times New Roman"/>
                <w:lang w:val="sr-Cyrl-ME"/>
              </w:rPr>
              <w:t xml:space="preserve"> које не користе </w:t>
            </w:r>
            <w:r w:rsidR="00430B5B" w:rsidRPr="006338E8">
              <w:rPr>
                <w:rFonts w:ascii="Times New Roman" w:eastAsia="Times New Roman" w:hAnsi="Times New Roman" w:cs="Times New Roman"/>
                <w:lang w:val="sr-Cyrl-ME"/>
              </w:rPr>
              <w:t xml:space="preserve">ефикасну </w:t>
            </w:r>
            <w:r w:rsidRPr="006338E8">
              <w:rPr>
                <w:rFonts w:ascii="Times New Roman" w:eastAsia="Times New Roman" w:hAnsi="Times New Roman" w:cs="Times New Roman"/>
                <w:lang w:val="sr-Cyrl-ME"/>
              </w:rPr>
              <w:t>контрацепцију.</w:t>
            </w:r>
          </w:p>
          <w:p w14:paraId="522E533F" w14:textId="77777777" w:rsidR="00297F5A" w:rsidRPr="006338E8" w:rsidRDefault="00297F5A">
            <w:pPr>
              <w:tabs>
                <w:tab w:val="left" w:pos="284"/>
              </w:tabs>
              <w:spacing w:after="0" w:line="240" w:lineRule="auto"/>
              <w:jc w:val="both"/>
              <w:rPr>
                <w:rFonts w:ascii="Times New Roman" w:eastAsia="Times New Roman" w:hAnsi="Times New Roman" w:cs="Times New Roman"/>
                <w:lang w:val="sr-Cyrl-ME"/>
              </w:rPr>
            </w:pPr>
          </w:p>
          <w:p w14:paraId="6822FB65" w14:textId="6C9C84A4" w:rsidR="00E247C9" w:rsidRPr="006338E8" w:rsidRDefault="00297F5A">
            <w:pPr>
              <w:tabs>
                <w:tab w:val="left" w:pos="284"/>
              </w:tabs>
              <w:spacing w:after="0" w:line="240" w:lineRule="auto"/>
              <w:jc w:val="both"/>
              <w:rPr>
                <w:rFonts w:ascii="Times New Roman" w:eastAsia="Times New Roman" w:hAnsi="Times New Roman" w:cs="Times New Roman"/>
                <w:i/>
                <w:lang w:val="sr-Cyrl-ME"/>
              </w:rPr>
            </w:pPr>
            <w:r w:rsidRPr="006338E8">
              <w:rPr>
                <w:rFonts w:ascii="Times New Roman" w:eastAsia="Times New Roman" w:hAnsi="Times New Roman" w:cs="Times New Roman"/>
                <w:i/>
                <w:lang w:val="sr-Cyrl-ME"/>
              </w:rPr>
              <w:t>Дојење</w:t>
            </w:r>
          </w:p>
          <w:p w14:paraId="44E23954" w14:textId="4C1EBABB" w:rsidR="0003123A" w:rsidRPr="006338E8" w:rsidRDefault="0003123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Није познато да ли се нифуроксазид или његови метаболити излучују у мајчино млијеко. Будући да </w:t>
            </w:r>
            <w:r w:rsidR="00430B5B" w:rsidRPr="006338E8">
              <w:rPr>
                <w:rFonts w:ascii="Times New Roman" w:eastAsia="Times New Roman" w:hAnsi="Times New Roman" w:cs="Times New Roman"/>
                <w:lang w:val="sr-Cyrl-ME"/>
              </w:rPr>
              <w:t xml:space="preserve">лијек </w:t>
            </w:r>
            <w:r w:rsidR="00430B5B" w:rsidRPr="006338E8">
              <w:rPr>
                <w:rFonts w:ascii="Times New Roman" w:eastAsia="Times New Roman" w:hAnsi="Times New Roman" w:cs="Times New Roman"/>
                <w:bCs/>
                <w:lang w:val="sr-Cyrl-ME"/>
              </w:rPr>
              <w:t>NIFUROKSAZID ALKALOID</w:t>
            </w:r>
            <w:r w:rsidR="00430B5B" w:rsidRPr="006338E8">
              <w:rPr>
                <w:rFonts w:ascii="Times New Roman" w:eastAsia="Times New Roman" w:hAnsi="Times New Roman" w:cs="Times New Roman"/>
                <w:lang w:val="sr-Cyrl-ME"/>
              </w:rPr>
              <w:t xml:space="preserve"> </w:t>
            </w:r>
            <w:r w:rsidRPr="006338E8">
              <w:rPr>
                <w:rFonts w:ascii="Times New Roman" w:eastAsia="Times New Roman" w:hAnsi="Times New Roman" w:cs="Times New Roman"/>
                <w:lang w:val="sr-Cyrl-ME"/>
              </w:rPr>
              <w:t>има слабу биорасположивост (</w:t>
            </w:r>
            <w:r w:rsidR="00FA60AA" w:rsidRPr="006338E8">
              <w:rPr>
                <w:rFonts w:ascii="Times New Roman" w:eastAsia="Times New Roman" w:hAnsi="Times New Roman" w:cs="Times New Roman"/>
                <w:lang w:val="sr-Cyrl-ME"/>
              </w:rPr>
              <w:t>ре</w:t>
            </w:r>
            <w:r w:rsidRPr="006338E8">
              <w:rPr>
                <w:rFonts w:ascii="Times New Roman" w:eastAsia="Times New Roman" w:hAnsi="Times New Roman" w:cs="Times New Roman"/>
                <w:lang w:val="sr-Cyrl-ME"/>
              </w:rPr>
              <w:t xml:space="preserve">псорпција из гастроинтестиналног тракта </w:t>
            </w:r>
            <w:r w:rsidR="00430B5B" w:rsidRPr="006338E8">
              <w:rPr>
                <w:rFonts w:ascii="Times New Roman" w:eastAsia="Times New Roman" w:hAnsi="Times New Roman" w:cs="Times New Roman"/>
                <w:lang w:val="sr-Cyrl-ME"/>
              </w:rPr>
              <w:t>око</w:t>
            </w:r>
            <w:r w:rsidRPr="006338E8">
              <w:rPr>
                <w:rFonts w:ascii="Times New Roman" w:eastAsia="Times New Roman" w:hAnsi="Times New Roman" w:cs="Times New Roman"/>
                <w:lang w:val="sr-Cyrl-ME"/>
              </w:rPr>
              <w:t xml:space="preserve"> 10-20%</w:t>
            </w:r>
            <w:r w:rsidR="00430B5B" w:rsidRPr="006338E8">
              <w:rPr>
                <w:rFonts w:ascii="Times New Roman" w:eastAsia="Times New Roman" w:hAnsi="Times New Roman" w:cs="Times New Roman"/>
                <w:lang w:val="sr-Cyrl-ME"/>
              </w:rPr>
              <w:t xml:space="preserve"> примијењене</w:t>
            </w:r>
            <w:r w:rsidRPr="006338E8">
              <w:rPr>
                <w:rFonts w:ascii="Times New Roman" w:eastAsia="Times New Roman" w:hAnsi="Times New Roman" w:cs="Times New Roman"/>
                <w:lang w:val="sr-Cyrl-ME"/>
              </w:rPr>
              <w:t xml:space="preserve"> дозе), количина у млијеку ће вјероватно бити ниска. Међутим, не може се искључити ут</w:t>
            </w:r>
            <w:r w:rsidR="00CF521E" w:rsidRPr="006338E8">
              <w:rPr>
                <w:rFonts w:ascii="Times New Roman" w:eastAsia="Times New Roman" w:hAnsi="Times New Roman" w:cs="Times New Roman"/>
                <w:lang w:val="sr-Cyrl-ME"/>
              </w:rPr>
              <w:t>и</w:t>
            </w:r>
            <w:r w:rsidRPr="006338E8">
              <w:rPr>
                <w:rFonts w:ascii="Times New Roman" w:eastAsia="Times New Roman" w:hAnsi="Times New Roman" w:cs="Times New Roman"/>
                <w:lang w:val="sr-Cyrl-ME"/>
              </w:rPr>
              <w:t xml:space="preserve">цај на гастроинтестинални микробиом </w:t>
            </w:r>
            <w:r w:rsidR="00430B5B" w:rsidRPr="006338E8">
              <w:rPr>
                <w:rFonts w:ascii="Times New Roman" w:eastAsia="Times New Roman" w:hAnsi="Times New Roman" w:cs="Times New Roman"/>
                <w:lang w:val="sr-Cyrl-ME"/>
              </w:rPr>
              <w:t>одојчади</w:t>
            </w:r>
            <w:r w:rsidRPr="006338E8">
              <w:rPr>
                <w:rFonts w:ascii="Times New Roman" w:eastAsia="Times New Roman" w:hAnsi="Times New Roman" w:cs="Times New Roman"/>
                <w:lang w:val="sr-Cyrl-ME"/>
              </w:rPr>
              <w:t xml:space="preserve">. Због </w:t>
            </w:r>
            <w:r w:rsidR="00430B5B" w:rsidRPr="006338E8">
              <w:rPr>
                <w:rFonts w:ascii="Times New Roman" w:eastAsia="Times New Roman" w:hAnsi="Times New Roman" w:cs="Times New Roman"/>
                <w:lang w:val="sr-Cyrl-ME"/>
              </w:rPr>
              <w:t xml:space="preserve">недовољно </w:t>
            </w:r>
            <w:r w:rsidRPr="006338E8">
              <w:rPr>
                <w:rFonts w:ascii="Times New Roman" w:eastAsia="Times New Roman" w:hAnsi="Times New Roman" w:cs="Times New Roman"/>
                <w:lang w:val="sr-Cyrl-ME"/>
              </w:rPr>
              <w:t>искуства из клиничке праксе, лијечење нифуроксазидом током дојења се не препоручује.</w:t>
            </w:r>
          </w:p>
          <w:p w14:paraId="7B11A8B1" w14:textId="77777777" w:rsidR="00297F5A" w:rsidRPr="006338E8" w:rsidRDefault="00297F5A" w:rsidP="00DC2F79">
            <w:pPr>
              <w:tabs>
                <w:tab w:val="left" w:pos="284"/>
              </w:tabs>
              <w:spacing w:after="0" w:line="240" w:lineRule="auto"/>
              <w:jc w:val="both"/>
              <w:rPr>
                <w:rFonts w:ascii="Times New Roman" w:eastAsia="Times New Roman" w:hAnsi="Times New Roman" w:cs="Times New Roman"/>
                <w:lang w:val="sr-Cyrl-ME"/>
              </w:rPr>
            </w:pPr>
          </w:p>
        </w:tc>
      </w:tr>
      <w:tr w:rsidR="00297F5A" w:rsidRPr="006338E8" w14:paraId="158EA6C2" w14:textId="77777777" w:rsidTr="00F759CB">
        <w:tc>
          <w:tcPr>
            <w:tcW w:w="9639" w:type="dxa"/>
            <w:gridSpan w:val="4"/>
            <w:vAlign w:val="center"/>
          </w:tcPr>
          <w:p w14:paraId="560B9637" w14:textId="2B0FFA30" w:rsidR="00297F5A" w:rsidRPr="006338E8" w:rsidRDefault="00297F5A">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4.7. Утицај на способност управљања возилима и руковањ</w:t>
            </w:r>
            <w:r w:rsidR="006C5C6B" w:rsidRPr="006338E8">
              <w:rPr>
                <w:rFonts w:ascii="Times New Roman" w:eastAsia="Times New Roman" w:hAnsi="Times New Roman" w:cs="Times New Roman"/>
                <w:b/>
                <w:bCs/>
                <w:lang w:val="sr-Cyrl-ME"/>
              </w:rPr>
              <w:t>е</w:t>
            </w:r>
            <w:r w:rsidRPr="006338E8">
              <w:rPr>
                <w:rFonts w:ascii="Times New Roman" w:eastAsia="Times New Roman" w:hAnsi="Times New Roman" w:cs="Times New Roman"/>
                <w:b/>
                <w:bCs/>
                <w:lang w:val="sr-Cyrl-ME"/>
              </w:rPr>
              <w:t xml:space="preserve"> машинама</w:t>
            </w:r>
          </w:p>
        </w:tc>
      </w:tr>
      <w:tr w:rsidR="00297F5A" w:rsidRPr="006338E8" w14:paraId="433BB40C" w14:textId="77777777" w:rsidTr="00E247C9">
        <w:trPr>
          <w:trHeight w:val="937"/>
        </w:trPr>
        <w:tc>
          <w:tcPr>
            <w:tcW w:w="9639" w:type="dxa"/>
            <w:gridSpan w:val="4"/>
            <w:vAlign w:val="center"/>
          </w:tcPr>
          <w:p w14:paraId="1CA00DBC" w14:textId="1EFDCD78" w:rsidR="00297F5A" w:rsidRPr="006338E8" w:rsidRDefault="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Лијек </w:t>
            </w:r>
            <w:r w:rsidRPr="006338E8">
              <w:rPr>
                <w:rFonts w:ascii="Times New Roman" w:eastAsia="Times New Roman" w:hAnsi="Times New Roman" w:cs="Times New Roman"/>
                <w:bCs/>
                <w:lang w:val="sr-Cyrl-ME"/>
              </w:rPr>
              <w:t>не утиче на способност управљања моторним возилима и руковањ</w:t>
            </w:r>
            <w:r w:rsidR="006C5C6B" w:rsidRPr="006338E8">
              <w:rPr>
                <w:rFonts w:ascii="Times New Roman" w:eastAsia="Times New Roman" w:hAnsi="Times New Roman" w:cs="Times New Roman"/>
                <w:bCs/>
                <w:lang w:val="sr-Cyrl-ME"/>
              </w:rPr>
              <w:t>е</w:t>
            </w:r>
            <w:r w:rsidRPr="006338E8">
              <w:rPr>
                <w:rFonts w:ascii="Times New Roman" w:eastAsia="Times New Roman" w:hAnsi="Times New Roman" w:cs="Times New Roman"/>
                <w:bCs/>
                <w:lang w:val="sr-Cyrl-ME"/>
              </w:rPr>
              <w:t xml:space="preserve"> машинама.</w:t>
            </w:r>
          </w:p>
        </w:tc>
      </w:tr>
      <w:tr w:rsidR="00297F5A" w:rsidRPr="006338E8" w14:paraId="45423E89" w14:textId="77777777" w:rsidTr="00F759CB">
        <w:tc>
          <w:tcPr>
            <w:tcW w:w="9639" w:type="dxa"/>
            <w:gridSpan w:val="4"/>
            <w:vAlign w:val="center"/>
          </w:tcPr>
          <w:p w14:paraId="64770686" w14:textId="77777777" w:rsidR="00297F5A" w:rsidRPr="006338E8" w:rsidRDefault="00297F5A"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4.8. Нежељена дејства</w:t>
            </w:r>
          </w:p>
        </w:tc>
      </w:tr>
      <w:tr w:rsidR="00C158A5" w:rsidRPr="006338E8" w14:paraId="0D50802C" w14:textId="77777777" w:rsidTr="00092C16">
        <w:trPr>
          <w:trHeight w:val="568"/>
        </w:trPr>
        <w:tc>
          <w:tcPr>
            <w:tcW w:w="9639" w:type="dxa"/>
            <w:gridSpan w:val="4"/>
            <w:vAlign w:val="center"/>
          </w:tcPr>
          <w:p w14:paraId="7A1F0347" w14:textId="77777777" w:rsidR="00C158A5" w:rsidRPr="006338E8" w:rsidRDefault="00C158A5" w:rsidP="00C158A5">
            <w:pPr>
              <w:spacing w:after="0" w:line="240" w:lineRule="auto"/>
              <w:jc w:val="both"/>
              <w:rPr>
                <w:rFonts w:ascii="Times New Roman" w:eastAsia="Times New Roman" w:hAnsi="Times New Roman" w:cs="Times New Roman"/>
                <w:lang w:val="sr-Cyrl-ME"/>
              </w:rPr>
            </w:pPr>
          </w:p>
          <w:p w14:paraId="12CDC184"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У сљедећој табели су наведена нежељена дејства забиљежена током примјене нифуроксазида у клиничким испитивањима и након стављања лијека у промет. Нежељена дејства су наведена према класама система органа и учесталости кориштењем сљедеће конвенције: веома често (≥1/10); често (≥1/100 до &lt;1/10); повремено (≥1/1000 до &lt;1/100); ријетко (≥1/10000 до &lt;1/1000), веома ријетко (&lt;1/10000); непознато (не може се проценити на основу доступних података).</w:t>
            </w:r>
          </w:p>
          <w:p w14:paraId="7A85AF34" w14:textId="0BA954AB"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p w14:paraId="7A21DBA4" w14:textId="74F81BAA" w:rsidR="002F5EEF" w:rsidRPr="006338E8" w:rsidRDefault="002F5EEF" w:rsidP="00C158A5">
            <w:pPr>
              <w:tabs>
                <w:tab w:val="left" w:pos="284"/>
              </w:tabs>
              <w:spacing w:after="0" w:line="240" w:lineRule="auto"/>
              <w:jc w:val="both"/>
              <w:rPr>
                <w:rFonts w:ascii="Times New Roman" w:eastAsia="Times New Roman" w:hAnsi="Times New Roman" w:cs="Times New Roman"/>
                <w:lang w:val="sr-Cyrl-ME"/>
              </w:rPr>
            </w:pPr>
          </w:p>
          <w:p w14:paraId="6D4A2F1C" w14:textId="1E457659" w:rsidR="002F5EEF" w:rsidRPr="006338E8" w:rsidRDefault="002F5EEF" w:rsidP="00C158A5">
            <w:pPr>
              <w:tabs>
                <w:tab w:val="left" w:pos="284"/>
              </w:tabs>
              <w:spacing w:after="0" w:line="240" w:lineRule="auto"/>
              <w:jc w:val="both"/>
              <w:rPr>
                <w:rFonts w:ascii="Times New Roman" w:eastAsia="Times New Roman" w:hAnsi="Times New Roman" w:cs="Times New Roman"/>
                <w:lang w:val="sr-Cyrl-ME"/>
              </w:rPr>
            </w:pPr>
          </w:p>
          <w:tbl>
            <w:tblPr>
              <w:tblStyle w:val="TableGrid"/>
              <w:tblW w:w="0" w:type="auto"/>
              <w:tblLook w:val="04A0" w:firstRow="1" w:lastRow="0" w:firstColumn="1" w:lastColumn="0" w:noHBand="0" w:noVBand="1"/>
            </w:tblPr>
            <w:tblGrid>
              <w:gridCol w:w="1860"/>
              <w:gridCol w:w="1827"/>
              <w:gridCol w:w="1852"/>
              <w:gridCol w:w="1836"/>
              <w:gridCol w:w="2038"/>
            </w:tblGrid>
            <w:tr w:rsidR="00C158A5" w:rsidRPr="006338E8" w14:paraId="7DF23026" w14:textId="77777777" w:rsidTr="00DF5D1F">
              <w:tc>
                <w:tcPr>
                  <w:tcW w:w="9413" w:type="dxa"/>
                  <w:gridSpan w:val="5"/>
                </w:tcPr>
                <w:p w14:paraId="759F5E51" w14:textId="77777777" w:rsidR="00C158A5" w:rsidRPr="006338E8" w:rsidRDefault="00C158A5" w:rsidP="00C158A5">
                  <w:pPr>
                    <w:tabs>
                      <w:tab w:val="left" w:pos="284"/>
                    </w:tabs>
                    <w:jc w:val="center"/>
                    <w:rPr>
                      <w:b/>
                      <w:lang w:val="sr-Cyrl-ME"/>
                    </w:rPr>
                  </w:pPr>
                  <w:r w:rsidRPr="006338E8">
                    <w:rPr>
                      <w:b/>
                      <w:lang w:val="sr-Cyrl-ME"/>
                    </w:rPr>
                    <w:t>Нежељена дејства</w:t>
                  </w:r>
                </w:p>
              </w:tc>
            </w:tr>
            <w:tr w:rsidR="00C158A5" w:rsidRPr="006338E8" w14:paraId="386BEEBB" w14:textId="77777777" w:rsidTr="006338E8">
              <w:tc>
                <w:tcPr>
                  <w:tcW w:w="1860" w:type="dxa"/>
                </w:tcPr>
                <w:p w14:paraId="4F2E2335" w14:textId="77777777" w:rsidR="00C158A5" w:rsidRPr="006338E8" w:rsidRDefault="00C158A5" w:rsidP="00C158A5">
                  <w:pPr>
                    <w:tabs>
                      <w:tab w:val="left" w:pos="284"/>
                    </w:tabs>
                    <w:jc w:val="both"/>
                    <w:rPr>
                      <w:b/>
                      <w:lang w:val="sr-Cyrl-ME"/>
                    </w:rPr>
                  </w:pPr>
                  <w:r w:rsidRPr="006338E8">
                    <w:rPr>
                      <w:b/>
                      <w:lang w:val="sr-Cyrl-ME"/>
                    </w:rPr>
                    <w:t>Класа система органа</w:t>
                  </w:r>
                </w:p>
              </w:tc>
              <w:tc>
                <w:tcPr>
                  <w:tcW w:w="1827" w:type="dxa"/>
                </w:tcPr>
                <w:p w14:paraId="38097668" w14:textId="77777777" w:rsidR="00C158A5" w:rsidRPr="006338E8" w:rsidRDefault="00C158A5" w:rsidP="00C158A5">
                  <w:pPr>
                    <w:tabs>
                      <w:tab w:val="left" w:pos="284"/>
                    </w:tabs>
                    <w:jc w:val="both"/>
                    <w:rPr>
                      <w:lang w:val="sr-Cyrl-ME"/>
                    </w:rPr>
                  </w:pPr>
                  <w:r w:rsidRPr="006338E8">
                    <w:rPr>
                      <w:lang w:val="sr-Cyrl-ME"/>
                    </w:rPr>
                    <w:t>Често</w:t>
                  </w:r>
                </w:p>
              </w:tc>
              <w:tc>
                <w:tcPr>
                  <w:tcW w:w="1852" w:type="dxa"/>
                </w:tcPr>
                <w:p w14:paraId="5E103890" w14:textId="77777777" w:rsidR="00C158A5" w:rsidRPr="006338E8" w:rsidRDefault="00C158A5" w:rsidP="00C158A5">
                  <w:pPr>
                    <w:tabs>
                      <w:tab w:val="left" w:pos="284"/>
                    </w:tabs>
                    <w:jc w:val="both"/>
                    <w:rPr>
                      <w:lang w:val="sr-Cyrl-ME"/>
                    </w:rPr>
                  </w:pPr>
                  <w:r w:rsidRPr="006338E8">
                    <w:rPr>
                      <w:lang w:val="sr-Cyrl-ME"/>
                    </w:rPr>
                    <w:t>Повремено</w:t>
                  </w:r>
                </w:p>
              </w:tc>
              <w:tc>
                <w:tcPr>
                  <w:tcW w:w="1836" w:type="dxa"/>
                </w:tcPr>
                <w:p w14:paraId="2F56E2C7" w14:textId="77777777" w:rsidR="00C158A5" w:rsidRPr="006338E8" w:rsidRDefault="00C158A5" w:rsidP="00C158A5">
                  <w:pPr>
                    <w:tabs>
                      <w:tab w:val="left" w:pos="284"/>
                    </w:tabs>
                    <w:jc w:val="both"/>
                    <w:rPr>
                      <w:lang w:val="sr-Cyrl-ME"/>
                    </w:rPr>
                  </w:pPr>
                  <w:r w:rsidRPr="006338E8">
                    <w:rPr>
                      <w:lang w:val="sr-Cyrl-ME"/>
                    </w:rPr>
                    <w:t>Ријетко</w:t>
                  </w:r>
                </w:p>
              </w:tc>
              <w:tc>
                <w:tcPr>
                  <w:tcW w:w="2038" w:type="dxa"/>
                </w:tcPr>
                <w:p w14:paraId="3346A670" w14:textId="77777777" w:rsidR="00C158A5" w:rsidRPr="006338E8" w:rsidRDefault="00C158A5" w:rsidP="00C158A5">
                  <w:pPr>
                    <w:tabs>
                      <w:tab w:val="left" w:pos="284"/>
                    </w:tabs>
                    <w:jc w:val="both"/>
                    <w:rPr>
                      <w:lang w:val="sr-Cyrl-ME"/>
                    </w:rPr>
                  </w:pPr>
                  <w:r w:rsidRPr="006338E8">
                    <w:rPr>
                      <w:lang w:val="sr-Cyrl-ME"/>
                    </w:rPr>
                    <w:t>Непознато</w:t>
                  </w:r>
                </w:p>
              </w:tc>
            </w:tr>
            <w:tr w:rsidR="00C158A5" w:rsidRPr="006338E8" w14:paraId="5F80B951" w14:textId="77777777" w:rsidTr="006338E8">
              <w:tc>
                <w:tcPr>
                  <w:tcW w:w="1860" w:type="dxa"/>
                </w:tcPr>
                <w:p w14:paraId="1FB23FD2" w14:textId="77777777" w:rsidR="00C158A5" w:rsidRPr="006338E8" w:rsidRDefault="00C158A5" w:rsidP="00410708">
                  <w:pPr>
                    <w:tabs>
                      <w:tab w:val="left" w:pos="284"/>
                    </w:tabs>
                    <w:rPr>
                      <w:i/>
                      <w:lang w:val="sr-Cyrl-ME"/>
                    </w:rPr>
                  </w:pPr>
                  <w:r w:rsidRPr="006338E8">
                    <w:rPr>
                      <w:i/>
                      <w:lang w:val="sr-Cyrl-ME"/>
                    </w:rPr>
                    <w:t>Поремећаји коже и поткожног ткива</w:t>
                  </w:r>
                </w:p>
              </w:tc>
              <w:tc>
                <w:tcPr>
                  <w:tcW w:w="1827" w:type="dxa"/>
                </w:tcPr>
                <w:p w14:paraId="1447247F" w14:textId="77777777" w:rsidR="00C158A5" w:rsidRPr="006338E8" w:rsidRDefault="00C158A5" w:rsidP="00C158A5">
                  <w:pPr>
                    <w:tabs>
                      <w:tab w:val="left" w:pos="284"/>
                    </w:tabs>
                    <w:jc w:val="both"/>
                    <w:rPr>
                      <w:lang w:val="sr-Cyrl-ME"/>
                    </w:rPr>
                  </w:pPr>
                </w:p>
              </w:tc>
              <w:tc>
                <w:tcPr>
                  <w:tcW w:w="1852" w:type="dxa"/>
                </w:tcPr>
                <w:p w14:paraId="084FE160" w14:textId="77777777" w:rsidR="00C158A5" w:rsidRPr="006338E8" w:rsidRDefault="00C158A5" w:rsidP="00C158A5">
                  <w:pPr>
                    <w:tabs>
                      <w:tab w:val="left" w:pos="284"/>
                    </w:tabs>
                    <w:jc w:val="both"/>
                    <w:rPr>
                      <w:lang w:val="sr-Cyrl-ME"/>
                    </w:rPr>
                  </w:pPr>
                </w:p>
              </w:tc>
              <w:tc>
                <w:tcPr>
                  <w:tcW w:w="1836" w:type="dxa"/>
                </w:tcPr>
                <w:p w14:paraId="7B85CD0E" w14:textId="77777777" w:rsidR="00C158A5" w:rsidRPr="006338E8" w:rsidRDefault="00C158A5" w:rsidP="00C158A5">
                  <w:pPr>
                    <w:tabs>
                      <w:tab w:val="left" w:pos="284"/>
                    </w:tabs>
                    <w:jc w:val="both"/>
                    <w:rPr>
                      <w:lang w:val="sr-Cyrl-ME"/>
                    </w:rPr>
                  </w:pPr>
                </w:p>
              </w:tc>
              <w:tc>
                <w:tcPr>
                  <w:tcW w:w="2038" w:type="dxa"/>
                </w:tcPr>
                <w:p w14:paraId="5718803B" w14:textId="77777777" w:rsidR="00C158A5" w:rsidRPr="006338E8" w:rsidRDefault="00C158A5" w:rsidP="00C158A5">
                  <w:pPr>
                    <w:tabs>
                      <w:tab w:val="left" w:pos="284"/>
                    </w:tabs>
                    <w:jc w:val="both"/>
                    <w:rPr>
                      <w:lang w:val="sr-Cyrl-ME"/>
                    </w:rPr>
                  </w:pPr>
                  <w:r w:rsidRPr="006338E8">
                    <w:rPr>
                      <w:lang w:val="sr-Cyrl-ME"/>
                    </w:rPr>
                    <w:t>Макулопапуларни</w:t>
                  </w:r>
                </w:p>
                <w:p w14:paraId="61FC31DF" w14:textId="77777777" w:rsidR="00C158A5" w:rsidRPr="006338E8" w:rsidRDefault="00C158A5" w:rsidP="00C158A5">
                  <w:pPr>
                    <w:tabs>
                      <w:tab w:val="left" w:pos="284"/>
                    </w:tabs>
                    <w:jc w:val="both"/>
                    <w:rPr>
                      <w:lang w:val="sr-Cyrl-ME"/>
                    </w:rPr>
                  </w:pPr>
                  <w:r w:rsidRPr="006338E8">
                    <w:rPr>
                      <w:lang w:val="sr-Cyrl-ME"/>
                    </w:rPr>
                    <w:t>еритематозни осип,</w:t>
                  </w:r>
                </w:p>
                <w:p w14:paraId="23121B12" w14:textId="77777777" w:rsidR="00C158A5" w:rsidRPr="006338E8" w:rsidRDefault="00C158A5" w:rsidP="00C158A5">
                  <w:pPr>
                    <w:tabs>
                      <w:tab w:val="left" w:pos="284"/>
                    </w:tabs>
                    <w:jc w:val="both"/>
                    <w:rPr>
                      <w:lang w:val="sr-Cyrl-ME"/>
                    </w:rPr>
                  </w:pPr>
                  <w:r w:rsidRPr="006338E8">
                    <w:rPr>
                      <w:lang w:val="sr-Cyrl-ME"/>
                    </w:rPr>
                    <w:t>екцем,</w:t>
                  </w:r>
                </w:p>
                <w:p w14:paraId="08A539F7" w14:textId="77777777" w:rsidR="00C158A5" w:rsidRPr="006338E8" w:rsidRDefault="00C158A5" w:rsidP="00C158A5">
                  <w:pPr>
                    <w:tabs>
                      <w:tab w:val="left" w:pos="284"/>
                    </w:tabs>
                    <w:jc w:val="both"/>
                    <w:rPr>
                      <w:lang w:val="sr-Cyrl-ME"/>
                    </w:rPr>
                  </w:pPr>
                  <w:r w:rsidRPr="006338E8">
                    <w:rPr>
                      <w:lang w:val="sr-Cyrl-ME"/>
                    </w:rPr>
                    <w:t>акутна генерализована</w:t>
                  </w:r>
                </w:p>
                <w:p w14:paraId="45AD6397" w14:textId="77777777" w:rsidR="00C158A5" w:rsidRPr="006338E8" w:rsidRDefault="00C158A5" w:rsidP="00C158A5">
                  <w:pPr>
                    <w:tabs>
                      <w:tab w:val="left" w:pos="284"/>
                    </w:tabs>
                    <w:jc w:val="both"/>
                    <w:rPr>
                      <w:lang w:val="sr-Cyrl-ME"/>
                    </w:rPr>
                  </w:pPr>
                  <w:r w:rsidRPr="006338E8">
                    <w:rPr>
                      <w:lang w:val="sr-Cyrl-ME"/>
                    </w:rPr>
                    <w:t>егзантематозна</w:t>
                  </w:r>
                </w:p>
                <w:p w14:paraId="27D26DCD" w14:textId="77777777" w:rsidR="00C158A5" w:rsidRPr="006338E8" w:rsidRDefault="00C158A5" w:rsidP="00C158A5">
                  <w:pPr>
                    <w:tabs>
                      <w:tab w:val="left" w:pos="284"/>
                    </w:tabs>
                    <w:jc w:val="both"/>
                    <w:rPr>
                      <w:lang w:val="sr-Cyrl-ME"/>
                    </w:rPr>
                  </w:pPr>
                  <w:r w:rsidRPr="006338E8">
                    <w:rPr>
                      <w:lang w:val="sr-Cyrl-ME"/>
                    </w:rPr>
                    <w:t>пустулоза,</w:t>
                  </w:r>
                </w:p>
                <w:p w14:paraId="4ECB120F" w14:textId="77777777" w:rsidR="00C158A5" w:rsidRPr="006338E8" w:rsidRDefault="00C158A5" w:rsidP="00C158A5">
                  <w:pPr>
                    <w:tabs>
                      <w:tab w:val="left" w:pos="284"/>
                    </w:tabs>
                    <w:jc w:val="both"/>
                    <w:rPr>
                      <w:lang w:val="sr-Cyrl-ME"/>
                    </w:rPr>
                  </w:pPr>
                  <w:r w:rsidRPr="006338E8">
                    <w:rPr>
                      <w:lang w:val="sr-Cyrl-ME"/>
                    </w:rPr>
                    <w:lastRenderedPageBreak/>
                    <w:t>фотосензитивност.</w:t>
                  </w:r>
                </w:p>
              </w:tc>
            </w:tr>
            <w:tr w:rsidR="00C158A5" w:rsidRPr="006338E8" w14:paraId="024DB9FF" w14:textId="77777777" w:rsidTr="006338E8">
              <w:tc>
                <w:tcPr>
                  <w:tcW w:w="1860" w:type="dxa"/>
                </w:tcPr>
                <w:p w14:paraId="68523988" w14:textId="77777777" w:rsidR="00C158A5" w:rsidRPr="006338E8" w:rsidRDefault="00C158A5" w:rsidP="00C158A5">
                  <w:pPr>
                    <w:tabs>
                      <w:tab w:val="left" w:pos="284"/>
                    </w:tabs>
                    <w:jc w:val="both"/>
                    <w:rPr>
                      <w:i/>
                      <w:lang w:val="sr-Cyrl-ME"/>
                    </w:rPr>
                  </w:pPr>
                  <w:r w:rsidRPr="006338E8">
                    <w:rPr>
                      <w:i/>
                      <w:lang w:val="sr-Cyrl-ME"/>
                    </w:rPr>
                    <w:lastRenderedPageBreak/>
                    <w:t>Поремећаји имуног система</w:t>
                  </w:r>
                </w:p>
              </w:tc>
              <w:tc>
                <w:tcPr>
                  <w:tcW w:w="1827" w:type="dxa"/>
                </w:tcPr>
                <w:p w14:paraId="3575FFD5" w14:textId="77777777" w:rsidR="00C158A5" w:rsidRPr="006338E8" w:rsidRDefault="00C158A5" w:rsidP="00C158A5">
                  <w:pPr>
                    <w:tabs>
                      <w:tab w:val="left" w:pos="284"/>
                    </w:tabs>
                    <w:jc w:val="both"/>
                    <w:rPr>
                      <w:lang w:val="sr-Cyrl-ME"/>
                    </w:rPr>
                  </w:pPr>
                </w:p>
              </w:tc>
              <w:tc>
                <w:tcPr>
                  <w:tcW w:w="1852" w:type="dxa"/>
                </w:tcPr>
                <w:p w14:paraId="0AE457AA" w14:textId="77777777" w:rsidR="00C158A5" w:rsidRPr="006338E8" w:rsidRDefault="00C158A5" w:rsidP="00C158A5">
                  <w:pPr>
                    <w:tabs>
                      <w:tab w:val="left" w:pos="284"/>
                    </w:tabs>
                    <w:jc w:val="both"/>
                    <w:rPr>
                      <w:lang w:val="sr-Cyrl-ME"/>
                    </w:rPr>
                  </w:pPr>
                </w:p>
              </w:tc>
              <w:tc>
                <w:tcPr>
                  <w:tcW w:w="1836" w:type="dxa"/>
                </w:tcPr>
                <w:p w14:paraId="7503BA98" w14:textId="77777777" w:rsidR="00C158A5" w:rsidRPr="006338E8" w:rsidRDefault="00C158A5" w:rsidP="00C158A5">
                  <w:pPr>
                    <w:tabs>
                      <w:tab w:val="left" w:pos="284"/>
                    </w:tabs>
                    <w:jc w:val="both"/>
                    <w:rPr>
                      <w:lang w:val="sr-Cyrl-ME"/>
                    </w:rPr>
                  </w:pPr>
                </w:p>
              </w:tc>
              <w:tc>
                <w:tcPr>
                  <w:tcW w:w="2038" w:type="dxa"/>
                </w:tcPr>
                <w:p w14:paraId="2B1A4F02" w14:textId="77777777" w:rsidR="00C158A5" w:rsidRPr="006338E8" w:rsidRDefault="00C158A5" w:rsidP="00C158A5">
                  <w:pPr>
                    <w:tabs>
                      <w:tab w:val="left" w:pos="284"/>
                    </w:tabs>
                    <w:jc w:val="both"/>
                    <w:rPr>
                      <w:lang w:val="sr-Cyrl-ME"/>
                    </w:rPr>
                  </w:pPr>
                  <w:r w:rsidRPr="006338E8">
                    <w:rPr>
                      <w:lang w:val="sr-Cyrl-ME"/>
                    </w:rPr>
                    <w:t>Алергијске реакције</w:t>
                  </w:r>
                </w:p>
                <w:p w14:paraId="2B55C7E2" w14:textId="77777777" w:rsidR="00C158A5" w:rsidRPr="006338E8" w:rsidRDefault="00C158A5" w:rsidP="00C158A5">
                  <w:pPr>
                    <w:tabs>
                      <w:tab w:val="left" w:pos="284"/>
                    </w:tabs>
                    <w:jc w:val="both"/>
                    <w:rPr>
                      <w:lang w:val="sr-Cyrl-ME"/>
                    </w:rPr>
                  </w:pPr>
                  <w:r w:rsidRPr="006338E8">
                    <w:rPr>
                      <w:lang w:val="sr-Cyrl-ME"/>
                    </w:rPr>
                    <w:t>попут осипа на кожи,</w:t>
                  </w:r>
                </w:p>
                <w:p w14:paraId="14E1FFDF" w14:textId="77777777" w:rsidR="00C158A5" w:rsidRPr="006338E8" w:rsidRDefault="00C158A5" w:rsidP="00C158A5">
                  <w:pPr>
                    <w:tabs>
                      <w:tab w:val="left" w:pos="284"/>
                    </w:tabs>
                    <w:jc w:val="both"/>
                    <w:rPr>
                      <w:lang w:val="sr-Cyrl-ME"/>
                    </w:rPr>
                  </w:pPr>
                  <w:r w:rsidRPr="006338E8">
                    <w:rPr>
                      <w:lang w:val="sr-Cyrl-ME"/>
                    </w:rPr>
                    <w:t>уртикарије, Quinke-овог</w:t>
                  </w:r>
                </w:p>
                <w:p w14:paraId="3D21CE87" w14:textId="77777777" w:rsidR="00C158A5" w:rsidRPr="006338E8" w:rsidRDefault="00C158A5" w:rsidP="00C158A5">
                  <w:pPr>
                    <w:tabs>
                      <w:tab w:val="left" w:pos="284"/>
                    </w:tabs>
                    <w:jc w:val="both"/>
                    <w:rPr>
                      <w:lang w:val="sr-Cyrl-ME"/>
                    </w:rPr>
                  </w:pPr>
                  <w:r w:rsidRPr="006338E8">
                    <w:rPr>
                      <w:lang w:val="sr-Cyrl-ME"/>
                    </w:rPr>
                    <w:t>едема или</w:t>
                  </w:r>
                </w:p>
                <w:p w14:paraId="54FCD394" w14:textId="77777777" w:rsidR="00C158A5" w:rsidRPr="006338E8" w:rsidRDefault="00C158A5" w:rsidP="00C158A5">
                  <w:pPr>
                    <w:tabs>
                      <w:tab w:val="left" w:pos="284"/>
                    </w:tabs>
                    <w:jc w:val="both"/>
                    <w:rPr>
                      <w:lang w:val="sr-Cyrl-ME"/>
                    </w:rPr>
                  </w:pPr>
                  <w:r w:rsidRPr="006338E8">
                    <w:rPr>
                      <w:lang w:val="sr-Cyrl-ME"/>
                    </w:rPr>
                    <w:t>анафилактичког шока.</w:t>
                  </w:r>
                </w:p>
              </w:tc>
            </w:tr>
            <w:tr w:rsidR="00C158A5" w:rsidRPr="006338E8" w14:paraId="2EE60974" w14:textId="77777777" w:rsidTr="006338E8">
              <w:tc>
                <w:tcPr>
                  <w:tcW w:w="1860" w:type="dxa"/>
                </w:tcPr>
                <w:p w14:paraId="7AE52E52" w14:textId="77777777" w:rsidR="00C158A5" w:rsidRPr="006338E8" w:rsidRDefault="00C158A5" w:rsidP="00410708">
                  <w:pPr>
                    <w:tabs>
                      <w:tab w:val="left" w:pos="284"/>
                    </w:tabs>
                    <w:rPr>
                      <w:i/>
                      <w:lang w:val="sr-Cyrl-ME"/>
                    </w:rPr>
                  </w:pPr>
                  <w:r w:rsidRPr="006338E8">
                    <w:rPr>
                      <w:i/>
                      <w:lang w:val="sr-Cyrl-ME"/>
                    </w:rPr>
                    <w:t>Поремећаји крви и лимфног система</w:t>
                  </w:r>
                </w:p>
              </w:tc>
              <w:tc>
                <w:tcPr>
                  <w:tcW w:w="1827" w:type="dxa"/>
                </w:tcPr>
                <w:p w14:paraId="452EF2F5" w14:textId="77777777" w:rsidR="00C158A5" w:rsidRPr="006338E8" w:rsidRDefault="00C158A5" w:rsidP="00C158A5">
                  <w:pPr>
                    <w:tabs>
                      <w:tab w:val="left" w:pos="284"/>
                    </w:tabs>
                    <w:jc w:val="both"/>
                    <w:rPr>
                      <w:lang w:val="sr-Cyrl-ME"/>
                    </w:rPr>
                  </w:pPr>
                </w:p>
              </w:tc>
              <w:tc>
                <w:tcPr>
                  <w:tcW w:w="1852" w:type="dxa"/>
                </w:tcPr>
                <w:p w14:paraId="352B7274" w14:textId="77777777" w:rsidR="00C158A5" w:rsidRPr="006338E8" w:rsidRDefault="00C158A5" w:rsidP="00C158A5">
                  <w:pPr>
                    <w:tabs>
                      <w:tab w:val="left" w:pos="284"/>
                    </w:tabs>
                    <w:jc w:val="both"/>
                    <w:rPr>
                      <w:lang w:val="sr-Cyrl-ME"/>
                    </w:rPr>
                  </w:pPr>
                </w:p>
              </w:tc>
              <w:tc>
                <w:tcPr>
                  <w:tcW w:w="1836" w:type="dxa"/>
                </w:tcPr>
                <w:p w14:paraId="5ED290A0" w14:textId="77777777" w:rsidR="00C158A5" w:rsidRPr="006338E8" w:rsidRDefault="00C158A5" w:rsidP="00C158A5">
                  <w:pPr>
                    <w:tabs>
                      <w:tab w:val="left" w:pos="284"/>
                    </w:tabs>
                    <w:jc w:val="both"/>
                    <w:rPr>
                      <w:lang w:val="sr-Cyrl-ME"/>
                    </w:rPr>
                  </w:pPr>
                </w:p>
              </w:tc>
              <w:tc>
                <w:tcPr>
                  <w:tcW w:w="2038" w:type="dxa"/>
                </w:tcPr>
                <w:p w14:paraId="4F0324B6" w14:textId="77777777" w:rsidR="00C158A5" w:rsidRPr="006338E8" w:rsidRDefault="00C158A5" w:rsidP="00C158A5">
                  <w:pPr>
                    <w:tabs>
                      <w:tab w:val="left" w:pos="284"/>
                    </w:tabs>
                    <w:jc w:val="both"/>
                    <w:rPr>
                      <w:lang w:val="sr-Cyrl-ME"/>
                    </w:rPr>
                  </w:pPr>
                  <w:r w:rsidRPr="006338E8">
                    <w:rPr>
                      <w:lang w:val="sr-Cyrl-ME"/>
                    </w:rPr>
                    <w:t>Тромбоцитопенија,</w:t>
                  </w:r>
                </w:p>
                <w:p w14:paraId="46A44B1C" w14:textId="77777777" w:rsidR="00C158A5" w:rsidRPr="006338E8" w:rsidRDefault="00C158A5" w:rsidP="00C158A5">
                  <w:pPr>
                    <w:tabs>
                      <w:tab w:val="left" w:pos="284"/>
                    </w:tabs>
                    <w:jc w:val="both"/>
                    <w:rPr>
                      <w:lang w:val="sr-Cyrl-ME"/>
                    </w:rPr>
                  </w:pPr>
                  <w:r w:rsidRPr="006338E8">
                    <w:rPr>
                      <w:lang w:val="sr-Cyrl-ME"/>
                    </w:rPr>
                    <w:t>хемолитичка анемија,</w:t>
                  </w:r>
                </w:p>
                <w:p w14:paraId="27E247B7" w14:textId="77777777" w:rsidR="00C158A5" w:rsidRPr="006338E8" w:rsidRDefault="00C158A5" w:rsidP="00C158A5">
                  <w:pPr>
                    <w:tabs>
                      <w:tab w:val="left" w:pos="284"/>
                    </w:tabs>
                    <w:jc w:val="both"/>
                    <w:rPr>
                      <w:lang w:val="sr-Cyrl-ME"/>
                    </w:rPr>
                  </w:pPr>
                  <w:r w:rsidRPr="006338E8">
                    <w:rPr>
                      <w:lang w:val="sr-Cyrl-ME"/>
                    </w:rPr>
                    <w:t>агранулоцитоза.</w:t>
                  </w:r>
                </w:p>
              </w:tc>
            </w:tr>
            <w:tr w:rsidR="00C158A5" w:rsidRPr="006338E8" w14:paraId="33B9FA35" w14:textId="77777777" w:rsidTr="006338E8">
              <w:tc>
                <w:tcPr>
                  <w:tcW w:w="1860" w:type="dxa"/>
                </w:tcPr>
                <w:p w14:paraId="4A05760A" w14:textId="77777777" w:rsidR="00C158A5" w:rsidRPr="006338E8" w:rsidRDefault="00C158A5" w:rsidP="00C158A5">
                  <w:pPr>
                    <w:tabs>
                      <w:tab w:val="left" w:pos="284"/>
                    </w:tabs>
                    <w:jc w:val="both"/>
                    <w:rPr>
                      <w:i/>
                      <w:lang w:val="sr-Cyrl-ME"/>
                    </w:rPr>
                  </w:pPr>
                  <w:r w:rsidRPr="006338E8">
                    <w:rPr>
                      <w:i/>
                      <w:lang w:val="sr-Cyrl-ME"/>
                    </w:rPr>
                    <w:t>Испитивања</w:t>
                  </w:r>
                </w:p>
              </w:tc>
              <w:tc>
                <w:tcPr>
                  <w:tcW w:w="1827" w:type="dxa"/>
                </w:tcPr>
                <w:p w14:paraId="4E8E41BD" w14:textId="77777777" w:rsidR="00C158A5" w:rsidRPr="006338E8" w:rsidRDefault="00C158A5" w:rsidP="00C158A5">
                  <w:pPr>
                    <w:tabs>
                      <w:tab w:val="left" w:pos="284"/>
                    </w:tabs>
                    <w:jc w:val="both"/>
                    <w:rPr>
                      <w:lang w:val="sr-Cyrl-ME"/>
                    </w:rPr>
                  </w:pPr>
                </w:p>
              </w:tc>
              <w:tc>
                <w:tcPr>
                  <w:tcW w:w="1852" w:type="dxa"/>
                </w:tcPr>
                <w:p w14:paraId="427CBCE9" w14:textId="77777777" w:rsidR="00C158A5" w:rsidRPr="006338E8" w:rsidRDefault="00C158A5" w:rsidP="00C158A5">
                  <w:pPr>
                    <w:tabs>
                      <w:tab w:val="left" w:pos="284"/>
                    </w:tabs>
                    <w:jc w:val="both"/>
                    <w:rPr>
                      <w:lang w:val="sr-Cyrl-ME"/>
                    </w:rPr>
                  </w:pPr>
                </w:p>
              </w:tc>
              <w:tc>
                <w:tcPr>
                  <w:tcW w:w="1836" w:type="dxa"/>
                </w:tcPr>
                <w:p w14:paraId="46681AE6" w14:textId="77777777" w:rsidR="00C158A5" w:rsidRPr="006338E8" w:rsidRDefault="00C158A5" w:rsidP="00C158A5">
                  <w:pPr>
                    <w:tabs>
                      <w:tab w:val="left" w:pos="284"/>
                    </w:tabs>
                    <w:jc w:val="both"/>
                    <w:rPr>
                      <w:lang w:val="sr-Cyrl-ME"/>
                    </w:rPr>
                  </w:pPr>
                </w:p>
              </w:tc>
              <w:tc>
                <w:tcPr>
                  <w:tcW w:w="2038" w:type="dxa"/>
                </w:tcPr>
                <w:p w14:paraId="22DCC4BF" w14:textId="77777777" w:rsidR="00C158A5" w:rsidRPr="006338E8" w:rsidRDefault="00C158A5" w:rsidP="00C158A5">
                  <w:pPr>
                    <w:tabs>
                      <w:tab w:val="left" w:pos="284"/>
                    </w:tabs>
                    <w:jc w:val="both"/>
                    <w:rPr>
                      <w:lang w:val="sr-Cyrl-ME"/>
                    </w:rPr>
                  </w:pPr>
                  <w:r w:rsidRPr="006338E8">
                    <w:rPr>
                      <w:lang w:val="sr-Cyrl-ME"/>
                    </w:rPr>
                    <w:t>Повећане вриједности</w:t>
                  </w:r>
                </w:p>
                <w:p w14:paraId="0A74890A" w14:textId="77777777" w:rsidR="00C158A5" w:rsidRPr="006338E8" w:rsidRDefault="00C158A5" w:rsidP="00C158A5">
                  <w:pPr>
                    <w:tabs>
                      <w:tab w:val="left" w:pos="284"/>
                    </w:tabs>
                    <w:jc w:val="both"/>
                    <w:rPr>
                      <w:lang w:val="sr-Cyrl-ME"/>
                    </w:rPr>
                  </w:pPr>
                  <w:r w:rsidRPr="006338E8">
                    <w:rPr>
                      <w:lang w:val="sr-Cyrl-ME"/>
                    </w:rPr>
                    <w:t>Трансаминаза.</w:t>
                  </w:r>
                </w:p>
              </w:tc>
            </w:tr>
            <w:tr w:rsidR="00C158A5" w:rsidRPr="006338E8" w14:paraId="55BFBA77" w14:textId="77777777" w:rsidTr="006338E8">
              <w:tc>
                <w:tcPr>
                  <w:tcW w:w="1860" w:type="dxa"/>
                </w:tcPr>
                <w:p w14:paraId="00C0983A" w14:textId="77777777" w:rsidR="00C158A5" w:rsidRPr="006338E8" w:rsidRDefault="00C158A5" w:rsidP="00410708">
                  <w:pPr>
                    <w:tabs>
                      <w:tab w:val="left" w:pos="284"/>
                    </w:tabs>
                    <w:rPr>
                      <w:i/>
                      <w:lang w:val="sr-Cyrl-ME"/>
                    </w:rPr>
                  </w:pPr>
                  <w:r w:rsidRPr="006338E8">
                    <w:rPr>
                      <w:i/>
                      <w:lang w:val="sr-Cyrl-ME"/>
                    </w:rPr>
                    <w:t>Поремећаји бубрега и уринарног система</w:t>
                  </w:r>
                </w:p>
              </w:tc>
              <w:tc>
                <w:tcPr>
                  <w:tcW w:w="1827" w:type="dxa"/>
                </w:tcPr>
                <w:p w14:paraId="779C9BCB" w14:textId="77777777" w:rsidR="00C158A5" w:rsidRPr="006338E8" w:rsidRDefault="00C158A5" w:rsidP="00C158A5">
                  <w:pPr>
                    <w:tabs>
                      <w:tab w:val="left" w:pos="284"/>
                    </w:tabs>
                    <w:jc w:val="both"/>
                    <w:rPr>
                      <w:lang w:val="sr-Cyrl-ME"/>
                    </w:rPr>
                  </w:pPr>
                </w:p>
              </w:tc>
              <w:tc>
                <w:tcPr>
                  <w:tcW w:w="1852" w:type="dxa"/>
                </w:tcPr>
                <w:p w14:paraId="4E11B9D3" w14:textId="77777777" w:rsidR="00C158A5" w:rsidRPr="006338E8" w:rsidRDefault="00C158A5" w:rsidP="00C158A5">
                  <w:pPr>
                    <w:tabs>
                      <w:tab w:val="left" w:pos="284"/>
                    </w:tabs>
                    <w:jc w:val="both"/>
                    <w:rPr>
                      <w:lang w:val="sr-Cyrl-ME"/>
                    </w:rPr>
                  </w:pPr>
                </w:p>
              </w:tc>
              <w:tc>
                <w:tcPr>
                  <w:tcW w:w="1836" w:type="dxa"/>
                </w:tcPr>
                <w:p w14:paraId="1912BB6E" w14:textId="77777777" w:rsidR="00C158A5" w:rsidRPr="006338E8" w:rsidRDefault="00C158A5" w:rsidP="00C158A5">
                  <w:pPr>
                    <w:tabs>
                      <w:tab w:val="left" w:pos="284"/>
                    </w:tabs>
                    <w:jc w:val="both"/>
                    <w:rPr>
                      <w:lang w:val="sr-Cyrl-ME"/>
                    </w:rPr>
                  </w:pPr>
                </w:p>
              </w:tc>
              <w:tc>
                <w:tcPr>
                  <w:tcW w:w="2038" w:type="dxa"/>
                </w:tcPr>
                <w:p w14:paraId="7EAD3463" w14:textId="77777777" w:rsidR="00C158A5" w:rsidRPr="006338E8" w:rsidRDefault="00C158A5" w:rsidP="00C158A5">
                  <w:pPr>
                    <w:tabs>
                      <w:tab w:val="left" w:pos="284"/>
                    </w:tabs>
                    <w:jc w:val="both"/>
                    <w:rPr>
                      <w:lang w:val="sr-Cyrl-ME"/>
                    </w:rPr>
                  </w:pPr>
                  <w:r w:rsidRPr="006338E8">
                    <w:rPr>
                      <w:lang w:val="sr-Cyrl-ME"/>
                    </w:rPr>
                    <w:t>Хроматурија.</w:t>
                  </w:r>
                </w:p>
              </w:tc>
            </w:tr>
          </w:tbl>
          <w:p w14:paraId="376154DA"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p w14:paraId="3D462124"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b/>
                <w:u w:val="single"/>
                <w:lang w:val="sr-Cyrl-ME"/>
              </w:rPr>
            </w:pPr>
            <w:r w:rsidRPr="006338E8">
              <w:rPr>
                <w:rFonts w:ascii="Times New Roman" w:eastAsia="Times New Roman" w:hAnsi="Times New Roman" w:cs="Times New Roman"/>
                <w:b/>
                <w:u w:val="single"/>
                <w:lang w:val="sr-Cyrl-ME"/>
              </w:rPr>
              <w:t>Пријављивање сумњи на нежељена дејства</w:t>
            </w:r>
          </w:p>
          <w:p w14:paraId="3AA7C99A" w14:textId="77777777" w:rsidR="009667F9" w:rsidRPr="006338E8" w:rsidRDefault="009667F9" w:rsidP="00C158A5">
            <w:pPr>
              <w:tabs>
                <w:tab w:val="center" w:pos="4536"/>
                <w:tab w:val="right" w:pos="9072"/>
              </w:tabs>
              <w:spacing w:after="0" w:line="240" w:lineRule="auto"/>
              <w:jc w:val="both"/>
              <w:rPr>
                <w:rFonts w:ascii="Times New Roman" w:eastAsia="Times New Roman" w:hAnsi="Times New Roman" w:cs="Times New Roman"/>
                <w:lang w:val="sr-Cyrl-ME"/>
              </w:rPr>
            </w:pPr>
          </w:p>
          <w:p w14:paraId="03DF69F9" w14:textId="0A31FC46"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(CInMED):</w:t>
            </w:r>
          </w:p>
          <w:p w14:paraId="2CF12BC8"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p>
          <w:p w14:paraId="3B296595"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Институт за љекове и медицинска средства</w:t>
            </w:r>
          </w:p>
          <w:p w14:paraId="3E2ADB5F"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Одјељење за фармаковигиланцу</w:t>
            </w:r>
          </w:p>
          <w:p w14:paraId="0D2EA7FA"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Булевар Ивана Црнојевића 64а, 81000 Подгорица</w:t>
            </w:r>
          </w:p>
          <w:p w14:paraId="51EEDAD7"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p>
          <w:p w14:paraId="534E4CB6" w14:textId="77777777" w:rsidR="00C158A5" w:rsidRPr="006338E8" w:rsidRDefault="00C158A5" w:rsidP="00C158A5">
            <w:pPr>
              <w:tabs>
                <w:tab w:val="center" w:pos="4536"/>
                <w:tab w:val="right" w:pos="9072"/>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тел: +382 (0) 20 310 280</w:t>
            </w:r>
          </w:p>
          <w:p w14:paraId="7DE1BD74"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факс:+382 (0) 20 310 581</w:t>
            </w:r>
          </w:p>
          <w:p w14:paraId="3B4EC32A" w14:textId="77777777" w:rsidR="00311136" w:rsidRPr="006338E8" w:rsidRDefault="008908D6" w:rsidP="00311136">
            <w:pPr>
              <w:tabs>
                <w:tab w:val="center" w:pos="4536"/>
                <w:tab w:val="right" w:pos="9072"/>
              </w:tabs>
              <w:spacing w:after="0" w:line="240" w:lineRule="auto"/>
              <w:jc w:val="both"/>
              <w:rPr>
                <w:rFonts w:ascii="Times New Roman" w:eastAsia="Times New Roman" w:hAnsi="Times New Roman" w:cs="Times New Roman"/>
                <w:bCs/>
                <w:lang w:val="sr-Cyrl-ME" w:eastAsia="en-GB"/>
              </w:rPr>
            </w:pPr>
            <w:hyperlink r:id="rId11" w:history="1">
              <w:r w:rsidR="00311136" w:rsidRPr="006338E8">
                <w:rPr>
                  <w:rStyle w:val="Hyperlink"/>
                  <w:rFonts w:ascii="Times New Roman" w:hAnsi="Times New Roman" w:cs="Times New Roman"/>
                  <w:bCs/>
                  <w:lang w:val="sr-Cyrl-ME" w:eastAsia="en-GB"/>
                </w:rPr>
                <w:t>www.c</w:t>
              </w:r>
              <w:proofErr w:type="spellStart"/>
              <w:r w:rsidR="00311136" w:rsidRPr="006338E8">
                <w:rPr>
                  <w:rStyle w:val="Hyperlink"/>
                  <w:rFonts w:ascii="Times New Roman" w:hAnsi="Times New Roman" w:cs="Times New Roman"/>
                  <w:bCs/>
                  <w:lang w:eastAsia="en-GB"/>
                </w:rPr>
                <w:t>inmed</w:t>
              </w:r>
              <w:proofErr w:type="spellEnd"/>
              <w:r w:rsidR="00311136" w:rsidRPr="006338E8">
                <w:rPr>
                  <w:rStyle w:val="Hyperlink"/>
                  <w:rFonts w:ascii="Times New Roman" w:hAnsi="Times New Roman" w:cs="Times New Roman"/>
                  <w:bCs/>
                  <w:lang w:val="sr-Cyrl-ME" w:eastAsia="en-GB"/>
                </w:rPr>
                <w:t>.me</w:t>
              </w:r>
            </w:hyperlink>
          </w:p>
          <w:p w14:paraId="57A1F1FB" w14:textId="77777777" w:rsidR="00311136" w:rsidRPr="006338E8" w:rsidRDefault="008908D6" w:rsidP="00311136">
            <w:pPr>
              <w:tabs>
                <w:tab w:val="left" w:pos="284"/>
              </w:tabs>
              <w:spacing w:after="0" w:line="240" w:lineRule="auto"/>
              <w:jc w:val="both"/>
              <w:rPr>
                <w:rFonts w:ascii="Times New Roman" w:eastAsia="Times New Roman" w:hAnsi="Times New Roman" w:cs="Times New Roman"/>
                <w:bCs/>
                <w:lang w:val="sr-Cyrl-ME" w:eastAsia="en-GB"/>
              </w:rPr>
            </w:pPr>
            <w:hyperlink r:id="rId12" w:history="1">
              <w:r w:rsidR="00311136" w:rsidRPr="006338E8">
                <w:rPr>
                  <w:rStyle w:val="Hyperlink"/>
                  <w:rFonts w:ascii="Times New Roman" w:hAnsi="Times New Roman" w:cs="Times New Roman"/>
                  <w:bCs/>
                  <w:lang w:val="sr-Cyrl-ME" w:eastAsia="en-GB"/>
                </w:rPr>
                <w:t>nezeljenadejstva@c</w:t>
              </w:r>
              <w:proofErr w:type="spellStart"/>
              <w:r w:rsidR="00311136" w:rsidRPr="006338E8">
                <w:rPr>
                  <w:rStyle w:val="Hyperlink"/>
                  <w:rFonts w:ascii="Times New Roman" w:hAnsi="Times New Roman" w:cs="Times New Roman"/>
                  <w:bCs/>
                  <w:lang w:eastAsia="en-GB"/>
                </w:rPr>
                <w:t>inmed</w:t>
              </w:r>
              <w:proofErr w:type="spellEnd"/>
              <w:r w:rsidR="00311136" w:rsidRPr="006338E8">
                <w:rPr>
                  <w:rStyle w:val="Hyperlink"/>
                  <w:rFonts w:ascii="Times New Roman" w:hAnsi="Times New Roman" w:cs="Times New Roman"/>
                  <w:bCs/>
                  <w:lang w:val="sr-Cyrl-ME" w:eastAsia="en-GB"/>
                </w:rPr>
                <w:t>.me</w:t>
              </w:r>
            </w:hyperlink>
          </w:p>
          <w:p w14:paraId="4F58532E"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путем ИС здравствене заштите</w:t>
            </w:r>
          </w:p>
          <w:p w14:paraId="0A7BFC08" w14:textId="77777777" w:rsidR="00C158A5" w:rsidRPr="006338E8" w:rsidRDefault="00C158A5" w:rsidP="00C158A5">
            <w:pPr>
              <w:pStyle w:val="NoSpacing"/>
              <w:jc w:val="both"/>
              <w:rPr>
                <w:sz w:val="22"/>
                <w:szCs w:val="22"/>
                <w:lang w:val="sr-Cyrl-ME"/>
              </w:rPr>
            </w:pPr>
            <w:r w:rsidRPr="006338E8">
              <w:rPr>
                <w:sz w:val="22"/>
                <w:szCs w:val="22"/>
                <w:lang w:val="sr-Cyrl-ME"/>
              </w:rPr>
              <w:t>QR код за online пријаву сумње на нежељено дејство лијека:</w:t>
            </w:r>
          </w:p>
          <w:p w14:paraId="494BF8C8" w14:textId="77777777" w:rsidR="00C158A5" w:rsidRPr="006338E8" w:rsidRDefault="00C158A5" w:rsidP="00C158A5">
            <w:pPr>
              <w:pStyle w:val="NoSpacing"/>
              <w:jc w:val="both"/>
              <w:rPr>
                <w:sz w:val="22"/>
                <w:szCs w:val="22"/>
                <w:lang w:val="sr-Cyrl-ME"/>
              </w:rPr>
            </w:pPr>
            <w:r w:rsidRPr="006338E8">
              <w:rPr>
                <w:noProof/>
                <w:sz w:val="22"/>
                <w:szCs w:val="22"/>
              </w:rPr>
              <w:drawing>
                <wp:inline distT="0" distB="0" distL="0" distR="0" wp14:anchorId="0293DC30" wp14:editId="7D72D482">
                  <wp:extent cx="971550" cy="971550"/>
                  <wp:effectExtent l="0" t="0" r="0" b="0"/>
                  <wp:docPr id="3" name="Picture 3" descr="https://cinmed.me/wp-content/uploads/2022/11/Online-prijava-NDL-QR-code-300x300.jp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12EE65" w14:textId="27E6A635" w:rsidR="00C158A5" w:rsidRPr="006338E8" w:rsidRDefault="00C158A5" w:rsidP="00C22141">
            <w:pPr>
              <w:tabs>
                <w:tab w:val="left" w:pos="284"/>
              </w:tabs>
              <w:spacing w:after="0" w:line="240" w:lineRule="auto"/>
              <w:jc w:val="both"/>
              <w:rPr>
                <w:rFonts w:ascii="Times New Roman" w:eastAsia="Times New Roman" w:hAnsi="Times New Roman" w:cs="Times New Roman"/>
                <w:b/>
                <w:lang w:val="sr-Cyrl-ME"/>
              </w:rPr>
            </w:pPr>
          </w:p>
        </w:tc>
      </w:tr>
      <w:tr w:rsidR="00C158A5" w:rsidRPr="006338E8" w14:paraId="301429C2" w14:textId="77777777" w:rsidTr="00F759CB">
        <w:tc>
          <w:tcPr>
            <w:tcW w:w="9639" w:type="dxa"/>
            <w:gridSpan w:val="4"/>
            <w:vAlign w:val="center"/>
          </w:tcPr>
          <w:p w14:paraId="6451C58A" w14:textId="1437FB76"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lastRenderedPageBreak/>
              <w:t>4.9. Предозирање</w:t>
            </w:r>
          </w:p>
        </w:tc>
      </w:tr>
      <w:tr w:rsidR="00C158A5" w:rsidRPr="006338E8" w14:paraId="2E067A91" w14:textId="77777777" w:rsidTr="00F759CB">
        <w:trPr>
          <w:trHeight w:val="636"/>
        </w:trPr>
        <w:tc>
          <w:tcPr>
            <w:tcW w:w="9639" w:type="dxa"/>
            <w:gridSpan w:val="4"/>
            <w:vAlign w:val="center"/>
          </w:tcPr>
          <w:p w14:paraId="1092BD2A" w14:textId="77777777" w:rsidR="00C158A5" w:rsidRPr="006338E8" w:rsidRDefault="00C158A5" w:rsidP="00C158A5">
            <w:pPr>
              <w:spacing w:after="0" w:line="240" w:lineRule="auto"/>
              <w:jc w:val="both"/>
              <w:rPr>
                <w:rFonts w:ascii="Times New Roman" w:eastAsia="Times New Roman" w:hAnsi="Times New Roman" w:cs="Times New Roman"/>
                <w:lang w:val="sr-Cyrl-ME"/>
              </w:rPr>
            </w:pPr>
          </w:p>
          <w:p w14:paraId="686FA4E2"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Нема доступних посебних информација о предозирању нифуроксазидом. </w:t>
            </w:r>
          </w:p>
          <w:p w14:paraId="1E156DE3"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У случају сумње на предозирање, пацијента треба пажљиво пратити и примјенити симптоматску терапију.</w:t>
            </w:r>
          </w:p>
          <w:p w14:paraId="11A790A4"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p w14:paraId="372553A4" w14:textId="0EB6B0C1"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tc>
      </w:tr>
      <w:tr w:rsidR="00C158A5" w:rsidRPr="006338E8" w14:paraId="0A825F9C" w14:textId="77777777" w:rsidTr="00092C16">
        <w:tc>
          <w:tcPr>
            <w:tcW w:w="9639" w:type="dxa"/>
            <w:gridSpan w:val="4"/>
            <w:shd w:val="clear" w:color="auto" w:fill="auto"/>
            <w:vAlign w:val="center"/>
          </w:tcPr>
          <w:p w14:paraId="4998EB29" w14:textId="77777777" w:rsidR="00C158A5" w:rsidRPr="006338E8" w:rsidRDefault="00C158A5"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lastRenderedPageBreak/>
              <w:t>5. ФАРМАКОЛОШКИ ПОДАЦИ</w:t>
            </w:r>
          </w:p>
        </w:tc>
      </w:tr>
      <w:tr w:rsidR="00C158A5" w:rsidRPr="006338E8" w14:paraId="485BC557" w14:textId="77777777" w:rsidTr="00F759CB">
        <w:tc>
          <w:tcPr>
            <w:tcW w:w="9639" w:type="dxa"/>
            <w:gridSpan w:val="4"/>
            <w:vAlign w:val="center"/>
          </w:tcPr>
          <w:p w14:paraId="469AA3BC"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p>
          <w:p w14:paraId="6A4A46C0"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5.1. Фармакодинамски подаци</w:t>
            </w:r>
          </w:p>
          <w:p w14:paraId="358848C0" w14:textId="3B1330F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p>
        </w:tc>
      </w:tr>
      <w:tr w:rsidR="00C158A5" w:rsidRPr="006338E8" w14:paraId="2669B378" w14:textId="77777777" w:rsidTr="00122C4F">
        <w:trPr>
          <w:trHeight w:val="576"/>
        </w:trPr>
        <w:tc>
          <w:tcPr>
            <w:tcW w:w="2977" w:type="dxa"/>
            <w:gridSpan w:val="3"/>
          </w:tcPr>
          <w:p w14:paraId="03AE8169" w14:textId="77777777" w:rsidR="00C158A5" w:rsidRPr="006338E8" w:rsidRDefault="00C158A5" w:rsidP="00C2214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Фармакотерапијска група:</w:t>
            </w:r>
          </w:p>
        </w:tc>
        <w:tc>
          <w:tcPr>
            <w:tcW w:w="6662" w:type="dxa"/>
            <w:vAlign w:val="center"/>
          </w:tcPr>
          <w:p w14:paraId="58A754B6"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Антидијароици, интестинални антиинфламаторни/антиинфективни љекови, остали интестинални антиинфективи</w:t>
            </w:r>
          </w:p>
        </w:tc>
      </w:tr>
      <w:tr w:rsidR="00C158A5" w:rsidRPr="006338E8" w14:paraId="67F8B15B" w14:textId="77777777" w:rsidTr="00EE0B39">
        <w:trPr>
          <w:trHeight w:val="261"/>
        </w:trPr>
        <w:tc>
          <w:tcPr>
            <w:tcW w:w="1188" w:type="dxa"/>
            <w:gridSpan w:val="2"/>
            <w:vAlign w:val="center"/>
          </w:tcPr>
          <w:p w14:paraId="4016C4E8"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АТЦ код:</w:t>
            </w:r>
          </w:p>
        </w:tc>
        <w:tc>
          <w:tcPr>
            <w:tcW w:w="8451" w:type="dxa"/>
            <w:gridSpan w:val="2"/>
            <w:vAlign w:val="center"/>
          </w:tcPr>
          <w:p w14:paraId="448CC89B"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eastAsia="en-GB"/>
              </w:rPr>
              <w:t>А07АХ03</w:t>
            </w:r>
          </w:p>
        </w:tc>
      </w:tr>
      <w:tr w:rsidR="00C158A5" w:rsidRPr="006338E8" w14:paraId="03600E97" w14:textId="77777777" w:rsidTr="00F759CB">
        <w:trPr>
          <w:trHeight w:val="849"/>
        </w:trPr>
        <w:tc>
          <w:tcPr>
            <w:tcW w:w="9639" w:type="dxa"/>
            <w:gridSpan w:val="4"/>
            <w:vAlign w:val="center"/>
          </w:tcPr>
          <w:p w14:paraId="4AB8E219" w14:textId="77777777" w:rsidR="00C158A5" w:rsidRPr="006338E8" w:rsidRDefault="00C158A5" w:rsidP="00C158A5">
            <w:pPr>
              <w:spacing w:after="0" w:line="240" w:lineRule="auto"/>
              <w:jc w:val="both"/>
              <w:rPr>
                <w:rFonts w:ascii="Times New Roman" w:eastAsia="Times New Roman" w:hAnsi="Times New Roman" w:cs="Times New Roman"/>
                <w:lang w:val="sr-Cyrl-ME"/>
              </w:rPr>
            </w:pPr>
          </w:p>
          <w:p w14:paraId="31C6C475" w14:textId="434CC1C1"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Нифуроксазид је дериват 5-нитрофурана. Механизам дјеловања нифуроксазида није у потпуности разјашњен. Антимикробне и антипаразитне особине нифуроксазида као и осталих нитрофурантоинских деривата, вјероватно потичу од нитро (NО</w:t>
            </w:r>
            <w:r w:rsidRPr="006338E8">
              <w:rPr>
                <w:rFonts w:ascii="Times New Roman" w:eastAsia="Times New Roman" w:hAnsi="Times New Roman" w:cs="Times New Roman"/>
                <w:vertAlign w:val="subscript"/>
                <w:lang w:val="sr-Cyrl-ME"/>
              </w:rPr>
              <w:t>2</w:t>
            </w:r>
            <w:r w:rsidRPr="006338E8">
              <w:rPr>
                <w:rFonts w:ascii="Times New Roman" w:eastAsia="Times New Roman" w:hAnsi="Times New Roman" w:cs="Times New Roman"/>
                <w:lang w:val="sr-Cyrl-ME"/>
              </w:rPr>
              <w:t xml:space="preserve">) групе која је јако електрон-реактивна. Нарочито осјетљивост на овај лијек су показале </w:t>
            </w:r>
            <w:r w:rsidRPr="006338E8">
              <w:rPr>
                <w:rFonts w:ascii="Times New Roman" w:eastAsia="Times New Roman" w:hAnsi="Times New Roman" w:cs="Times New Roman"/>
                <w:i/>
                <w:lang w:val="sr-Cyrl-ME"/>
              </w:rPr>
              <w:t xml:space="preserve">Грам-позитивне </w:t>
            </w:r>
            <w:r w:rsidRPr="006338E8">
              <w:rPr>
                <w:rFonts w:ascii="Times New Roman" w:eastAsia="Times New Roman" w:hAnsi="Times New Roman" w:cs="Times New Roman"/>
                <w:lang w:val="sr-Cyrl-ME"/>
              </w:rPr>
              <w:t xml:space="preserve">коке: </w:t>
            </w:r>
            <w:r w:rsidRPr="006338E8">
              <w:rPr>
                <w:rFonts w:ascii="Times New Roman" w:eastAsia="Times New Roman" w:hAnsi="Times New Roman" w:cs="Times New Roman"/>
                <w:i/>
                <w:lang w:val="sr-Cyrl-ME"/>
              </w:rPr>
              <w:t>Streptococcus pyogenes, Staphilococcus pyogenes</w:t>
            </w:r>
            <w:r w:rsidRPr="006338E8">
              <w:rPr>
                <w:rFonts w:ascii="Times New Roman" w:eastAsia="Times New Roman" w:hAnsi="Times New Roman" w:cs="Times New Roman"/>
                <w:lang w:val="sr-Cyrl-ME"/>
              </w:rPr>
              <w:t>, а међу</w:t>
            </w:r>
            <w:r w:rsidRPr="006338E8">
              <w:rPr>
                <w:rFonts w:ascii="Times New Roman" w:eastAsia="Times New Roman" w:hAnsi="Times New Roman" w:cs="Times New Roman"/>
                <w:i/>
                <w:lang w:val="sr-Cyrl-ME"/>
              </w:rPr>
              <w:t xml:space="preserve"> Грам-негативним</w:t>
            </w:r>
            <w:r w:rsidRPr="006338E8">
              <w:rPr>
                <w:rFonts w:ascii="Times New Roman" w:eastAsia="Times New Roman" w:hAnsi="Times New Roman" w:cs="Times New Roman"/>
                <w:lang w:val="sr-Cyrl-ME"/>
              </w:rPr>
              <w:t xml:space="preserve"> ентеробактеријама: </w:t>
            </w:r>
            <w:r w:rsidRPr="006338E8">
              <w:rPr>
                <w:rFonts w:ascii="Times New Roman" w:eastAsia="Times New Roman" w:hAnsi="Times New Roman" w:cs="Times New Roman"/>
                <w:i/>
                <w:lang w:val="sr-Cyrl-ME"/>
              </w:rPr>
              <w:t xml:space="preserve">Escherichia Coli, Salmonella </w:t>
            </w:r>
            <w:r w:rsidRPr="006338E8">
              <w:rPr>
                <w:rFonts w:ascii="Times New Roman" w:eastAsia="Times New Roman" w:hAnsi="Times New Roman" w:cs="Times New Roman"/>
                <w:lang w:val="sr-Cyrl-ME"/>
              </w:rPr>
              <w:t xml:space="preserve">и </w:t>
            </w:r>
            <w:r w:rsidRPr="006338E8">
              <w:rPr>
                <w:rFonts w:ascii="Times New Roman" w:eastAsia="Times New Roman" w:hAnsi="Times New Roman" w:cs="Times New Roman"/>
                <w:i/>
                <w:lang w:val="sr-Cyrl-ME"/>
              </w:rPr>
              <w:t>Shigella.</w:t>
            </w:r>
          </w:p>
          <w:p w14:paraId="316B7B25" w14:textId="77777777" w:rsidR="00C158A5" w:rsidRPr="006338E8" w:rsidRDefault="00C158A5" w:rsidP="00C22141">
            <w:pPr>
              <w:tabs>
                <w:tab w:val="left" w:pos="284"/>
              </w:tabs>
              <w:spacing w:after="0" w:line="240" w:lineRule="auto"/>
              <w:jc w:val="both"/>
              <w:rPr>
                <w:rFonts w:ascii="Times New Roman" w:eastAsia="Times New Roman" w:hAnsi="Times New Roman" w:cs="Times New Roman"/>
                <w:lang w:val="sr-Cyrl-ME" w:eastAsia="en-GB"/>
              </w:rPr>
            </w:pPr>
          </w:p>
        </w:tc>
      </w:tr>
      <w:tr w:rsidR="00C158A5" w:rsidRPr="006338E8" w14:paraId="380E31B7" w14:textId="77777777" w:rsidTr="00122C4F">
        <w:trPr>
          <w:trHeight w:val="308"/>
        </w:trPr>
        <w:tc>
          <w:tcPr>
            <w:tcW w:w="9639" w:type="dxa"/>
            <w:gridSpan w:val="4"/>
            <w:vAlign w:val="center"/>
          </w:tcPr>
          <w:p w14:paraId="171C69A9"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5.2. Фармакокинетички подаци</w:t>
            </w:r>
          </w:p>
        </w:tc>
      </w:tr>
      <w:tr w:rsidR="00C158A5" w:rsidRPr="006338E8" w14:paraId="2E638BCB" w14:textId="77777777" w:rsidTr="00122C4F">
        <w:trPr>
          <w:trHeight w:val="992"/>
        </w:trPr>
        <w:tc>
          <w:tcPr>
            <w:tcW w:w="9639" w:type="dxa"/>
            <w:gridSpan w:val="4"/>
          </w:tcPr>
          <w:p w14:paraId="5F2304AB" w14:textId="77777777" w:rsidR="00C158A5" w:rsidRPr="006338E8" w:rsidRDefault="00C158A5" w:rsidP="00C22141">
            <w:pPr>
              <w:tabs>
                <w:tab w:val="left" w:pos="284"/>
              </w:tabs>
              <w:spacing w:after="0" w:line="240" w:lineRule="auto"/>
              <w:jc w:val="both"/>
              <w:rPr>
                <w:rFonts w:ascii="Times New Roman" w:eastAsia="Times New Roman" w:hAnsi="Times New Roman" w:cs="Times New Roman"/>
                <w:lang w:val="sr-Cyrl-ME"/>
              </w:rPr>
            </w:pPr>
          </w:p>
          <w:p w14:paraId="4D2AFB28" w14:textId="0F404166" w:rsidR="00C158A5" w:rsidRPr="006338E8" w:rsidRDefault="00C158A5" w:rsidP="00C22141">
            <w:pPr>
              <w:tabs>
                <w:tab w:val="left" w:pos="284"/>
              </w:tabs>
              <w:spacing w:after="0" w:line="240" w:lineRule="auto"/>
              <w:jc w:val="both"/>
              <w:rPr>
                <w:rFonts w:ascii="Times New Roman" w:eastAsia="Times New Roman" w:hAnsi="Times New Roman" w:cs="Times New Roman"/>
                <w:bCs/>
                <w:i/>
                <w:iCs/>
                <w:lang w:val="sr-Cyrl-ME" w:eastAsia="en-GB"/>
              </w:rPr>
            </w:pPr>
            <w:r w:rsidRPr="006338E8">
              <w:rPr>
                <w:rFonts w:ascii="Times New Roman" w:eastAsia="Times New Roman" w:hAnsi="Times New Roman" w:cs="Times New Roman"/>
                <w:bCs/>
                <w:iCs/>
                <w:lang w:val="sr-Cyrl-ME" w:eastAsia="en-GB"/>
              </w:rPr>
              <w:t xml:space="preserve">Након оралне примјене лијек се дјелимично </w:t>
            </w:r>
            <w:r w:rsidRPr="006338E8">
              <w:rPr>
                <w:rFonts w:ascii="Times New Roman" w:eastAsia="Times New Roman" w:hAnsi="Times New Roman" w:cs="Times New Roman"/>
                <w:bCs/>
                <w:iCs/>
                <w:lang w:val="mk-MK" w:eastAsia="en-GB"/>
              </w:rPr>
              <w:t>ре</w:t>
            </w:r>
            <w:r w:rsidRPr="006338E8">
              <w:rPr>
                <w:rFonts w:ascii="Times New Roman" w:eastAsia="Times New Roman" w:hAnsi="Times New Roman" w:cs="Times New Roman"/>
                <w:bCs/>
                <w:iCs/>
                <w:lang w:val="sr-Cyrl-ME" w:eastAsia="en-GB"/>
              </w:rPr>
              <w:t>сорбује (10-20%) из гастроинтестиналног тракта и значајно се метаболише, при чему су метаболити главна једињења која циркулишу у крви</w:t>
            </w:r>
            <w:r w:rsidRPr="006338E8">
              <w:rPr>
                <w:rFonts w:ascii="Times New Roman" w:eastAsia="Times New Roman" w:hAnsi="Times New Roman" w:cs="Times New Roman"/>
                <w:bCs/>
                <w:i/>
                <w:iCs/>
                <w:lang w:val="sr-Cyrl-ME" w:eastAsia="en-GB"/>
              </w:rPr>
              <w:t>.</w:t>
            </w:r>
          </w:p>
          <w:p w14:paraId="25184032" w14:textId="3FD0227F" w:rsidR="00C158A5" w:rsidRPr="006338E8" w:rsidRDefault="00C158A5" w:rsidP="00C22141">
            <w:pPr>
              <w:tabs>
                <w:tab w:val="left" w:pos="284"/>
              </w:tabs>
              <w:spacing w:after="0" w:line="240" w:lineRule="auto"/>
              <w:jc w:val="both"/>
              <w:rPr>
                <w:rFonts w:ascii="Times New Roman" w:eastAsia="Times New Roman" w:hAnsi="Times New Roman" w:cs="Times New Roman"/>
                <w:lang w:val="sr-Cyrl-ME"/>
              </w:rPr>
            </w:pPr>
          </w:p>
        </w:tc>
      </w:tr>
      <w:tr w:rsidR="00C158A5" w:rsidRPr="006338E8" w14:paraId="02511DA8" w14:textId="77777777" w:rsidTr="00122C4F">
        <w:trPr>
          <w:trHeight w:val="284"/>
        </w:trPr>
        <w:tc>
          <w:tcPr>
            <w:tcW w:w="9639" w:type="dxa"/>
            <w:gridSpan w:val="4"/>
            <w:vAlign w:val="center"/>
          </w:tcPr>
          <w:p w14:paraId="3BF6B381"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 xml:space="preserve">5.3. Претклинички подаци о безбједности </w:t>
            </w:r>
          </w:p>
        </w:tc>
      </w:tr>
      <w:tr w:rsidR="00C158A5" w:rsidRPr="006338E8" w14:paraId="5583DD72" w14:textId="77777777" w:rsidTr="00122C4F">
        <w:trPr>
          <w:trHeight w:val="1105"/>
        </w:trPr>
        <w:tc>
          <w:tcPr>
            <w:tcW w:w="9639" w:type="dxa"/>
            <w:gridSpan w:val="4"/>
          </w:tcPr>
          <w:p w14:paraId="39AC2A1B" w14:textId="77777777" w:rsidR="00C158A5" w:rsidRPr="006338E8" w:rsidRDefault="00C158A5" w:rsidP="00C158A5">
            <w:pPr>
              <w:spacing w:after="0"/>
              <w:jc w:val="both"/>
              <w:rPr>
                <w:rFonts w:ascii="Times New Roman" w:eastAsia="Times New Roman" w:hAnsi="Times New Roman" w:cs="Times New Roman"/>
                <w:lang w:val="sr-Cyrl-ME"/>
              </w:rPr>
            </w:pPr>
          </w:p>
          <w:p w14:paraId="1C9972C6" w14:textId="17658AE6" w:rsidR="00C158A5" w:rsidRPr="006338E8" w:rsidRDefault="00C158A5" w:rsidP="00C158A5">
            <w:pPr>
              <w:spacing w:after="0"/>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Нифуроксазид показује могући мутагени потенцијал.</w:t>
            </w:r>
          </w:p>
          <w:p w14:paraId="2D8E4A1C" w14:textId="77777777" w:rsidR="00C158A5" w:rsidRPr="006338E8" w:rsidRDefault="00C158A5" w:rsidP="00C158A5">
            <w:pPr>
              <w:spacing w:after="0"/>
              <w:jc w:val="both"/>
              <w:rPr>
                <w:rFonts w:ascii="Times New Roman" w:eastAsia="Times New Roman" w:hAnsi="Times New Roman" w:cs="Times New Roman"/>
                <w:lang w:val="sr-Cyrl-ME"/>
              </w:rPr>
            </w:pPr>
          </w:p>
          <w:p w14:paraId="45D4CE80" w14:textId="12B5FE7D" w:rsidR="00C158A5" w:rsidRPr="006338E8" w:rsidRDefault="00C158A5" w:rsidP="00C158A5">
            <w:pPr>
              <w:spacing w:after="0"/>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Канцерогени потенцијал нифуроксазида је процијењен код мишева (50/пол/група) и пацова (52/пол/група) који су током 2 године примали нифуроксазид у исхрани у дозама од 0, 200, 600 или 1800 </w:t>
            </w:r>
            <w:r w:rsidRPr="006338E8">
              <w:rPr>
                <w:rFonts w:ascii="Times New Roman" w:eastAsia="Times New Roman" w:hAnsi="Times New Roman" w:cs="Times New Roman"/>
              </w:rPr>
              <w:t>mg</w:t>
            </w:r>
            <w:r w:rsidRPr="006338E8">
              <w:rPr>
                <w:rFonts w:ascii="Times New Roman" w:eastAsia="Times New Roman" w:hAnsi="Times New Roman" w:cs="Times New Roman"/>
                <w:lang w:val="sr-Cyrl-ME"/>
              </w:rPr>
              <w:t>/</w:t>
            </w:r>
            <w:r w:rsidRPr="006338E8">
              <w:rPr>
                <w:rFonts w:ascii="Times New Roman" w:eastAsia="Times New Roman" w:hAnsi="Times New Roman" w:cs="Times New Roman"/>
              </w:rPr>
              <w:t>kg</w:t>
            </w:r>
            <w:r w:rsidRPr="006338E8">
              <w:rPr>
                <w:rFonts w:ascii="Times New Roman" w:eastAsia="Times New Roman" w:hAnsi="Times New Roman" w:cs="Times New Roman"/>
                <w:lang w:val="sr-Cyrl-ME"/>
              </w:rPr>
              <w:t>/дан. Упркос мутагеним својствима, канцерогеност нифуроксазида није доказана ни код мишева ни код пацова.</w:t>
            </w:r>
          </w:p>
          <w:p w14:paraId="5C9D04DB" w14:textId="77777777" w:rsidR="00C158A5" w:rsidRPr="006338E8" w:rsidRDefault="00C158A5" w:rsidP="00C158A5">
            <w:pPr>
              <w:spacing w:after="0"/>
              <w:jc w:val="both"/>
              <w:rPr>
                <w:rFonts w:ascii="Times New Roman" w:eastAsia="Times New Roman" w:hAnsi="Times New Roman" w:cs="Times New Roman"/>
                <w:lang w:val="sr-Cyrl-ME"/>
              </w:rPr>
            </w:pPr>
          </w:p>
          <w:p w14:paraId="0247DF55" w14:textId="6AF0AF6A" w:rsidR="00C158A5" w:rsidRPr="006338E8" w:rsidRDefault="00C158A5" w:rsidP="00C158A5">
            <w:pPr>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На основу поређења тјелесне површине, релативна вишеструка изложености максималној дози код </w:t>
            </w:r>
            <w:r w:rsidRPr="006338E8">
              <w:rPr>
                <w:rFonts w:ascii="Times New Roman" w:eastAsia="Times New Roman" w:hAnsi="Times New Roman" w:cs="Times New Roman"/>
                <w:bCs/>
                <w:lang w:val="sr-Cyrl-ME"/>
              </w:rPr>
              <w:t>љ</w:t>
            </w:r>
            <w:r w:rsidRPr="006338E8">
              <w:rPr>
                <w:rFonts w:ascii="Times New Roman" w:eastAsia="Times New Roman" w:hAnsi="Times New Roman" w:cs="Times New Roman"/>
                <w:lang w:val="sr-Cyrl-ME"/>
              </w:rPr>
              <w:t xml:space="preserve">уди од 1800 </w:t>
            </w:r>
            <w:r w:rsidRPr="006338E8">
              <w:rPr>
                <w:rFonts w:ascii="Times New Roman" w:eastAsia="Times New Roman" w:hAnsi="Times New Roman" w:cs="Times New Roman"/>
              </w:rPr>
              <w:t>mg</w:t>
            </w:r>
            <w:r w:rsidRPr="006338E8">
              <w:rPr>
                <w:rFonts w:ascii="Times New Roman" w:eastAsia="Times New Roman" w:hAnsi="Times New Roman" w:cs="Times New Roman"/>
                <w:lang w:val="sr-Cyrl-ME"/>
              </w:rPr>
              <w:t xml:space="preserve"> (493 mg/m</w:t>
            </w:r>
            <w:r w:rsidRPr="006338E8">
              <w:rPr>
                <w:rFonts w:ascii="Times New Roman" w:eastAsia="Times New Roman" w:hAnsi="Times New Roman" w:cs="Times New Roman"/>
                <w:vertAlign w:val="superscript"/>
                <w:lang w:val="sr-Cyrl-ME"/>
              </w:rPr>
              <w:t>2</w:t>
            </w:r>
            <w:r w:rsidRPr="006338E8">
              <w:rPr>
                <w:rFonts w:ascii="Times New Roman" w:eastAsia="Times New Roman" w:hAnsi="Times New Roman" w:cs="Times New Roman"/>
                <w:lang w:val="sr-Cyrl-ME"/>
              </w:rPr>
              <w:t xml:space="preserve">,  под претпоставком тјелесне масе пацијента од 60 </w:t>
            </w:r>
            <w:r w:rsidRPr="006338E8">
              <w:rPr>
                <w:rFonts w:ascii="Times New Roman" w:eastAsia="Times New Roman" w:hAnsi="Times New Roman" w:cs="Times New Roman"/>
              </w:rPr>
              <w:t>kg</w:t>
            </w:r>
            <w:r w:rsidRPr="006338E8">
              <w:rPr>
                <w:rFonts w:ascii="Times New Roman" w:eastAsia="Times New Roman" w:hAnsi="Times New Roman" w:cs="Times New Roman"/>
                <w:lang w:val="sr-Cyrl-ME"/>
              </w:rPr>
              <w:t>) у двогодишњим испитивањима на мишевима и пацовима (5400 mg/m</w:t>
            </w:r>
            <w:r w:rsidRPr="006338E8">
              <w:rPr>
                <w:rFonts w:ascii="Times New Roman" w:eastAsia="Times New Roman" w:hAnsi="Times New Roman" w:cs="Times New Roman"/>
                <w:vertAlign w:val="superscript"/>
                <w:lang w:val="sr-Cyrl-ME"/>
              </w:rPr>
              <w:t>2</w:t>
            </w:r>
            <w:r w:rsidRPr="006338E8">
              <w:rPr>
                <w:rFonts w:ascii="Times New Roman" w:eastAsia="Times New Roman" w:hAnsi="Times New Roman" w:cs="Times New Roman"/>
                <w:lang w:val="sr-Cyrl-ME"/>
              </w:rPr>
              <w:t xml:space="preserve"> односно 10800 mg/m</w:t>
            </w:r>
            <w:r w:rsidRPr="006338E8">
              <w:rPr>
                <w:rFonts w:ascii="Times New Roman" w:eastAsia="Times New Roman" w:hAnsi="Times New Roman" w:cs="Times New Roman"/>
                <w:vertAlign w:val="superscript"/>
                <w:lang w:val="sr-Cyrl-ME"/>
              </w:rPr>
              <w:t>2</w:t>
            </w:r>
            <w:r w:rsidRPr="006338E8">
              <w:rPr>
                <w:rFonts w:ascii="Times New Roman" w:eastAsia="Times New Roman" w:hAnsi="Times New Roman" w:cs="Times New Roman"/>
                <w:lang w:val="sr-Cyrl-ME"/>
              </w:rPr>
              <w:t>) износи 11, односно 22 пута</w:t>
            </w:r>
            <w:r w:rsidRPr="006338E8">
              <w:rPr>
                <w:rFonts w:ascii="Times New Roman" w:eastAsia="Times New Roman" w:hAnsi="Times New Roman" w:cs="Times New Roman"/>
              </w:rPr>
              <w:t>.</w:t>
            </w:r>
          </w:p>
          <w:p w14:paraId="2F1D7BBE" w14:textId="77777777" w:rsidR="00C158A5" w:rsidRDefault="00C158A5" w:rsidP="00C158A5">
            <w:pPr>
              <w:spacing w:after="0" w:line="240" w:lineRule="auto"/>
              <w:jc w:val="both"/>
              <w:rPr>
                <w:rFonts w:ascii="Times New Roman" w:eastAsia="Times New Roman" w:hAnsi="Times New Roman" w:cs="Times New Roman"/>
                <w:lang w:val="sr-Cyrl-ME"/>
              </w:rPr>
            </w:pPr>
          </w:p>
          <w:p w14:paraId="64636E1B" w14:textId="33DFE33D" w:rsidR="006338E8" w:rsidRPr="006338E8" w:rsidRDefault="006338E8" w:rsidP="00C158A5">
            <w:pPr>
              <w:spacing w:after="0" w:line="240" w:lineRule="auto"/>
              <w:jc w:val="both"/>
              <w:rPr>
                <w:rFonts w:ascii="Times New Roman" w:eastAsia="Times New Roman" w:hAnsi="Times New Roman" w:cs="Times New Roman"/>
                <w:lang w:val="sr-Cyrl-ME"/>
              </w:rPr>
            </w:pPr>
          </w:p>
        </w:tc>
      </w:tr>
      <w:tr w:rsidR="00C158A5" w:rsidRPr="006338E8" w14:paraId="48F97D96" w14:textId="77777777" w:rsidTr="00092C16">
        <w:tc>
          <w:tcPr>
            <w:tcW w:w="9639" w:type="dxa"/>
            <w:gridSpan w:val="4"/>
            <w:shd w:val="clear" w:color="auto" w:fill="auto"/>
            <w:vAlign w:val="center"/>
          </w:tcPr>
          <w:p w14:paraId="3ED33DE0" w14:textId="77777777" w:rsidR="00C158A5" w:rsidRPr="006338E8" w:rsidRDefault="00C158A5" w:rsidP="00C158A5">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6. ФАРМАЦЕУТСКИ ПОДАЦИ</w:t>
            </w:r>
          </w:p>
        </w:tc>
      </w:tr>
      <w:tr w:rsidR="00C158A5" w:rsidRPr="006338E8" w14:paraId="18267B71" w14:textId="77777777" w:rsidTr="00F759CB">
        <w:tc>
          <w:tcPr>
            <w:tcW w:w="9639" w:type="dxa"/>
            <w:gridSpan w:val="4"/>
            <w:vAlign w:val="center"/>
          </w:tcPr>
          <w:p w14:paraId="2653BAB6" w14:textId="77777777" w:rsidR="00C158A5" w:rsidRPr="006338E8" w:rsidRDefault="00C158A5" w:rsidP="00C158A5">
            <w:pPr>
              <w:tabs>
                <w:tab w:val="left" w:pos="284"/>
              </w:tabs>
              <w:spacing w:after="0" w:line="240" w:lineRule="auto"/>
              <w:rPr>
                <w:rFonts w:ascii="Times New Roman" w:eastAsia="Times New Roman" w:hAnsi="Times New Roman" w:cs="Times New Roman"/>
                <w:b/>
                <w:bCs/>
                <w:lang w:val="sr-Cyrl-ME"/>
              </w:rPr>
            </w:pPr>
          </w:p>
          <w:p w14:paraId="752E9C13" w14:textId="77777777" w:rsidR="00C158A5" w:rsidRPr="006338E8" w:rsidRDefault="00C158A5" w:rsidP="00C158A5">
            <w:pPr>
              <w:tabs>
                <w:tab w:val="left" w:pos="284"/>
              </w:tabs>
              <w:spacing w:after="0" w:line="240" w:lineRule="auto"/>
              <w:rPr>
                <w:rFonts w:ascii="Times New Roman" w:eastAsia="Times New Roman" w:hAnsi="Times New Roman" w:cs="Times New Roman"/>
                <w:b/>
                <w:bCs/>
                <w:lang w:val="sr-Cyrl-RS"/>
              </w:rPr>
            </w:pPr>
            <w:r w:rsidRPr="006338E8">
              <w:rPr>
                <w:rFonts w:ascii="Times New Roman" w:eastAsia="Times New Roman" w:hAnsi="Times New Roman" w:cs="Times New Roman"/>
                <w:b/>
                <w:bCs/>
                <w:lang w:val="sr-Cyrl-ME"/>
              </w:rPr>
              <w:t>6.1. Листа помоћних супстанци</w:t>
            </w:r>
            <w:r w:rsidRPr="006338E8">
              <w:rPr>
                <w:rFonts w:ascii="Times New Roman" w:eastAsia="Times New Roman" w:hAnsi="Times New Roman" w:cs="Times New Roman"/>
                <w:b/>
                <w:bCs/>
                <w:lang w:val="sr-Latn-ME"/>
              </w:rPr>
              <w:t xml:space="preserve"> (</w:t>
            </w:r>
            <w:r w:rsidRPr="006338E8">
              <w:rPr>
                <w:rFonts w:ascii="Times New Roman" w:eastAsia="Times New Roman" w:hAnsi="Times New Roman" w:cs="Times New Roman"/>
                <w:b/>
                <w:bCs/>
                <w:lang w:val="sr-Cyrl-RS"/>
              </w:rPr>
              <w:t>ексципијенаса)</w:t>
            </w:r>
          </w:p>
        </w:tc>
      </w:tr>
      <w:tr w:rsidR="00C158A5" w:rsidRPr="006338E8" w14:paraId="50220120" w14:textId="77777777" w:rsidTr="00F759CB">
        <w:trPr>
          <w:trHeight w:val="494"/>
        </w:trPr>
        <w:tc>
          <w:tcPr>
            <w:tcW w:w="9639" w:type="dxa"/>
            <w:gridSpan w:val="4"/>
            <w:vAlign w:val="center"/>
          </w:tcPr>
          <w:p w14:paraId="175A5F51" w14:textId="77777777" w:rsidR="00C158A5" w:rsidRPr="006338E8" w:rsidRDefault="00C158A5" w:rsidP="00C158A5">
            <w:pPr>
              <w:spacing w:after="0" w:line="240" w:lineRule="auto"/>
              <w:rPr>
                <w:rFonts w:ascii="Times New Roman" w:eastAsia="Times New Roman" w:hAnsi="Times New Roman" w:cs="Times New Roman"/>
                <w:i/>
                <w:lang w:val="sr-Cyrl-ME"/>
              </w:rPr>
            </w:pPr>
          </w:p>
          <w:p w14:paraId="010761EC"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Сорбитол, течни, некристалишући (Е 420)</w:t>
            </w:r>
          </w:p>
          <w:p w14:paraId="134456C1"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Глицерол</w:t>
            </w:r>
          </w:p>
          <w:p w14:paraId="3FC0F08C"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Карбомер 940</w:t>
            </w:r>
          </w:p>
          <w:p w14:paraId="67D9064F"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Полисорбат 80</w:t>
            </w:r>
          </w:p>
          <w:p w14:paraId="0BD3E5F6"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Динатријум едетат</w:t>
            </w:r>
          </w:p>
          <w:p w14:paraId="5B29B900"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Натријум бензоат (Е 211)</w:t>
            </w:r>
          </w:p>
          <w:p w14:paraId="6AAB1C66"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Натријум цитрат дихидрат</w:t>
            </w:r>
          </w:p>
          <w:p w14:paraId="416D685F"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Сахарин натријум</w:t>
            </w:r>
          </w:p>
          <w:p w14:paraId="1D49CCE5"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Арома банане</w:t>
            </w:r>
          </w:p>
          <w:p w14:paraId="33463280"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Средство за побољшање укуса</w:t>
            </w:r>
          </w:p>
          <w:p w14:paraId="270C3304"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Симетикон, емулзија 30 %</w:t>
            </w:r>
          </w:p>
          <w:p w14:paraId="1A0DE41E"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Вода, пречишћена</w:t>
            </w:r>
          </w:p>
          <w:p w14:paraId="21F50733" w14:textId="77777777" w:rsidR="00C158A5" w:rsidRPr="006338E8" w:rsidRDefault="00C158A5" w:rsidP="00C158A5">
            <w:pPr>
              <w:tabs>
                <w:tab w:val="left" w:pos="284"/>
              </w:tabs>
              <w:spacing w:after="0" w:line="240" w:lineRule="auto"/>
              <w:jc w:val="both"/>
              <w:rPr>
                <w:rFonts w:ascii="Times New Roman" w:eastAsia="Times New Roman" w:hAnsi="Times New Roman" w:cs="Times New Roman"/>
                <w:lang w:val="sr-Cyrl-ME"/>
              </w:rPr>
            </w:pPr>
          </w:p>
        </w:tc>
      </w:tr>
      <w:tr w:rsidR="00C158A5" w:rsidRPr="006338E8" w14:paraId="33D86422" w14:textId="77777777" w:rsidTr="00F759CB">
        <w:tc>
          <w:tcPr>
            <w:tcW w:w="9639" w:type="dxa"/>
            <w:gridSpan w:val="4"/>
            <w:vAlign w:val="center"/>
          </w:tcPr>
          <w:p w14:paraId="4391FB0C" w14:textId="77777777" w:rsidR="00C158A5" w:rsidRPr="006338E8" w:rsidRDefault="00C158A5" w:rsidP="00C158A5">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lastRenderedPageBreak/>
              <w:t>6.2. Инкомпатибилности</w:t>
            </w:r>
          </w:p>
          <w:p w14:paraId="5258CDB4" w14:textId="77777777" w:rsidR="00C158A5" w:rsidRPr="006338E8" w:rsidRDefault="00C158A5" w:rsidP="00C158A5">
            <w:pPr>
              <w:tabs>
                <w:tab w:val="left" w:pos="284"/>
              </w:tabs>
              <w:spacing w:after="0" w:line="240" w:lineRule="auto"/>
              <w:rPr>
                <w:rFonts w:ascii="Times New Roman" w:eastAsia="Times New Roman" w:hAnsi="Times New Roman" w:cs="Times New Roman"/>
                <w:b/>
                <w:bCs/>
                <w:lang w:val="sr-Cyrl-ME"/>
              </w:rPr>
            </w:pPr>
          </w:p>
        </w:tc>
      </w:tr>
    </w:tbl>
    <w:p w14:paraId="0F863BDB" w14:textId="2E866394" w:rsidR="00B90930" w:rsidRPr="006338E8" w:rsidRDefault="00B90930" w:rsidP="00297F5A">
      <w:pPr>
        <w:spacing w:after="0" w:line="240" w:lineRule="auto"/>
        <w:rPr>
          <w:rFonts w:ascii="Times New Roman" w:eastAsia="Times New Roman" w:hAnsi="Times New Roman" w:cs="Times New Roman"/>
          <w:lang w:val="sr-Cyrl-ME" w:eastAsia="en-GB"/>
        </w:rPr>
      </w:pPr>
      <w:r w:rsidRPr="006338E8">
        <w:rPr>
          <w:rFonts w:ascii="Times New Roman" w:eastAsia="Times New Roman" w:hAnsi="Times New Roman" w:cs="Times New Roman"/>
          <w:lang w:val="sr-Cyrl-ME" w:eastAsia="en-GB"/>
        </w:rPr>
        <w:t xml:space="preserve">  Није примје</w:t>
      </w:r>
      <w:r w:rsidR="002F5EEF" w:rsidRPr="006338E8">
        <w:rPr>
          <w:rFonts w:ascii="Times New Roman" w:eastAsia="Times New Roman" w:hAnsi="Times New Roman" w:cs="Times New Roman"/>
          <w:lang w:val="sr-Cyrl-ME" w:eastAsia="en-GB"/>
        </w:rPr>
        <w:t>нљ</w:t>
      </w:r>
      <w:r w:rsidRPr="006338E8">
        <w:rPr>
          <w:rFonts w:ascii="Times New Roman" w:eastAsia="Times New Roman" w:hAnsi="Times New Roman" w:cs="Times New Roman"/>
          <w:lang w:val="sr-Cyrl-ME" w:eastAsia="en-GB"/>
        </w:rPr>
        <w:t>иво.</w:t>
      </w:r>
    </w:p>
    <w:p w14:paraId="2BB2E952" w14:textId="77777777" w:rsidR="00B90930" w:rsidRPr="006338E8" w:rsidRDefault="00B90930" w:rsidP="00297F5A">
      <w:pPr>
        <w:spacing w:after="0" w:line="240" w:lineRule="auto"/>
        <w:ind w:left="108"/>
        <w:rPr>
          <w:rFonts w:ascii="Times New Roman" w:eastAsia="Times New Roman" w:hAnsi="Times New Roman" w:cs="Times New Roman"/>
          <w:lang w:val="sr-Cyrl-ME" w:eastAsia="en-GB"/>
        </w:rPr>
      </w:pPr>
    </w:p>
    <w:p w14:paraId="09ADC170" w14:textId="77777777" w:rsidR="00B90930" w:rsidRPr="006338E8" w:rsidRDefault="00B90930" w:rsidP="00297F5A">
      <w:pPr>
        <w:spacing w:after="0" w:line="240" w:lineRule="auto"/>
        <w:ind w:left="108"/>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6.3. Рок употребе</w:t>
      </w:r>
    </w:p>
    <w:tbl>
      <w:tblPr>
        <w:tblW w:w="9639" w:type="dxa"/>
        <w:tblLook w:val="0000" w:firstRow="0" w:lastRow="0" w:firstColumn="0" w:lastColumn="0" w:noHBand="0" w:noVBand="0"/>
      </w:tblPr>
      <w:tblGrid>
        <w:gridCol w:w="9639"/>
      </w:tblGrid>
      <w:tr w:rsidR="00297F5A" w:rsidRPr="006338E8" w14:paraId="0AA9D71E" w14:textId="77777777" w:rsidTr="00B90930">
        <w:trPr>
          <w:trHeight w:val="815"/>
        </w:trPr>
        <w:tc>
          <w:tcPr>
            <w:tcW w:w="9639" w:type="dxa"/>
            <w:vAlign w:val="center"/>
          </w:tcPr>
          <w:p w14:paraId="69E2A693" w14:textId="77777777" w:rsidR="00B90930" w:rsidRPr="006338E8" w:rsidRDefault="00B90930" w:rsidP="00297F5A">
            <w:pPr>
              <w:tabs>
                <w:tab w:val="left" w:pos="284"/>
              </w:tabs>
              <w:spacing w:after="0" w:line="240" w:lineRule="auto"/>
              <w:jc w:val="both"/>
              <w:rPr>
                <w:rFonts w:ascii="Times New Roman" w:eastAsia="Times New Roman" w:hAnsi="Times New Roman" w:cs="Times New Roman"/>
                <w:lang w:val="sr-Cyrl-ME"/>
              </w:rPr>
            </w:pPr>
          </w:p>
          <w:p w14:paraId="371D3AC8"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Прије отварања: 3 (три) године. </w:t>
            </w:r>
          </w:p>
          <w:p w14:paraId="7764DB47" w14:textId="2AE62C38"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Након првог отварања, лијек се мора употријебити у року од 6 мјесеци, уколико се чува на температури до 25˚С. </w:t>
            </w:r>
          </w:p>
          <w:p w14:paraId="733D1DB6"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tc>
      </w:tr>
      <w:tr w:rsidR="00297F5A" w:rsidRPr="006338E8" w14:paraId="2803C2C2" w14:textId="77777777" w:rsidTr="00F759CB">
        <w:tc>
          <w:tcPr>
            <w:tcW w:w="9639" w:type="dxa"/>
            <w:vAlign w:val="center"/>
          </w:tcPr>
          <w:p w14:paraId="30AE4116" w14:textId="77777777"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6.4. Посебне мјере упозорења при чувању лијека</w:t>
            </w:r>
          </w:p>
        </w:tc>
      </w:tr>
      <w:tr w:rsidR="00297F5A" w:rsidRPr="006338E8" w14:paraId="654B7D4A" w14:textId="77777777" w:rsidTr="00F759CB">
        <w:trPr>
          <w:trHeight w:val="446"/>
        </w:trPr>
        <w:tc>
          <w:tcPr>
            <w:tcW w:w="9639" w:type="dxa"/>
          </w:tcPr>
          <w:p w14:paraId="3353572E"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1F445D39"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Неотворени лијек не захтијева посебне услове чувања. </w:t>
            </w:r>
          </w:p>
          <w:p w14:paraId="1CB9218F" w14:textId="71CDE195"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За услове чувања лијека након првог отварања, </w:t>
            </w:r>
            <w:r w:rsidR="00796912" w:rsidRPr="006338E8">
              <w:rPr>
                <w:rFonts w:ascii="Times New Roman" w:eastAsia="Times New Roman" w:hAnsi="Times New Roman" w:cs="Times New Roman"/>
                <w:lang w:val="sr-Cyrl-ME"/>
              </w:rPr>
              <w:t>погледати дио</w:t>
            </w:r>
            <w:r w:rsidRPr="006338E8">
              <w:rPr>
                <w:rFonts w:ascii="Times New Roman" w:eastAsia="Times New Roman" w:hAnsi="Times New Roman" w:cs="Times New Roman"/>
                <w:lang w:val="sr-Cyrl-ME"/>
              </w:rPr>
              <w:t xml:space="preserve"> 6.3.</w:t>
            </w:r>
          </w:p>
          <w:p w14:paraId="05493A3A" w14:textId="77777777" w:rsidR="00297F5A" w:rsidRPr="006338E8" w:rsidRDefault="00297F5A" w:rsidP="00297F5A">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tc>
      </w:tr>
      <w:tr w:rsidR="00297F5A" w:rsidRPr="006338E8" w14:paraId="07CF36F6" w14:textId="77777777" w:rsidTr="00F759CB">
        <w:tc>
          <w:tcPr>
            <w:tcW w:w="9639" w:type="dxa"/>
            <w:vAlign w:val="center"/>
          </w:tcPr>
          <w:p w14:paraId="1C125EE5" w14:textId="77777777" w:rsidR="00297F5A" w:rsidRPr="006338E8" w:rsidRDefault="00297F5A" w:rsidP="00297F5A">
            <w:pPr>
              <w:tabs>
                <w:tab w:val="left" w:pos="284"/>
              </w:tabs>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b/>
                <w:bCs/>
                <w:lang w:val="sr-Cyrl-ME"/>
              </w:rPr>
              <w:t>6.5. Врста и садржај паковања</w:t>
            </w:r>
          </w:p>
        </w:tc>
      </w:tr>
      <w:tr w:rsidR="00297F5A" w:rsidRPr="006338E8" w14:paraId="3AA439D3" w14:textId="77777777" w:rsidTr="00F759CB">
        <w:trPr>
          <w:trHeight w:val="671"/>
        </w:trPr>
        <w:tc>
          <w:tcPr>
            <w:tcW w:w="9639" w:type="dxa"/>
            <w:vAlign w:val="center"/>
          </w:tcPr>
          <w:p w14:paraId="337C1E96"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3BAE2234"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Орална суспензија је пакована у тамнобраон стаклену боцу од 125 ml затворену са PP затварачем са PP дозером.</w:t>
            </w:r>
          </w:p>
          <w:p w14:paraId="22630A32" w14:textId="77777777" w:rsidR="00583EE1" w:rsidRPr="006338E8" w:rsidRDefault="00583EE1" w:rsidP="00297F5A">
            <w:pPr>
              <w:tabs>
                <w:tab w:val="left" w:pos="284"/>
              </w:tabs>
              <w:spacing w:after="0" w:line="240" w:lineRule="auto"/>
              <w:jc w:val="both"/>
              <w:rPr>
                <w:rFonts w:ascii="Times New Roman" w:eastAsia="Times New Roman" w:hAnsi="Times New Roman" w:cs="Times New Roman"/>
                <w:lang w:val="sr-Cyrl-ME"/>
              </w:rPr>
            </w:pPr>
          </w:p>
          <w:p w14:paraId="4C8AE9D1" w14:textId="6B8EE52A"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Кутија садржи 1 боцу са 90 ml суспензије, градуисану PP мјерицу за дозирање и </w:t>
            </w:r>
            <w:r w:rsidR="00796912" w:rsidRPr="006338E8">
              <w:rPr>
                <w:rFonts w:ascii="Times New Roman" w:eastAsia="Times New Roman" w:hAnsi="Times New Roman" w:cs="Times New Roman"/>
                <w:lang w:val="sr-Cyrl-ME"/>
              </w:rPr>
              <w:t>У</w:t>
            </w:r>
            <w:r w:rsidRPr="006338E8">
              <w:rPr>
                <w:rFonts w:ascii="Times New Roman" w:eastAsia="Times New Roman" w:hAnsi="Times New Roman" w:cs="Times New Roman"/>
                <w:lang w:val="sr-Cyrl-ME"/>
              </w:rPr>
              <w:t xml:space="preserve">путство за </w:t>
            </w:r>
            <w:r w:rsidR="00796912" w:rsidRPr="006338E8">
              <w:rPr>
                <w:rFonts w:ascii="Times New Roman" w:eastAsia="Times New Roman" w:hAnsi="Times New Roman" w:cs="Times New Roman"/>
                <w:lang w:val="sr-Cyrl-ME"/>
              </w:rPr>
              <w:t>лијек</w:t>
            </w:r>
            <w:r w:rsidRPr="006338E8">
              <w:rPr>
                <w:rFonts w:ascii="Times New Roman" w:eastAsia="Times New Roman" w:hAnsi="Times New Roman" w:cs="Times New Roman"/>
                <w:lang w:val="sr-Cyrl-ME"/>
              </w:rPr>
              <w:t>.</w:t>
            </w:r>
          </w:p>
          <w:p w14:paraId="09DB3C48" w14:textId="3A72531E" w:rsidR="002F5EEF" w:rsidRPr="006338E8" w:rsidRDefault="002F5EEF" w:rsidP="00297F5A">
            <w:pPr>
              <w:tabs>
                <w:tab w:val="left" w:pos="284"/>
              </w:tabs>
              <w:spacing w:after="0" w:line="240" w:lineRule="auto"/>
              <w:jc w:val="both"/>
              <w:rPr>
                <w:rFonts w:ascii="Times New Roman" w:eastAsia="Times New Roman" w:hAnsi="Times New Roman" w:cs="Times New Roman"/>
                <w:lang w:val="sr-Cyrl-ME"/>
              </w:rPr>
            </w:pPr>
          </w:p>
        </w:tc>
      </w:tr>
      <w:tr w:rsidR="00297F5A" w:rsidRPr="006338E8" w14:paraId="6103B023" w14:textId="77777777" w:rsidTr="00F759CB">
        <w:tc>
          <w:tcPr>
            <w:tcW w:w="9639" w:type="dxa"/>
            <w:vAlign w:val="center"/>
          </w:tcPr>
          <w:p w14:paraId="494B18D0" w14:textId="77777777" w:rsidR="00297F5A" w:rsidRPr="006338E8" w:rsidRDefault="00297F5A" w:rsidP="00583EE1">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6.6. Посебне мјере опреза при одлагању материјала који треба одбацити након примјене лијека</w:t>
            </w:r>
            <w:r w:rsidR="00796912" w:rsidRPr="006338E8">
              <w:rPr>
                <w:rFonts w:ascii="Times New Roman" w:eastAsia="Times New Roman" w:hAnsi="Times New Roman" w:cs="Times New Roman"/>
                <w:b/>
                <w:bCs/>
                <w:lang w:val="sr-Cyrl-ME"/>
              </w:rPr>
              <w:t xml:space="preserve"> (и друга упутства за руковање лијека)</w:t>
            </w:r>
            <w:r w:rsidRPr="006338E8">
              <w:rPr>
                <w:rFonts w:ascii="Times New Roman" w:eastAsia="Times New Roman" w:hAnsi="Times New Roman" w:cs="Times New Roman"/>
                <w:b/>
                <w:bCs/>
                <w:lang w:val="sr-Cyrl-ME"/>
              </w:rPr>
              <w:t xml:space="preserve"> </w:t>
            </w:r>
          </w:p>
        </w:tc>
      </w:tr>
      <w:tr w:rsidR="00B87144" w:rsidRPr="006338E8" w14:paraId="74CC533E" w14:textId="77777777" w:rsidTr="00B87144">
        <w:trPr>
          <w:trHeight w:val="80"/>
        </w:trPr>
        <w:tc>
          <w:tcPr>
            <w:tcW w:w="9639" w:type="dxa"/>
            <w:vAlign w:val="center"/>
          </w:tcPr>
          <w:p w14:paraId="2256BE39" w14:textId="77777777" w:rsidR="00B87144" w:rsidRPr="006338E8" w:rsidRDefault="00B87144" w:rsidP="00583EE1">
            <w:pPr>
              <w:tabs>
                <w:tab w:val="left" w:pos="284"/>
              </w:tabs>
              <w:spacing w:after="0" w:line="240" w:lineRule="auto"/>
              <w:jc w:val="both"/>
              <w:rPr>
                <w:rFonts w:ascii="Times New Roman" w:eastAsia="Times New Roman" w:hAnsi="Times New Roman" w:cs="Times New Roman"/>
                <w:b/>
                <w:bCs/>
                <w:lang w:val="sr-Cyrl-ME"/>
              </w:rPr>
            </w:pPr>
          </w:p>
        </w:tc>
      </w:tr>
      <w:tr w:rsidR="00B87144" w:rsidRPr="006338E8" w14:paraId="16C5AA8B" w14:textId="77777777" w:rsidTr="00F759CB">
        <w:tc>
          <w:tcPr>
            <w:tcW w:w="9639" w:type="dxa"/>
            <w:vAlign w:val="center"/>
          </w:tcPr>
          <w:p w14:paraId="7EBC0DF6" w14:textId="77777777" w:rsidR="002F5EEF" w:rsidRPr="006338E8" w:rsidRDefault="002F5EEF" w:rsidP="002F5EEF">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Нема посебних захтјева.</w:t>
            </w:r>
          </w:p>
          <w:p w14:paraId="454C2F76" w14:textId="6D9C35EC" w:rsidR="00B87144" w:rsidRPr="006338E8" w:rsidRDefault="002F5EEF" w:rsidP="002F5EEF">
            <w:pPr>
              <w:tabs>
                <w:tab w:val="left" w:pos="284"/>
              </w:tabs>
              <w:spacing w:after="0" w:line="240" w:lineRule="auto"/>
              <w:jc w:val="both"/>
              <w:rPr>
                <w:rFonts w:ascii="Times New Roman" w:eastAsia="Times New Roman" w:hAnsi="Times New Roman" w:cs="Times New Roman"/>
                <w:b/>
                <w:bCs/>
                <w:lang w:val="sr-Cyrl-ME"/>
              </w:rPr>
            </w:pPr>
            <w:r w:rsidRPr="006338E8">
              <w:rPr>
                <w:rFonts w:ascii="Times New Roman" w:eastAsia="Times New Roman" w:hAnsi="Times New Roman" w:cs="Times New Roman"/>
                <w:lang w:val="sr-Cyrl-ME"/>
              </w:rPr>
              <w:t>Сву неискоришћену количину лијека или отпадног материјала након његове употребе треба уклонити у складу са важећим прописима.</w:t>
            </w:r>
          </w:p>
        </w:tc>
      </w:tr>
      <w:tr w:rsidR="002F5EEF" w:rsidRPr="006338E8" w14:paraId="01AD849D" w14:textId="77777777" w:rsidTr="00092C16">
        <w:trPr>
          <w:trHeight w:val="356"/>
        </w:trPr>
        <w:tc>
          <w:tcPr>
            <w:tcW w:w="9639" w:type="dxa"/>
            <w:shd w:val="clear" w:color="auto" w:fill="auto"/>
            <w:vAlign w:val="center"/>
          </w:tcPr>
          <w:p w14:paraId="634DCA90" w14:textId="77777777" w:rsidR="006338E8" w:rsidRDefault="006338E8" w:rsidP="00297F5A">
            <w:pPr>
              <w:tabs>
                <w:tab w:val="left" w:pos="284"/>
              </w:tabs>
              <w:spacing w:after="0" w:line="240" w:lineRule="auto"/>
              <w:rPr>
                <w:rFonts w:ascii="Times New Roman" w:eastAsia="Times New Roman" w:hAnsi="Times New Roman" w:cs="Times New Roman"/>
                <w:b/>
                <w:bCs/>
                <w:lang w:val="sr-Cyrl-ME"/>
              </w:rPr>
            </w:pPr>
          </w:p>
          <w:p w14:paraId="503E50C5" w14:textId="02D5E8BA" w:rsidR="006338E8" w:rsidRPr="006338E8" w:rsidRDefault="006338E8" w:rsidP="00297F5A">
            <w:pPr>
              <w:tabs>
                <w:tab w:val="left" w:pos="284"/>
              </w:tabs>
              <w:spacing w:after="0" w:line="240" w:lineRule="auto"/>
              <w:rPr>
                <w:rFonts w:ascii="Times New Roman" w:eastAsia="Times New Roman" w:hAnsi="Times New Roman" w:cs="Times New Roman"/>
                <w:b/>
                <w:bCs/>
                <w:lang w:val="sr-Cyrl-ME"/>
              </w:rPr>
            </w:pPr>
          </w:p>
        </w:tc>
      </w:tr>
      <w:tr w:rsidR="00297F5A" w:rsidRPr="006338E8" w14:paraId="5FFBCA89" w14:textId="77777777" w:rsidTr="00092C16">
        <w:trPr>
          <w:trHeight w:val="356"/>
        </w:trPr>
        <w:tc>
          <w:tcPr>
            <w:tcW w:w="9639" w:type="dxa"/>
            <w:shd w:val="clear" w:color="auto" w:fill="auto"/>
            <w:vAlign w:val="center"/>
          </w:tcPr>
          <w:p w14:paraId="1045C74F" w14:textId="77777777"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 xml:space="preserve">7. НОСИЛАЦ ДОЗВОЛЕ </w:t>
            </w:r>
          </w:p>
        </w:tc>
      </w:tr>
      <w:tr w:rsidR="00297F5A" w:rsidRPr="006338E8" w14:paraId="7F80B393" w14:textId="77777777" w:rsidTr="00B87144">
        <w:trPr>
          <w:trHeight w:val="896"/>
        </w:trPr>
        <w:tc>
          <w:tcPr>
            <w:tcW w:w="9639" w:type="dxa"/>
            <w:vAlign w:val="center"/>
          </w:tcPr>
          <w:p w14:paraId="5995C362"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617569BB"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АЛКАЛОИД д.о.о. Подгорица</w:t>
            </w:r>
          </w:p>
          <w:p w14:paraId="706610AF" w14:textId="74A6F828" w:rsidR="00297F5A" w:rsidRPr="006338E8" w:rsidRDefault="00297F5A" w:rsidP="00297F5A">
            <w:pPr>
              <w:tabs>
                <w:tab w:val="left" w:pos="720"/>
              </w:tabs>
              <w:spacing w:after="0" w:line="240" w:lineRule="auto"/>
              <w:jc w:val="both"/>
              <w:rPr>
                <w:rFonts w:ascii="Times New Roman" w:eastAsia="Times New Roman" w:hAnsi="Times New Roman" w:cs="Times New Roman"/>
                <w:bCs/>
                <w:lang w:val="sr-Cyrl-ME"/>
              </w:rPr>
            </w:pPr>
            <w:r w:rsidRPr="006338E8">
              <w:rPr>
                <w:rFonts w:ascii="Times New Roman" w:eastAsia="Times New Roman" w:hAnsi="Times New Roman" w:cs="Times New Roman"/>
                <w:bCs/>
                <w:lang w:val="sr-Cyrl-ME"/>
              </w:rPr>
              <w:t>Ул. Светлане Кане Радевић 3/V</w:t>
            </w:r>
            <w:r w:rsidR="00796912" w:rsidRPr="006338E8">
              <w:rPr>
                <w:rFonts w:ascii="Times New Roman" w:eastAsia="Times New Roman" w:hAnsi="Times New Roman" w:cs="Times New Roman"/>
                <w:bCs/>
                <w:lang w:val="sr-Cyrl-ME"/>
              </w:rPr>
              <w:t>,</w:t>
            </w:r>
          </w:p>
          <w:p w14:paraId="169AFD0B" w14:textId="77777777" w:rsidR="00297F5A" w:rsidRPr="006338E8" w:rsidRDefault="00297F5A" w:rsidP="00297F5A">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6338E8">
              <w:rPr>
                <w:rFonts w:ascii="Times New Roman" w:eastAsia="Times New Roman" w:hAnsi="Times New Roman" w:cs="Times New Roman"/>
                <w:lang w:val="sr-Cyrl-ME"/>
              </w:rPr>
              <w:t>81000 Подгорица, Црна Гора</w:t>
            </w:r>
          </w:p>
          <w:p w14:paraId="548387C1" w14:textId="77777777" w:rsidR="00297F5A" w:rsidRPr="006338E8" w:rsidRDefault="00297F5A" w:rsidP="00297F5A">
            <w:pPr>
              <w:tabs>
                <w:tab w:val="left" w:pos="284"/>
              </w:tabs>
              <w:spacing w:after="0" w:line="240" w:lineRule="auto"/>
              <w:jc w:val="both"/>
              <w:rPr>
                <w:rFonts w:ascii="Times New Roman" w:eastAsia="Times New Roman" w:hAnsi="Times New Roman" w:cs="Times New Roman"/>
                <w:lang w:val="sr-Cyrl-ME"/>
              </w:rPr>
            </w:pPr>
          </w:p>
          <w:p w14:paraId="52EA3F06" w14:textId="3906CA16" w:rsidR="00B87144" w:rsidRPr="006338E8" w:rsidRDefault="00B87144" w:rsidP="00297F5A">
            <w:pPr>
              <w:tabs>
                <w:tab w:val="left" w:pos="284"/>
              </w:tabs>
              <w:spacing w:after="0" w:line="240" w:lineRule="auto"/>
              <w:jc w:val="both"/>
              <w:rPr>
                <w:rFonts w:ascii="Times New Roman" w:eastAsia="Times New Roman" w:hAnsi="Times New Roman" w:cs="Times New Roman"/>
                <w:lang w:val="sr-Cyrl-ME"/>
              </w:rPr>
            </w:pPr>
          </w:p>
        </w:tc>
      </w:tr>
      <w:tr w:rsidR="00297F5A" w:rsidRPr="006338E8" w14:paraId="56B3A6B6" w14:textId="77777777" w:rsidTr="00092C16">
        <w:tc>
          <w:tcPr>
            <w:tcW w:w="9639" w:type="dxa"/>
            <w:shd w:val="clear" w:color="auto" w:fill="auto"/>
            <w:vAlign w:val="center"/>
          </w:tcPr>
          <w:p w14:paraId="07760BE9" w14:textId="1BE47F5A"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 xml:space="preserve">8. БРОЈ ДОЗВОЛЕ </w:t>
            </w:r>
            <w:r w:rsidR="00796912" w:rsidRPr="006338E8">
              <w:rPr>
                <w:rFonts w:ascii="Times New Roman" w:eastAsia="Times New Roman" w:hAnsi="Times New Roman" w:cs="Times New Roman"/>
                <w:b/>
                <w:bCs/>
                <w:lang w:val="sr-Cyrl-ME"/>
              </w:rPr>
              <w:t>ЗА СТАВЉАЊЕ ЛИЈЕКА У ПРОМЕТ</w:t>
            </w:r>
          </w:p>
        </w:tc>
      </w:tr>
      <w:tr w:rsidR="00297F5A" w:rsidRPr="006338E8" w14:paraId="7C30BF37" w14:textId="77777777" w:rsidTr="00B87144">
        <w:trPr>
          <w:trHeight w:val="850"/>
        </w:trPr>
        <w:tc>
          <w:tcPr>
            <w:tcW w:w="9639" w:type="dxa"/>
            <w:vAlign w:val="center"/>
          </w:tcPr>
          <w:p w14:paraId="450F6F61" w14:textId="5A48D9B2" w:rsidR="00297F5A" w:rsidRPr="006338E8" w:rsidRDefault="006338E8" w:rsidP="00B87144">
            <w:pPr>
              <w:tabs>
                <w:tab w:val="left" w:pos="284"/>
              </w:tabs>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lang w:val="sr-Cyrl-ME"/>
              </w:rPr>
              <w:t>2030/24/3647 - 1434</w:t>
            </w:r>
          </w:p>
        </w:tc>
      </w:tr>
      <w:tr w:rsidR="00297F5A" w:rsidRPr="006338E8" w14:paraId="18FABD3E" w14:textId="77777777" w:rsidTr="00092C16">
        <w:tc>
          <w:tcPr>
            <w:tcW w:w="9639" w:type="dxa"/>
            <w:shd w:val="clear" w:color="auto" w:fill="auto"/>
            <w:vAlign w:val="center"/>
          </w:tcPr>
          <w:p w14:paraId="7744732A" w14:textId="77777777" w:rsidR="002F5EEF" w:rsidRPr="006338E8" w:rsidRDefault="002F5EEF" w:rsidP="00297F5A">
            <w:pPr>
              <w:tabs>
                <w:tab w:val="left" w:pos="284"/>
              </w:tabs>
              <w:spacing w:after="0" w:line="240" w:lineRule="auto"/>
              <w:rPr>
                <w:rFonts w:ascii="Times New Roman" w:eastAsia="Times New Roman" w:hAnsi="Times New Roman" w:cs="Times New Roman"/>
                <w:b/>
                <w:bCs/>
                <w:lang w:val="sr-Cyrl-ME"/>
              </w:rPr>
            </w:pPr>
          </w:p>
          <w:p w14:paraId="75249F28" w14:textId="00206EBA"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9. ДАТУМ ПРВЕ ДОЗВОЛЕ/ОБНОВЕ ДОЗВОЛЕ</w:t>
            </w:r>
            <w:r w:rsidR="00796912" w:rsidRPr="006338E8">
              <w:rPr>
                <w:rFonts w:ascii="Times New Roman" w:eastAsia="Times New Roman" w:hAnsi="Times New Roman" w:cs="Times New Roman"/>
                <w:b/>
                <w:bCs/>
                <w:lang w:val="sr-Cyrl-ME"/>
              </w:rPr>
              <w:t xml:space="preserve"> ЗА СТАВЉАЊЕ ЛИЈЕКА У ПРОМЕТ</w:t>
            </w:r>
          </w:p>
        </w:tc>
      </w:tr>
      <w:tr w:rsidR="00297F5A" w:rsidRPr="006338E8" w14:paraId="1418F353" w14:textId="77777777" w:rsidTr="00FA1EAC">
        <w:trPr>
          <w:trHeight w:val="680"/>
        </w:trPr>
        <w:tc>
          <w:tcPr>
            <w:tcW w:w="9639" w:type="dxa"/>
            <w:vAlign w:val="center"/>
          </w:tcPr>
          <w:p w14:paraId="663AA2CD" w14:textId="77777777" w:rsidR="00583EE1" w:rsidRPr="006338E8" w:rsidRDefault="00583EE1" w:rsidP="00583EE1">
            <w:pPr>
              <w:tabs>
                <w:tab w:val="left" w:pos="284"/>
              </w:tabs>
              <w:spacing w:after="0" w:line="240" w:lineRule="auto"/>
              <w:rPr>
                <w:rFonts w:ascii="Times New Roman" w:eastAsia="Times New Roman" w:hAnsi="Times New Roman" w:cs="Times New Roman"/>
                <w:bCs/>
                <w:lang w:val="sr-Cyrl-ME"/>
              </w:rPr>
            </w:pPr>
          </w:p>
          <w:p w14:paraId="728483E9" w14:textId="159F37F7" w:rsidR="00583EE1" w:rsidRPr="006338E8" w:rsidRDefault="002F5EEF" w:rsidP="00583EE1">
            <w:pPr>
              <w:tabs>
                <w:tab w:val="left" w:pos="284"/>
              </w:tabs>
              <w:spacing w:after="0" w:line="240" w:lineRule="auto"/>
              <w:rPr>
                <w:rFonts w:ascii="Times New Roman" w:eastAsia="Times New Roman" w:hAnsi="Times New Roman" w:cs="Times New Roman"/>
                <w:lang w:val="sr-Cyrl-ME"/>
              </w:rPr>
            </w:pPr>
            <w:r w:rsidRPr="006338E8">
              <w:rPr>
                <w:rFonts w:ascii="Times New Roman" w:eastAsia="Times New Roman" w:hAnsi="Times New Roman" w:cs="Times New Roman"/>
                <w:lang w:val="sr-Cyrl-ME"/>
              </w:rPr>
              <w:t xml:space="preserve">Датум прве дозволе: </w:t>
            </w:r>
            <w:r w:rsidR="00460F16" w:rsidRPr="006338E8">
              <w:rPr>
                <w:rFonts w:ascii="Times New Roman" w:eastAsia="Times New Roman" w:hAnsi="Times New Roman" w:cs="Times New Roman"/>
                <w:lang w:val="sr-Cyrl-ME"/>
              </w:rPr>
              <w:t>06.12.2017. године</w:t>
            </w:r>
          </w:p>
          <w:p w14:paraId="23F8C4CB" w14:textId="32A6BAE1" w:rsidR="00583EE1" w:rsidRPr="006338E8" w:rsidRDefault="002F5EEF" w:rsidP="00583EE1">
            <w:pPr>
              <w:tabs>
                <w:tab w:val="left" w:pos="284"/>
              </w:tabs>
              <w:spacing w:after="0" w:line="240" w:lineRule="auto"/>
              <w:rPr>
                <w:rFonts w:eastAsia="Times New Roman" w:cs="Times New Roman"/>
                <w:lang w:val="sr-Cyrl-ME"/>
              </w:rPr>
            </w:pPr>
            <w:r w:rsidRPr="006338E8">
              <w:rPr>
                <w:rFonts w:ascii="Times New Roman" w:eastAsia="Times New Roman" w:hAnsi="Times New Roman" w:cs="Times New Roman"/>
                <w:lang w:val="sr-Cyrl-ME"/>
              </w:rPr>
              <w:t>Датум последње обнове дозвволе:</w:t>
            </w:r>
            <w:r w:rsidR="006338E8">
              <w:rPr>
                <w:rFonts w:ascii="Times New Roman" w:eastAsia="Times New Roman" w:hAnsi="Times New Roman" w:cs="Times New Roman"/>
                <w:lang w:val="sr-Latn-ME"/>
              </w:rPr>
              <w:t xml:space="preserve"> </w:t>
            </w:r>
            <w:r w:rsidR="006338E8" w:rsidRPr="00FA1EAC">
              <w:rPr>
                <w:rFonts w:ascii="Times New Roman" w:hAnsi="Times New Roman" w:cs="Times New Roman"/>
              </w:rPr>
              <w:t xml:space="preserve">08.07.2024. </w:t>
            </w:r>
            <w:proofErr w:type="spellStart"/>
            <w:r w:rsidR="006338E8" w:rsidRPr="00FA1EAC">
              <w:rPr>
                <w:rFonts w:ascii="Times New Roman" w:hAnsi="Times New Roman" w:cs="Times New Roman"/>
              </w:rPr>
              <w:t>године</w:t>
            </w:r>
            <w:proofErr w:type="spellEnd"/>
          </w:p>
          <w:p w14:paraId="739EFFBD" w14:textId="77777777" w:rsidR="00B87144" w:rsidRPr="006338E8" w:rsidRDefault="00B87144" w:rsidP="00583EE1">
            <w:pPr>
              <w:tabs>
                <w:tab w:val="left" w:pos="284"/>
              </w:tabs>
              <w:spacing w:after="0" w:line="240" w:lineRule="auto"/>
              <w:rPr>
                <w:rFonts w:ascii="Times New Roman" w:eastAsia="Times New Roman" w:hAnsi="Times New Roman" w:cs="Times New Roman"/>
                <w:lang w:val="sr-Cyrl-ME"/>
              </w:rPr>
            </w:pPr>
            <w:bookmarkStart w:id="0" w:name="_GoBack"/>
            <w:bookmarkEnd w:id="0"/>
          </w:p>
          <w:p w14:paraId="60C581FF" w14:textId="3CED388B" w:rsidR="002F5EEF" w:rsidRPr="006338E8" w:rsidRDefault="002F5EEF" w:rsidP="00583EE1">
            <w:pPr>
              <w:tabs>
                <w:tab w:val="left" w:pos="284"/>
              </w:tabs>
              <w:spacing w:after="0" w:line="240" w:lineRule="auto"/>
              <w:rPr>
                <w:rFonts w:ascii="Times New Roman" w:eastAsia="Times New Roman" w:hAnsi="Times New Roman" w:cs="Times New Roman"/>
                <w:lang w:val="sr-Cyrl-ME"/>
              </w:rPr>
            </w:pPr>
          </w:p>
        </w:tc>
      </w:tr>
      <w:tr w:rsidR="00297F5A" w:rsidRPr="006338E8" w14:paraId="2E345723" w14:textId="77777777" w:rsidTr="00092C16">
        <w:tc>
          <w:tcPr>
            <w:tcW w:w="9639" w:type="dxa"/>
            <w:shd w:val="clear" w:color="auto" w:fill="auto"/>
            <w:vAlign w:val="center"/>
          </w:tcPr>
          <w:p w14:paraId="1C3B68E8" w14:textId="29724648" w:rsidR="00297F5A" w:rsidRPr="006338E8" w:rsidRDefault="00297F5A" w:rsidP="00297F5A">
            <w:pPr>
              <w:tabs>
                <w:tab w:val="left" w:pos="284"/>
              </w:tabs>
              <w:spacing w:after="0" w:line="240" w:lineRule="auto"/>
              <w:rPr>
                <w:rFonts w:ascii="Times New Roman" w:eastAsia="Times New Roman" w:hAnsi="Times New Roman" w:cs="Times New Roman"/>
                <w:b/>
                <w:bCs/>
                <w:lang w:val="sr-Cyrl-ME"/>
              </w:rPr>
            </w:pPr>
            <w:r w:rsidRPr="006338E8">
              <w:rPr>
                <w:rFonts w:ascii="Times New Roman" w:eastAsia="Times New Roman" w:hAnsi="Times New Roman" w:cs="Times New Roman"/>
                <w:b/>
                <w:bCs/>
                <w:lang w:val="sr-Cyrl-ME"/>
              </w:rPr>
              <w:t>10. ДАТУМ РЕВИЗИЈЕ ТЕКСТА</w:t>
            </w:r>
          </w:p>
        </w:tc>
      </w:tr>
      <w:tr w:rsidR="00297F5A" w:rsidRPr="006338E8" w14:paraId="717BE414" w14:textId="77777777" w:rsidTr="00F759CB">
        <w:trPr>
          <w:trHeight w:val="824"/>
        </w:trPr>
        <w:tc>
          <w:tcPr>
            <w:tcW w:w="9639" w:type="dxa"/>
            <w:vAlign w:val="center"/>
          </w:tcPr>
          <w:p w14:paraId="28FF9ECD" w14:textId="3292E6E6" w:rsidR="00297F5A" w:rsidRPr="006338E8" w:rsidRDefault="006338E8" w:rsidP="00B87144">
            <w:pPr>
              <w:spacing w:after="0" w:line="240" w:lineRule="auto"/>
              <w:rPr>
                <w:rFonts w:ascii="Times New Roman" w:eastAsia="Times New Roman" w:hAnsi="Times New Roman" w:cs="Times New Roman"/>
                <w:lang w:val="sr-Cyrl-ME" w:eastAsia="en-GB"/>
              </w:rPr>
            </w:pPr>
            <w:r>
              <w:rPr>
                <w:rFonts w:ascii="Times New Roman" w:eastAsia="Times New Roman" w:hAnsi="Times New Roman" w:cs="Times New Roman"/>
                <w:lang w:val="sr-Cyrl-ME" w:eastAsia="en-GB"/>
              </w:rPr>
              <w:t>Јул, 2024. године</w:t>
            </w:r>
          </w:p>
        </w:tc>
      </w:tr>
    </w:tbl>
    <w:p w14:paraId="532BA6EC" w14:textId="42B15013" w:rsidR="00FA1EAC" w:rsidRPr="006338E8" w:rsidRDefault="00FA1EAC" w:rsidP="00FA1EAC">
      <w:pPr>
        <w:tabs>
          <w:tab w:val="left" w:pos="2751"/>
        </w:tabs>
        <w:spacing w:line="240" w:lineRule="auto"/>
        <w:rPr>
          <w:rFonts w:ascii="Times New Roman" w:hAnsi="Times New Roman" w:cs="Times New Roman"/>
          <w:lang w:val="sr-Cyrl-ME"/>
        </w:rPr>
      </w:pPr>
    </w:p>
    <w:sectPr w:rsidR="00FA1EAC" w:rsidRPr="006338E8" w:rsidSect="000853D8">
      <w:footerReference w:type="default" r:id="rId15"/>
      <w:headerReference w:type="first" r:id="rId16"/>
      <w:footerReference w:type="first" r:id="rId17"/>
      <w:pgSz w:w="11907" w:h="16840" w:code="9"/>
      <w:pgMar w:top="1418" w:right="1140" w:bottom="1701"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947E" w14:textId="77777777" w:rsidR="008908D6" w:rsidRDefault="008908D6" w:rsidP="00FF2B5A">
      <w:pPr>
        <w:spacing w:after="0" w:line="240" w:lineRule="auto"/>
      </w:pPr>
      <w:r>
        <w:separator/>
      </w:r>
    </w:p>
  </w:endnote>
  <w:endnote w:type="continuationSeparator" w:id="0">
    <w:p w14:paraId="47BA969B" w14:textId="77777777" w:rsidR="008908D6" w:rsidRDefault="008908D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76553"/>
      <w:docPartObj>
        <w:docPartGallery w:val="Page Numbers (Bottom of Page)"/>
        <w:docPartUnique/>
      </w:docPartObj>
    </w:sdtPr>
    <w:sdtEndPr>
      <w:rPr>
        <w:rFonts w:ascii="Times New Roman" w:hAnsi="Times New Roman" w:cs="Times New Roman"/>
        <w:noProof/>
      </w:rPr>
    </w:sdtEndPr>
    <w:sdtContent>
      <w:p w14:paraId="35C966BD" w14:textId="68126D18" w:rsidR="00092C16" w:rsidRPr="00092C16" w:rsidRDefault="00092C16">
        <w:pPr>
          <w:pStyle w:val="Footer"/>
          <w:jc w:val="center"/>
          <w:rPr>
            <w:rFonts w:ascii="Times New Roman" w:hAnsi="Times New Roman" w:cs="Times New Roman"/>
          </w:rPr>
        </w:pPr>
        <w:r w:rsidRPr="00092C16">
          <w:rPr>
            <w:rFonts w:ascii="Times New Roman" w:hAnsi="Times New Roman" w:cs="Times New Roman"/>
          </w:rPr>
          <w:fldChar w:fldCharType="begin"/>
        </w:r>
        <w:r w:rsidRPr="00092C16">
          <w:rPr>
            <w:rFonts w:ascii="Times New Roman" w:hAnsi="Times New Roman" w:cs="Times New Roman"/>
          </w:rPr>
          <w:instrText xml:space="preserve"> PAGE   \* MERGEFORMAT </w:instrText>
        </w:r>
        <w:r w:rsidRPr="00092C16">
          <w:rPr>
            <w:rFonts w:ascii="Times New Roman" w:hAnsi="Times New Roman" w:cs="Times New Roman"/>
          </w:rPr>
          <w:fldChar w:fldCharType="separate"/>
        </w:r>
        <w:r w:rsidR="00FA1EAC">
          <w:rPr>
            <w:rFonts w:ascii="Times New Roman" w:hAnsi="Times New Roman" w:cs="Times New Roman"/>
            <w:noProof/>
          </w:rPr>
          <w:t>6</w:t>
        </w:r>
        <w:r w:rsidRPr="00092C16">
          <w:rPr>
            <w:rFonts w:ascii="Times New Roman" w:hAnsi="Times New Roman" w:cs="Times New Roman"/>
            <w:noProof/>
          </w:rPr>
          <w:fldChar w:fldCharType="end"/>
        </w:r>
        <w:r w:rsidR="00F44616">
          <w:rPr>
            <w:rFonts w:ascii="Times New Roman" w:hAnsi="Times New Roman" w:cs="Times New Roman"/>
            <w:noProof/>
          </w:rPr>
          <w:t xml:space="preserve"> / </w:t>
        </w:r>
        <w:r w:rsidR="00FA1EAC">
          <w:rPr>
            <w:rFonts w:ascii="Times New Roman" w:hAnsi="Times New Roman" w:cs="Times New Roman"/>
            <w:noProof/>
          </w:rPr>
          <w:t>6</w:t>
        </w:r>
      </w:p>
    </w:sdtContent>
  </w:sdt>
  <w:p w14:paraId="326F6051"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9C74"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1FBCFDA"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461C380"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595CF2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F38FA37"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17E3CAF4" w14:textId="3DA5DA5C"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918C3">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633F" w14:textId="77777777" w:rsidR="008908D6" w:rsidRDefault="008908D6" w:rsidP="00FF2B5A">
      <w:pPr>
        <w:spacing w:after="0" w:line="240" w:lineRule="auto"/>
      </w:pPr>
      <w:r>
        <w:separator/>
      </w:r>
    </w:p>
  </w:footnote>
  <w:footnote w:type="continuationSeparator" w:id="0">
    <w:p w14:paraId="1D3FF834" w14:textId="77777777" w:rsidR="008908D6" w:rsidRDefault="008908D6"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38FB8" w14:textId="77777777" w:rsidR="009318B4" w:rsidRDefault="009318B4" w:rsidP="009318B4">
    <w:pPr>
      <w:pStyle w:val="Header"/>
      <w:rPr>
        <w:sz w:val="16"/>
        <w:szCs w:val="16"/>
      </w:rPr>
    </w:pPr>
  </w:p>
  <w:p w14:paraId="6D0D4010"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D91C92A" wp14:editId="7CDF151D">
          <wp:extent cx="1419225" cy="971550"/>
          <wp:effectExtent l="0" t="0" r="9525" b="0"/>
          <wp:docPr id="22" name="Picture 2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305F84D3"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5F19"/>
    <w:multiLevelType w:val="hybridMultilevel"/>
    <w:tmpl w:val="A6AC8862"/>
    <w:lvl w:ilvl="0" w:tplc="B99C3F80">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613750E3"/>
    <w:multiLevelType w:val="hybridMultilevel"/>
    <w:tmpl w:val="63924D7A"/>
    <w:lvl w:ilvl="0" w:tplc="CE0E952C">
      <w:start w:val="200"/>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123A"/>
    <w:rsid w:val="00062AAB"/>
    <w:rsid w:val="00075BDA"/>
    <w:rsid w:val="000853D8"/>
    <w:rsid w:val="00085810"/>
    <w:rsid w:val="000918C3"/>
    <w:rsid w:val="00092C16"/>
    <w:rsid w:val="000B4E5B"/>
    <w:rsid w:val="000F67FB"/>
    <w:rsid w:val="00116FE6"/>
    <w:rsid w:val="00122C4F"/>
    <w:rsid w:val="001D5A11"/>
    <w:rsid w:val="001E5C7D"/>
    <w:rsid w:val="001F3BF4"/>
    <w:rsid w:val="002429E5"/>
    <w:rsid w:val="00253548"/>
    <w:rsid w:val="002679CE"/>
    <w:rsid w:val="002717B6"/>
    <w:rsid w:val="00297F5A"/>
    <w:rsid w:val="002C0357"/>
    <w:rsid w:val="002D1F85"/>
    <w:rsid w:val="002F2AD8"/>
    <w:rsid w:val="002F5EEF"/>
    <w:rsid w:val="00311136"/>
    <w:rsid w:val="0031146A"/>
    <w:rsid w:val="00331706"/>
    <w:rsid w:val="00364A34"/>
    <w:rsid w:val="00381DD3"/>
    <w:rsid w:val="0039549E"/>
    <w:rsid w:val="00410708"/>
    <w:rsid w:val="0041787A"/>
    <w:rsid w:val="00430B5B"/>
    <w:rsid w:val="00455802"/>
    <w:rsid w:val="00460F16"/>
    <w:rsid w:val="00461135"/>
    <w:rsid w:val="0047516F"/>
    <w:rsid w:val="00494A6F"/>
    <w:rsid w:val="004E0EDB"/>
    <w:rsid w:val="0051796B"/>
    <w:rsid w:val="005511DA"/>
    <w:rsid w:val="005515AD"/>
    <w:rsid w:val="005708BF"/>
    <w:rsid w:val="00583EE1"/>
    <w:rsid w:val="005B3C0C"/>
    <w:rsid w:val="006338E8"/>
    <w:rsid w:val="00634086"/>
    <w:rsid w:val="00652F41"/>
    <w:rsid w:val="00671322"/>
    <w:rsid w:val="00682C72"/>
    <w:rsid w:val="00683C2D"/>
    <w:rsid w:val="006B0DB3"/>
    <w:rsid w:val="006C5C6B"/>
    <w:rsid w:val="00747C4B"/>
    <w:rsid w:val="00770DB2"/>
    <w:rsid w:val="00796912"/>
    <w:rsid w:val="007E5B67"/>
    <w:rsid w:val="00805838"/>
    <w:rsid w:val="00864EEF"/>
    <w:rsid w:val="00881B50"/>
    <w:rsid w:val="00883AF2"/>
    <w:rsid w:val="008908D6"/>
    <w:rsid w:val="008A6DAE"/>
    <w:rsid w:val="008B732E"/>
    <w:rsid w:val="008D2EF7"/>
    <w:rsid w:val="009214AE"/>
    <w:rsid w:val="009318B4"/>
    <w:rsid w:val="00934541"/>
    <w:rsid w:val="009667F9"/>
    <w:rsid w:val="00A06058"/>
    <w:rsid w:val="00A14A7D"/>
    <w:rsid w:val="00AE43E7"/>
    <w:rsid w:val="00AF722F"/>
    <w:rsid w:val="00B234CE"/>
    <w:rsid w:val="00B34AF2"/>
    <w:rsid w:val="00B56A1D"/>
    <w:rsid w:val="00B87144"/>
    <w:rsid w:val="00B90930"/>
    <w:rsid w:val="00BB4F10"/>
    <w:rsid w:val="00BF766F"/>
    <w:rsid w:val="00C0228D"/>
    <w:rsid w:val="00C047BF"/>
    <w:rsid w:val="00C158A5"/>
    <w:rsid w:val="00C22141"/>
    <w:rsid w:val="00C3260F"/>
    <w:rsid w:val="00C4240B"/>
    <w:rsid w:val="00CF414D"/>
    <w:rsid w:val="00CF521E"/>
    <w:rsid w:val="00D115C4"/>
    <w:rsid w:val="00D30DB0"/>
    <w:rsid w:val="00D35277"/>
    <w:rsid w:val="00D35D60"/>
    <w:rsid w:val="00D45AFE"/>
    <w:rsid w:val="00DC2F79"/>
    <w:rsid w:val="00DF404C"/>
    <w:rsid w:val="00E0627A"/>
    <w:rsid w:val="00E247C9"/>
    <w:rsid w:val="00E77B95"/>
    <w:rsid w:val="00E939A5"/>
    <w:rsid w:val="00EA6320"/>
    <w:rsid w:val="00EB2A93"/>
    <w:rsid w:val="00EE0B39"/>
    <w:rsid w:val="00EF001F"/>
    <w:rsid w:val="00EF2889"/>
    <w:rsid w:val="00F1527C"/>
    <w:rsid w:val="00F37BFD"/>
    <w:rsid w:val="00F44616"/>
    <w:rsid w:val="00F57AAC"/>
    <w:rsid w:val="00F759CB"/>
    <w:rsid w:val="00F953A8"/>
    <w:rsid w:val="00FA1EAC"/>
    <w:rsid w:val="00FA60AA"/>
    <w:rsid w:val="00FF0A9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700B9"/>
  <w15:docId w15:val="{C391E9BC-358B-4D24-B0B4-FD6E9740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styleId="TableGrid">
    <w:name w:val="Table Grid"/>
    <w:basedOn w:val="TableNormal"/>
    <w:rsid w:val="00297F5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89"/>
    <w:rPr>
      <w:rFonts w:ascii="Tahoma" w:hAnsi="Tahoma" w:cs="Tahoma"/>
      <w:sz w:val="16"/>
      <w:szCs w:val="16"/>
    </w:rPr>
  </w:style>
  <w:style w:type="character" w:styleId="Hyperlink">
    <w:name w:val="Hyperlink"/>
    <w:basedOn w:val="DefaultParagraphFont"/>
    <w:uiPriority w:val="99"/>
    <w:unhideWhenUsed/>
    <w:rsid w:val="006C5C6B"/>
    <w:rPr>
      <w:color w:val="0563C1" w:themeColor="hyperlink"/>
      <w:u w:val="single"/>
    </w:rPr>
  </w:style>
  <w:style w:type="character" w:styleId="CommentReference">
    <w:name w:val="annotation reference"/>
    <w:basedOn w:val="DefaultParagraphFont"/>
    <w:uiPriority w:val="99"/>
    <w:semiHidden/>
    <w:unhideWhenUsed/>
    <w:rsid w:val="00062AAB"/>
    <w:rPr>
      <w:sz w:val="16"/>
      <w:szCs w:val="16"/>
    </w:rPr>
  </w:style>
  <w:style w:type="paragraph" w:styleId="CommentText">
    <w:name w:val="annotation text"/>
    <w:basedOn w:val="Normal"/>
    <w:link w:val="CommentTextChar"/>
    <w:uiPriority w:val="99"/>
    <w:semiHidden/>
    <w:unhideWhenUsed/>
    <w:rsid w:val="00062AAB"/>
    <w:pPr>
      <w:spacing w:line="240" w:lineRule="auto"/>
    </w:pPr>
    <w:rPr>
      <w:sz w:val="20"/>
      <w:szCs w:val="20"/>
    </w:rPr>
  </w:style>
  <w:style w:type="character" w:customStyle="1" w:styleId="CommentTextChar">
    <w:name w:val="Comment Text Char"/>
    <w:basedOn w:val="DefaultParagraphFont"/>
    <w:link w:val="CommentText"/>
    <w:uiPriority w:val="99"/>
    <w:semiHidden/>
    <w:rsid w:val="00062AAB"/>
    <w:rPr>
      <w:sz w:val="20"/>
      <w:szCs w:val="20"/>
    </w:rPr>
  </w:style>
  <w:style w:type="paragraph" w:styleId="CommentSubject">
    <w:name w:val="annotation subject"/>
    <w:basedOn w:val="CommentText"/>
    <w:next w:val="CommentText"/>
    <w:link w:val="CommentSubjectChar"/>
    <w:uiPriority w:val="99"/>
    <w:semiHidden/>
    <w:unhideWhenUsed/>
    <w:rsid w:val="00062AAB"/>
    <w:rPr>
      <w:b/>
      <w:bCs/>
    </w:rPr>
  </w:style>
  <w:style w:type="character" w:customStyle="1" w:styleId="CommentSubjectChar">
    <w:name w:val="Comment Subject Char"/>
    <w:basedOn w:val="CommentTextChar"/>
    <w:link w:val="CommentSubject"/>
    <w:uiPriority w:val="99"/>
    <w:semiHidden/>
    <w:rsid w:val="00062AAB"/>
    <w:rPr>
      <w:b/>
      <w:bCs/>
      <w:sz w:val="20"/>
      <w:szCs w:val="20"/>
    </w:rPr>
  </w:style>
  <w:style w:type="paragraph" w:styleId="NoSpacing">
    <w:name w:val="No Spacing"/>
    <w:uiPriority w:val="1"/>
    <w:qFormat/>
    <w:rsid w:val="00D3527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4086"/>
    <w:pPr>
      <w:ind w:left="720"/>
      <w:contextualSpacing/>
    </w:pPr>
  </w:style>
  <w:style w:type="paragraph" w:styleId="Revision">
    <w:name w:val="Revision"/>
    <w:hidden/>
    <w:uiPriority w:val="99"/>
    <w:semiHidden/>
    <w:rsid w:val="007E5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5" ma:contentTypeDescription="Create a new document." ma:contentTypeScope="" ma:versionID="ed06de89fb70e16c8f325472add5b96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2d948f4f0ef2fc55568c69c746b0b4b3"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DAC2-CC1A-4D7B-B3B6-183428DEBEB9}">
  <ds:schemaRefs>
    <ds:schemaRef ds:uri="http://schemas.microsoft.com/sharepoint/v3/contenttype/forms"/>
  </ds:schemaRefs>
</ds:datastoreItem>
</file>

<file path=customXml/itemProps2.xml><?xml version="1.0" encoding="utf-8"?>
<ds:datastoreItem xmlns:ds="http://schemas.openxmlformats.org/officeDocument/2006/customXml" ds:itemID="{69AE33B1-6E41-4DD2-B606-D8D0CE7AC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1FD10-7CA6-4C59-A7D7-0573BBC66584}">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8F3720E6-6957-4A41-A6C4-3B840CF8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14</cp:revision>
  <cp:lastPrinted>2022-03-01T07:59:00Z</cp:lastPrinted>
  <dcterms:created xsi:type="dcterms:W3CDTF">2024-05-20T06:02:00Z</dcterms:created>
  <dcterms:modified xsi:type="dcterms:W3CDTF">2024-07-09T09:45:00Z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