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bookmarkStart w:id="0" w:name="_GoBack"/>
      <w:bookmarkEnd w:id="0"/>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2510A5" w:rsidRPr="002510A5" w:rsidRDefault="002510A5" w:rsidP="002510A5">
      <w:pPr>
        <w:rPr>
          <w:b/>
          <w:bCs/>
          <w:i/>
          <w:iCs/>
          <w:sz w:val="22"/>
          <w:szCs w:val="22"/>
          <w:u w:val="single"/>
        </w:rPr>
      </w:pPr>
    </w:p>
    <w:p w:rsidR="00C37FD7" w:rsidRPr="00786071" w:rsidRDefault="00C37FD7" w:rsidP="00F5167F">
      <w:pPr>
        <w:tabs>
          <w:tab w:val="left" w:pos="540"/>
          <w:tab w:val="left" w:pos="569"/>
        </w:tabs>
        <w:rPr>
          <w:bCs/>
          <w:sz w:val="22"/>
          <w:szCs w:val="22"/>
        </w:rPr>
      </w:pPr>
    </w:p>
    <w:p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rsidR="00EC2532" w:rsidRPr="00786071" w:rsidRDefault="00EC2532">
      <w:pPr>
        <w:rPr>
          <w:sz w:val="22"/>
          <w:szCs w:val="22"/>
          <w:lang w:val="pl-PL"/>
        </w:rPr>
      </w:pPr>
    </w:p>
    <w:p w:rsidR="005521EA" w:rsidRPr="005521EA" w:rsidRDefault="005521EA" w:rsidP="005521EA">
      <w:pPr>
        <w:rPr>
          <w:bCs/>
          <w:iCs/>
          <w:sz w:val="22"/>
          <w:szCs w:val="22"/>
          <w:lang w:val="sr-Latn-CS"/>
        </w:rPr>
      </w:pPr>
      <w:r w:rsidRPr="005521EA">
        <w:rPr>
          <w:bCs/>
          <w:iCs/>
          <w:sz w:val="22"/>
          <w:szCs w:val="22"/>
          <w:lang w:val="sr-Latn-CS"/>
        </w:rPr>
        <w:t>Gilestra, 245 mg, film tablet</w:t>
      </w:r>
      <w:r w:rsidR="007A5560">
        <w:rPr>
          <w:bCs/>
          <w:iCs/>
          <w:sz w:val="22"/>
          <w:szCs w:val="22"/>
          <w:lang w:val="sr-Latn-CS"/>
        </w:rPr>
        <w:t>a</w:t>
      </w:r>
    </w:p>
    <w:p w:rsidR="000D425A" w:rsidRDefault="000D425A">
      <w:pPr>
        <w:rPr>
          <w:bCs/>
          <w:sz w:val="22"/>
          <w:szCs w:val="22"/>
          <w:lang w:val="sv-SE"/>
        </w:rPr>
      </w:pPr>
    </w:p>
    <w:p w:rsidR="006D20A5" w:rsidRPr="00786071" w:rsidRDefault="006D20A5" w:rsidP="006D20A5">
      <w:pPr>
        <w:rPr>
          <w:sz w:val="22"/>
          <w:szCs w:val="22"/>
          <w:lang w:val="sr-Latn-CS"/>
        </w:rPr>
      </w:pPr>
      <w:r w:rsidRPr="00B66A70">
        <w:rPr>
          <w:sz w:val="22"/>
          <w:szCs w:val="22"/>
          <w:lang w:val="sv-SE"/>
        </w:rPr>
        <w:t>INN:</w:t>
      </w:r>
      <w:r w:rsidR="005521EA">
        <w:rPr>
          <w:sz w:val="22"/>
          <w:szCs w:val="22"/>
          <w:lang w:val="sv-SE"/>
        </w:rPr>
        <w:t xml:space="preserve"> tenofovir dizoproksil</w:t>
      </w:r>
    </w:p>
    <w:p w:rsidR="00530BD7" w:rsidRDefault="00530BD7">
      <w:pPr>
        <w:rPr>
          <w:bCs/>
          <w:sz w:val="22"/>
          <w:szCs w:val="22"/>
          <w:lang w:val="sv-SE"/>
        </w:rPr>
      </w:pPr>
    </w:p>
    <w:p w:rsidR="007A5560" w:rsidRPr="00786071" w:rsidRDefault="007A5560">
      <w:pPr>
        <w:rPr>
          <w:bCs/>
          <w:sz w:val="22"/>
          <w:szCs w:val="22"/>
          <w:lang w:val="sv-SE"/>
        </w:rPr>
      </w:pPr>
    </w:p>
    <w:p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5A0B2E" w:rsidRPr="00786071" w:rsidRDefault="005A0B2E">
      <w:pPr>
        <w:rPr>
          <w:sz w:val="22"/>
          <w:szCs w:val="22"/>
          <w:lang w:val="sr-Latn-CS"/>
        </w:rPr>
      </w:pPr>
    </w:p>
    <w:p w:rsidR="005521EA" w:rsidRPr="005521EA" w:rsidRDefault="005521EA" w:rsidP="005521EA">
      <w:pPr>
        <w:jc w:val="both"/>
        <w:rPr>
          <w:sz w:val="22"/>
          <w:szCs w:val="22"/>
        </w:rPr>
      </w:pPr>
      <w:r w:rsidRPr="005521EA">
        <w:rPr>
          <w:sz w:val="22"/>
          <w:szCs w:val="22"/>
        </w:rPr>
        <w:t>Jedna film tableta sadrži 245 mg tenofovir</w:t>
      </w:r>
      <w:r>
        <w:rPr>
          <w:sz w:val="22"/>
          <w:szCs w:val="22"/>
        </w:rPr>
        <w:t xml:space="preserve"> </w:t>
      </w:r>
      <w:r w:rsidRPr="005521EA">
        <w:rPr>
          <w:sz w:val="22"/>
          <w:szCs w:val="22"/>
        </w:rPr>
        <w:t>dizoproksila (u obliku 300,6 mg tenofovir</w:t>
      </w:r>
      <w:r>
        <w:rPr>
          <w:sz w:val="22"/>
          <w:szCs w:val="22"/>
        </w:rPr>
        <w:t xml:space="preserve"> </w:t>
      </w:r>
      <w:r w:rsidRPr="005521EA">
        <w:rPr>
          <w:sz w:val="22"/>
          <w:szCs w:val="22"/>
        </w:rPr>
        <w:t>dizoproksil</w:t>
      </w:r>
      <w:r>
        <w:rPr>
          <w:sz w:val="22"/>
          <w:szCs w:val="22"/>
        </w:rPr>
        <w:t xml:space="preserve"> </w:t>
      </w:r>
      <w:r w:rsidRPr="005521EA">
        <w:rPr>
          <w:sz w:val="22"/>
          <w:szCs w:val="22"/>
        </w:rPr>
        <w:t>sukcinata).</w:t>
      </w:r>
    </w:p>
    <w:p w:rsidR="005521EA" w:rsidRPr="005521EA" w:rsidRDefault="005521EA" w:rsidP="005521EA">
      <w:pPr>
        <w:jc w:val="both"/>
        <w:rPr>
          <w:sz w:val="22"/>
          <w:szCs w:val="22"/>
        </w:rPr>
      </w:pPr>
    </w:p>
    <w:p w:rsidR="005521EA" w:rsidRPr="005521EA" w:rsidRDefault="005521EA" w:rsidP="005521EA">
      <w:pPr>
        <w:jc w:val="both"/>
        <w:rPr>
          <w:sz w:val="22"/>
          <w:szCs w:val="22"/>
        </w:rPr>
      </w:pPr>
      <w:r w:rsidRPr="005521EA">
        <w:rPr>
          <w:sz w:val="22"/>
          <w:szCs w:val="22"/>
        </w:rPr>
        <w:t xml:space="preserve">Pomoćna supstanca sa potvrđenim dejstvom: jedna film tableta sadrži 105 mg laktoze. </w:t>
      </w:r>
    </w:p>
    <w:p w:rsidR="005521EA" w:rsidRDefault="005521EA">
      <w:pPr>
        <w:rPr>
          <w:sz w:val="22"/>
          <w:szCs w:val="22"/>
          <w:lang w:val="sr-Latn-CS"/>
        </w:rPr>
      </w:pPr>
    </w:p>
    <w:p w:rsidR="0003793F" w:rsidRPr="00786071" w:rsidRDefault="0003793F">
      <w:pPr>
        <w:rPr>
          <w:sz w:val="22"/>
          <w:szCs w:val="22"/>
          <w:lang w:val="sr-Latn-CS"/>
        </w:rPr>
      </w:pPr>
      <w:r w:rsidRPr="00786071">
        <w:rPr>
          <w:sz w:val="22"/>
          <w:szCs w:val="22"/>
          <w:lang w:val="sr-Latn-CS"/>
        </w:rPr>
        <w:t>Za spisak svih ekscipijenasa, pogledati dio 6.1.</w:t>
      </w:r>
    </w:p>
    <w:p w:rsidR="00C37FD7" w:rsidRDefault="00C37FD7">
      <w:pPr>
        <w:rPr>
          <w:sz w:val="22"/>
          <w:szCs w:val="22"/>
          <w:lang w:val="sr-Latn-CS"/>
        </w:rPr>
      </w:pPr>
    </w:p>
    <w:p w:rsidR="007A5560" w:rsidRPr="00786071" w:rsidRDefault="007A5560">
      <w:pPr>
        <w:rPr>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5521EA" w:rsidRDefault="005521EA" w:rsidP="005521EA">
      <w:pPr>
        <w:rPr>
          <w:bCs/>
          <w:sz w:val="22"/>
          <w:szCs w:val="22"/>
        </w:rPr>
      </w:pPr>
    </w:p>
    <w:p w:rsidR="005521EA" w:rsidRDefault="005521EA" w:rsidP="005521EA">
      <w:pPr>
        <w:rPr>
          <w:bCs/>
          <w:sz w:val="22"/>
          <w:szCs w:val="22"/>
        </w:rPr>
      </w:pPr>
      <w:r w:rsidRPr="005521EA">
        <w:rPr>
          <w:bCs/>
          <w:sz w:val="22"/>
          <w:szCs w:val="22"/>
        </w:rPr>
        <w:t>Film tableta.</w:t>
      </w:r>
    </w:p>
    <w:p w:rsidR="007A5560" w:rsidRPr="005521EA" w:rsidRDefault="007A5560" w:rsidP="005521EA">
      <w:pPr>
        <w:rPr>
          <w:bCs/>
          <w:sz w:val="22"/>
          <w:szCs w:val="22"/>
        </w:rPr>
      </w:pPr>
    </w:p>
    <w:p w:rsidR="005521EA" w:rsidRPr="005521EA" w:rsidRDefault="005521EA" w:rsidP="005521EA">
      <w:pPr>
        <w:rPr>
          <w:bCs/>
          <w:sz w:val="22"/>
          <w:szCs w:val="22"/>
        </w:rPr>
      </w:pPr>
      <w:r w:rsidRPr="005521EA">
        <w:rPr>
          <w:bCs/>
          <w:sz w:val="22"/>
          <w:szCs w:val="22"/>
        </w:rPr>
        <w:t>Sv</w:t>
      </w:r>
      <w:r>
        <w:rPr>
          <w:bCs/>
          <w:sz w:val="22"/>
          <w:szCs w:val="22"/>
        </w:rPr>
        <w:t>ij</w:t>
      </w:r>
      <w:r w:rsidRPr="005521EA">
        <w:rPr>
          <w:bCs/>
          <w:sz w:val="22"/>
          <w:szCs w:val="22"/>
        </w:rPr>
        <w:t>etloplave film tablete oblika badema.</w:t>
      </w:r>
    </w:p>
    <w:p w:rsidR="00EC2532" w:rsidRDefault="00EC2532">
      <w:pPr>
        <w:rPr>
          <w:bCs/>
          <w:sz w:val="22"/>
          <w:szCs w:val="22"/>
          <w:lang w:val="sr-Latn-CS"/>
        </w:rPr>
      </w:pPr>
    </w:p>
    <w:p w:rsidR="00F6550A" w:rsidRPr="00786071" w:rsidRDefault="00F6550A">
      <w:pPr>
        <w:rPr>
          <w:bCs/>
          <w:sz w:val="22"/>
          <w:szCs w:val="22"/>
          <w:lang w:val="sr-Latn-CS"/>
        </w:rPr>
      </w:pPr>
    </w:p>
    <w:p w:rsidR="00411B4B"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rsidR="0069187D" w:rsidRDefault="0069187D" w:rsidP="00F5167F">
      <w:pPr>
        <w:tabs>
          <w:tab w:val="left" w:pos="540"/>
          <w:tab w:val="left" w:pos="569"/>
        </w:tabs>
        <w:rPr>
          <w:b/>
          <w:bCs/>
          <w:sz w:val="22"/>
          <w:szCs w:val="22"/>
        </w:rPr>
      </w:pPr>
    </w:p>
    <w:p w:rsidR="0069187D" w:rsidRPr="00786071" w:rsidRDefault="0069187D" w:rsidP="00A443AA">
      <w:pPr>
        <w:tabs>
          <w:tab w:val="left" w:pos="540"/>
          <w:tab w:val="left" w:pos="569"/>
        </w:tabs>
        <w:jc w:val="both"/>
        <w:rPr>
          <w:b/>
          <w:bCs/>
          <w:sz w:val="22"/>
          <w:szCs w:val="22"/>
        </w:rPr>
      </w:pPr>
      <w:r w:rsidRPr="00786071">
        <w:rPr>
          <w:b/>
          <w:bCs/>
          <w:sz w:val="22"/>
          <w:szCs w:val="22"/>
        </w:rPr>
        <w:t xml:space="preserve">4.1. </w:t>
      </w:r>
      <w:r w:rsidRPr="00786071">
        <w:rPr>
          <w:b/>
          <w:bCs/>
          <w:sz w:val="22"/>
          <w:szCs w:val="22"/>
        </w:rPr>
        <w:tab/>
        <w:t>Terapijske indikacije</w:t>
      </w:r>
    </w:p>
    <w:p w:rsidR="009C6721" w:rsidRPr="00786071" w:rsidRDefault="009C6721" w:rsidP="00A443AA">
      <w:pPr>
        <w:tabs>
          <w:tab w:val="left" w:pos="540"/>
          <w:tab w:val="left" w:pos="569"/>
        </w:tabs>
        <w:jc w:val="both"/>
        <w:rPr>
          <w:b/>
          <w:bCs/>
          <w:sz w:val="22"/>
          <w:szCs w:val="22"/>
        </w:rPr>
      </w:pPr>
    </w:p>
    <w:p w:rsidR="009C6721" w:rsidRPr="009C6721" w:rsidRDefault="009C6721" w:rsidP="00192010">
      <w:pPr>
        <w:tabs>
          <w:tab w:val="left" w:pos="540"/>
          <w:tab w:val="left" w:pos="569"/>
        </w:tabs>
        <w:jc w:val="both"/>
        <w:rPr>
          <w:bCs/>
          <w:i/>
          <w:sz w:val="22"/>
          <w:szCs w:val="22"/>
        </w:rPr>
      </w:pPr>
      <w:r w:rsidRPr="009C6721">
        <w:rPr>
          <w:bCs/>
          <w:i/>
          <w:sz w:val="22"/>
          <w:szCs w:val="22"/>
        </w:rPr>
        <w:t>Infekcija HIV-1 virusom</w:t>
      </w:r>
    </w:p>
    <w:p w:rsidR="009C6721" w:rsidRPr="009C6721" w:rsidRDefault="009C6721" w:rsidP="0078797C">
      <w:pPr>
        <w:tabs>
          <w:tab w:val="left" w:pos="540"/>
          <w:tab w:val="left" w:pos="569"/>
        </w:tabs>
        <w:jc w:val="both"/>
        <w:rPr>
          <w:bCs/>
          <w:sz w:val="22"/>
          <w:szCs w:val="22"/>
        </w:rPr>
      </w:pPr>
      <w:r w:rsidRPr="009C6721">
        <w:rPr>
          <w:bCs/>
          <w:sz w:val="22"/>
          <w:szCs w:val="22"/>
        </w:rPr>
        <w:t>L</w:t>
      </w:r>
      <w:r>
        <w:rPr>
          <w:bCs/>
          <w:sz w:val="22"/>
          <w:szCs w:val="22"/>
        </w:rPr>
        <w:t>ij</w:t>
      </w:r>
      <w:r w:rsidRPr="009C6721">
        <w:rPr>
          <w:bCs/>
          <w:sz w:val="22"/>
          <w:szCs w:val="22"/>
        </w:rPr>
        <w:t>ek Gilestra je indikovan u kombinaciji sa drugim antiretrovirusnim l</w:t>
      </w:r>
      <w:r>
        <w:rPr>
          <w:bCs/>
          <w:sz w:val="22"/>
          <w:szCs w:val="22"/>
        </w:rPr>
        <w:t>j</w:t>
      </w:r>
      <w:r w:rsidRPr="009C6721">
        <w:rPr>
          <w:bCs/>
          <w:sz w:val="22"/>
          <w:szCs w:val="22"/>
        </w:rPr>
        <w:t>ekovima za l</w:t>
      </w:r>
      <w:r>
        <w:rPr>
          <w:bCs/>
          <w:sz w:val="22"/>
          <w:szCs w:val="22"/>
        </w:rPr>
        <w:t>ij</w:t>
      </w:r>
      <w:r w:rsidRPr="009C6721">
        <w:rPr>
          <w:bCs/>
          <w:sz w:val="22"/>
          <w:szCs w:val="22"/>
        </w:rPr>
        <w:t>ečenje odraslih pacijenata inficiranih HIV-1 virusom.</w:t>
      </w:r>
    </w:p>
    <w:p w:rsidR="009C6721" w:rsidRPr="009C6721" w:rsidRDefault="009C6721">
      <w:pPr>
        <w:tabs>
          <w:tab w:val="left" w:pos="540"/>
          <w:tab w:val="left" w:pos="569"/>
        </w:tabs>
        <w:jc w:val="both"/>
        <w:rPr>
          <w:bCs/>
          <w:sz w:val="22"/>
          <w:szCs w:val="22"/>
        </w:rPr>
      </w:pPr>
    </w:p>
    <w:p w:rsidR="009C6721" w:rsidRPr="009C6721" w:rsidRDefault="009C6721">
      <w:pPr>
        <w:tabs>
          <w:tab w:val="left" w:pos="540"/>
          <w:tab w:val="left" w:pos="569"/>
        </w:tabs>
        <w:jc w:val="both"/>
        <w:rPr>
          <w:bCs/>
          <w:sz w:val="22"/>
          <w:szCs w:val="22"/>
        </w:rPr>
      </w:pPr>
      <w:r w:rsidRPr="009C6721">
        <w:rPr>
          <w:bCs/>
          <w:sz w:val="22"/>
          <w:szCs w:val="22"/>
        </w:rPr>
        <w:t>Korist l</w:t>
      </w:r>
      <w:r>
        <w:rPr>
          <w:bCs/>
          <w:sz w:val="22"/>
          <w:szCs w:val="22"/>
        </w:rPr>
        <w:t>ij</w:t>
      </w:r>
      <w:r w:rsidRPr="009C6721">
        <w:rPr>
          <w:bCs/>
          <w:sz w:val="22"/>
          <w:szCs w:val="22"/>
        </w:rPr>
        <w:t>eka Gilestra kod odraslih pacijenata inficiranih HIV-1 virusom zasniva se na rezultatima jedne studije na pacijenatima koji ranije ni</w:t>
      </w:r>
      <w:r w:rsidR="0078797C">
        <w:rPr>
          <w:bCs/>
          <w:sz w:val="22"/>
          <w:szCs w:val="22"/>
        </w:rPr>
        <w:t>je</w:t>
      </w:r>
      <w:r w:rsidRPr="009C6721">
        <w:rPr>
          <w:bCs/>
          <w:sz w:val="22"/>
          <w:szCs w:val="22"/>
        </w:rPr>
        <w:t>su bili l</w:t>
      </w:r>
      <w:r>
        <w:rPr>
          <w:bCs/>
          <w:sz w:val="22"/>
          <w:szCs w:val="22"/>
        </w:rPr>
        <w:t>ij</w:t>
      </w:r>
      <w:r w:rsidRPr="009C6721">
        <w:rPr>
          <w:bCs/>
          <w:sz w:val="22"/>
          <w:szCs w:val="22"/>
        </w:rPr>
        <w:t>ečeni antiretrovirusnim l</w:t>
      </w:r>
      <w:r>
        <w:rPr>
          <w:bCs/>
          <w:sz w:val="22"/>
          <w:szCs w:val="22"/>
        </w:rPr>
        <w:t>j</w:t>
      </w:r>
      <w:r w:rsidRPr="009C6721">
        <w:rPr>
          <w:bCs/>
          <w:sz w:val="22"/>
          <w:szCs w:val="22"/>
        </w:rPr>
        <w:t xml:space="preserve">ekovima (engl. </w:t>
      </w:r>
      <w:r w:rsidRPr="009C6721">
        <w:rPr>
          <w:bCs/>
          <w:i/>
          <w:sz w:val="22"/>
          <w:szCs w:val="22"/>
        </w:rPr>
        <w:t>treatment naive patients</w:t>
      </w:r>
      <w:r w:rsidRPr="009C6721">
        <w:rPr>
          <w:bCs/>
          <w:sz w:val="22"/>
          <w:szCs w:val="22"/>
        </w:rPr>
        <w:t>), uključujući pacijente sa visokom koncentracijom virusa (&gt;100000 kopija/</w:t>
      </w:r>
      <w:r w:rsidR="00B83CAB">
        <w:rPr>
          <w:bCs/>
          <w:sz w:val="22"/>
          <w:szCs w:val="22"/>
        </w:rPr>
        <w:t>ml</w:t>
      </w:r>
      <w:r w:rsidRPr="009C6721">
        <w:rPr>
          <w:bCs/>
          <w:sz w:val="22"/>
          <w:szCs w:val="22"/>
        </w:rPr>
        <w:t>) i rezultatima studija u kojima je l</w:t>
      </w:r>
      <w:r>
        <w:rPr>
          <w:bCs/>
          <w:sz w:val="22"/>
          <w:szCs w:val="22"/>
        </w:rPr>
        <w:t>ij</w:t>
      </w:r>
      <w:r w:rsidRPr="009C6721">
        <w:rPr>
          <w:bCs/>
          <w:sz w:val="22"/>
          <w:szCs w:val="22"/>
        </w:rPr>
        <w:t>ek  Gilestra bio dodat stabilnoj osnovnoj terapiji (uglavnom  trostrukoj terapiji) kod pacijenata prethodnol</w:t>
      </w:r>
      <w:r>
        <w:rPr>
          <w:bCs/>
          <w:sz w:val="22"/>
          <w:szCs w:val="22"/>
        </w:rPr>
        <w:t>ij</w:t>
      </w:r>
      <w:r w:rsidRPr="009C6721">
        <w:rPr>
          <w:bCs/>
          <w:sz w:val="22"/>
          <w:szCs w:val="22"/>
        </w:rPr>
        <w:t>ečenih antiretrovirusnim l</w:t>
      </w:r>
      <w:r>
        <w:rPr>
          <w:bCs/>
          <w:sz w:val="22"/>
          <w:szCs w:val="22"/>
        </w:rPr>
        <w:t>j</w:t>
      </w:r>
      <w:r w:rsidRPr="009C6721">
        <w:rPr>
          <w:bCs/>
          <w:sz w:val="22"/>
          <w:szCs w:val="22"/>
        </w:rPr>
        <w:t>ekovima čiji je rani virološki odgovor bio neusp</w:t>
      </w:r>
      <w:r>
        <w:rPr>
          <w:bCs/>
          <w:sz w:val="22"/>
          <w:szCs w:val="22"/>
        </w:rPr>
        <w:t>j</w:t>
      </w:r>
      <w:r w:rsidRPr="009C6721">
        <w:rPr>
          <w:bCs/>
          <w:sz w:val="22"/>
          <w:szCs w:val="22"/>
        </w:rPr>
        <w:t>ešan (&lt;10000 kopija/</w:t>
      </w:r>
      <w:r w:rsidR="00B83CAB">
        <w:rPr>
          <w:bCs/>
          <w:sz w:val="22"/>
          <w:szCs w:val="22"/>
        </w:rPr>
        <w:t>ml</w:t>
      </w:r>
      <w:r w:rsidRPr="009C6721">
        <w:rPr>
          <w:bCs/>
          <w:sz w:val="22"/>
          <w:szCs w:val="22"/>
        </w:rPr>
        <w:t>, pri čemu je većina pacijenata imala &lt;5000 kopija/</w:t>
      </w:r>
      <w:r w:rsidR="00B83CAB">
        <w:rPr>
          <w:bCs/>
          <w:sz w:val="22"/>
          <w:szCs w:val="22"/>
        </w:rPr>
        <w:t>ml</w:t>
      </w:r>
      <w:r w:rsidRPr="009C6721">
        <w:rPr>
          <w:bCs/>
          <w:sz w:val="22"/>
          <w:szCs w:val="22"/>
        </w:rPr>
        <w:t>).</w:t>
      </w:r>
    </w:p>
    <w:p w:rsidR="009C6721" w:rsidRPr="009C6721" w:rsidRDefault="009C6721">
      <w:pPr>
        <w:tabs>
          <w:tab w:val="left" w:pos="540"/>
          <w:tab w:val="left" w:pos="569"/>
        </w:tabs>
        <w:jc w:val="both"/>
        <w:rPr>
          <w:bCs/>
          <w:sz w:val="22"/>
          <w:szCs w:val="22"/>
        </w:rPr>
      </w:pPr>
    </w:p>
    <w:p w:rsidR="009C6721" w:rsidRPr="009C6721" w:rsidRDefault="009C6721">
      <w:pPr>
        <w:tabs>
          <w:tab w:val="left" w:pos="540"/>
          <w:tab w:val="left" w:pos="569"/>
        </w:tabs>
        <w:jc w:val="both"/>
        <w:rPr>
          <w:bCs/>
          <w:sz w:val="22"/>
          <w:szCs w:val="22"/>
        </w:rPr>
      </w:pPr>
      <w:r w:rsidRPr="009C6721">
        <w:rPr>
          <w:bCs/>
          <w:sz w:val="22"/>
          <w:szCs w:val="22"/>
        </w:rPr>
        <w:t>L</w:t>
      </w:r>
      <w:r>
        <w:rPr>
          <w:bCs/>
          <w:sz w:val="22"/>
          <w:szCs w:val="22"/>
        </w:rPr>
        <w:t>ij</w:t>
      </w:r>
      <w:r w:rsidRPr="009C6721">
        <w:rPr>
          <w:bCs/>
          <w:sz w:val="22"/>
          <w:szCs w:val="22"/>
        </w:rPr>
        <w:t>ek Gilestra je takođe indikovan za l</w:t>
      </w:r>
      <w:r>
        <w:rPr>
          <w:bCs/>
          <w:sz w:val="22"/>
          <w:szCs w:val="22"/>
        </w:rPr>
        <w:t>ij</w:t>
      </w:r>
      <w:r w:rsidRPr="009C6721">
        <w:rPr>
          <w:bCs/>
          <w:sz w:val="22"/>
          <w:szCs w:val="22"/>
        </w:rPr>
        <w:t>ečenje HIV-1 infekcije kod adolescenata od 12 do &lt;18 godina koji imaju rezistenciju na nukleozidne inhibitore reverzne transkriptaze (NRTI) ili kod toksičnosti koje onemogućavaju upotrebu l</w:t>
      </w:r>
      <w:r>
        <w:rPr>
          <w:bCs/>
          <w:sz w:val="22"/>
          <w:szCs w:val="22"/>
        </w:rPr>
        <w:t>j</w:t>
      </w:r>
      <w:r w:rsidRPr="009C6721">
        <w:rPr>
          <w:bCs/>
          <w:sz w:val="22"/>
          <w:szCs w:val="22"/>
        </w:rPr>
        <w:t>ekova prve terapijske linije.</w:t>
      </w:r>
    </w:p>
    <w:p w:rsidR="009C6721" w:rsidRPr="009C6721" w:rsidRDefault="009C6721">
      <w:pPr>
        <w:tabs>
          <w:tab w:val="left" w:pos="540"/>
          <w:tab w:val="left" w:pos="569"/>
        </w:tabs>
        <w:jc w:val="both"/>
        <w:rPr>
          <w:bCs/>
          <w:sz w:val="22"/>
          <w:szCs w:val="22"/>
        </w:rPr>
      </w:pPr>
    </w:p>
    <w:p w:rsidR="009C6721" w:rsidRPr="009C6721" w:rsidRDefault="009C6721">
      <w:pPr>
        <w:tabs>
          <w:tab w:val="left" w:pos="540"/>
          <w:tab w:val="left" w:pos="569"/>
        </w:tabs>
        <w:jc w:val="both"/>
        <w:rPr>
          <w:bCs/>
          <w:sz w:val="22"/>
          <w:szCs w:val="22"/>
        </w:rPr>
      </w:pPr>
      <w:r w:rsidRPr="009C6721">
        <w:rPr>
          <w:bCs/>
          <w:sz w:val="22"/>
          <w:szCs w:val="22"/>
        </w:rPr>
        <w:t>Izbor l</w:t>
      </w:r>
      <w:r>
        <w:rPr>
          <w:bCs/>
          <w:sz w:val="22"/>
          <w:szCs w:val="22"/>
        </w:rPr>
        <w:t>ij</w:t>
      </w:r>
      <w:r w:rsidRPr="009C6721">
        <w:rPr>
          <w:bCs/>
          <w:sz w:val="22"/>
          <w:szCs w:val="22"/>
        </w:rPr>
        <w:t>eka Gilestra za l</w:t>
      </w:r>
      <w:r>
        <w:rPr>
          <w:bCs/>
          <w:sz w:val="22"/>
          <w:szCs w:val="22"/>
        </w:rPr>
        <w:t>ij</w:t>
      </w:r>
      <w:r w:rsidRPr="009C6721">
        <w:rPr>
          <w:bCs/>
          <w:sz w:val="22"/>
          <w:szCs w:val="22"/>
        </w:rPr>
        <w:t>ečenje pacijenata sa HIV-1 infekcijom koji su već bili l</w:t>
      </w:r>
      <w:r>
        <w:rPr>
          <w:bCs/>
          <w:sz w:val="22"/>
          <w:szCs w:val="22"/>
        </w:rPr>
        <w:t>ij</w:t>
      </w:r>
      <w:r w:rsidRPr="009C6721">
        <w:rPr>
          <w:bCs/>
          <w:sz w:val="22"/>
          <w:szCs w:val="22"/>
        </w:rPr>
        <w:t>ečeni antiretrovirusnom terapijom treba da bude zasnovan na testiranju rezistencije virusa individualno kod svakog pacijenta i/ili razmatranju ranije prim</w:t>
      </w:r>
      <w:r>
        <w:rPr>
          <w:bCs/>
          <w:sz w:val="22"/>
          <w:szCs w:val="22"/>
        </w:rPr>
        <w:t>j</w:t>
      </w:r>
      <w:r w:rsidRPr="009C6721">
        <w:rPr>
          <w:bCs/>
          <w:sz w:val="22"/>
          <w:szCs w:val="22"/>
        </w:rPr>
        <w:t>enjivane antiretrovirusne terapije kod pacijenata.</w:t>
      </w:r>
    </w:p>
    <w:p w:rsidR="009C6721" w:rsidRPr="009C6721" w:rsidRDefault="009C6721">
      <w:pPr>
        <w:tabs>
          <w:tab w:val="left" w:pos="540"/>
          <w:tab w:val="left" w:pos="569"/>
        </w:tabs>
        <w:jc w:val="both"/>
        <w:rPr>
          <w:bCs/>
          <w:sz w:val="22"/>
          <w:szCs w:val="22"/>
        </w:rPr>
      </w:pPr>
    </w:p>
    <w:p w:rsidR="009C6721" w:rsidRPr="009C6721" w:rsidRDefault="009C6721">
      <w:pPr>
        <w:tabs>
          <w:tab w:val="left" w:pos="540"/>
          <w:tab w:val="left" w:pos="569"/>
        </w:tabs>
        <w:jc w:val="both"/>
        <w:rPr>
          <w:bCs/>
          <w:i/>
          <w:sz w:val="22"/>
          <w:szCs w:val="22"/>
        </w:rPr>
      </w:pPr>
      <w:r w:rsidRPr="009C6721">
        <w:rPr>
          <w:bCs/>
          <w:i/>
          <w:sz w:val="22"/>
          <w:szCs w:val="22"/>
        </w:rPr>
        <w:t>Infekcija hepatitis B virusom</w:t>
      </w:r>
    </w:p>
    <w:p w:rsidR="009C6721" w:rsidRPr="009C6721" w:rsidRDefault="009C6721">
      <w:pPr>
        <w:tabs>
          <w:tab w:val="left" w:pos="540"/>
          <w:tab w:val="left" w:pos="569"/>
        </w:tabs>
        <w:jc w:val="both"/>
        <w:rPr>
          <w:bCs/>
          <w:i/>
          <w:sz w:val="22"/>
          <w:szCs w:val="22"/>
        </w:rPr>
      </w:pPr>
    </w:p>
    <w:p w:rsidR="009C6721" w:rsidRPr="009C6721" w:rsidRDefault="009C6721">
      <w:pPr>
        <w:tabs>
          <w:tab w:val="left" w:pos="540"/>
          <w:tab w:val="left" w:pos="569"/>
        </w:tabs>
        <w:jc w:val="both"/>
        <w:rPr>
          <w:bCs/>
          <w:sz w:val="22"/>
          <w:szCs w:val="22"/>
        </w:rPr>
      </w:pPr>
      <w:r w:rsidRPr="009C6721">
        <w:rPr>
          <w:bCs/>
          <w:sz w:val="22"/>
          <w:szCs w:val="22"/>
        </w:rPr>
        <w:t>L</w:t>
      </w:r>
      <w:r>
        <w:rPr>
          <w:bCs/>
          <w:sz w:val="22"/>
          <w:szCs w:val="22"/>
        </w:rPr>
        <w:t>ij</w:t>
      </w:r>
      <w:r w:rsidRPr="009C6721">
        <w:rPr>
          <w:bCs/>
          <w:sz w:val="22"/>
          <w:szCs w:val="22"/>
        </w:rPr>
        <w:t>ek Gilestra je indikovan za l</w:t>
      </w:r>
      <w:r>
        <w:rPr>
          <w:bCs/>
          <w:sz w:val="22"/>
          <w:szCs w:val="22"/>
        </w:rPr>
        <w:t>ij</w:t>
      </w:r>
      <w:r w:rsidRPr="009C6721">
        <w:rPr>
          <w:bCs/>
          <w:sz w:val="22"/>
          <w:szCs w:val="22"/>
        </w:rPr>
        <w:t>ečenje hroničnog hepatitisa B kod odraslih pacijenata sa:</w:t>
      </w:r>
    </w:p>
    <w:p w:rsidR="009C6721" w:rsidRPr="009C6721" w:rsidRDefault="00945676">
      <w:pPr>
        <w:numPr>
          <w:ilvl w:val="2"/>
          <w:numId w:val="12"/>
        </w:numPr>
        <w:tabs>
          <w:tab w:val="left" w:pos="540"/>
          <w:tab w:val="left" w:pos="569"/>
        </w:tabs>
        <w:jc w:val="both"/>
        <w:rPr>
          <w:bCs/>
          <w:sz w:val="22"/>
          <w:szCs w:val="22"/>
        </w:rPr>
      </w:pPr>
      <w:r>
        <w:rPr>
          <w:bCs/>
          <w:sz w:val="22"/>
          <w:szCs w:val="22"/>
        </w:rPr>
        <w:lastRenderedPageBreak/>
        <w:t xml:space="preserve">kompenzovanim </w:t>
      </w:r>
      <w:r w:rsidR="009C6721" w:rsidRPr="009C6721">
        <w:rPr>
          <w:bCs/>
          <w:sz w:val="22"/>
          <w:szCs w:val="22"/>
        </w:rPr>
        <w:t>oboljenjem jetre sa dokazanom aktivnom replikacijom virusa i trajno povećanim vr</w:t>
      </w:r>
      <w:r w:rsidR="009C6721">
        <w:rPr>
          <w:bCs/>
          <w:sz w:val="22"/>
          <w:szCs w:val="22"/>
        </w:rPr>
        <w:t>ij</w:t>
      </w:r>
      <w:r w:rsidR="009C6721" w:rsidRPr="009C6721">
        <w:rPr>
          <w:bCs/>
          <w:sz w:val="22"/>
          <w:szCs w:val="22"/>
        </w:rPr>
        <w:t xml:space="preserve">ednostima </w:t>
      </w:r>
      <w:r w:rsidR="009C6721">
        <w:rPr>
          <w:bCs/>
          <w:sz w:val="22"/>
          <w:szCs w:val="22"/>
        </w:rPr>
        <w:t xml:space="preserve">alanin </w:t>
      </w:r>
      <w:r w:rsidR="009C6721" w:rsidRPr="009C6721">
        <w:rPr>
          <w:bCs/>
          <w:sz w:val="22"/>
          <w:szCs w:val="22"/>
        </w:rPr>
        <w:t>aminotransferaze (ALT) u serumu ili  histološkim nalazom aktivne inflamacije i/ili fibroze (vid</w:t>
      </w:r>
      <w:r w:rsidR="009C6721">
        <w:rPr>
          <w:bCs/>
          <w:sz w:val="22"/>
          <w:szCs w:val="22"/>
        </w:rPr>
        <w:t>j</w:t>
      </w:r>
      <w:r w:rsidR="009C6721" w:rsidRPr="009C6721">
        <w:rPr>
          <w:bCs/>
          <w:sz w:val="22"/>
          <w:szCs w:val="22"/>
        </w:rPr>
        <w:t>eti od</w:t>
      </w:r>
      <w:r w:rsidR="009C6721">
        <w:rPr>
          <w:bCs/>
          <w:sz w:val="22"/>
          <w:szCs w:val="22"/>
        </w:rPr>
        <w:t>j</w:t>
      </w:r>
      <w:r w:rsidR="009C6721" w:rsidRPr="009C6721">
        <w:rPr>
          <w:bCs/>
          <w:sz w:val="22"/>
          <w:szCs w:val="22"/>
        </w:rPr>
        <w:t>eljak 5.1).</w:t>
      </w:r>
    </w:p>
    <w:p w:rsidR="009C6721" w:rsidRPr="009C6721" w:rsidRDefault="009C6721">
      <w:pPr>
        <w:numPr>
          <w:ilvl w:val="2"/>
          <w:numId w:val="12"/>
        </w:numPr>
        <w:tabs>
          <w:tab w:val="left" w:pos="540"/>
          <w:tab w:val="left" w:pos="569"/>
        </w:tabs>
        <w:jc w:val="both"/>
        <w:rPr>
          <w:bCs/>
          <w:sz w:val="22"/>
          <w:szCs w:val="22"/>
        </w:rPr>
      </w:pPr>
      <w:r w:rsidRPr="009C6721">
        <w:rPr>
          <w:bCs/>
          <w:sz w:val="22"/>
          <w:szCs w:val="22"/>
        </w:rPr>
        <w:t>dokazanim prisustvom virusa hepatitis B  koji je rezistentan na lamivudin (vid</w:t>
      </w:r>
      <w:r>
        <w:rPr>
          <w:bCs/>
          <w:sz w:val="22"/>
          <w:szCs w:val="22"/>
        </w:rPr>
        <w:t>j</w:t>
      </w:r>
      <w:r w:rsidRPr="009C6721">
        <w:rPr>
          <w:bCs/>
          <w:sz w:val="22"/>
          <w:szCs w:val="22"/>
        </w:rPr>
        <w:t>eti od</w:t>
      </w:r>
      <w:r>
        <w:rPr>
          <w:bCs/>
          <w:sz w:val="22"/>
          <w:szCs w:val="22"/>
        </w:rPr>
        <w:t>j</w:t>
      </w:r>
      <w:r w:rsidRPr="009C6721">
        <w:rPr>
          <w:bCs/>
          <w:sz w:val="22"/>
          <w:szCs w:val="22"/>
        </w:rPr>
        <w:t>eljke 4.8 i 5.1).</w:t>
      </w:r>
    </w:p>
    <w:p w:rsidR="009C6721" w:rsidRDefault="009C6721">
      <w:pPr>
        <w:numPr>
          <w:ilvl w:val="2"/>
          <w:numId w:val="12"/>
        </w:numPr>
        <w:tabs>
          <w:tab w:val="left" w:pos="540"/>
          <w:tab w:val="left" w:pos="569"/>
        </w:tabs>
        <w:jc w:val="both"/>
        <w:rPr>
          <w:bCs/>
          <w:sz w:val="22"/>
          <w:szCs w:val="22"/>
        </w:rPr>
      </w:pPr>
      <w:r w:rsidRPr="009C6721">
        <w:rPr>
          <w:bCs/>
          <w:sz w:val="22"/>
          <w:szCs w:val="22"/>
        </w:rPr>
        <w:t>dekompenzovanim ob</w:t>
      </w:r>
      <w:r w:rsidR="0078797C">
        <w:rPr>
          <w:bCs/>
          <w:sz w:val="22"/>
          <w:szCs w:val="22"/>
        </w:rPr>
        <w:t>o</w:t>
      </w:r>
      <w:r w:rsidRPr="009C6721">
        <w:rPr>
          <w:bCs/>
          <w:sz w:val="22"/>
          <w:szCs w:val="22"/>
        </w:rPr>
        <w:t>ljenjem jetre (vid</w:t>
      </w:r>
      <w:r>
        <w:rPr>
          <w:bCs/>
          <w:sz w:val="22"/>
          <w:szCs w:val="22"/>
        </w:rPr>
        <w:t>j</w:t>
      </w:r>
      <w:r w:rsidRPr="009C6721">
        <w:rPr>
          <w:bCs/>
          <w:sz w:val="22"/>
          <w:szCs w:val="22"/>
        </w:rPr>
        <w:t>eti od</w:t>
      </w:r>
      <w:r>
        <w:rPr>
          <w:bCs/>
          <w:sz w:val="22"/>
          <w:szCs w:val="22"/>
        </w:rPr>
        <w:t>j</w:t>
      </w:r>
      <w:r w:rsidRPr="009C6721">
        <w:rPr>
          <w:bCs/>
          <w:sz w:val="22"/>
          <w:szCs w:val="22"/>
        </w:rPr>
        <w:t>eljke 4.4, 4.8. i 5.1).</w:t>
      </w:r>
    </w:p>
    <w:p w:rsidR="0069187D" w:rsidRDefault="0069187D">
      <w:pPr>
        <w:tabs>
          <w:tab w:val="left" w:pos="540"/>
          <w:tab w:val="left" w:pos="569"/>
        </w:tabs>
        <w:ind w:left="880"/>
        <w:jc w:val="both"/>
        <w:rPr>
          <w:bCs/>
          <w:sz w:val="22"/>
          <w:szCs w:val="22"/>
        </w:rPr>
      </w:pPr>
    </w:p>
    <w:p w:rsidR="009C6721" w:rsidRDefault="009C6721">
      <w:pPr>
        <w:jc w:val="both"/>
        <w:rPr>
          <w:bCs/>
          <w:sz w:val="22"/>
          <w:szCs w:val="22"/>
        </w:rPr>
      </w:pPr>
      <w:r w:rsidRPr="009C6721">
        <w:rPr>
          <w:bCs/>
          <w:sz w:val="22"/>
          <w:szCs w:val="22"/>
        </w:rPr>
        <w:t>Lijek Gilestra je takođe indikovan za liječenje hroničnog hepatitisa B kod adolescenata uzrasta od 12 do &lt; 18 godina sa:</w:t>
      </w:r>
    </w:p>
    <w:p w:rsidR="009C6721" w:rsidRPr="009C6721" w:rsidRDefault="009C6721">
      <w:pPr>
        <w:jc w:val="both"/>
        <w:rPr>
          <w:bCs/>
          <w:sz w:val="22"/>
          <w:szCs w:val="22"/>
        </w:rPr>
      </w:pPr>
    </w:p>
    <w:p w:rsidR="009C6721" w:rsidRPr="009C6721" w:rsidRDefault="009C6721">
      <w:pPr>
        <w:pStyle w:val="ListParagraph"/>
        <w:numPr>
          <w:ilvl w:val="2"/>
          <w:numId w:val="12"/>
        </w:numPr>
        <w:jc w:val="both"/>
        <w:rPr>
          <w:bCs/>
          <w:sz w:val="22"/>
          <w:szCs w:val="22"/>
        </w:rPr>
      </w:pPr>
      <w:r w:rsidRPr="009C6721">
        <w:rPr>
          <w:bCs/>
          <w:sz w:val="22"/>
          <w:szCs w:val="22"/>
        </w:rPr>
        <w:t>kompenzovanim oboljenjem jetre i dokazima aktivne imunske bolesti, tj. aktivne virusne replikacije i trajno povećanim vr</w:t>
      </w:r>
      <w:r>
        <w:rPr>
          <w:bCs/>
          <w:sz w:val="22"/>
          <w:szCs w:val="22"/>
        </w:rPr>
        <w:t xml:space="preserve">ijednostima alanin </w:t>
      </w:r>
      <w:r w:rsidRPr="009C6721">
        <w:rPr>
          <w:bCs/>
          <w:sz w:val="22"/>
          <w:szCs w:val="22"/>
        </w:rPr>
        <w:t>aminotransferaze (ALT) u serumu ili sa histološkim nalazima um</w:t>
      </w:r>
      <w:r>
        <w:rPr>
          <w:bCs/>
          <w:sz w:val="22"/>
          <w:szCs w:val="22"/>
        </w:rPr>
        <w:t>j</w:t>
      </w:r>
      <w:r w:rsidRPr="009C6721">
        <w:rPr>
          <w:bCs/>
          <w:sz w:val="22"/>
          <w:szCs w:val="22"/>
        </w:rPr>
        <w:t>erene do teške inflamacije i/ili fibroze. U vezi sa donošenjem odluke o započinjanju terapije kod pedijatrijskih pacijenata, vid</w:t>
      </w:r>
      <w:r>
        <w:rPr>
          <w:bCs/>
          <w:sz w:val="22"/>
          <w:szCs w:val="22"/>
        </w:rPr>
        <w:t>j</w:t>
      </w:r>
      <w:r w:rsidRPr="009C6721">
        <w:rPr>
          <w:bCs/>
          <w:sz w:val="22"/>
          <w:szCs w:val="22"/>
        </w:rPr>
        <w:t>eti od</w:t>
      </w:r>
      <w:r>
        <w:rPr>
          <w:bCs/>
          <w:sz w:val="22"/>
          <w:szCs w:val="22"/>
        </w:rPr>
        <w:t>j</w:t>
      </w:r>
      <w:r w:rsidRPr="009C6721">
        <w:rPr>
          <w:bCs/>
          <w:sz w:val="22"/>
          <w:szCs w:val="22"/>
        </w:rPr>
        <w:t>eljke 4.2, 4.4, 4.8 i 5.1.</w:t>
      </w:r>
    </w:p>
    <w:p w:rsidR="00411B4B" w:rsidRPr="00786071" w:rsidRDefault="00411B4B" w:rsidP="00A443AA">
      <w:pPr>
        <w:tabs>
          <w:tab w:val="left" w:pos="540"/>
          <w:tab w:val="left" w:pos="569"/>
        </w:tabs>
        <w:jc w:val="both"/>
        <w:rPr>
          <w:bCs/>
          <w:sz w:val="22"/>
          <w:szCs w:val="22"/>
        </w:rPr>
      </w:pPr>
    </w:p>
    <w:p w:rsidR="00411B4B" w:rsidRDefault="00411B4B" w:rsidP="00A443AA">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rsidR="00C31119" w:rsidRPr="00786071" w:rsidRDefault="00C31119" w:rsidP="00A443AA">
      <w:pPr>
        <w:tabs>
          <w:tab w:val="left" w:pos="540"/>
          <w:tab w:val="left" w:pos="569"/>
        </w:tabs>
        <w:jc w:val="both"/>
        <w:rPr>
          <w:b/>
          <w:bCs/>
          <w:sz w:val="22"/>
          <w:szCs w:val="22"/>
        </w:rPr>
      </w:pPr>
    </w:p>
    <w:p w:rsidR="00C31119" w:rsidRPr="00C31119" w:rsidRDefault="00C31119" w:rsidP="00192010">
      <w:pPr>
        <w:tabs>
          <w:tab w:val="left" w:pos="540"/>
          <w:tab w:val="left" w:pos="569"/>
        </w:tabs>
        <w:jc w:val="both"/>
        <w:rPr>
          <w:bCs/>
          <w:i/>
          <w:iCs/>
          <w:sz w:val="22"/>
          <w:szCs w:val="22"/>
        </w:rPr>
      </w:pPr>
      <w:r w:rsidRPr="00C31119">
        <w:rPr>
          <w:bCs/>
          <w:iCs/>
          <w:sz w:val="22"/>
          <w:szCs w:val="22"/>
        </w:rPr>
        <w:t>Terapiju treba da započne l</w:t>
      </w:r>
      <w:r>
        <w:rPr>
          <w:bCs/>
          <w:iCs/>
          <w:sz w:val="22"/>
          <w:szCs w:val="22"/>
        </w:rPr>
        <w:t>j</w:t>
      </w:r>
      <w:r w:rsidRPr="00C31119">
        <w:rPr>
          <w:bCs/>
          <w:iCs/>
          <w:sz w:val="22"/>
          <w:szCs w:val="22"/>
        </w:rPr>
        <w:t>ekar sa iskustvom u l</w:t>
      </w:r>
      <w:r>
        <w:rPr>
          <w:bCs/>
          <w:iCs/>
          <w:sz w:val="22"/>
          <w:szCs w:val="22"/>
        </w:rPr>
        <w:t>ij</w:t>
      </w:r>
      <w:r w:rsidRPr="00C31119">
        <w:rPr>
          <w:bCs/>
          <w:iCs/>
          <w:sz w:val="22"/>
          <w:szCs w:val="22"/>
        </w:rPr>
        <w:t xml:space="preserve">ečenju infekcije izazvane virusom HIV-a i/ili hroničnog hepatitisa B. </w:t>
      </w:r>
    </w:p>
    <w:p w:rsidR="0072020E" w:rsidRPr="00786071" w:rsidRDefault="0072020E" w:rsidP="00A443AA">
      <w:pPr>
        <w:tabs>
          <w:tab w:val="left" w:pos="540"/>
          <w:tab w:val="left" w:pos="569"/>
        </w:tabs>
        <w:jc w:val="both"/>
        <w:rPr>
          <w:bCs/>
          <w:sz w:val="22"/>
          <w:szCs w:val="22"/>
        </w:rPr>
      </w:pPr>
    </w:p>
    <w:p w:rsidR="00452E9D" w:rsidRPr="00786071" w:rsidRDefault="00452E9D" w:rsidP="00A443AA">
      <w:pPr>
        <w:tabs>
          <w:tab w:val="left" w:pos="540"/>
          <w:tab w:val="left" w:pos="569"/>
        </w:tabs>
        <w:jc w:val="both"/>
        <w:rPr>
          <w:bCs/>
          <w:sz w:val="22"/>
          <w:szCs w:val="22"/>
          <w:u w:val="single"/>
        </w:rPr>
      </w:pPr>
      <w:r w:rsidRPr="00786071">
        <w:rPr>
          <w:bCs/>
          <w:sz w:val="22"/>
          <w:szCs w:val="22"/>
          <w:u w:val="single"/>
        </w:rPr>
        <w:t>Doziranje</w:t>
      </w:r>
    </w:p>
    <w:p w:rsidR="00C31119" w:rsidRDefault="00C31119" w:rsidP="00A443AA">
      <w:pPr>
        <w:tabs>
          <w:tab w:val="left" w:pos="540"/>
          <w:tab w:val="left" w:pos="569"/>
        </w:tabs>
        <w:jc w:val="both"/>
        <w:rPr>
          <w:bCs/>
          <w:i/>
          <w:sz w:val="22"/>
          <w:szCs w:val="22"/>
          <w:u w:val="single"/>
        </w:rPr>
      </w:pPr>
    </w:p>
    <w:p w:rsidR="00C31119" w:rsidRPr="00C31119" w:rsidRDefault="00C31119" w:rsidP="00192010">
      <w:pPr>
        <w:tabs>
          <w:tab w:val="left" w:pos="540"/>
          <w:tab w:val="left" w:pos="569"/>
        </w:tabs>
        <w:jc w:val="both"/>
        <w:rPr>
          <w:bCs/>
          <w:i/>
          <w:sz w:val="22"/>
          <w:szCs w:val="22"/>
        </w:rPr>
      </w:pPr>
      <w:r w:rsidRPr="00C31119">
        <w:rPr>
          <w:bCs/>
          <w:i/>
          <w:sz w:val="22"/>
          <w:szCs w:val="22"/>
        </w:rPr>
        <w:t>HIV-1 i hronični hepatitis B</w:t>
      </w:r>
    </w:p>
    <w:p w:rsidR="00C31119" w:rsidRPr="00C31119" w:rsidRDefault="00C31119">
      <w:pPr>
        <w:tabs>
          <w:tab w:val="left" w:pos="540"/>
          <w:tab w:val="left" w:pos="569"/>
        </w:tabs>
        <w:jc w:val="both"/>
        <w:rPr>
          <w:bCs/>
          <w:i/>
          <w:sz w:val="22"/>
          <w:szCs w:val="22"/>
        </w:rPr>
      </w:pPr>
      <w:r w:rsidRPr="00C31119">
        <w:rPr>
          <w:bCs/>
          <w:i/>
          <w:sz w:val="22"/>
          <w:szCs w:val="22"/>
        </w:rPr>
        <w:t>Odrasli i adolescenti uzrasta od 12 do &lt; 18 godina i t</w:t>
      </w:r>
      <w:r>
        <w:rPr>
          <w:bCs/>
          <w:i/>
          <w:sz w:val="22"/>
          <w:szCs w:val="22"/>
        </w:rPr>
        <w:t>j</w:t>
      </w:r>
      <w:r w:rsidRPr="00C31119">
        <w:rPr>
          <w:bCs/>
          <w:i/>
          <w:sz w:val="22"/>
          <w:szCs w:val="22"/>
        </w:rPr>
        <w:t>elesne mase ≥ 35 kg:</w:t>
      </w:r>
    </w:p>
    <w:p w:rsidR="00C31119" w:rsidRPr="00C31119" w:rsidRDefault="00C31119">
      <w:pPr>
        <w:tabs>
          <w:tab w:val="left" w:pos="540"/>
          <w:tab w:val="left" w:pos="569"/>
        </w:tabs>
        <w:jc w:val="both"/>
        <w:rPr>
          <w:bCs/>
          <w:sz w:val="22"/>
          <w:szCs w:val="22"/>
        </w:rPr>
      </w:pPr>
      <w:r w:rsidRPr="00C31119">
        <w:rPr>
          <w:bCs/>
          <w:sz w:val="22"/>
          <w:szCs w:val="22"/>
        </w:rPr>
        <w:t>Preporučena doza za l</w:t>
      </w:r>
      <w:r>
        <w:rPr>
          <w:bCs/>
          <w:sz w:val="22"/>
          <w:szCs w:val="22"/>
        </w:rPr>
        <w:t>ij</w:t>
      </w:r>
      <w:r w:rsidRPr="00C31119">
        <w:rPr>
          <w:bCs/>
          <w:sz w:val="22"/>
          <w:szCs w:val="22"/>
        </w:rPr>
        <w:t>ečenje HIV infekcije ili hroničnog hepatitisa B je 245 mg (jedna tableta) jed</w:t>
      </w:r>
      <w:r w:rsidR="00E84177">
        <w:rPr>
          <w:bCs/>
          <w:sz w:val="22"/>
          <w:szCs w:val="22"/>
        </w:rPr>
        <w:t xml:space="preserve">nom </w:t>
      </w:r>
      <w:r w:rsidRPr="00C31119">
        <w:rPr>
          <w:bCs/>
          <w:sz w:val="22"/>
          <w:szCs w:val="22"/>
        </w:rPr>
        <w:t>dnevno, uzeta oralno sa hranom.</w:t>
      </w:r>
    </w:p>
    <w:p w:rsidR="00C31119" w:rsidRPr="00C31119" w:rsidRDefault="00C31119">
      <w:pPr>
        <w:tabs>
          <w:tab w:val="left" w:pos="540"/>
          <w:tab w:val="left" w:pos="569"/>
        </w:tabs>
        <w:jc w:val="both"/>
        <w:rPr>
          <w:bCs/>
          <w:sz w:val="22"/>
          <w:szCs w:val="22"/>
        </w:rPr>
      </w:pPr>
    </w:p>
    <w:p w:rsidR="00C31119" w:rsidRPr="00C31119" w:rsidRDefault="00C31119">
      <w:pPr>
        <w:tabs>
          <w:tab w:val="left" w:pos="540"/>
          <w:tab w:val="left" w:pos="569"/>
        </w:tabs>
        <w:jc w:val="both"/>
        <w:rPr>
          <w:bCs/>
          <w:sz w:val="22"/>
          <w:szCs w:val="22"/>
        </w:rPr>
      </w:pPr>
      <w:r w:rsidRPr="00C31119">
        <w:rPr>
          <w:bCs/>
          <w:sz w:val="22"/>
          <w:szCs w:val="22"/>
        </w:rPr>
        <w:t>L</w:t>
      </w:r>
      <w:r>
        <w:rPr>
          <w:bCs/>
          <w:sz w:val="22"/>
          <w:szCs w:val="22"/>
        </w:rPr>
        <w:t>ij</w:t>
      </w:r>
      <w:r w:rsidRPr="00C31119">
        <w:rPr>
          <w:bCs/>
          <w:sz w:val="22"/>
          <w:szCs w:val="22"/>
        </w:rPr>
        <w:t>ek Gilestra je dostupan jedino kao film tableta od 245 mg. Za terapiju infekcije izazvane virusom HIV-1 i virusom hroničnog hepatitisa B kod odraslih pacijenata ili adolescenata kod kojih prim</w:t>
      </w:r>
      <w:r>
        <w:rPr>
          <w:bCs/>
          <w:sz w:val="22"/>
          <w:szCs w:val="22"/>
        </w:rPr>
        <w:t>j</w:t>
      </w:r>
      <w:r w:rsidRPr="00C31119">
        <w:rPr>
          <w:bCs/>
          <w:sz w:val="22"/>
          <w:szCs w:val="22"/>
        </w:rPr>
        <w:t>ena čvrstog farmaceutskog oblika nije moguća, treba prov</w:t>
      </w:r>
      <w:r>
        <w:rPr>
          <w:bCs/>
          <w:sz w:val="22"/>
          <w:szCs w:val="22"/>
        </w:rPr>
        <w:t>j</w:t>
      </w:r>
      <w:r w:rsidRPr="00C31119">
        <w:rPr>
          <w:bCs/>
          <w:sz w:val="22"/>
          <w:szCs w:val="22"/>
        </w:rPr>
        <w:t>eriti dostupnost drugih pogodnih formulacija l</w:t>
      </w:r>
      <w:r>
        <w:rPr>
          <w:bCs/>
          <w:sz w:val="22"/>
          <w:szCs w:val="22"/>
        </w:rPr>
        <w:t>ij</w:t>
      </w:r>
      <w:r w:rsidRPr="00C31119">
        <w:rPr>
          <w:bCs/>
          <w:sz w:val="22"/>
          <w:szCs w:val="22"/>
        </w:rPr>
        <w:t>eka.</w:t>
      </w:r>
    </w:p>
    <w:p w:rsidR="00C31119" w:rsidRPr="00C31119" w:rsidRDefault="00C31119">
      <w:pPr>
        <w:tabs>
          <w:tab w:val="left" w:pos="540"/>
          <w:tab w:val="left" w:pos="569"/>
        </w:tabs>
        <w:jc w:val="both"/>
        <w:rPr>
          <w:bCs/>
          <w:sz w:val="22"/>
          <w:szCs w:val="22"/>
        </w:rPr>
      </w:pPr>
    </w:p>
    <w:p w:rsidR="00C31119" w:rsidRPr="00C31119" w:rsidRDefault="00C31119">
      <w:pPr>
        <w:tabs>
          <w:tab w:val="left" w:pos="540"/>
          <w:tab w:val="left" w:pos="569"/>
        </w:tabs>
        <w:jc w:val="both"/>
        <w:rPr>
          <w:bCs/>
          <w:sz w:val="22"/>
          <w:szCs w:val="22"/>
        </w:rPr>
      </w:pPr>
      <w:r w:rsidRPr="00C31119">
        <w:rPr>
          <w:bCs/>
          <w:sz w:val="22"/>
          <w:szCs w:val="22"/>
        </w:rPr>
        <w:t>Odluka o l</w:t>
      </w:r>
      <w:r>
        <w:rPr>
          <w:bCs/>
          <w:sz w:val="22"/>
          <w:szCs w:val="22"/>
        </w:rPr>
        <w:t>ij</w:t>
      </w:r>
      <w:r w:rsidRPr="00C31119">
        <w:rPr>
          <w:bCs/>
          <w:sz w:val="22"/>
          <w:szCs w:val="22"/>
        </w:rPr>
        <w:t>ečenju pedijatrijskih pacijenata (adolescenata) treba da bude zasnovana na pažljivom razmatranju potreba individualnog pacijenta i treba uzeti u obzir važeće sm</w:t>
      </w:r>
      <w:r>
        <w:rPr>
          <w:bCs/>
          <w:sz w:val="22"/>
          <w:szCs w:val="22"/>
        </w:rPr>
        <w:t>j</w:t>
      </w:r>
      <w:r w:rsidRPr="00C31119">
        <w:rPr>
          <w:bCs/>
          <w:sz w:val="22"/>
          <w:szCs w:val="22"/>
        </w:rPr>
        <w:t>ernice za l</w:t>
      </w:r>
      <w:r>
        <w:rPr>
          <w:bCs/>
          <w:sz w:val="22"/>
          <w:szCs w:val="22"/>
        </w:rPr>
        <w:t>ij</w:t>
      </w:r>
      <w:r w:rsidRPr="00C31119">
        <w:rPr>
          <w:bCs/>
          <w:sz w:val="22"/>
          <w:szCs w:val="22"/>
        </w:rPr>
        <w:t>ečenje pedijatrijskih pacijenata, uključujući početnu vr</w:t>
      </w:r>
      <w:r>
        <w:rPr>
          <w:bCs/>
          <w:sz w:val="22"/>
          <w:szCs w:val="22"/>
        </w:rPr>
        <w:t>ij</w:t>
      </w:r>
      <w:r w:rsidRPr="00C31119">
        <w:rPr>
          <w:bCs/>
          <w:sz w:val="22"/>
          <w:szCs w:val="22"/>
        </w:rPr>
        <w:t>ednost histološki značajnih parametara. Korist od dugotrajne virusološke supresije kontinuiranom terapijom mora da se proc</w:t>
      </w:r>
      <w:r>
        <w:rPr>
          <w:bCs/>
          <w:sz w:val="22"/>
          <w:szCs w:val="22"/>
        </w:rPr>
        <w:t>ij</w:t>
      </w:r>
      <w:r w:rsidRPr="00C31119">
        <w:rPr>
          <w:bCs/>
          <w:sz w:val="22"/>
          <w:szCs w:val="22"/>
        </w:rPr>
        <w:t>eni u odnosu na rizik od produžene terapije, uključujući pojavu rezistentnog virusa hepatitisa B i nesigurnost u pogledu dugotrajnog uticaja na koštanu i bubrežnu toksičnost (vid</w:t>
      </w:r>
      <w:r>
        <w:rPr>
          <w:bCs/>
          <w:sz w:val="22"/>
          <w:szCs w:val="22"/>
        </w:rPr>
        <w:t>j</w:t>
      </w:r>
      <w:r w:rsidRPr="00C31119">
        <w:rPr>
          <w:bCs/>
          <w:sz w:val="22"/>
          <w:szCs w:val="22"/>
        </w:rPr>
        <w:t>eti od</w:t>
      </w:r>
      <w:r>
        <w:rPr>
          <w:bCs/>
          <w:sz w:val="22"/>
          <w:szCs w:val="22"/>
        </w:rPr>
        <w:t>j</w:t>
      </w:r>
      <w:r w:rsidRPr="00C31119">
        <w:rPr>
          <w:bCs/>
          <w:sz w:val="22"/>
          <w:szCs w:val="22"/>
        </w:rPr>
        <w:t>eljak 4.4).</w:t>
      </w:r>
    </w:p>
    <w:p w:rsidR="00C31119" w:rsidRPr="00C31119" w:rsidRDefault="00C31119">
      <w:pPr>
        <w:tabs>
          <w:tab w:val="left" w:pos="540"/>
          <w:tab w:val="left" w:pos="569"/>
        </w:tabs>
        <w:jc w:val="both"/>
        <w:rPr>
          <w:bCs/>
          <w:sz w:val="22"/>
          <w:szCs w:val="22"/>
        </w:rPr>
      </w:pPr>
    </w:p>
    <w:p w:rsidR="00C31119" w:rsidRPr="00C31119" w:rsidRDefault="00C31119">
      <w:pPr>
        <w:tabs>
          <w:tab w:val="left" w:pos="540"/>
          <w:tab w:val="left" w:pos="569"/>
        </w:tabs>
        <w:jc w:val="both"/>
        <w:rPr>
          <w:bCs/>
          <w:sz w:val="22"/>
          <w:szCs w:val="22"/>
        </w:rPr>
      </w:pPr>
      <w:r w:rsidRPr="00C31119">
        <w:rPr>
          <w:bCs/>
          <w:sz w:val="22"/>
          <w:szCs w:val="22"/>
        </w:rPr>
        <w:t>Vr</w:t>
      </w:r>
      <w:r>
        <w:rPr>
          <w:bCs/>
          <w:sz w:val="22"/>
          <w:szCs w:val="22"/>
        </w:rPr>
        <w:t>ij</w:t>
      </w:r>
      <w:r w:rsidRPr="00C31119">
        <w:rPr>
          <w:bCs/>
          <w:sz w:val="22"/>
          <w:szCs w:val="22"/>
        </w:rPr>
        <w:t>ednosti ALT u serumu treba da budu konstantno povećane tokom najmanje 6 m</w:t>
      </w:r>
      <w:r>
        <w:rPr>
          <w:bCs/>
          <w:sz w:val="22"/>
          <w:szCs w:val="22"/>
        </w:rPr>
        <w:t>j</w:t>
      </w:r>
      <w:r w:rsidRPr="00C31119">
        <w:rPr>
          <w:bCs/>
          <w:sz w:val="22"/>
          <w:szCs w:val="22"/>
        </w:rPr>
        <w:t>eseci pr</w:t>
      </w:r>
      <w:r>
        <w:rPr>
          <w:bCs/>
          <w:sz w:val="22"/>
          <w:szCs w:val="22"/>
        </w:rPr>
        <w:t>ij</w:t>
      </w:r>
      <w:r w:rsidRPr="00C31119">
        <w:rPr>
          <w:bCs/>
          <w:sz w:val="22"/>
          <w:szCs w:val="22"/>
        </w:rPr>
        <w:t>e terapije kod pedijatrijskih pacijenata sa kompenzovanim oboljenjem jetre usl</w:t>
      </w:r>
      <w:r w:rsidR="00EF0263">
        <w:rPr>
          <w:bCs/>
          <w:sz w:val="22"/>
          <w:szCs w:val="22"/>
        </w:rPr>
        <w:t>j</w:t>
      </w:r>
      <w:r w:rsidRPr="00C31119">
        <w:rPr>
          <w:bCs/>
          <w:sz w:val="22"/>
          <w:szCs w:val="22"/>
        </w:rPr>
        <w:t>ed HBeAg pozitivnog hroničnog hepatitisa B, odnosno najmanje 12 m</w:t>
      </w:r>
      <w:r>
        <w:rPr>
          <w:bCs/>
          <w:sz w:val="22"/>
          <w:szCs w:val="22"/>
        </w:rPr>
        <w:t>j</w:t>
      </w:r>
      <w:r w:rsidRPr="00C31119">
        <w:rPr>
          <w:bCs/>
          <w:sz w:val="22"/>
          <w:szCs w:val="22"/>
        </w:rPr>
        <w:t>eseci kod pacijenata sa HBeAg negativnim oboljenjem.</w:t>
      </w:r>
    </w:p>
    <w:p w:rsidR="00C31119" w:rsidRPr="00C31119" w:rsidRDefault="00C31119">
      <w:pPr>
        <w:tabs>
          <w:tab w:val="left" w:pos="540"/>
          <w:tab w:val="left" w:pos="569"/>
        </w:tabs>
        <w:jc w:val="both"/>
        <w:rPr>
          <w:bCs/>
          <w:sz w:val="22"/>
          <w:szCs w:val="22"/>
        </w:rPr>
      </w:pPr>
    </w:p>
    <w:p w:rsidR="00C31119" w:rsidRPr="00C31119" w:rsidRDefault="00C31119">
      <w:pPr>
        <w:tabs>
          <w:tab w:val="left" w:pos="540"/>
          <w:tab w:val="left" w:pos="569"/>
        </w:tabs>
        <w:jc w:val="both"/>
        <w:rPr>
          <w:bCs/>
          <w:sz w:val="22"/>
          <w:szCs w:val="22"/>
          <w:u w:val="single"/>
        </w:rPr>
      </w:pPr>
      <w:r w:rsidRPr="00C31119">
        <w:rPr>
          <w:bCs/>
          <w:sz w:val="22"/>
          <w:szCs w:val="22"/>
          <w:u w:val="single"/>
        </w:rPr>
        <w:t>Trajanje terapije kod odraslih pacijenata i adolescenata sa hroničnim hepatitisom B</w:t>
      </w:r>
    </w:p>
    <w:p w:rsidR="00C31119" w:rsidRPr="00C31119" w:rsidRDefault="00C31119">
      <w:pPr>
        <w:tabs>
          <w:tab w:val="left" w:pos="540"/>
          <w:tab w:val="left" w:pos="569"/>
        </w:tabs>
        <w:jc w:val="both"/>
        <w:rPr>
          <w:bCs/>
          <w:sz w:val="22"/>
          <w:szCs w:val="22"/>
        </w:rPr>
      </w:pPr>
    </w:p>
    <w:p w:rsidR="00C31119" w:rsidRPr="00C31119" w:rsidRDefault="00C31119" w:rsidP="00C31119">
      <w:pPr>
        <w:tabs>
          <w:tab w:val="left" w:pos="540"/>
          <w:tab w:val="left" w:pos="569"/>
        </w:tabs>
        <w:jc w:val="both"/>
        <w:rPr>
          <w:bCs/>
          <w:sz w:val="22"/>
          <w:szCs w:val="22"/>
        </w:rPr>
      </w:pPr>
      <w:r w:rsidRPr="00C31119">
        <w:rPr>
          <w:bCs/>
          <w:sz w:val="22"/>
          <w:szCs w:val="22"/>
        </w:rPr>
        <w:t>Optimalno trajanje terapije nije poznato. Prekid terapije može se razmatrati u sl</w:t>
      </w:r>
      <w:r>
        <w:rPr>
          <w:bCs/>
          <w:sz w:val="22"/>
          <w:szCs w:val="22"/>
        </w:rPr>
        <w:t>j</w:t>
      </w:r>
      <w:r w:rsidRPr="00C31119">
        <w:rPr>
          <w:bCs/>
          <w:sz w:val="22"/>
          <w:szCs w:val="22"/>
        </w:rPr>
        <w:t>edećim slučajevima:</w:t>
      </w:r>
    </w:p>
    <w:p w:rsidR="00C31119" w:rsidRDefault="00C31119" w:rsidP="00C31119">
      <w:pPr>
        <w:numPr>
          <w:ilvl w:val="2"/>
          <w:numId w:val="12"/>
        </w:numPr>
        <w:tabs>
          <w:tab w:val="left" w:pos="540"/>
          <w:tab w:val="left" w:pos="569"/>
        </w:tabs>
        <w:jc w:val="both"/>
        <w:rPr>
          <w:bCs/>
          <w:sz w:val="22"/>
          <w:szCs w:val="22"/>
        </w:rPr>
      </w:pPr>
      <w:r w:rsidRPr="00C31119">
        <w:rPr>
          <w:bCs/>
          <w:sz w:val="22"/>
          <w:szCs w:val="22"/>
        </w:rPr>
        <w:t>Kod HBeAg pozitivnih pacijenata bez ciroze, terapiju treba prim</w:t>
      </w:r>
      <w:r>
        <w:rPr>
          <w:bCs/>
          <w:sz w:val="22"/>
          <w:szCs w:val="22"/>
        </w:rPr>
        <w:t>j</w:t>
      </w:r>
      <w:r w:rsidRPr="00C31119">
        <w:rPr>
          <w:bCs/>
          <w:sz w:val="22"/>
          <w:szCs w:val="22"/>
        </w:rPr>
        <w:t>enjivati najmanje 12 m</w:t>
      </w:r>
      <w:r>
        <w:rPr>
          <w:bCs/>
          <w:sz w:val="22"/>
          <w:szCs w:val="22"/>
        </w:rPr>
        <w:t>j</w:t>
      </w:r>
      <w:r w:rsidRPr="00C31119">
        <w:rPr>
          <w:bCs/>
          <w:sz w:val="22"/>
          <w:szCs w:val="22"/>
        </w:rPr>
        <w:t>eseci nakon potvrde HBe serokonverzije (gubitak HBeAg i HBV DNK sa detekcijom anti-HBe u najmanje dva uzastopna uzorka seruma koji su uzeti u periodima sa razmakom od najmanje 3-6 m</w:t>
      </w:r>
      <w:r>
        <w:rPr>
          <w:bCs/>
          <w:sz w:val="22"/>
          <w:szCs w:val="22"/>
        </w:rPr>
        <w:t>j</w:t>
      </w:r>
      <w:r w:rsidRPr="00C31119">
        <w:rPr>
          <w:bCs/>
          <w:sz w:val="22"/>
          <w:szCs w:val="22"/>
        </w:rPr>
        <w:t>eseci) ili dok se ne dogodi HBs serokonverzija ili gubitak efikasnosti (vid</w:t>
      </w:r>
      <w:r>
        <w:rPr>
          <w:bCs/>
          <w:sz w:val="22"/>
          <w:szCs w:val="22"/>
        </w:rPr>
        <w:t>j</w:t>
      </w:r>
      <w:r w:rsidRPr="00C31119">
        <w:rPr>
          <w:bCs/>
          <w:sz w:val="22"/>
          <w:szCs w:val="22"/>
        </w:rPr>
        <w:t>eti od</w:t>
      </w:r>
      <w:r>
        <w:rPr>
          <w:bCs/>
          <w:sz w:val="22"/>
          <w:szCs w:val="22"/>
        </w:rPr>
        <w:t>j</w:t>
      </w:r>
      <w:r w:rsidRPr="00C31119">
        <w:rPr>
          <w:bCs/>
          <w:sz w:val="22"/>
          <w:szCs w:val="22"/>
        </w:rPr>
        <w:t>eljak 4.4). Treba redovno pratiti vr</w:t>
      </w:r>
      <w:r>
        <w:rPr>
          <w:bCs/>
          <w:sz w:val="22"/>
          <w:szCs w:val="22"/>
        </w:rPr>
        <w:t>ij</w:t>
      </w:r>
      <w:r w:rsidRPr="00C31119">
        <w:rPr>
          <w:bCs/>
          <w:sz w:val="22"/>
          <w:szCs w:val="22"/>
        </w:rPr>
        <w:t>ednosti ALT i HBV DNK u serumu nakon prekida terapije kako bi se detektovao bilo koji kasni virusološki relaps.</w:t>
      </w:r>
    </w:p>
    <w:p w:rsidR="00C31119" w:rsidRDefault="00C31119" w:rsidP="00C31119">
      <w:pPr>
        <w:tabs>
          <w:tab w:val="left" w:pos="540"/>
          <w:tab w:val="left" w:pos="569"/>
        </w:tabs>
        <w:ind w:left="880"/>
        <w:jc w:val="both"/>
        <w:rPr>
          <w:bCs/>
          <w:sz w:val="22"/>
          <w:szCs w:val="22"/>
        </w:rPr>
      </w:pPr>
    </w:p>
    <w:p w:rsidR="00C31119" w:rsidRPr="00C31119" w:rsidRDefault="00C31119" w:rsidP="00C31119">
      <w:pPr>
        <w:numPr>
          <w:ilvl w:val="2"/>
          <w:numId w:val="12"/>
        </w:numPr>
        <w:tabs>
          <w:tab w:val="left" w:pos="540"/>
          <w:tab w:val="left" w:pos="569"/>
        </w:tabs>
        <w:jc w:val="both"/>
        <w:rPr>
          <w:bCs/>
          <w:sz w:val="22"/>
          <w:szCs w:val="22"/>
        </w:rPr>
      </w:pPr>
      <w:r w:rsidRPr="00C31119">
        <w:rPr>
          <w:bCs/>
          <w:sz w:val="22"/>
          <w:szCs w:val="22"/>
        </w:rPr>
        <w:t>Kod HBeAg negativnih pacijenata bez ciroze, terapiju treba prim</w:t>
      </w:r>
      <w:r>
        <w:rPr>
          <w:bCs/>
          <w:sz w:val="22"/>
          <w:szCs w:val="22"/>
        </w:rPr>
        <w:t>j</w:t>
      </w:r>
      <w:r w:rsidRPr="00C31119">
        <w:rPr>
          <w:bCs/>
          <w:sz w:val="22"/>
          <w:szCs w:val="22"/>
        </w:rPr>
        <w:t>enjivati najkraće do HBs serokonverzije ili do pojave dokaza izostanka efikasnosti terapije.</w:t>
      </w:r>
    </w:p>
    <w:p w:rsidR="00C31119" w:rsidRPr="00C31119" w:rsidRDefault="00C31119" w:rsidP="00C31119">
      <w:pPr>
        <w:tabs>
          <w:tab w:val="left" w:pos="540"/>
          <w:tab w:val="left" w:pos="569"/>
        </w:tabs>
        <w:ind w:left="952"/>
        <w:jc w:val="both"/>
        <w:rPr>
          <w:bCs/>
          <w:sz w:val="22"/>
          <w:szCs w:val="22"/>
        </w:rPr>
      </w:pPr>
    </w:p>
    <w:p w:rsidR="00C31119" w:rsidRPr="00C31119" w:rsidRDefault="00C31119" w:rsidP="00C31119">
      <w:pPr>
        <w:tabs>
          <w:tab w:val="left" w:pos="540"/>
          <w:tab w:val="left" w:pos="569"/>
        </w:tabs>
        <w:jc w:val="both"/>
        <w:rPr>
          <w:bCs/>
          <w:sz w:val="22"/>
          <w:szCs w:val="22"/>
        </w:rPr>
      </w:pPr>
      <w:r w:rsidRPr="00C31119">
        <w:rPr>
          <w:bCs/>
          <w:sz w:val="22"/>
          <w:szCs w:val="22"/>
        </w:rPr>
        <w:lastRenderedPageBreak/>
        <w:t>Prekid terapije se takođe može razmotriti nakon što se postigne stabilna virusološka supresija (tj. nakon najmanje 3 godine) pod uslovom da se nakon prekida terapije redovno prate vr</w:t>
      </w:r>
      <w:r>
        <w:rPr>
          <w:bCs/>
          <w:sz w:val="22"/>
          <w:szCs w:val="22"/>
        </w:rPr>
        <w:t>ij</w:t>
      </w:r>
      <w:r w:rsidRPr="00C31119">
        <w:rPr>
          <w:bCs/>
          <w:sz w:val="22"/>
          <w:szCs w:val="22"/>
        </w:rPr>
        <w:t>ednosti ALT i HBV DNK u serumu kako bi se detektovao bilo koji kasni virusološki relaps. Kod terapije koja traje preko 2 godine, preporučuje se redovno praćenje pacijenta kako bi se potvrdilo da je nastavak izabrane terapije i dalje odgovarajući.</w:t>
      </w:r>
    </w:p>
    <w:p w:rsidR="00C31119" w:rsidRPr="00192010" w:rsidRDefault="00C31119" w:rsidP="00192010">
      <w:pPr>
        <w:tabs>
          <w:tab w:val="left" w:pos="540"/>
          <w:tab w:val="left" w:pos="569"/>
        </w:tabs>
        <w:jc w:val="both"/>
        <w:rPr>
          <w:bCs/>
          <w:sz w:val="22"/>
          <w:szCs w:val="22"/>
        </w:rPr>
      </w:pPr>
      <w:r w:rsidRPr="00192010">
        <w:rPr>
          <w:bCs/>
          <w:sz w:val="22"/>
          <w:szCs w:val="22"/>
        </w:rPr>
        <w:t>Kod odraslih pacijenata sa dekompenzovanim oboljenjem jetre ili sa cirozom, ne preporučuje se prekid terapije.</w:t>
      </w:r>
    </w:p>
    <w:p w:rsidR="00452E9D" w:rsidRPr="00192010" w:rsidRDefault="00452E9D" w:rsidP="00192010">
      <w:pPr>
        <w:tabs>
          <w:tab w:val="left" w:pos="540"/>
          <w:tab w:val="left" w:pos="569"/>
        </w:tabs>
        <w:jc w:val="both"/>
        <w:rPr>
          <w:bCs/>
          <w:sz w:val="22"/>
          <w:szCs w:val="22"/>
        </w:rPr>
      </w:pPr>
    </w:p>
    <w:p w:rsidR="00C31119" w:rsidRPr="00E84177" w:rsidRDefault="00C31119" w:rsidP="00E84177">
      <w:pPr>
        <w:tabs>
          <w:tab w:val="left" w:pos="540"/>
          <w:tab w:val="left" w:pos="569"/>
        </w:tabs>
        <w:jc w:val="both"/>
        <w:rPr>
          <w:b/>
          <w:bCs/>
          <w:i/>
          <w:iCs/>
          <w:sz w:val="22"/>
          <w:szCs w:val="22"/>
        </w:rPr>
      </w:pPr>
      <w:r w:rsidRPr="00E84177">
        <w:rPr>
          <w:b/>
          <w:bCs/>
          <w:i/>
          <w:iCs/>
          <w:sz w:val="22"/>
          <w:szCs w:val="22"/>
        </w:rPr>
        <w:t>Pedijatrijska populacija</w:t>
      </w:r>
    </w:p>
    <w:p w:rsidR="00C31119" w:rsidRPr="00192010" w:rsidRDefault="00C31119" w:rsidP="00E84177">
      <w:pPr>
        <w:tabs>
          <w:tab w:val="left" w:pos="540"/>
          <w:tab w:val="left" w:pos="569"/>
        </w:tabs>
        <w:jc w:val="both"/>
        <w:rPr>
          <w:bCs/>
          <w:sz w:val="22"/>
          <w:szCs w:val="22"/>
        </w:rPr>
      </w:pPr>
      <w:r w:rsidRPr="00E84177">
        <w:rPr>
          <w:bCs/>
          <w:sz w:val="22"/>
          <w:szCs w:val="22"/>
        </w:rPr>
        <w:t>Redukovane doze tenofovir dizoproksila se koriste u terapiji infekcije virusom HIV-1 i hroničnog hepatit</w:t>
      </w:r>
      <w:r w:rsidRPr="00192010">
        <w:rPr>
          <w:bCs/>
          <w:sz w:val="22"/>
          <w:szCs w:val="22"/>
        </w:rPr>
        <w:t>isa B kod pedijatrijskih pacijenata uzrasta od 2 do &lt; 12 godina. Budući da lijek Gilestra, 245mg, film tablete, nije pogodan za upotrebu kod pedijatrijskih pacijenata uzrasta od 2 do &lt; 12 godina, treba provjeriti dostupnost drugih pogodnih formulacija.</w:t>
      </w:r>
    </w:p>
    <w:p w:rsidR="00C31119" w:rsidRPr="00192010" w:rsidRDefault="00C31119">
      <w:pPr>
        <w:tabs>
          <w:tab w:val="left" w:pos="540"/>
          <w:tab w:val="left" w:pos="569"/>
        </w:tabs>
        <w:jc w:val="both"/>
        <w:rPr>
          <w:bCs/>
          <w:sz w:val="22"/>
          <w:szCs w:val="22"/>
        </w:rPr>
      </w:pPr>
    </w:p>
    <w:p w:rsidR="00C31119" w:rsidRPr="00192010" w:rsidRDefault="00C31119">
      <w:pPr>
        <w:tabs>
          <w:tab w:val="left" w:pos="540"/>
          <w:tab w:val="left" w:pos="569"/>
        </w:tabs>
        <w:jc w:val="both"/>
        <w:rPr>
          <w:bCs/>
          <w:sz w:val="22"/>
          <w:szCs w:val="22"/>
        </w:rPr>
      </w:pPr>
      <w:r w:rsidRPr="00192010">
        <w:rPr>
          <w:bCs/>
          <w:sz w:val="22"/>
          <w:szCs w:val="22"/>
        </w:rPr>
        <w:t xml:space="preserve">Bezbjednost i efikasnost tenofovir dizoproksila kod djece </w:t>
      </w:r>
      <w:r w:rsidR="00B83CAB" w:rsidRPr="00192010">
        <w:rPr>
          <w:bCs/>
          <w:sz w:val="22"/>
          <w:szCs w:val="22"/>
        </w:rPr>
        <w:t>ml</w:t>
      </w:r>
      <w:r w:rsidRPr="00192010">
        <w:rPr>
          <w:bCs/>
          <w:sz w:val="22"/>
          <w:szCs w:val="22"/>
        </w:rPr>
        <w:t xml:space="preserve">ađe od 2 godine inficirane virusom HIV-1 ili sa hroničnim hepatitisom B nije utvrđena. Nema dostupnih podataka. </w:t>
      </w:r>
    </w:p>
    <w:p w:rsidR="00C31119" w:rsidRPr="00192010" w:rsidRDefault="00C31119">
      <w:pPr>
        <w:tabs>
          <w:tab w:val="left" w:pos="540"/>
          <w:tab w:val="left" w:pos="569"/>
        </w:tabs>
        <w:jc w:val="both"/>
        <w:rPr>
          <w:bCs/>
          <w:sz w:val="22"/>
          <w:szCs w:val="22"/>
        </w:rPr>
      </w:pPr>
    </w:p>
    <w:p w:rsidR="00C31119" w:rsidRPr="00192010" w:rsidRDefault="00C31119">
      <w:pPr>
        <w:tabs>
          <w:tab w:val="left" w:pos="540"/>
          <w:tab w:val="left" w:pos="569"/>
        </w:tabs>
        <w:jc w:val="both"/>
        <w:rPr>
          <w:b/>
          <w:bCs/>
          <w:i/>
          <w:iCs/>
          <w:sz w:val="22"/>
          <w:szCs w:val="22"/>
        </w:rPr>
      </w:pPr>
      <w:r w:rsidRPr="00192010">
        <w:rPr>
          <w:b/>
          <w:bCs/>
          <w:i/>
          <w:iCs/>
          <w:sz w:val="22"/>
          <w:szCs w:val="22"/>
        </w:rPr>
        <w:t>Propuštena doza</w:t>
      </w:r>
    </w:p>
    <w:p w:rsidR="00C31119" w:rsidRPr="00192010" w:rsidRDefault="00C31119">
      <w:pPr>
        <w:tabs>
          <w:tab w:val="left" w:pos="540"/>
          <w:tab w:val="left" w:pos="569"/>
        </w:tabs>
        <w:jc w:val="both"/>
        <w:rPr>
          <w:bCs/>
          <w:sz w:val="22"/>
          <w:szCs w:val="22"/>
        </w:rPr>
      </w:pPr>
      <w:r w:rsidRPr="00192010">
        <w:rPr>
          <w:bCs/>
          <w:sz w:val="22"/>
          <w:szCs w:val="22"/>
        </w:rPr>
        <w:t>Ako pacijent propusti dozu lijeka Gilestra unutar 12 časova od uobičajenog vremena uzimanja, pacijent treba da uzme lijek Gilestra sa hranom što je prije moguće i  da nastavi sa svojim normalnim rasporedom doziranja. Ako pacijent propusti dozu lijeka Gilestra duže od 12 časova, a već je blizu vrijeme za njegovu sljedeću dozu, pacijent ne smije uzeti propuštenu dozu već mora nastaviti sa uobičajenim rasporedom doziranja.</w:t>
      </w:r>
    </w:p>
    <w:p w:rsidR="00C31119" w:rsidRPr="00192010" w:rsidRDefault="00C31119">
      <w:pPr>
        <w:tabs>
          <w:tab w:val="left" w:pos="540"/>
          <w:tab w:val="left" w:pos="569"/>
        </w:tabs>
        <w:jc w:val="both"/>
        <w:rPr>
          <w:bCs/>
          <w:sz w:val="22"/>
          <w:szCs w:val="22"/>
        </w:rPr>
      </w:pPr>
    </w:p>
    <w:p w:rsidR="00C31119" w:rsidRPr="00192010" w:rsidRDefault="00C31119">
      <w:pPr>
        <w:tabs>
          <w:tab w:val="left" w:pos="540"/>
          <w:tab w:val="left" w:pos="569"/>
        </w:tabs>
        <w:jc w:val="both"/>
        <w:rPr>
          <w:bCs/>
          <w:sz w:val="22"/>
          <w:szCs w:val="22"/>
        </w:rPr>
      </w:pPr>
      <w:r w:rsidRPr="00192010">
        <w:rPr>
          <w:bCs/>
          <w:sz w:val="22"/>
          <w:szCs w:val="22"/>
        </w:rPr>
        <w:t>Ako pacijent povrati u roku 1 časa od uzimanja lijeka, trebalo bi da uzme još jednu tabletu. Ako pacijent povrati nakon više od 1 časa od uzimanja lijeka, nema potrebe za uzimanjem druge tablete.</w:t>
      </w:r>
    </w:p>
    <w:p w:rsidR="00C31119" w:rsidRPr="00192010" w:rsidRDefault="00C31119">
      <w:pPr>
        <w:tabs>
          <w:tab w:val="left" w:pos="540"/>
          <w:tab w:val="left" w:pos="569"/>
        </w:tabs>
        <w:jc w:val="both"/>
        <w:rPr>
          <w:bCs/>
          <w:sz w:val="22"/>
          <w:szCs w:val="22"/>
        </w:rPr>
      </w:pPr>
    </w:p>
    <w:p w:rsidR="008B7AAE" w:rsidRPr="00192010" w:rsidRDefault="008B7AAE">
      <w:pPr>
        <w:tabs>
          <w:tab w:val="left" w:pos="540"/>
          <w:tab w:val="left" w:pos="569"/>
        </w:tabs>
        <w:jc w:val="both"/>
        <w:rPr>
          <w:bCs/>
          <w:sz w:val="22"/>
          <w:szCs w:val="22"/>
        </w:rPr>
      </w:pPr>
      <w:r w:rsidRPr="00192010">
        <w:rPr>
          <w:b/>
          <w:bCs/>
          <w:i/>
          <w:sz w:val="22"/>
          <w:szCs w:val="22"/>
        </w:rPr>
        <w:t>Posebne</w:t>
      </w:r>
      <w:r w:rsidRPr="00192010">
        <w:rPr>
          <w:bCs/>
          <w:i/>
          <w:sz w:val="22"/>
          <w:szCs w:val="22"/>
        </w:rPr>
        <w:t xml:space="preserve"> </w:t>
      </w:r>
      <w:r w:rsidRPr="00192010">
        <w:rPr>
          <w:b/>
          <w:bCs/>
          <w:i/>
          <w:sz w:val="22"/>
          <w:szCs w:val="22"/>
        </w:rPr>
        <w:t>populacije</w:t>
      </w:r>
    </w:p>
    <w:p w:rsidR="008B7AAE" w:rsidRPr="00192010" w:rsidRDefault="008B7AAE">
      <w:pPr>
        <w:tabs>
          <w:tab w:val="left" w:pos="540"/>
          <w:tab w:val="left" w:pos="569"/>
        </w:tabs>
        <w:jc w:val="both"/>
        <w:rPr>
          <w:bCs/>
          <w:sz w:val="22"/>
          <w:szCs w:val="22"/>
        </w:rPr>
      </w:pPr>
      <w:r w:rsidRPr="00192010">
        <w:rPr>
          <w:bCs/>
          <w:i/>
          <w:sz w:val="22"/>
          <w:szCs w:val="22"/>
        </w:rPr>
        <w:t>Stariji pacijenti</w:t>
      </w:r>
    </w:p>
    <w:p w:rsidR="008B7AAE" w:rsidRPr="00192010" w:rsidRDefault="008B7AAE">
      <w:pPr>
        <w:tabs>
          <w:tab w:val="left" w:pos="540"/>
          <w:tab w:val="left" w:pos="569"/>
        </w:tabs>
        <w:jc w:val="both"/>
        <w:rPr>
          <w:bCs/>
          <w:sz w:val="22"/>
          <w:szCs w:val="22"/>
        </w:rPr>
      </w:pPr>
      <w:r w:rsidRPr="00192010">
        <w:rPr>
          <w:bCs/>
          <w:sz w:val="22"/>
          <w:szCs w:val="22"/>
        </w:rPr>
        <w:t>Nema dostupnih podataka na osnovu kojih bi se dale preporuke za doziranje kod pacijenata starijih od 65 godina (vidjeti odjeljak 4.4).</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sz w:val="22"/>
          <w:szCs w:val="22"/>
        </w:rPr>
      </w:pPr>
      <w:r w:rsidRPr="00192010">
        <w:rPr>
          <w:bCs/>
          <w:i/>
          <w:sz w:val="22"/>
          <w:szCs w:val="22"/>
        </w:rPr>
        <w:t>Oštećenje funkcije bubrega</w:t>
      </w:r>
      <w:r w:rsidRPr="00192010">
        <w:rPr>
          <w:bCs/>
          <w:sz w:val="22"/>
          <w:szCs w:val="22"/>
        </w:rPr>
        <w:t xml:space="preserve"> </w:t>
      </w:r>
    </w:p>
    <w:p w:rsidR="008B7AAE" w:rsidRPr="00192010" w:rsidRDefault="008B7AAE">
      <w:pPr>
        <w:tabs>
          <w:tab w:val="left" w:pos="540"/>
          <w:tab w:val="left" w:pos="569"/>
        </w:tabs>
        <w:jc w:val="both"/>
        <w:rPr>
          <w:bCs/>
          <w:sz w:val="22"/>
          <w:szCs w:val="22"/>
        </w:rPr>
      </w:pPr>
      <w:r w:rsidRPr="00192010">
        <w:rPr>
          <w:bCs/>
          <w:sz w:val="22"/>
          <w:szCs w:val="22"/>
        </w:rPr>
        <w:t xml:space="preserve">Tenofovir se eliminiše renalnim putem i izloženost tenofoviru je povećana kod pacijenata sa oštećenom funkcijom bubrega. </w:t>
      </w:r>
    </w:p>
    <w:p w:rsidR="00C31119" w:rsidRPr="00192010" w:rsidRDefault="00C31119">
      <w:pPr>
        <w:tabs>
          <w:tab w:val="left" w:pos="540"/>
          <w:tab w:val="left" w:pos="569"/>
        </w:tabs>
        <w:jc w:val="both"/>
        <w:rPr>
          <w:bCs/>
          <w:sz w:val="22"/>
          <w:szCs w:val="22"/>
        </w:rPr>
      </w:pPr>
    </w:p>
    <w:p w:rsidR="008B7AAE" w:rsidRPr="00192010" w:rsidRDefault="008B7AAE">
      <w:pPr>
        <w:tabs>
          <w:tab w:val="left" w:pos="540"/>
          <w:tab w:val="left" w:pos="569"/>
        </w:tabs>
        <w:jc w:val="both"/>
        <w:rPr>
          <w:bCs/>
          <w:sz w:val="22"/>
          <w:szCs w:val="22"/>
          <w:u w:val="single"/>
        </w:rPr>
      </w:pPr>
      <w:r w:rsidRPr="00192010">
        <w:rPr>
          <w:bCs/>
          <w:sz w:val="22"/>
          <w:szCs w:val="22"/>
          <w:u w:val="single"/>
        </w:rPr>
        <w:t>Odrasli</w:t>
      </w:r>
    </w:p>
    <w:p w:rsidR="008B7AAE" w:rsidRPr="00192010" w:rsidRDefault="008B7AAE">
      <w:pPr>
        <w:tabs>
          <w:tab w:val="left" w:pos="540"/>
          <w:tab w:val="left" w:pos="569"/>
        </w:tabs>
        <w:jc w:val="both"/>
        <w:rPr>
          <w:bCs/>
          <w:sz w:val="22"/>
          <w:szCs w:val="22"/>
        </w:rPr>
      </w:pPr>
      <w:r w:rsidRPr="00192010">
        <w:rPr>
          <w:bCs/>
          <w:sz w:val="22"/>
          <w:szCs w:val="22"/>
        </w:rPr>
        <w:t xml:space="preserve">Postoje ograničeni podaci o bezbjednosti i efikasnosti tenofovir dizoproksila kod pacijenata sa umjerenim do teškim oštećenjem bubrega (klirens kreatinina &lt;50 </w:t>
      </w:r>
      <w:r w:rsidR="00B83CAB" w:rsidRPr="00192010">
        <w:rPr>
          <w:bCs/>
          <w:sz w:val="22"/>
          <w:szCs w:val="22"/>
        </w:rPr>
        <w:t>ml</w:t>
      </w:r>
      <w:r w:rsidRPr="00192010">
        <w:rPr>
          <w:bCs/>
          <w:sz w:val="22"/>
          <w:szCs w:val="22"/>
        </w:rPr>
        <w:t xml:space="preserve">/min), a bezbjednost dugotrajne primjene nije ispitivana kod pacijenata sa blagim oštećenjem funkcije bubrega (klirens kreatinina 50-80 </w:t>
      </w:r>
      <w:r w:rsidR="00B83CAB" w:rsidRPr="00192010">
        <w:rPr>
          <w:bCs/>
          <w:sz w:val="22"/>
          <w:szCs w:val="22"/>
        </w:rPr>
        <w:t>ml</w:t>
      </w:r>
      <w:r w:rsidRPr="00192010">
        <w:rPr>
          <w:bCs/>
          <w:sz w:val="22"/>
          <w:szCs w:val="22"/>
        </w:rPr>
        <w:t xml:space="preserve">/min). Iz tih razloga, kod odraslih pacijenata sa oštećenjem funkcije bubrega, tenofovir dizoproksil treba primjenjivati samo ukoliko se utvrdi da potencijalna korist od terapije prevazilazi potencijalne rizike. </w:t>
      </w:r>
    </w:p>
    <w:p w:rsidR="008B7AAE" w:rsidRPr="00192010" w:rsidRDefault="008B7AAE">
      <w:pPr>
        <w:tabs>
          <w:tab w:val="left" w:pos="540"/>
          <w:tab w:val="left" w:pos="569"/>
        </w:tabs>
        <w:jc w:val="both"/>
        <w:rPr>
          <w:bCs/>
          <w:sz w:val="22"/>
          <w:szCs w:val="22"/>
        </w:rPr>
      </w:pPr>
      <w:r w:rsidRPr="00192010">
        <w:rPr>
          <w:bCs/>
          <w:sz w:val="22"/>
          <w:szCs w:val="22"/>
        </w:rPr>
        <w:t xml:space="preserve">Za primjenu redukovanih doza tenofovir dizoproksila kod odraslih pacijenata sa klirensom kreatinina &lt; 50 </w:t>
      </w:r>
      <w:r w:rsidR="00B83CAB" w:rsidRPr="00192010">
        <w:rPr>
          <w:bCs/>
          <w:sz w:val="22"/>
          <w:szCs w:val="22"/>
        </w:rPr>
        <w:t>ml</w:t>
      </w:r>
      <w:r w:rsidRPr="00192010">
        <w:rPr>
          <w:bCs/>
          <w:sz w:val="22"/>
          <w:szCs w:val="22"/>
        </w:rPr>
        <w:t>/min uključujući i pacijente na hemodijalizi, treba provjeriti dostupnost drugih pogodnih formulacija.</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i/>
          <w:sz w:val="22"/>
          <w:szCs w:val="22"/>
        </w:rPr>
      </w:pPr>
      <w:r w:rsidRPr="00192010">
        <w:rPr>
          <w:bCs/>
          <w:i/>
          <w:sz w:val="22"/>
          <w:szCs w:val="22"/>
        </w:rPr>
        <w:t xml:space="preserve">Pacijenti sa blagim oštećenjem funkcije bubrega (klirens kreatinina 50-80 </w:t>
      </w:r>
      <w:r w:rsidR="00B83CAB" w:rsidRPr="00192010">
        <w:rPr>
          <w:bCs/>
          <w:i/>
          <w:sz w:val="22"/>
          <w:szCs w:val="22"/>
        </w:rPr>
        <w:t>ml</w:t>
      </w:r>
      <w:r w:rsidRPr="00192010">
        <w:rPr>
          <w:bCs/>
          <w:i/>
          <w:sz w:val="22"/>
          <w:szCs w:val="22"/>
        </w:rPr>
        <w:t>/min)</w:t>
      </w:r>
    </w:p>
    <w:p w:rsidR="008B7AAE" w:rsidRPr="00E84177" w:rsidRDefault="008B7AAE">
      <w:pPr>
        <w:tabs>
          <w:tab w:val="left" w:pos="540"/>
          <w:tab w:val="left" w:pos="569"/>
        </w:tabs>
        <w:jc w:val="both"/>
        <w:rPr>
          <w:bCs/>
          <w:sz w:val="22"/>
          <w:szCs w:val="22"/>
        </w:rPr>
      </w:pPr>
      <w:r w:rsidRPr="00192010">
        <w:rPr>
          <w:bCs/>
          <w:sz w:val="22"/>
          <w:szCs w:val="22"/>
        </w:rPr>
        <w:t>Ograničeni podaci iz kliničkih ispitivanja idu u prilog doziranju 245 mg tenofovir dizoproksila jed</w:t>
      </w:r>
      <w:r w:rsidR="00E84177">
        <w:rPr>
          <w:bCs/>
          <w:sz w:val="22"/>
          <w:szCs w:val="22"/>
        </w:rPr>
        <w:t>nom</w:t>
      </w:r>
      <w:r w:rsidRPr="00E84177">
        <w:rPr>
          <w:bCs/>
          <w:sz w:val="22"/>
          <w:szCs w:val="22"/>
        </w:rPr>
        <w:t xml:space="preserve"> dnevno kod pacijenata sa blagim oštećenjem funkcije bubrega.</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i/>
          <w:sz w:val="22"/>
          <w:szCs w:val="22"/>
        </w:rPr>
      </w:pPr>
      <w:r w:rsidRPr="00192010">
        <w:rPr>
          <w:bCs/>
          <w:i/>
          <w:sz w:val="22"/>
          <w:szCs w:val="22"/>
        </w:rPr>
        <w:t xml:space="preserve">Pacijenti sa umjerenim oštećenjem funkcije bubrega (klirens kreatinina 30-49 </w:t>
      </w:r>
      <w:r w:rsidR="00B83CAB" w:rsidRPr="00192010">
        <w:rPr>
          <w:bCs/>
          <w:i/>
          <w:sz w:val="22"/>
          <w:szCs w:val="22"/>
        </w:rPr>
        <w:t>ml</w:t>
      </w:r>
      <w:r w:rsidRPr="00192010">
        <w:rPr>
          <w:bCs/>
          <w:i/>
          <w:sz w:val="22"/>
          <w:szCs w:val="22"/>
        </w:rPr>
        <w:t>/min)</w:t>
      </w:r>
    </w:p>
    <w:p w:rsidR="008B7AAE" w:rsidRPr="00192010" w:rsidRDefault="008B7AAE">
      <w:pPr>
        <w:tabs>
          <w:tab w:val="left" w:pos="540"/>
          <w:tab w:val="left" w:pos="569"/>
        </w:tabs>
        <w:jc w:val="both"/>
        <w:rPr>
          <w:bCs/>
          <w:sz w:val="22"/>
          <w:szCs w:val="22"/>
        </w:rPr>
      </w:pPr>
      <w:r w:rsidRPr="00192010">
        <w:rPr>
          <w:bCs/>
          <w:sz w:val="22"/>
          <w:szCs w:val="22"/>
        </w:rPr>
        <w:t>Ukoliko primjena manjih doza tenofovir dizoproksila nije moguća, može se primijeniti lijek Gilestra, film tablete, 245 mg, sa produženim intervalom doziranja. Primjena 245 mg tenofovir dizoproksila svakih 48 sati se preporučuje na osnovu model</w:t>
      </w:r>
      <w:r w:rsidR="00D6162F">
        <w:rPr>
          <w:bCs/>
          <w:sz w:val="22"/>
          <w:szCs w:val="22"/>
        </w:rPr>
        <w:t>a</w:t>
      </w:r>
      <w:r w:rsidRPr="00D6162F">
        <w:rPr>
          <w:bCs/>
          <w:sz w:val="22"/>
          <w:szCs w:val="22"/>
        </w:rPr>
        <w:t xml:space="preserve"> farmakokinetičkih podataka za jednu dozu kod ispitanika koji ni</w:t>
      </w:r>
      <w:r w:rsidR="00D6162F">
        <w:rPr>
          <w:bCs/>
          <w:sz w:val="22"/>
          <w:szCs w:val="22"/>
        </w:rPr>
        <w:t>je</w:t>
      </w:r>
      <w:r w:rsidRPr="00D6162F">
        <w:rPr>
          <w:bCs/>
          <w:sz w:val="22"/>
          <w:szCs w:val="22"/>
        </w:rPr>
        <w:t xml:space="preserve">su inficirani virusom HIV niti virusom HBV sa različitim stepenima oštećenja bubrega, uključujući i bubrežno oboljenje terminalnog stadijuma koje zahtijeva hemodijalizu, ali ona </w:t>
      </w:r>
      <w:r w:rsidRPr="00D6162F">
        <w:rPr>
          <w:bCs/>
          <w:sz w:val="22"/>
          <w:szCs w:val="22"/>
        </w:rPr>
        <w:lastRenderedPageBreak/>
        <w:t>nije prov</w:t>
      </w:r>
      <w:r w:rsidRPr="00192010">
        <w:rPr>
          <w:bCs/>
          <w:sz w:val="22"/>
          <w:szCs w:val="22"/>
        </w:rPr>
        <w:t>jerena u kliničkim ispitivanjima. Zbog toga, kod ovih pacijenata treba pažljivo pratiti klinički odgovor na terapiju i funkciju bubrega (vidjeti odjeljke 4.4 i 5.2).</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i/>
          <w:sz w:val="22"/>
          <w:szCs w:val="22"/>
        </w:rPr>
      </w:pPr>
      <w:r w:rsidRPr="00192010">
        <w:rPr>
          <w:bCs/>
          <w:i/>
          <w:sz w:val="22"/>
          <w:szCs w:val="22"/>
        </w:rPr>
        <w:t xml:space="preserve">Pacijenti sa teškim oštećenjem funkcije bubrega (klirens kreatinina &lt;30 </w:t>
      </w:r>
      <w:r w:rsidR="00B83CAB" w:rsidRPr="00192010">
        <w:rPr>
          <w:bCs/>
          <w:i/>
          <w:sz w:val="22"/>
          <w:szCs w:val="22"/>
        </w:rPr>
        <w:t>ml</w:t>
      </w:r>
      <w:r w:rsidRPr="00192010">
        <w:rPr>
          <w:bCs/>
          <w:i/>
          <w:sz w:val="22"/>
          <w:szCs w:val="22"/>
        </w:rPr>
        <w:t>/min) i pacijenti na hemodijalizi</w:t>
      </w:r>
    </w:p>
    <w:p w:rsidR="008B7AAE" w:rsidRPr="00192010" w:rsidRDefault="008B7AAE">
      <w:pPr>
        <w:tabs>
          <w:tab w:val="left" w:pos="540"/>
          <w:tab w:val="left" w:pos="569"/>
        </w:tabs>
        <w:jc w:val="both"/>
        <w:rPr>
          <w:bCs/>
          <w:sz w:val="22"/>
          <w:szCs w:val="22"/>
        </w:rPr>
      </w:pPr>
      <w:r w:rsidRPr="00192010">
        <w:rPr>
          <w:bCs/>
          <w:sz w:val="22"/>
          <w:szCs w:val="22"/>
        </w:rPr>
        <w:t>Ukoliko primjena manjih doza tenofovir dizoproksila nije moguća i nema druge dostupne terapije, mogu se primijeniti film tablete lijeka Gilestra, 245 mg, sa produženim intervalom doziranja, na sljedeći način:</w:t>
      </w:r>
    </w:p>
    <w:p w:rsidR="008B7AAE" w:rsidRPr="00192010" w:rsidRDefault="008B7AAE">
      <w:pPr>
        <w:numPr>
          <w:ilvl w:val="0"/>
          <w:numId w:val="15"/>
        </w:numPr>
        <w:tabs>
          <w:tab w:val="left" w:pos="540"/>
          <w:tab w:val="left" w:pos="569"/>
        </w:tabs>
        <w:jc w:val="both"/>
        <w:rPr>
          <w:bCs/>
          <w:sz w:val="22"/>
          <w:szCs w:val="22"/>
        </w:rPr>
      </w:pPr>
      <w:r w:rsidRPr="00192010">
        <w:rPr>
          <w:bCs/>
          <w:sz w:val="22"/>
          <w:szCs w:val="22"/>
        </w:rPr>
        <w:t xml:space="preserve">Teško oštećenje funkcije bubrega: može se primijeniti 245 mg tenofovir dizoproksila na svakih 72-96 sati (doziranje dva puta nedjeljno) </w:t>
      </w:r>
    </w:p>
    <w:p w:rsidR="008B7AAE" w:rsidRPr="00192010" w:rsidRDefault="008B7AAE">
      <w:pPr>
        <w:numPr>
          <w:ilvl w:val="0"/>
          <w:numId w:val="15"/>
        </w:numPr>
        <w:tabs>
          <w:tab w:val="left" w:pos="540"/>
          <w:tab w:val="left" w:pos="569"/>
        </w:tabs>
        <w:jc w:val="both"/>
        <w:rPr>
          <w:bCs/>
          <w:sz w:val="22"/>
          <w:szCs w:val="22"/>
        </w:rPr>
      </w:pPr>
      <w:r w:rsidRPr="00192010">
        <w:rPr>
          <w:bCs/>
          <w:sz w:val="22"/>
          <w:szCs w:val="22"/>
        </w:rPr>
        <w:t xml:space="preserve">Pacijenti na hemodijalizi: može se primijeniti 245 mg tenofovir dizoproksila na svakih 7 dana nakon završene terapije hemodijalize* </w:t>
      </w:r>
    </w:p>
    <w:p w:rsidR="008B7AAE" w:rsidRPr="00192010" w:rsidRDefault="008B7AAE">
      <w:pPr>
        <w:tabs>
          <w:tab w:val="left" w:pos="540"/>
          <w:tab w:val="left" w:pos="569"/>
        </w:tabs>
        <w:jc w:val="both"/>
        <w:rPr>
          <w:bCs/>
          <w:sz w:val="22"/>
          <w:szCs w:val="22"/>
        </w:rPr>
      </w:pPr>
      <w:r w:rsidRPr="00192010">
        <w:rPr>
          <w:bCs/>
          <w:sz w:val="22"/>
          <w:szCs w:val="22"/>
        </w:rPr>
        <w:t>Navedena prilagođavanja intervala primjene doze ni</w:t>
      </w:r>
      <w:r w:rsidR="00D6162F">
        <w:rPr>
          <w:bCs/>
          <w:sz w:val="22"/>
          <w:szCs w:val="22"/>
        </w:rPr>
        <w:t>je</w:t>
      </w:r>
      <w:r w:rsidRPr="00D6162F">
        <w:rPr>
          <w:bCs/>
          <w:sz w:val="22"/>
          <w:szCs w:val="22"/>
        </w:rPr>
        <w:t>su potvrđena u kliničkim ispitivanjima. Simulacije ukazuju na to da produženi in</w:t>
      </w:r>
      <w:r w:rsidRPr="00192010">
        <w:rPr>
          <w:bCs/>
          <w:sz w:val="22"/>
          <w:szCs w:val="22"/>
        </w:rPr>
        <w:t>terval između doza lijeka Gilestra, film tableta od 245 mg nije optimalan i da može dovesti do povećane toksičnosti i moguće neadekvatnog odgovora. Zbog ovoga treba pažljivo pratiti klinički odgovor na terapiju i funkciju bubrega (vidjeti odjeljke 4.4 i 5.2).</w:t>
      </w:r>
    </w:p>
    <w:p w:rsidR="008B7AAE" w:rsidRPr="00192010" w:rsidRDefault="008B7AAE">
      <w:pPr>
        <w:tabs>
          <w:tab w:val="left" w:pos="540"/>
          <w:tab w:val="left" w:pos="569"/>
        </w:tabs>
        <w:jc w:val="both"/>
        <w:rPr>
          <w:bCs/>
          <w:sz w:val="22"/>
          <w:szCs w:val="22"/>
        </w:rPr>
      </w:pPr>
    </w:p>
    <w:p w:rsidR="008B7AAE" w:rsidRPr="00D6162F" w:rsidRDefault="008B7AAE">
      <w:pPr>
        <w:tabs>
          <w:tab w:val="left" w:pos="540"/>
          <w:tab w:val="left" w:pos="569"/>
        </w:tabs>
        <w:jc w:val="both"/>
        <w:rPr>
          <w:bCs/>
          <w:sz w:val="22"/>
          <w:szCs w:val="22"/>
        </w:rPr>
      </w:pPr>
      <w:r w:rsidRPr="00192010">
        <w:rPr>
          <w:bCs/>
          <w:sz w:val="22"/>
          <w:szCs w:val="22"/>
        </w:rPr>
        <w:t xml:space="preserve">*Generalno, doziranje jednom nedjeljno </w:t>
      </w:r>
      <w:r w:rsidR="00D6162F">
        <w:rPr>
          <w:bCs/>
          <w:sz w:val="22"/>
          <w:szCs w:val="22"/>
        </w:rPr>
        <w:t>pod</w:t>
      </w:r>
      <w:r w:rsidRPr="00D6162F">
        <w:rPr>
          <w:bCs/>
          <w:sz w:val="22"/>
          <w:szCs w:val="22"/>
        </w:rPr>
        <w:t xml:space="preserve"> pretpostav</w:t>
      </w:r>
      <w:r w:rsidR="00D6162F">
        <w:rPr>
          <w:bCs/>
          <w:sz w:val="22"/>
          <w:szCs w:val="22"/>
        </w:rPr>
        <w:t>kom</w:t>
      </w:r>
      <w:r w:rsidRPr="00D6162F">
        <w:rPr>
          <w:bCs/>
          <w:sz w:val="22"/>
          <w:szCs w:val="22"/>
        </w:rPr>
        <w:t xml:space="preserve"> tri hemodijalize nedjeljno, svaka u trajanju od po 4</w:t>
      </w:r>
      <w:r w:rsidR="00D6162F">
        <w:rPr>
          <w:bCs/>
          <w:sz w:val="22"/>
          <w:szCs w:val="22"/>
        </w:rPr>
        <w:t xml:space="preserve"> sata</w:t>
      </w:r>
      <w:r w:rsidRPr="00D6162F">
        <w:rPr>
          <w:bCs/>
          <w:sz w:val="22"/>
          <w:szCs w:val="22"/>
        </w:rPr>
        <w:t xml:space="preserve">, ili nakon 12 </w:t>
      </w:r>
      <w:r w:rsidR="00D6162F">
        <w:rPr>
          <w:bCs/>
          <w:sz w:val="22"/>
          <w:szCs w:val="22"/>
        </w:rPr>
        <w:t>sati</w:t>
      </w:r>
      <w:r w:rsidR="00D6162F" w:rsidRPr="00D6162F">
        <w:rPr>
          <w:bCs/>
          <w:sz w:val="22"/>
          <w:szCs w:val="22"/>
        </w:rPr>
        <w:t xml:space="preserve"> </w:t>
      </w:r>
      <w:r w:rsidRPr="00D6162F">
        <w:rPr>
          <w:bCs/>
          <w:sz w:val="22"/>
          <w:szCs w:val="22"/>
        </w:rPr>
        <w:t>kumulativn</w:t>
      </w:r>
      <w:r w:rsidR="00D6162F">
        <w:rPr>
          <w:bCs/>
          <w:sz w:val="22"/>
          <w:szCs w:val="22"/>
        </w:rPr>
        <w:t>e dijalize</w:t>
      </w:r>
      <w:r w:rsidRPr="00D6162F">
        <w:rPr>
          <w:bCs/>
          <w:sz w:val="22"/>
          <w:szCs w:val="22"/>
        </w:rPr>
        <w:t>.</w:t>
      </w:r>
    </w:p>
    <w:p w:rsidR="008B7AAE" w:rsidRPr="00192010" w:rsidRDefault="008B7AAE">
      <w:pPr>
        <w:tabs>
          <w:tab w:val="left" w:pos="540"/>
          <w:tab w:val="left" w:pos="569"/>
        </w:tabs>
        <w:jc w:val="both"/>
        <w:rPr>
          <w:bCs/>
          <w:sz w:val="22"/>
          <w:szCs w:val="22"/>
        </w:rPr>
      </w:pPr>
    </w:p>
    <w:p w:rsidR="008B7AAE" w:rsidRPr="008C52F8" w:rsidRDefault="008B7AAE">
      <w:pPr>
        <w:tabs>
          <w:tab w:val="left" w:pos="540"/>
          <w:tab w:val="left" w:pos="569"/>
        </w:tabs>
        <w:jc w:val="both"/>
        <w:rPr>
          <w:bCs/>
          <w:sz w:val="22"/>
          <w:szCs w:val="22"/>
        </w:rPr>
      </w:pPr>
      <w:r w:rsidRPr="00192010">
        <w:rPr>
          <w:bCs/>
          <w:sz w:val="22"/>
          <w:szCs w:val="22"/>
        </w:rPr>
        <w:t xml:space="preserve">Ne mogu se pružiti preporuke za doziranje kod pacijenata sa klirensom kreatinina &lt;10 </w:t>
      </w:r>
      <w:r w:rsidR="00B83CAB" w:rsidRPr="00192010">
        <w:rPr>
          <w:bCs/>
          <w:sz w:val="22"/>
          <w:szCs w:val="22"/>
        </w:rPr>
        <w:t>ml</w:t>
      </w:r>
      <w:r w:rsidRPr="00192010">
        <w:rPr>
          <w:bCs/>
          <w:sz w:val="22"/>
          <w:szCs w:val="22"/>
        </w:rPr>
        <w:t>/min, koji ni</w:t>
      </w:r>
      <w:r w:rsidR="008C52F8">
        <w:rPr>
          <w:bCs/>
          <w:sz w:val="22"/>
          <w:szCs w:val="22"/>
        </w:rPr>
        <w:t>je</w:t>
      </w:r>
      <w:r w:rsidRPr="008C52F8">
        <w:rPr>
          <w:bCs/>
          <w:sz w:val="22"/>
          <w:szCs w:val="22"/>
        </w:rPr>
        <w:t>su na hemodijalizi.</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sz w:val="22"/>
          <w:szCs w:val="22"/>
          <w:u w:val="single"/>
        </w:rPr>
      </w:pPr>
      <w:r w:rsidRPr="00192010">
        <w:rPr>
          <w:bCs/>
          <w:sz w:val="22"/>
          <w:szCs w:val="22"/>
          <w:u w:val="single"/>
        </w:rPr>
        <w:t>Pedijatrijska populacija</w:t>
      </w:r>
    </w:p>
    <w:p w:rsidR="008B7AAE" w:rsidRPr="00192010" w:rsidRDefault="008B7AAE">
      <w:pPr>
        <w:tabs>
          <w:tab w:val="left" w:pos="540"/>
          <w:tab w:val="left" w:pos="569"/>
        </w:tabs>
        <w:jc w:val="both"/>
        <w:rPr>
          <w:bCs/>
          <w:sz w:val="22"/>
          <w:szCs w:val="22"/>
        </w:rPr>
      </w:pPr>
      <w:r w:rsidRPr="00192010">
        <w:rPr>
          <w:bCs/>
          <w:sz w:val="22"/>
          <w:szCs w:val="22"/>
        </w:rPr>
        <w:t>Upotreba tenofovir dizoproksila nije preporučena kod pedijatrijskih pacijenata sa oštećenjem funkcije bubrega (vidjeti odjeljak 4.4).</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i/>
          <w:sz w:val="22"/>
          <w:szCs w:val="22"/>
        </w:rPr>
      </w:pPr>
      <w:r w:rsidRPr="00192010">
        <w:rPr>
          <w:bCs/>
          <w:i/>
          <w:sz w:val="22"/>
          <w:szCs w:val="22"/>
        </w:rPr>
        <w:t>Oštećenje funkcije jetre</w:t>
      </w:r>
    </w:p>
    <w:p w:rsidR="008B7AAE" w:rsidRPr="00192010" w:rsidRDefault="008B7AAE">
      <w:pPr>
        <w:tabs>
          <w:tab w:val="left" w:pos="540"/>
          <w:tab w:val="left" w:pos="569"/>
        </w:tabs>
        <w:jc w:val="both"/>
        <w:rPr>
          <w:bCs/>
          <w:i/>
          <w:sz w:val="22"/>
          <w:szCs w:val="22"/>
        </w:rPr>
      </w:pPr>
      <w:r w:rsidRPr="00192010">
        <w:rPr>
          <w:bCs/>
          <w:sz w:val="22"/>
          <w:szCs w:val="22"/>
        </w:rPr>
        <w:t>Kod pacijenata sa oštećenjem funkcije jetre ni</w:t>
      </w:r>
      <w:r w:rsidR="008C52F8">
        <w:rPr>
          <w:bCs/>
          <w:sz w:val="22"/>
          <w:szCs w:val="22"/>
        </w:rPr>
        <w:t>je</w:t>
      </w:r>
      <w:r w:rsidRPr="008C52F8">
        <w:rPr>
          <w:bCs/>
          <w:sz w:val="22"/>
          <w:szCs w:val="22"/>
        </w:rPr>
        <w:t>su potrebna prilagođavanja doze (vidjeti odjeljke 4.4 i 5.2).</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sz w:val="22"/>
          <w:szCs w:val="22"/>
        </w:rPr>
      </w:pPr>
      <w:r w:rsidRPr="00192010">
        <w:rPr>
          <w:bCs/>
          <w:sz w:val="22"/>
          <w:szCs w:val="22"/>
        </w:rPr>
        <w:t>Ukoliko se pacijentima sa hroničnim hepatitisom B, sa ili bez HIV koinfekcije, prekine terapija lijekom Gilestra, kod ovih pacijenata treba pažljivo pratiti pojavu simptoma egzacerbacije hepatitisa (vidjeti odjeljak 4.4).</w:t>
      </w:r>
    </w:p>
    <w:p w:rsidR="008B7AAE" w:rsidRPr="00192010" w:rsidRDefault="008B7AAE">
      <w:pPr>
        <w:tabs>
          <w:tab w:val="left" w:pos="540"/>
          <w:tab w:val="left" w:pos="569"/>
        </w:tabs>
        <w:jc w:val="both"/>
        <w:rPr>
          <w:bCs/>
          <w:sz w:val="22"/>
          <w:szCs w:val="22"/>
        </w:rPr>
      </w:pPr>
    </w:p>
    <w:p w:rsidR="008B7AAE" w:rsidRPr="00192010" w:rsidRDefault="008B7AAE">
      <w:pPr>
        <w:tabs>
          <w:tab w:val="left" w:pos="540"/>
          <w:tab w:val="left" w:pos="569"/>
        </w:tabs>
        <w:jc w:val="both"/>
        <w:rPr>
          <w:bCs/>
          <w:sz w:val="22"/>
          <w:szCs w:val="22"/>
          <w:u w:val="single"/>
        </w:rPr>
      </w:pPr>
      <w:r w:rsidRPr="00192010">
        <w:rPr>
          <w:bCs/>
          <w:sz w:val="22"/>
          <w:szCs w:val="22"/>
          <w:u w:val="single"/>
        </w:rPr>
        <w:t>Način primjene</w:t>
      </w:r>
    </w:p>
    <w:p w:rsidR="008B7AAE" w:rsidRPr="00192010" w:rsidRDefault="008B7AAE">
      <w:pPr>
        <w:tabs>
          <w:tab w:val="left" w:pos="540"/>
          <w:tab w:val="left" w:pos="569"/>
        </w:tabs>
        <w:jc w:val="both"/>
        <w:rPr>
          <w:bCs/>
          <w:sz w:val="22"/>
          <w:szCs w:val="22"/>
        </w:rPr>
      </w:pPr>
      <w:r w:rsidRPr="00192010">
        <w:rPr>
          <w:bCs/>
          <w:sz w:val="22"/>
          <w:szCs w:val="22"/>
        </w:rPr>
        <w:t>Film tablete l</w:t>
      </w:r>
      <w:r w:rsidR="000B1781" w:rsidRPr="00192010">
        <w:rPr>
          <w:bCs/>
          <w:sz w:val="22"/>
          <w:szCs w:val="22"/>
        </w:rPr>
        <w:t>ij</w:t>
      </w:r>
      <w:r w:rsidRPr="00192010">
        <w:rPr>
          <w:bCs/>
          <w:sz w:val="22"/>
          <w:szCs w:val="22"/>
        </w:rPr>
        <w:t>eka Gilestra treba uzimati jednom dnevno, oralno, sa hranom.</w:t>
      </w:r>
    </w:p>
    <w:p w:rsidR="008B7AAE" w:rsidRPr="00192010" w:rsidRDefault="008B7AAE">
      <w:pPr>
        <w:tabs>
          <w:tab w:val="left" w:pos="540"/>
          <w:tab w:val="left" w:pos="569"/>
        </w:tabs>
        <w:jc w:val="both"/>
        <w:rPr>
          <w:bCs/>
          <w:sz w:val="22"/>
          <w:szCs w:val="22"/>
        </w:rPr>
      </w:pPr>
      <w:r w:rsidRPr="00192010">
        <w:rPr>
          <w:bCs/>
          <w:sz w:val="22"/>
          <w:szCs w:val="22"/>
        </w:rPr>
        <w:t>Kod pacijenata kod kojih prim</w:t>
      </w:r>
      <w:r w:rsidR="000B1781" w:rsidRPr="00192010">
        <w:rPr>
          <w:bCs/>
          <w:sz w:val="22"/>
          <w:szCs w:val="22"/>
        </w:rPr>
        <w:t>j</w:t>
      </w:r>
      <w:r w:rsidRPr="00192010">
        <w:rPr>
          <w:bCs/>
          <w:sz w:val="22"/>
          <w:szCs w:val="22"/>
        </w:rPr>
        <w:t>ena čvrstog farmaceutskog oblika nije moguća, treba prov</w:t>
      </w:r>
      <w:r w:rsidR="000B1781" w:rsidRPr="00192010">
        <w:rPr>
          <w:bCs/>
          <w:sz w:val="22"/>
          <w:szCs w:val="22"/>
        </w:rPr>
        <w:t>j</w:t>
      </w:r>
      <w:r w:rsidRPr="00192010">
        <w:rPr>
          <w:bCs/>
          <w:sz w:val="22"/>
          <w:szCs w:val="22"/>
        </w:rPr>
        <w:t>eriti dostupnost drugih pogodnih formulacija l</w:t>
      </w:r>
      <w:r w:rsidR="000B1781" w:rsidRPr="00192010">
        <w:rPr>
          <w:bCs/>
          <w:sz w:val="22"/>
          <w:szCs w:val="22"/>
        </w:rPr>
        <w:t>ij</w:t>
      </w:r>
      <w:r w:rsidRPr="00192010">
        <w:rPr>
          <w:bCs/>
          <w:sz w:val="22"/>
          <w:szCs w:val="22"/>
        </w:rPr>
        <w:t>eka.</w:t>
      </w:r>
    </w:p>
    <w:p w:rsidR="008B7AAE" w:rsidRPr="00192010" w:rsidRDefault="008B7AAE">
      <w:pPr>
        <w:tabs>
          <w:tab w:val="left" w:pos="540"/>
          <w:tab w:val="left" w:pos="569"/>
        </w:tabs>
        <w:jc w:val="both"/>
        <w:rPr>
          <w:bCs/>
          <w:sz w:val="22"/>
          <w:szCs w:val="22"/>
        </w:rPr>
      </w:pPr>
      <w:r w:rsidRPr="00192010">
        <w:rPr>
          <w:bCs/>
          <w:sz w:val="22"/>
          <w:szCs w:val="22"/>
        </w:rPr>
        <w:t>Pod izuzetnim okolnostima, kod pacijenata koji otežano gutaju, l</w:t>
      </w:r>
      <w:r w:rsidR="000B1781" w:rsidRPr="00192010">
        <w:rPr>
          <w:bCs/>
          <w:sz w:val="22"/>
          <w:szCs w:val="22"/>
        </w:rPr>
        <w:t>ij</w:t>
      </w:r>
      <w:r w:rsidRPr="00192010">
        <w:rPr>
          <w:bCs/>
          <w:sz w:val="22"/>
          <w:szCs w:val="22"/>
        </w:rPr>
        <w:t>ek Gilestra, 245 mg, film tablete, se može prim</w:t>
      </w:r>
      <w:r w:rsidR="000B1781" w:rsidRPr="00192010">
        <w:rPr>
          <w:bCs/>
          <w:sz w:val="22"/>
          <w:szCs w:val="22"/>
        </w:rPr>
        <w:t>ij</w:t>
      </w:r>
      <w:r w:rsidRPr="00192010">
        <w:rPr>
          <w:bCs/>
          <w:sz w:val="22"/>
          <w:szCs w:val="22"/>
        </w:rPr>
        <w:t>eniti nakon usitnjavanja film tablete i m</w:t>
      </w:r>
      <w:r w:rsidR="000B1781" w:rsidRPr="00192010">
        <w:rPr>
          <w:bCs/>
          <w:sz w:val="22"/>
          <w:szCs w:val="22"/>
        </w:rPr>
        <w:t>ij</w:t>
      </w:r>
      <w:r w:rsidRPr="00192010">
        <w:rPr>
          <w:bCs/>
          <w:sz w:val="22"/>
          <w:szCs w:val="22"/>
        </w:rPr>
        <w:t xml:space="preserve">ešanja u najmanje 100 </w:t>
      </w:r>
      <w:r w:rsidR="00B83CAB" w:rsidRPr="00192010">
        <w:rPr>
          <w:bCs/>
          <w:sz w:val="22"/>
          <w:szCs w:val="22"/>
        </w:rPr>
        <w:t>ml</w:t>
      </w:r>
      <w:r w:rsidRPr="00192010">
        <w:rPr>
          <w:bCs/>
          <w:sz w:val="22"/>
          <w:szCs w:val="22"/>
        </w:rPr>
        <w:t xml:space="preserve"> vode, soka od pomorandže ili grožđa.</w:t>
      </w:r>
    </w:p>
    <w:p w:rsidR="00452E9D" w:rsidRPr="00192010" w:rsidRDefault="00452E9D">
      <w:pPr>
        <w:tabs>
          <w:tab w:val="left" w:pos="540"/>
          <w:tab w:val="left" w:pos="569"/>
        </w:tabs>
        <w:jc w:val="both"/>
        <w:rPr>
          <w:bCs/>
          <w:sz w:val="22"/>
          <w:szCs w:val="22"/>
        </w:rPr>
      </w:pPr>
    </w:p>
    <w:p w:rsidR="00411B4B" w:rsidRPr="00192010" w:rsidRDefault="00411B4B" w:rsidP="00A443AA">
      <w:pPr>
        <w:tabs>
          <w:tab w:val="left" w:pos="540"/>
          <w:tab w:val="left" w:pos="569"/>
        </w:tabs>
        <w:jc w:val="both"/>
        <w:rPr>
          <w:b/>
          <w:bCs/>
          <w:sz w:val="22"/>
          <w:szCs w:val="22"/>
        </w:rPr>
      </w:pPr>
      <w:r w:rsidRPr="00192010">
        <w:rPr>
          <w:b/>
          <w:bCs/>
          <w:sz w:val="22"/>
          <w:szCs w:val="22"/>
        </w:rPr>
        <w:t xml:space="preserve">4.3. </w:t>
      </w:r>
      <w:r w:rsidR="00480FB1" w:rsidRPr="00192010">
        <w:rPr>
          <w:b/>
          <w:bCs/>
          <w:sz w:val="22"/>
          <w:szCs w:val="22"/>
        </w:rPr>
        <w:tab/>
      </w:r>
      <w:r w:rsidRPr="00192010">
        <w:rPr>
          <w:b/>
          <w:bCs/>
          <w:sz w:val="22"/>
          <w:szCs w:val="22"/>
        </w:rPr>
        <w:t>Kontraindikacije</w:t>
      </w:r>
    </w:p>
    <w:p w:rsidR="000B1781" w:rsidRPr="00192010" w:rsidRDefault="000B1781" w:rsidP="00A443AA">
      <w:pPr>
        <w:tabs>
          <w:tab w:val="left" w:pos="540"/>
          <w:tab w:val="left" w:pos="569"/>
        </w:tabs>
        <w:jc w:val="both"/>
        <w:rPr>
          <w:b/>
          <w:bCs/>
          <w:sz w:val="22"/>
          <w:szCs w:val="22"/>
        </w:rPr>
      </w:pPr>
    </w:p>
    <w:p w:rsidR="000B1781" w:rsidRPr="00192010" w:rsidRDefault="000B1781" w:rsidP="00192010">
      <w:pPr>
        <w:tabs>
          <w:tab w:val="left" w:pos="540"/>
          <w:tab w:val="left" w:pos="569"/>
        </w:tabs>
        <w:jc w:val="both"/>
        <w:rPr>
          <w:bCs/>
          <w:sz w:val="22"/>
          <w:szCs w:val="22"/>
        </w:rPr>
      </w:pPr>
      <w:r w:rsidRPr="00192010">
        <w:rPr>
          <w:bCs/>
          <w:sz w:val="22"/>
          <w:szCs w:val="22"/>
        </w:rPr>
        <w:t>Preosjetljivost na aktivnu supstancu ili na bilo koju od pomoćnih supstanci navedenih su u odjeljku 6.1.</w:t>
      </w:r>
    </w:p>
    <w:p w:rsidR="0072020E" w:rsidRPr="00192010" w:rsidRDefault="0072020E">
      <w:pPr>
        <w:tabs>
          <w:tab w:val="left" w:pos="540"/>
          <w:tab w:val="left" w:pos="569"/>
        </w:tabs>
        <w:jc w:val="both"/>
        <w:rPr>
          <w:bCs/>
          <w:sz w:val="22"/>
          <w:szCs w:val="22"/>
        </w:rPr>
      </w:pPr>
    </w:p>
    <w:p w:rsidR="00411B4B" w:rsidRPr="00192010" w:rsidRDefault="00411B4B" w:rsidP="00A443AA">
      <w:pPr>
        <w:tabs>
          <w:tab w:val="left" w:pos="540"/>
          <w:tab w:val="left" w:pos="569"/>
        </w:tabs>
        <w:jc w:val="both"/>
        <w:rPr>
          <w:b/>
          <w:bCs/>
          <w:sz w:val="22"/>
          <w:szCs w:val="22"/>
        </w:rPr>
      </w:pPr>
      <w:r w:rsidRPr="00192010">
        <w:rPr>
          <w:b/>
          <w:bCs/>
          <w:sz w:val="22"/>
          <w:szCs w:val="22"/>
        </w:rPr>
        <w:t xml:space="preserve">4.4. </w:t>
      </w:r>
      <w:r w:rsidR="00480FB1" w:rsidRPr="00192010">
        <w:rPr>
          <w:b/>
          <w:bCs/>
          <w:sz w:val="22"/>
          <w:szCs w:val="22"/>
        </w:rPr>
        <w:tab/>
      </w:r>
      <w:r w:rsidRPr="00192010">
        <w:rPr>
          <w:b/>
          <w:bCs/>
          <w:sz w:val="22"/>
          <w:szCs w:val="22"/>
        </w:rPr>
        <w:t>Posebna upozorenja i mjere opreza pri upotrebi lijeka</w:t>
      </w:r>
    </w:p>
    <w:p w:rsidR="0072020E" w:rsidRPr="00192010" w:rsidRDefault="0072020E" w:rsidP="00A443AA">
      <w:pPr>
        <w:tabs>
          <w:tab w:val="left" w:pos="540"/>
          <w:tab w:val="left" w:pos="569"/>
        </w:tabs>
        <w:jc w:val="both"/>
        <w:rPr>
          <w:bCs/>
          <w:sz w:val="22"/>
          <w:szCs w:val="22"/>
        </w:rPr>
      </w:pPr>
    </w:p>
    <w:p w:rsidR="00945676" w:rsidRPr="00192010" w:rsidRDefault="00945676" w:rsidP="00192010">
      <w:pPr>
        <w:tabs>
          <w:tab w:val="left" w:pos="540"/>
          <w:tab w:val="left" w:pos="569"/>
        </w:tabs>
        <w:jc w:val="both"/>
        <w:rPr>
          <w:b/>
          <w:bCs/>
          <w:i/>
          <w:sz w:val="22"/>
          <w:szCs w:val="22"/>
        </w:rPr>
      </w:pPr>
      <w:r w:rsidRPr="00192010">
        <w:rPr>
          <w:b/>
          <w:bCs/>
          <w:i/>
          <w:sz w:val="22"/>
          <w:szCs w:val="22"/>
        </w:rPr>
        <w:t>Opšta upozorenja</w:t>
      </w:r>
    </w:p>
    <w:p w:rsidR="00945676" w:rsidRPr="00192010" w:rsidRDefault="00945676">
      <w:pPr>
        <w:tabs>
          <w:tab w:val="left" w:pos="540"/>
          <w:tab w:val="left" w:pos="569"/>
        </w:tabs>
        <w:jc w:val="both"/>
        <w:rPr>
          <w:bCs/>
          <w:sz w:val="22"/>
          <w:szCs w:val="22"/>
        </w:rPr>
      </w:pPr>
      <w:r w:rsidRPr="00192010">
        <w:rPr>
          <w:bCs/>
          <w:sz w:val="22"/>
          <w:szCs w:val="22"/>
        </w:rPr>
        <w:t xml:space="preserve">Svim pacijentima zaraženim HBV-om treba ponuditi testiranje na HIV antitijela prije početka terapije tenofovir dizoproksilom (vidjeti u daljem tekstu </w:t>
      </w:r>
      <w:r w:rsidRPr="00192010">
        <w:rPr>
          <w:bCs/>
          <w:i/>
          <w:sz w:val="22"/>
          <w:szCs w:val="22"/>
        </w:rPr>
        <w:t>Koinfekcija sa virusom HIV-1 i hepatitisom B</w:t>
      </w:r>
      <w:r w:rsidRPr="00192010">
        <w:rPr>
          <w:bCs/>
          <w:sz w:val="22"/>
          <w:szCs w:val="22"/>
        </w:rPr>
        <w:t>).</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Cs/>
          <w:sz w:val="22"/>
          <w:szCs w:val="22"/>
        </w:rPr>
      </w:pPr>
      <w:r w:rsidRPr="00192010">
        <w:rPr>
          <w:bCs/>
          <w:i/>
          <w:sz w:val="22"/>
          <w:szCs w:val="22"/>
        </w:rPr>
        <w:t>HIV-1</w:t>
      </w:r>
    </w:p>
    <w:p w:rsidR="00945676" w:rsidRPr="00192010" w:rsidRDefault="00945676">
      <w:pPr>
        <w:tabs>
          <w:tab w:val="left" w:pos="540"/>
          <w:tab w:val="left" w:pos="569"/>
        </w:tabs>
        <w:jc w:val="both"/>
        <w:rPr>
          <w:bCs/>
          <w:sz w:val="22"/>
          <w:szCs w:val="22"/>
        </w:rPr>
      </w:pPr>
      <w:r w:rsidRPr="00192010">
        <w:rPr>
          <w:bCs/>
          <w:sz w:val="22"/>
          <w:szCs w:val="22"/>
        </w:rPr>
        <w:t xml:space="preserve">Iako je dokazano da adekvatnom supresijom koncentracije virusa primjenom antiretrovirusne terapije, može značajno da se smanji rizik </w:t>
      </w:r>
      <w:r w:rsidR="008C52F8">
        <w:rPr>
          <w:bCs/>
          <w:sz w:val="22"/>
          <w:szCs w:val="22"/>
        </w:rPr>
        <w:t xml:space="preserve">od </w:t>
      </w:r>
      <w:r w:rsidRPr="008C52F8">
        <w:rPr>
          <w:bCs/>
          <w:sz w:val="22"/>
          <w:szCs w:val="22"/>
        </w:rPr>
        <w:t xml:space="preserve">prenosa </w:t>
      </w:r>
      <w:r w:rsidR="008C52F8">
        <w:rPr>
          <w:bCs/>
          <w:sz w:val="22"/>
          <w:szCs w:val="22"/>
        </w:rPr>
        <w:t xml:space="preserve">bolesti </w:t>
      </w:r>
      <w:r w:rsidRPr="008C52F8">
        <w:rPr>
          <w:bCs/>
          <w:sz w:val="22"/>
          <w:szCs w:val="22"/>
        </w:rPr>
        <w:t>seksualnim putem, rizik ne može da se zanemari u potpunosti. Potrebno je preduzeti adekvatne mjere predostrožnosti u skladu sa odgovarajućim sm</w:t>
      </w:r>
      <w:r w:rsidRPr="00192010">
        <w:rPr>
          <w:bCs/>
          <w:sz w:val="22"/>
          <w:szCs w:val="22"/>
        </w:rPr>
        <w:t>jernicama.</w:t>
      </w:r>
    </w:p>
    <w:p w:rsidR="00945676" w:rsidRPr="00192010" w:rsidRDefault="00945676">
      <w:pPr>
        <w:tabs>
          <w:tab w:val="left" w:pos="540"/>
          <w:tab w:val="left" w:pos="569"/>
        </w:tabs>
        <w:jc w:val="both"/>
        <w:rPr>
          <w:bCs/>
          <w:i/>
          <w:sz w:val="22"/>
          <w:szCs w:val="22"/>
        </w:rPr>
      </w:pPr>
    </w:p>
    <w:p w:rsidR="00945676" w:rsidRPr="00192010" w:rsidRDefault="00945676">
      <w:pPr>
        <w:tabs>
          <w:tab w:val="left" w:pos="540"/>
          <w:tab w:val="left" w:pos="569"/>
        </w:tabs>
        <w:jc w:val="both"/>
        <w:rPr>
          <w:bCs/>
          <w:sz w:val="22"/>
          <w:szCs w:val="22"/>
        </w:rPr>
      </w:pPr>
      <w:r w:rsidRPr="00192010">
        <w:rPr>
          <w:bCs/>
          <w:i/>
          <w:sz w:val="22"/>
          <w:szCs w:val="22"/>
        </w:rPr>
        <w:t>Hepatitis B</w:t>
      </w:r>
    </w:p>
    <w:p w:rsidR="00945676" w:rsidRPr="00192010" w:rsidRDefault="00945676">
      <w:pPr>
        <w:tabs>
          <w:tab w:val="left" w:pos="540"/>
          <w:tab w:val="left" w:pos="569"/>
        </w:tabs>
        <w:jc w:val="both"/>
        <w:rPr>
          <w:bCs/>
          <w:sz w:val="22"/>
          <w:szCs w:val="22"/>
        </w:rPr>
      </w:pPr>
      <w:r w:rsidRPr="00192010">
        <w:rPr>
          <w:bCs/>
          <w:sz w:val="22"/>
          <w:szCs w:val="22"/>
        </w:rPr>
        <w:t>Pacijenti se moraju savjetovati da nije dokazano da je tenofovir dizoproksil adekvatna prevencija od rizika prenošenja HBV-a drugim osobama preko seksualnog kontakta i kontaminacije krvlju. Mora se nastaviti sa primjenom odgovarajućih mjera predostrožnosti.</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
          <w:bCs/>
          <w:i/>
          <w:sz w:val="22"/>
          <w:szCs w:val="22"/>
        </w:rPr>
      </w:pPr>
      <w:r w:rsidRPr="00192010">
        <w:rPr>
          <w:b/>
          <w:bCs/>
          <w:i/>
          <w:sz w:val="22"/>
          <w:szCs w:val="22"/>
        </w:rPr>
        <w:t>Istovremena primjena sa drugim ljekovima:</w:t>
      </w:r>
    </w:p>
    <w:p w:rsidR="00945676" w:rsidRPr="00192010" w:rsidRDefault="00945676">
      <w:pPr>
        <w:tabs>
          <w:tab w:val="left" w:pos="540"/>
          <w:tab w:val="left" w:pos="569"/>
        </w:tabs>
        <w:jc w:val="both"/>
        <w:rPr>
          <w:bCs/>
          <w:sz w:val="22"/>
          <w:szCs w:val="22"/>
        </w:rPr>
      </w:pPr>
      <w:r w:rsidRPr="00192010">
        <w:rPr>
          <w:bCs/>
          <w:sz w:val="22"/>
          <w:szCs w:val="22"/>
        </w:rPr>
        <w:t>•</w:t>
      </w:r>
      <w:r w:rsidRPr="00192010">
        <w:rPr>
          <w:bCs/>
          <w:sz w:val="22"/>
          <w:szCs w:val="22"/>
        </w:rPr>
        <w:tab/>
        <w:t>Lijek Gilestra ne treba primjenjivati sa bilo kojim drugim ljekovima koji sadrže tenofovir dizoproksil ili tenofovir alafenamid.</w:t>
      </w:r>
    </w:p>
    <w:p w:rsidR="00945676" w:rsidRPr="00192010" w:rsidRDefault="00945676">
      <w:pPr>
        <w:tabs>
          <w:tab w:val="left" w:pos="540"/>
          <w:tab w:val="left" w:pos="569"/>
        </w:tabs>
        <w:jc w:val="both"/>
        <w:rPr>
          <w:bCs/>
          <w:sz w:val="22"/>
          <w:szCs w:val="22"/>
        </w:rPr>
      </w:pPr>
      <w:r w:rsidRPr="00192010">
        <w:rPr>
          <w:bCs/>
          <w:sz w:val="22"/>
          <w:szCs w:val="22"/>
        </w:rPr>
        <w:t>•</w:t>
      </w:r>
      <w:r w:rsidRPr="00192010">
        <w:rPr>
          <w:bCs/>
          <w:sz w:val="22"/>
          <w:szCs w:val="22"/>
        </w:rPr>
        <w:tab/>
        <w:t>Lijek Gilestra takođe ne treba primjenjivati istovremeno sa adefovir dipivoksilom.</w:t>
      </w:r>
    </w:p>
    <w:p w:rsidR="00945676" w:rsidRPr="00192010" w:rsidRDefault="00945676">
      <w:pPr>
        <w:tabs>
          <w:tab w:val="left" w:pos="540"/>
          <w:tab w:val="left" w:pos="569"/>
        </w:tabs>
        <w:jc w:val="both"/>
        <w:rPr>
          <w:bCs/>
          <w:sz w:val="22"/>
          <w:szCs w:val="22"/>
        </w:rPr>
      </w:pPr>
      <w:r w:rsidRPr="00192010">
        <w:rPr>
          <w:bCs/>
          <w:sz w:val="22"/>
          <w:szCs w:val="22"/>
        </w:rPr>
        <w:t>•</w:t>
      </w:r>
      <w:r w:rsidRPr="00192010">
        <w:rPr>
          <w:bCs/>
          <w:sz w:val="22"/>
          <w:szCs w:val="22"/>
        </w:rPr>
        <w:tab/>
        <w:t>Istovremena primjena tenofovir dizoproksila i didanozina nije preporučljiva (vidjeti odjeljak 4.5).</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
          <w:bCs/>
          <w:i/>
          <w:sz w:val="22"/>
          <w:szCs w:val="22"/>
        </w:rPr>
      </w:pPr>
      <w:r w:rsidRPr="00192010">
        <w:rPr>
          <w:b/>
          <w:bCs/>
          <w:i/>
          <w:sz w:val="22"/>
          <w:szCs w:val="22"/>
        </w:rPr>
        <w:t>Trostruka terapija nukleozidima/nukleotidima</w:t>
      </w:r>
    </w:p>
    <w:p w:rsidR="00945676" w:rsidRPr="008B318E" w:rsidRDefault="00945676">
      <w:pPr>
        <w:tabs>
          <w:tab w:val="left" w:pos="540"/>
          <w:tab w:val="left" w:pos="569"/>
        </w:tabs>
        <w:jc w:val="both"/>
        <w:rPr>
          <w:bCs/>
          <w:sz w:val="22"/>
          <w:szCs w:val="22"/>
        </w:rPr>
      </w:pPr>
      <w:r w:rsidRPr="00192010">
        <w:rPr>
          <w:bCs/>
          <w:sz w:val="22"/>
          <w:szCs w:val="22"/>
        </w:rPr>
        <w:t>Postoje izvještaji o visokoj stopi virološkog neuspjeha i o nastanku rezistencije u ranim stadijumima kod pacijenata sa HIV-om kada je tenofovir dizoproksil bio kombinovan sa lamivudinom i abakavirom, kao i sa lamivudinom i didanozinom po režimu jed</w:t>
      </w:r>
      <w:r w:rsidR="008B318E">
        <w:rPr>
          <w:bCs/>
          <w:sz w:val="22"/>
          <w:szCs w:val="22"/>
        </w:rPr>
        <w:t>nom</w:t>
      </w:r>
      <w:r w:rsidRPr="008B318E">
        <w:rPr>
          <w:bCs/>
          <w:sz w:val="22"/>
          <w:szCs w:val="22"/>
        </w:rPr>
        <w:t xml:space="preserve"> dnevno.</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
          <w:bCs/>
          <w:i/>
          <w:sz w:val="22"/>
          <w:szCs w:val="22"/>
        </w:rPr>
      </w:pPr>
      <w:r w:rsidRPr="00192010">
        <w:rPr>
          <w:b/>
          <w:bCs/>
          <w:i/>
          <w:sz w:val="22"/>
          <w:szCs w:val="22"/>
        </w:rPr>
        <w:t>Uticaj na bubrege i kosti kod odraslih</w:t>
      </w:r>
    </w:p>
    <w:p w:rsidR="00945676" w:rsidRPr="00192010" w:rsidRDefault="00945676">
      <w:pPr>
        <w:tabs>
          <w:tab w:val="left" w:pos="540"/>
          <w:tab w:val="left" w:pos="569"/>
        </w:tabs>
        <w:jc w:val="both"/>
        <w:rPr>
          <w:bCs/>
          <w:i/>
          <w:sz w:val="22"/>
          <w:szCs w:val="22"/>
        </w:rPr>
      </w:pPr>
      <w:r w:rsidRPr="00192010">
        <w:rPr>
          <w:bCs/>
          <w:i/>
          <w:sz w:val="22"/>
          <w:szCs w:val="22"/>
        </w:rPr>
        <w:t>Uticaj na bubrege</w:t>
      </w:r>
    </w:p>
    <w:p w:rsidR="00945676" w:rsidRPr="00192010" w:rsidRDefault="00945676">
      <w:pPr>
        <w:tabs>
          <w:tab w:val="left" w:pos="540"/>
          <w:tab w:val="left" w:pos="569"/>
        </w:tabs>
        <w:jc w:val="both"/>
        <w:rPr>
          <w:bCs/>
          <w:sz w:val="22"/>
          <w:szCs w:val="22"/>
        </w:rPr>
      </w:pPr>
      <w:r w:rsidRPr="00192010">
        <w:rPr>
          <w:bCs/>
          <w:sz w:val="22"/>
          <w:szCs w:val="22"/>
        </w:rPr>
        <w:t>Tenofovir se primarno eliminiše preko bubrega. Bubrežna insuficijencija, oštećenje funkcije bubrega, povećana vrijednost kreatinina, hipofosfatemija i proksimalna tubulopatija (uključujući Fankonijev sindrom) su prijavljivani prilikom upotrebe tenofovir dizoproksila u kliničkoj praksi (vidjeti odjeljak 4.8).</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Cs/>
          <w:i/>
          <w:sz w:val="22"/>
          <w:szCs w:val="22"/>
        </w:rPr>
      </w:pPr>
      <w:r w:rsidRPr="00192010">
        <w:rPr>
          <w:bCs/>
          <w:i/>
          <w:sz w:val="22"/>
          <w:szCs w:val="22"/>
        </w:rPr>
        <w:t>Praćenje funkcije bubrega</w:t>
      </w:r>
    </w:p>
    <w:p w:rsidR="00945676" w:rsidRPr="00192010" w:rsidRDefault="00945676">
      <w:pPr>
        <w:tabs>
          <w:tab w:val="left" w:pos="540"/>
          <w:tab w:val="left" w:pos="569"/>
        </w:tabs>
        <w:jc w:val="both"/>
        <w:rPr>
          <w:bCs/>
          <w:sz w:val="22"/>
          <w:szCs w:val="22"/>
        </w:rPr>
      </w:pPr>
      <w:r w:rsidRPr="00192010">
        <w:rPr>
          <w:bCs/>
          <w:sz w:val="22"/>
          <w:szCs w:val="22"/>
        </w:rPr>
        <w:t>Preporučuje se da se klirens kreatinina izračunava kod svih pacijenata prije početka terapije tenofovir dizoproksilom, kao i da se funkcija bubrega (klirens kreatinina i fosfati u serumu) takođe prate nakon dvije do četiri nedjelje, nakon tri mjeseca liječenja, a potom na svakih tri do šest mjeseci kod pacijenata kod kojih ne postoje faktori rizika od oštećenja bubrega. Kod pacijenata kod kojih postoji rizik od oštećenja funkcije bubrega, neophodno je češće praćenje bubrežne funkcije.</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Cs/>
          <w:i/>
          <w:sz w:val="22"/>
          <w:szCs w:val="22"/>
        </w:rPr>
      </w:pPr>
      <w:r w:rsidRPr="00192010">
        <w:rPr>
          <w:bCs/>
          <w:i/>
          <w:sz w:val="22"/>
          <w:szCs w:val="22"/>
        </w:rPr>
        <w:t>Kontrolisanje funkcije bubrega</w:t>
      </w:r>
    </w:p>
    <w:p w:rsidR="00945676" w:rsidRPr="00192010" w:rsidRDefault="00945676">
      <w:pPr>
        <w:tabs>
          <w:tab w:val="left" w:pos="540"/>
          <w:tab w:val="left" w:pos="569"/>
        </w:tabs>
        <w:jc w:val="both"/>
        <w:rPr>
          <w:bCs/>
          <w:sz w:val="22"/>
          <w:szCs w:val="22"/>
        </w:rPr>
      </w:pPr>
      <w:r w:rsidRPr="00192010">
        <w:rPr>
          <w:bCs/>
          <w:sz w:val="22"/>
          <w:szCs w:val="22"/>
        </w:rPr>
        <w:t>Ukoliko su fosfati u serumu &lt;1,5 mg/d</w:t>
      </w:r>
      <w:r w:rsidR="00597F43">
        <w:rPr>
          <w:bCs/>
          <w:sz w:val="22"/>
          <w:szCs w:val="22"/>
        </w:rPr>
        <w:t>l</w:t>
      </w:r>
      <w:r w:rsidRPr="00597F43">
        <w:rPr>
          <w:bCs/>
          <w:sz w:val="22"/>
          <w:szCs w:val="22"/>
        </w:rPr>
        <w:t xml:space="preserve"> (0,48 mmol/</w:t>
      </w:r>
      <w:r w:rsidR="00597F43">
        <w:rPr>
          <w:bCs/>
          <w:sz w:val="22"/>
          <w:szCs w:val="22"/>
        </w:rPr>
        <w:t>l</w:t>
      </w:r>
      <w:r w:rsidRPr="00597F43">
        <w:rPr>
          <w:bCs/>
          <w:sz w:val="22"/>
          <w:szCs w:val="22"/>
        </w:rPr>
        <w:t xml:space="preserve">) ili ukoliko je klirens kreatinina smanjen na &lt;50 </w:t>
      </w:r>
      <w:r w:rsidR="00B83CAB" w:rsidRPr="00192010">
        <w:rPr>
          <w:bCs/>
          <w:sz w:val="22"/>
          <w:szCs w:val="22"/>
        </w:rPr>
        <w:t>ml</w:t>
      </w:r>
      <w:r w:rsidRPr="00192010">
        <w:rPr>
          <w:bCs/>
          <w:sz w:val="22"/>
          <w:szCs w:val="22"/>
        </w:rPr>
        <w:t xml:space="preserve">/min kod bilo kog odraslog pacijenta koji prima tenofovir dizoproksil, bubrežnu funkciju treba ponovo ocijeniti u roku od jedne nedjelje, uključujući mjerenje koncentracija glukoze u krvi, kalijuma u krvi i glukoze u mokraći (vidjeti odjeljak 4.8, proksimalna tubulopatija). Treba razmotriti prekid terapije tenofovir dizoproksilom kod odraslih pacijenata sa klirensom kreatinina &lt;50 </w:t>
      </w:r>
      <w:r w:rsidR="00B83CAB" w:rsidRPr="00192010">
        <w:rPr>
          <w:bCs/>
          <w:sz w:val="22"/>
          <w:szCs w:val="22"/>
        </w:rPr>
        <w:t>ml</w:t>
      </w:r>
      <w:r w:rsidRPr="00192010">
        <w:rPr>
          <w:bCs/>
          <w:sz w:val="22"/>
          <w:szCs w:val="22"/>
        </w:rPr>
        <w:t>/min ili smanjenjem fosfata u serumu na &lt; 1,0 mg/d</w:t>
      </w:r>
      <w:r w:rsidR="00597F43">
        <w:rPr>
          <w:bCs/>
          <w:sz w:val="22"/>
          <w:szCs w:val="22"/>
        </w:rPr>
        <w:t>l</w:t>
      </w:r>
      <w:r w:rsidRPr="00597F43">
        <w:rPr>
          <w:bCs/>
          <w:sz w:val="22"/>
          <w:szCs w:val="22"/>
        </w:rPr>
        <w:t xml:space="preserve"> (0,32 mmol/</w:t>
      </w:r>
      <w:r w:rsidR="00597F43">
        <w:rPr>
          <w:bCs/>
          <w:sz w:val="22"/>
          <w:szCs w:val="22"/>
        </w:rPr>
        <w:t>l</w:t>
      </w:r>
      <w:r w:rsidRPr="00597F43">
        <w:rPr>
          <w:bCs/>
          <w:sz w:val="22"/>
          <w:szCs w:val="22"/>
        </w:rPr>
        <w:t>). Takođe treba razmotriti prekid terapije tenofovir</w:t>
      </w:r>
      <w:r w:rsidRPr="00192010">
        <w:rPr>
          <w:bCs/>
          <w:sz w:val="22"/>
          <w:szCs w:val="22"/>
        </w:rPr>
        <w:t xml:space="preserve"> dizoproksilom kod pacijenata sa progresivnim slabljenjem funkcije bubrega, za koju nije utvrđen nikakav drugi razlog.</w:t>
      </w:r>
    </w:p>
    <w:p w:rsidR="00945676" w:rsidRPr="00192010" w:rsidRDefault="00945676">
      <w:pPr>
        <w:tabs>
          <w:tab w:val="left" w:pos="540"/>
          <w:tab w:val="left" w:pos="569"/>
        </w:tabs>
        <w:jc w:val="both"/>
        <w:rPr>
          <w:bCs/>
          <w:sz w:val="22"/>
          <w:szCs w:val="22"/>
        </w:rPr>
      </w:pPr>
    </w:p>
    <w:p w:rsidR="00945676" w:rsidRPr="00192010" w:rsidRDefault="00945676">
      <w:pPr>
        <w:tabs>
          <w:tab w:val="left" w:pos="540"/>
          <w:tab w:val="left" w:pos="569"/>
        </w:tabs>
        <w:jc w:val="both"/>
        <w:rPr>
          <w:bCs/>
          <w:i/>
          <w:sz w:val="22"/>
          <w:szCs w:val="22"/>
        </w:rPr>
      </w:pPr>
      <w:r w:rsidRPr="00192010">
        <w:rPr>
          <w:bCs/>
          <w:i/>
          <w:sz w:val="22"/>
          <w:szCs w:val="22"/>
        </w:rPr>
        <w:t>Istovremena primjena i rizik od toksičnosti po bubrege</w:t>
      </w:r>
    </w:p>
    <w:p w:rsidR="00945676" w:rsidRPr="00597F43" w:rsidRDefault="00945676" w:rsidP="00C24B44">
      <w:pPr>
        <w:tabs>
          <w:tab w:val="left" w:pos="540"/>
          <w:tab w:val="left" w:pos="569"/>
        </w:tabs>
        <w:jc w:val="both"/>
        <w:rPr>
          <w:bCs/>
          <w:sz w:val="22"/>
          <w:szCs w:val="22"/>
        </w:rPr>
      </w:pPr>
      <w:r w:rsidRPr="00192010">
        <w:rPr>
          <w:bCs/>
          <w:sz w:val="22"/>
          <w:szCs w:val="22"/>
        </w:rPr>
        <w:t>Upotrebu tenofovir dizoproksila treba izb</w:t>
      </w:r>
      <w:r w:rsidR="00597F43">
        <w:rPr>
          <w:bCs/>
          <w:sz w:val="22"/>
          <w:szCs w:val="22"/>
        </w:rPr>
        <w:t>j</w:t>
      </w:r>
      <w:r w:rsidRPr="00597F43">
        <w:rPr>
          <w:bCs/>
          <w:sz w:val="22"/>
          <w:szCs w:val="22"/>
        </w:rPr>
        <w:t>egavati prilikom istovremene ili nedavne upotrebe nefrotoksičnog l</w:t>
      </w:r>
      <w:r w:rsidRPr="00192010">
        <w:rPr>
          <w:bCs/>
          <w:sz w:val="22"/>
          <w:szCs w:val="22"/>
        </w:rPr>
        <w:t>ijeka (npr. aminoglikozida, amfotericina B, foskarneta, ganciklovira, pentamidina, vankomicina, cidofovira ili interleukina-2). Ukoliko nije moguće izb</w:t>
      </w:r>
      <w:r w:rsidR="00D73D18" w:rsidRPr="00192010">
        <w:rPr>
          <w:bCs/>
          <w:sz w:val="22"/>
          <w:szCs w:val="22"/>
        </w:rPr>
        <w:t>j</w:t>
      </w:r>
      <w:r w:rsidRPr="00192010">
        <w:rPr>
          <w:bCs/>
          <w:sz w:val="22"/>
          <w:szCs w:val="22"/>
        </w:rPr>
        <w:t>eći istovremenu upotrebu tenofovir</w:t>
      </w:r>
      <w:r w:rsidR="00D73D18" w:rsidRPr="00192010">
        <w:rPr>
          <w:bCs/>
          <w:sz w:val="22"/>
          <w:szCs w:val="22"/>
        </w:rPr>
        <w:t xml:space="preserve"> </w:t>
      </w:r>
      <w:r w:rsidRPr="00192010">
        <w:rPr>
          <w:bCs/>
          <w:sz w:val="22"/>
          <w:szCs w:val="22"/>
        </w:rPr>
        <w:t xml:space="preserve">dizoproksila i nefrotoksičnih agenasa, bubrežnu funkciju treba pratiti </w:t>
      </w:r>
      <w:r w:rsidRPr="00597F43">
        <w:rPr>
          <w:bCs/>
          <w:sz w:val="22"/>
          <w:szCs w:val="22"/>
        </w:rPr>
        <w:t>ned</w:t>
      </w:r>
      <w:r w:rsidR="00D73D18" w:rsidRPr="00597F43">
        <w:rPr>
          <w:bCs/>
          <w:sz w:val="22"/>
          <w:szCs w:val="22"/>
        </w:rPr>
        <w:t>j</w:t>
      </w:r>
      <w:r w:rsidRPr="00597F43">
        <w:rPr>
          <w:bCs/>
          <w:sz w:val="22"/>
          <w:szCs w:val="22"/>
        </w:rPr>
        <w:t>eljno.</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Kod pacijenata koji se l</w:t>
      </w:r>
      <w:r w:rsidR="00D73D18" w:rsidRPr="00C24B44">
        <w:rPr>
          <w:bCs/>
          <w:sz w:val="22"/>
          <w:szCs w:val="22"/>
        </w:rPr>
        <w:t>ij</w:t>
      </w:r>
      <w:r w:rsidRPr="00C24B44">
        <w:rPr>
          <w:bCs/>
          <w:sz w:val="22"/>
          <w:szCs w:val="22"/>
        </w:rPr>
        <w:t>eče tenofovir</w:t>
      </w:r>
      <w:r w:rsidR="00D73D18" w:rsidRPr="00C24B44">
        <w:rPr>
          <w:bCs/>
          <w:sz w:val="22"/>
          <w:szCs w:val="22"/>
        </w:rPr>
        <w:t xml:space="preserve"> </w:t>
      </w:r>
      <w:r w:rsidRPr="00C24B44">
        <w:rPr>
          <w:bCs/>
          <w:sz w:val="22"/>
          <w:szCs w:val="22"/>
        </w:rPr>
        <w:t>dizoproksilom, a koji imaju rizik od razvoja bubrežne disfunkcije, prijavljivani su slučajevi akutne bubrežne insuficijencije pri prim</w:t>
      </w:r>
      <w:r w:rsidR="00D73D18" w:rsidRPr="00C24B44">
        <w:rPr>
          <w:bCs/>
          <w:sz w:val="22"/>
          <w:szCs w:val="22"/>
        </w:rPr>
        <w:t>j</w:t>
      </w:r>
      <w:r w:rsidRPr="00C24B44">
        <w:rPr>
          <w:bCs/>
          <w:sz w:val="22"/>
          <w:szCs w:val="22"/>
        </w:rPr>
        <w:t>eni visokih doza ili kombinovanja nesteroidnih antiinflamatornih l</w:t>
      </w:r>
      <w:r w:rsidR="00D73D18" w:rsidRPr="00C24B44">
        <w:rPr>
          <w:bCs/>
          <w:sz w:val="22"/>
          <w:szCs w:val="22"/>
        </w:rPr>
        <w:t>j</w:t>
      </w:r>
      <w:r w:rsidRPr="00C24B44">
        <w:rPr>
          <w:bCs/>
          <w:sz w:val="22"/>
          <w:szCs w:val="22"/>
        </w:rPr>
        <w:t>ekova (NSAIL). U slučaju istovremene prim</w:t>
      </w:r>
      <w:r w:rsidR="00D73D18" w:rsidRPr="00C24B44">
        <w:rPr>
          <w:bCs/>
          <w:sz w:val="22"/>
          <w:szCs w:val="22"/>
        </w:rPr>
        <w:t>j</w:t>
      </w:r>
      <w:r w:rsidRPr="00C24B44">
        <w:rPr>
          <w:bCs/>
          <w:sz w:val="22"/>
          <w:szCs w:val="22"/>
        </w:rPr>
        <w:t>ene tenofovir</w:t>
      </w:r>
      <w:r w:rsidR="00D73D18" w:rsidRPr="00C24B44">
        <w:rPr>
          <w:bCs/>
          <w:sz w:val="22"/>
          <w:szCs w:val="22"/>
        </w:rPr>
        <w:t xml:space="preserve"> </w:t>
      </w:r>
      <w:r w:rsidRPr="00C24B44">
        <w:rPr>
          <w:bCs/>
          <w:sz w:val="22"/>
          <w:szCs w:val="22"/>
        </w:rPr>
        <w:t>dizoproksila i NSAIL, potrebno je pratiti bubrežnu funkciju.</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Kod pacijenata koji istovremeno primaju tenofovir</w:t>
      </w:r>
      <w:r w:rsidR="00D73D18" w:rsidRPr="00C24B44">
        <w:rPr>
          <w:bCs/>
          <w:sz w:val="22"/>
          <w:szCs w:val="22"/>
        </w:rPr>
        <w:t xml:space="preserve"> </w:t>
      </w:r>
      <w:r w:rsidRPr="00C24B44">
        <w:rPr>
          <w:bCs/>
          <w:sz w:val="22"/>
          <w:szCs w:val="22"/>
        </w:rPr>
        <w:t>dizoproksil sa ritonavirom ili drugim inhibitorom proteaze pojačanim kobicistatom, povećan je rizik od smanjenja bubrežne funkcije. Kod ovih pacijenata je potrebno pažljivo praćenje bubrežne funkcije (vid</w:t>
      </w:r>
      <w:r w:rsidR="00D73D18" w:rsidRPr="00C24B44">
        <w:rPr>
          <w:bCs/>
          <w:sz w:val="22"/>
          <w:szCs w:val="22"/>
        </w:rPr>
        <w:t>j</w:t>
      </w:r>
      <w:r w:rsidRPr="00C24B44">
        <w:rPr>
          <w:bCs/>
          <w:sz w:val="22"/>
          <w:szCs w:val="22"/>
        </w:rPr>
        <w:t>eti odjeljak 4.5). Istovremenu prim</w:t>
      </w:r>
      <w:r w:rsidR="00D73D18" w:rsidRPr="00C24B44">
        <w:rPr>
          <w:bCs/>
          <w:sz w:val="22"/>
          <w:szCs w:val="22"/>
        </w:rPr>
        <w:t>j</w:t>
      </w:r>
      <w:r w:rsidRPr="00C24B44">
        <w:rPr>
          <w:bCs/>
          <w:sz w:val="22"/>
          <w:szCs w:val="22"/>
        </w:rPr>
        <w:t>enu tenofovir</w:t>
      </w:r>
      <w:r w:rsidR="00D73D18" w:rsidRPr="00C24B44">
        <w:rPr>
          <w:bCs/>
          <w:sz w:val="22"/>
          <w:szCs w:val="22"/>
        </w:rPr>
        <w:t xml:space="preserve"> </w:t>
      </w:r>
      <w:r w:rsidRPr="00C24B44">
        <w:rPr>
          <w:bCs/>
          <w:sz w:val="22"/>
          <w:szCs w:val="22"/>
        </w:rPr>
        <w:t>dizoproksila sa pojačanim inhibitorom proteaze treba pažljivo razmotriti kod pacijenata sa rizikom od smanjenja bubrežne funkcije.</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Tenofovir dizoproksil nije klinički proc</w:t>
      </w:r>
      <w:r w:rsidR="00D73D18" w:rsidRPr="00C24B44">
        <w:rPr>
          <w:bCs/>
          <w:sz w:val="22"/>
          <w:szCs w:val="22"/>
        </w:rPr>
        <w:t>ij</w:t>
      </w:r>
      <w:r w:rsidRPr="00C24B44">
        <w:rPr>
          <w:bCs/>
          <w:sz w:val="22"/>
          <w:szCs w:val="22"/>
        </w:rPr>
        <w:t>enjen kod pacijenata koji primaju l</w:t>
      </w:r>
      <w:r w:rsidR="00D73D18" w:rsidRPr="00C24B44">
        <w:rPr>
          <w:bCs/>
          <w:sz w:val="22"/>
          <w:szCs w:val="22"/>
        </w:rPr>
        <w:t>j</w:t>
      </w:r>
      <w:r w:rsidRPr="00C24B44">
        <w:rPr>
          <w:bCs/>
          <w:sz w:val="22"/>
          <w:szCs w:val="22"/>
        </w:rPr>
        <w:t>ekove, koji se izlučuju istim putem preko bubrega, uključujući transportne proteine poput humanih organskih anjonskih transportera (hOAT) 1 i 3, ili MRP 4 (npr. cidofovir, poznati nefrotoksični l</w:t>
      </w:r>
      <w:r w:rsidR="00D73D18" w:rsidRPr="00C24B44">
        <w:rPr>
          <w:bCs/>
          <w:sz w:val="22"/>
          <w:szCs w:val="22"/>
        </w:rPr>
        <w:t>j</w:t>
      </w:r>
      <w:r w:rsidRPr="00C24B44">
        <w:rPr>
          <w:bCs/>
          <w:sz w:val="22"/>
          <w:szCs w:val="22"/>
        </w:rPr>
        <w:t>ekovi). Ovi bubrežni transportni proteini mogu biti odgovorni za tubularnu sekreciju i d</w:t>
      </w:r>
      <w:r w:rsidR="00D73D18" w:rsidRPr="00C24B44">
        <w:rPr>
          <w:bCs/>
          <w:sz w:val="22"/>
          <w:szCs w:val="22"/>
        </w:rPr>
        <w:t>ij</w:t>
      </w:r>
      <w:r w:rsidRPr="00C24B44">
        <w:rPr>
          <w:bCs/>
          <w:sz w:val="22"/>
          <w:szCs w:val="22"/>
        </w:rPr>
        <w:t>elom za eliminaciju tenofovira i cidofovira preko bubrega. Kao posl</w:t>
      </w:r>
      <w:r w:rsidR="00D73D18" w:rsidRPr="00C24B44">
        <w:rPr>
          <w:bCs/>
          <w:sz w:val="22"/>
          <w:szCs w:val="22"/>
        </w:rPr>
        <w:t>j</w:t>
      </w:r>
      <w:r w:rsidRPr="00C24B44">
        <w:rPr>
          <w:bCs/>
          <w:sz w:val="22"/>
          <w:szCs w:val="22"/>
        </w:rPr>
        <w:t>edica ovoga, farmakokinetika ovih l</w:t>
      </w:r>
      <w:r w:rsidR="00D73D18" w:rsidRPr="00C24B44">
        <w:rPr>
          <w:bCs/>
          <w:sz w:val="22"/>
          <w:szCs w:val="22"/>
        </w:rPr>
        <w:t>j</w:t>
      </w:r>
      <w:r w:rsidRPr="00C24B44">
        <w:rPr>
          <w:bCs/>
          <w:sz w:val="22"/>
          <w:szCs w:val="22"/>
        </w:rPr>
        <w:t>ekova koji se izlučuju istim putem preko bubrega, uključujući transportne proteine hOAT 1 i 3 ili MPR 4 može biti izm</w:t>
      </w:r>
      <w:r w:rsidR="00D73D18" w:rsidRPr="00C24B44">
        <w:rPr>
          <w:bCs/>
          <w:sz w:val="22"/>
          <w:szCs w:val="22"/>
        </w:rPr>
        <w:t>ij</w:t>
      </w:r>
      <w:r w:rsidRPr="00C24B44">
        <w:rPr>
          <w:bCs/>
          <w:sz w:val="22"/>
          <w:szCs w:val="22"/>
        </w:rPr>
        <w:t>enjena ukoliko se prim</w:t>
      </w:r>
      <w:r w:rsidR="00D73D18" w:rsidRPr="00C24B44">
        <w:rPr>
          <w:bCs/>
          <w:sz w:val="22"/>
          <w:szCs w:val="22"/>
        </w:rPr>
        <w:t>j</w:t>
      </w:r>
      <w:r w:rsidRPr="00C24B44">
        <w:rPr>
          <w:bCs/>
          <w:sz w:val="22"/>
          <w:szCs w:val="22"/>
        </w:rPr>
        <w:t>enjuju istovremeno. Osim ukoliko je nedvosmisleno neophodno, istovremena upotreba ovih farmaceutskih proizvoda koji se izlučuju putem istog bubrežnog puta se ne preporučuje, ali ukoliko je neizb</w:t>
      </w:r>
      <w:r w:rsidR="00D73D18" w:rsidRPr="00C24B44">
        <w:rPr>
          <w:bCs/>
          <w:sz w:val="22"/>
          <w:szCs w:val="22"/>
        </w:rPr>
        <w:t>j</w:t>
      </w:r>
      <w:r w:rsidRPr="00C24B44">
        <w:rPr>
          <w:bCs/>
          <w:sz w:val="22"/>
          <w:szCs w:val="22"/>
        </w:rPr>
        <w:t>ežna, bubrežnu funkciju treba pratiti ned</w:t>
      </w:r>
      <w:r w:rsidR="00D73D18" w:rsidRPr="00C24B44">
        <w:rPr>
          <w:bCs/>
          <w:sz w:val="22"/>
          <w:szCs w:val="22"/>
        </w:rPr>
        <w:t>j</w:t>
      </w:r>
      <w:r w:rsidRPr="00C24B44">
        <w:rPr>
          <w:bCs/>
          <w:sz w:val="22"/>
          <w:szCs w:val="22"/>
        </w:rPr>
        <w:t>eljno (vid</w:t>
      </w:r>
      <w:r w:rsidR="00D73D18" w:rsidRPr="00C24B44">
        <w:rPr>
          <w:bCs/>
          <w:sz w:val="22"/>
          <w:szCs w:val="22"/>
        </w:rPr>
        <w:t>j</w:t>
      </w:r>
      <w:r w:rsidRPr="00C24B44">
        <w:rPr>
          <w:bCs/>
          <w:sz w:val="22"/>
          <w:szCs w:val="22"/>
        </w:rPr>
        <w:t>eti odjeljak 4.5).</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Oštećenje funkcije bubrega</w:t>
      </w:r>
    </w:p>
    <w:p w:rsidR="00945676" w:rsidRPr="00C24B44" w:rsidRDefault="00945676" w:rsidP="00C24B44">
      <w:pPr>
        <w:tabs>
          <w:tab w:val="left" w:pos="540"/>
          <w:tab w:val="left" w:pos="569"/>
        </w:tabs>
        <w:jc w:val="both"/>
        <w:rPr>
          <w:bCs/>
          <w:sz w:val="22"/>
          <w:szCs w:val="22"/>
        </w:rPr>
      </w:pPr>
      <w:r w:rsidRPr="00C24B44">
        <w:rPr>
          <w:bCs/>
          <w:sz w:val="22"/>
          <w:szCs w:val="22"/>
        </w:rPr>
        <w:t>Bezb</w:t>
      </w:r>
      <w:r w:rsidR="00D73D18" w:rsidRPr="00C24B44">
        <w:rPr>
          <w:bCs/>
          <w:sz w:val="22"/>
          <w:szCs w:val="22"/>
        </w:rPr>
        <w:t>j</w:t>
      </w:r>
      <w:r w:rsidRPr="00C24B44">
        <w:rPr>
          <w:bCs/>
          <w:sz w:val="22"/>
          <w:szCs w:val="22"/>
        </w:rPr>
        <w:t>ednost po bubrege sa tenofovir</w:t>
      </w:r>
      <w:r w:rsidR="00D73D18" w:rsidRPr="00C24B44">
        <w:rPr>
          <w:bCs/>
          <w:sz w:val="22"/>
          <w:szCs w:val="22"/>
        </w:rPr>
        <w:t xml:space="preserve"> </w:t>
      </w:r>
      <w:r w:rsidRPr="00C24B44">
        <w:rPr>
          <w:bCs/>
          <w:sz w:val="22"/>
          <w:szCs w:val="22"/>
        </w:rPr>
        <w:t xml:space="preserve">dizoproksilom je ispitivana samo u veoma ograničenom stepenu kod pacijenata sa oštećenom funkcijom bubrega (CLCR &lt;80 </w:t>
      </w:r>
      <w:r w:rsidR="00B83CAB" w:rsidRPr="00C24B44">
        <w:rPr>
          <w:bCs/>
          <w:sz w:val="22"/>
          <w:szCs w:val="22"/>
        </w:rPr>
        <w:t>ml</w:t>
      </w:r>
      <w:r w:rsidRPr="00C24B44">
        <w:rPr>
          <w:bCs/>
          <w:sz w:val="22"/>
          <w:szCs w:val="22"/>
        </w:rPr>
        <w:t>/min).</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 xml:space="preserve">Odrasli pacijenti sa klirensom kreatinina &lt;50 </w:t>
      </w:r>
      <w:r w:rsidR="00B83CAB" w:rsidRPr="00C24B44">
        <w:rPr>
          <w:bCs/>
          <w:i/>
          <w:sz w:val="22"/>
          <w:szCs w:val="22"/>
        </w:rPr>
        <w:t>ml</w:t>
      </w:r>
      <w:r w:rsidRPr="00C24B44">
        <w:rPr>
          <w:bCs/>
          <w:i/>
          <w:sz w:val="22"/>
          <w:szCs w:val="22"/>
        </w:rPr>
        <w:t>/min, uključujući i pacijente na hemodijalizi:</w:t>
      </w:r>
    </w:p>
    <w:p w:rsidR="00945676" w:rsidRPr="00C24B44" w:rsidRDefault="00945676" w:rsidP="00C24B44">
      <w:pPr>
        <w:tabs>
          <w:tab w:val="left" w:pos="540"/>
          <w:tab w:val="left" w:pos="569"/>
        </w:tabs>
        <w:jc w:val="both"/>
        <w:rPr>
          <w:bCs/>
          <w:sz w:val="22"/>
          <w:szCs w:val="22"/>
        </w:rPr>
      </w:pPr>
      <w:r w:rsidRPr="00C24B44">
        <w:rPr>
          <w:bCs/>
          <w:sz w:val="22"/>
          <w:szCs w:val="22"/>
        </w:rPr>
        <w:t>Postoje ograničeni podaci o bezb</w:t>
      </w:r>
      <w:r w:rsidR="00D73D18" w:rsidRPr="00C24B44">
        <w:rPr>
          <w:bCs/>
          <w:sz w:val="22"/>
          <w:szCs w:val="22"/>
        </w:rPr>
        <w:t>j</w:t>
      </w:r>
      <w:r w:rsidRPr="00C24B44">
        <w:rPr>
          <w:bCs/>
          <w:sz w:val="22"/>
          <w:szCs w:val="22"/>
        </w:rPr>
        <w:t>ednosti i efikasnosti tenofovir</w:t>
      </w:r>
      <w:r w:rsidR="00D73D18" w:rsidRPr="00C24B44">
        <w:rPr>
          <w:bCs/>
          <w:sz w:val="22"/>
          <w:szCs w:val="22"/>
        </w:rPr>
        <w:t xml:space="preserve"> </w:t>
      </w:r>
      <w:r w:rsidRPr="00C24B44">
        <w:rPr>
          <w:bCs/>
          <w:sz w:val="22"/>
          <w:szCs w:val="22"/>
        </w:rPr>
        <w:t>dizoproksila kod pacijenata sa oštećenom funkcijom bubrega. Zbog ovoga, tenofovir</w:t>
      </w:r>
      <w:r w:rsidR="00D73D18" w:rsidRPr="00C24B44">
        <w:rPr>
          <w:bCs/>
          <w:sz w:val="22"/>
          <w:szCs w:val="22"/>
        </w:rPr>
        <w:t xml:space="preserve"> </w:t>
      </w:r>
      <w:r w:rsidRPr="00C24B44">
        <w:rPr>
          <w:bCs/>
          <w:sz w:val="22"/>
          <w:szCs w:val="22"/>
        </w:rPr>
        <w:t xml:space="preserve">dizoproksil treba koristiti samo ukoliko se smatra da potencijalna korist od terapije prevazilazi potencijalne rizike. Kod pacijenata sa teškim oštećenjem funkcije bubrega (klirens kreatinina &lt;30 </w:t>
      </w:r>
      <w:r w:rsidR="00B83CAB" w:rsidRPr="00C24B44">
        <w:rPr>
          <w:bCs/>
          <w:sz w:val="22"/>
          <w:szCs w:val="22"/>
        </w:rPr>
        <w:t>ml</w:t>
      </w:r>
      <w:r w:rsidRPr="00C24B44">
        <w:rPr>
          <w:bCs/>
          <w:sz w:val="22"/>
          <w:szCs w:val="22"/>
        </w:rPr>
        <w:t>/min) i kod pacijenata koji zaht</w:t>
      </w:r>
      <w:r w:rsidR="00D73D18" w:rsidRPr="00C24B44">
        <w:rPr>
          <w:bCs/>
          <w:sz w:val="22"/>
          <w:szCs w:val="22"/>
        </w:rPr>
        <w:t>ij</w:t>
      </w:r>
      <w:r w:rsidRPr="00C24B44">
        <w:rPr>
          <w:bCs/>
          <w:sz w:val="22"/>
          <w:szCs w:val="22"/>
        </w:rPr>
        <w:t>evaju hemodijalizu upotreba tenofovir</w:t>
      </w:r>
      <w:r w:rsidR="00D73D18" w:rsidRPr="00C24B44">
        <w:rPr>
          <w:bCs/>
          <w:sz w:val="22"/>
          <w:szCs w:val="22"/>
        </w:rPr>
        <w:t xml:space="preserve"> </w:t>
      </w:r>
      <w:r w:rsidRPr="00C24B44">
        <w:rPr>
          <w:bCs/>
          <w:sz w:val="22"/>
          <w:szCs w:val="22"/>
        </w:rPr>
        <w:t>dizoproksila se ne preporučuje. Ukoliko alternativna terapija nije dostupna, treba prilagoditi dozni interval i treba pažljivo pratiti funkciju bubrega (vid</w:t>
      </w:r>
      <w:r w:rsidR="00D73D18" w:rsidRPr="00C24B44">
        <w:rPr>
          <w:bCs/>
          <w:sz w:val="22"/>
          <w:szCs w:val="22"/>
        </w:rPr>
        <w:t>j</w:t>
      </w:r>
      <w:r w:rsidRPr="00C24B44">
        <w:rPr>
          <w:bCs/>
          <w:sz w:val="22"/>
          <w:szCs w:val="22"/>
        </w:rPr>
        <w:t xml:space="preserve">eti </w:t>
      </w:r>
      <w:r w:rsidR="009D078F" w:rsidRPr="00C24B44">
        <w:rPr>
          <w:bCs/>
          <w:sz w:val="22"/>
          <w:szCs w:val="22"/>
        </w:rPr>
        <w:t>odjeljke</w:t>
      </w:r>
      <w:r w:rsidRPr="00C24B44">
        <w:rPr>
          <w:bCs/>
          <w:sz w:val="22"/>
          <w:szCs w:val="22"/>
        </w:rPr>
        <w:t xml:space="preserve"> 4.2 i 5.2).</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Uticaj na kosti</w:t>
      </w:r>
    </w:p>
    <w:p w:rsidR="00945676" w:rsidRPr="00C24B44" w:rsidRDefault="00945676" w:rsidP="00C24B44">
      <w:pPr>
        <w:tabs>
          <w:tab w:val="left" w:pos="540"/>
          <w:tab w:val="left" w:pos="569"/>
        </w:tabs>
        <w:jc w:val="both"/>
        <w:rPr>
          <w:bCs/>
          <w:sz w:val="22"/>
          <w:szCs w:val="22"/>
        </w:rPr>
      </w:pPr>
      <w:r w:rsidRPr="00C24B44">
        <w:rPr>
          <w:bCs/>
          <w:sz w:val="22"/>
          <w:szCs w:val="22"/>
        </w:rPr>
        <w:t>Abnormalnosti kostiju, poput osteomalacije, koje se mogu manifestovati kao perzistentni ili pogoršavajući bolovi u kostima i koje mogu r</w:t>
      </w:r>
      <w:r w:rsidR="00D73D18" w:rsidRPr="00C24B44">
        <w:rPr>
          <w:bCs/>
          <w:sz w:val="22"/>
          <w:szCs w:val="22"/>
        </w:rPr>
        <w:t>ij</w:t>
      </w:r>
      <w:r w:rsidRPr="00C24B44">
        <w:rPr>
          <w:bCs/>
          <w:sz w:val="22"/>
          <w:szCs w:val="22"/>
        </w:rPr>
        <w:t>etko da doprinose prelomima, mogu biti povezane sa proksimalnom bubrežnom tubulopatijom uzrokovanom prim</w:t>
      </w:r>
      <w:r w:rsidR="00D73D18" w:rsidRPr="00C24B44">
        <w:rPr>
          <w:bCs/>
          <w:sz w:val="22"/>
          <w:szCs w:val="22"/>
        </w:rPr>
        <w:t>j</w:t>
      </w:r>
      <w:r w:rsidRPr="00C24B44">
        <w:rPr>
          <w:bCs/>
          <w:sz w:val="22"/>
          <w:szCs w:val="22"/>
        </w:rPr>
        <w:t>enom tenofovir</w:t>
      </w:r>
      <w:r w:rsidR="00D73D18" w:rsidRPr="00C24B44">
        <w:rPr>
          <w:bCs/>
          <w:sz w:val="22"/>
          <w:szCs w:val="22"/>
        </w:rPr>
        <w:t xml:space="preserve"> </w:t>
      </w:r>
      <w:r w:rsidRPr="00C24B44">
        <w:rPr>
          <w:bCs/>
          <w:sz w:val="22"/>
          <w:szCs w:val="22"/>
        </w:rPr>
        <w:t>dizoproksila (vid</w:t>
      </w:r>
      <w:r w:rsidR="00D73D18" w:rsidRPr="00C24B44">
        <w:rPr>
          <w:bCs/>
          <w:sz w:val="22"/>
          <w:szCs w:val="22"/>
        </w:rPr>
        <w:t>j</w:t>
      </w:r>
      <w:r w:rsidRPr="00C24B44">
        <w:rPr>
          <w:bCs/>
          <w:sz w:val="22"/>
          <w:szCs w:val="22"/>
        </w:rPr>
        <w:t>eti odjeljak 4.8).</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Tenofovir</w:t>
      </w:r>
      <w:r w:rsidR="00D73D18" w:rsidRPr="00C24B44">
        <w:rPr>
          <w:bCs/>
          <w:sz w:val="22"/>
          <w:szCs w:val="22"/>
        </w:rPr>
        <w:t xml:space="preserve"> </w:t>
      </w:r>
      <w:r w:rsidRPr="00C24B44">
        <w:rPr>
          <w:bCs/>
          <w:sz w:val="22"/>
          <w:szCs w:val="22"/>
        </w:rPr>
        <w:t xml:space="preserve">dizoproksil takođe može izazvati smanjenje mineralne gustine kostiju (engl. </w:t>
      </w:r>
      <w:r w:rsidRPr="00C24B44">
        <w:rPr>
          <w:bCs/>
          <w:i/>
          <w:sz w:val="22"/>
          <w:szCs w:val="22"/>
        </w:rPr>
        <w:t>bone mineral density</w:t>
      </w:r>
      <w:r w:rsidRPr="00C24B44">
        <w:rPr>
          <w:bCs/>
          <w:sz w:val="22"/>
          <w:szCs w:val="22"/>
        </w:rPr>
        <w:t>, BMD). Kod pacijenata inficiranih HIV-om, tokom kontrolisanog kliničkog ispitivanja u trajanju od 144 ned</w:t>
      </w:r>
      <w:r w:rsidR="00D73D18" w:rsidRPr="00C24B44">
        <w:rPr>
          <w:bCs/>
          <w:sz w:val="22"/>
          <w:szCs w:val="22"/>
        </w:rPr>
        <w:t>j</w:t>
      </w:r>
      <w:r w:rsidRPr="00C24B44">
        <w:rPr>
          <w:bCs/>
          <w:sz w:val="22"/>
          <w:szCs w:val="22"/>
        </w:rPr>
        <w:t>elje, kojim su poređeni tenofovir</w:t>
      </w:r>
      <w:r w:rsidR="00D73D18" w:rsidRPr="00C24B44">
        <w:rPr>
          <w:bCs/>
          <w:sz w:val="22"/>
          <w:szCs w:val="22"/>
        </w:rPr>
        <w:t xml:space="preserve"> </w:t>
      </w:r>
      <w:r w:rsidRPr="00C24B44">
        <w:rPr>
          <w:bCs/>
          <w:sz w:val="22"/>
          <w:szCs w:val="22"/>
        </w:rPr>
        <w:t>dizoproksil i stavudin u kombinaciji sa lamivudinom i efavirenzom kod odraslih pacijenata koji prethodno ni</w:t>
      </w:r>
      <w:r w:rsidR="0020581D">
        <w:rPr>
          <w:bCs/>
          <w:sz w:val="22"/>
          <w:szCs w:val="22"/>
        </w:rPr>
        <w:t>je</w:t>
      </w:r>
      <w:r w:rsidRPr="00C24B44">
        <w:rPr>
          <w:bCs/>
          <w:sz w:val="22"/>
          <w:szCs w:val="22"/>
        </w:rPr>
        <w:t>su bili izloženi antiretrovirusnoj terapiji, u ob</w:t>
      </w:r>
      <w:r w:rsidR="00D73D18" w:rsidRPr="00C24B44">
        <w:rPr>
          <w:bCs/>
          <w:sz w:val="22"/>
          <w:szCs w:val="22"/>
        </w:rPr>
        <w:t>j</w:t>
      </w:r>
      <w:r w:rsidRPr="00C24B44">
        <w:rPr>
          <w:bCs/>
          <w:sz w:val="22"/>
          <w:szCs w:val="22"/>
        </w:rPr>
        <w:t>e terapijske grupe je prim</w:t>
      </w:r>
      <w:r w:rsidR="00D73D18" w:rsidRPr="00C24B44">
        <w:rPr>
          <w:bCs/>
          <w:sz w:val="22"/>
          <w:szCs w:val="22"/>
        </w:rPr>
        <w:t>ij</w:t>
      </w:r>
      <w:r w:rsidRPr="00C24B44">
        <w:rPr>
          <w:bCs/>
          <w:sz w:val="22"/>
          <w:szCs w:val="22"/>
        </w:rPr>
        <w:t>ećen blagi pad BMD-a kostiju kuka i kičme. Smanjenja BMD-a kostiju kičme i prom</w:t>
      </w:r>
      <w:r w:rsidR="00D73D18" w:rsidRPr="00C24B44">
        <w:rPr>
          <w:bCs/>
          <w:sz w:val="22"/>
          <w:szCs w:val="22"/>
        </w:rPr>
        <w:t>j</w:t>
      </w:r>
      <w:r w:rsidRPr="00C24B44">
        <w:rPr>
          <w:bCs/>
          <w:sz w:val="22"/>
          <w:szCs w:val="22"/>
        </w:rPr>
        <w:t>ene u biomarkerima kostiju u odnosu na početne vr</w:t>
      </w:r>
      <w:r w:rsidR="00D73D18" w:rsidRPr="00C24B44">
        <w:rPr>
          <w:bCs/>
          <w:sz w:val="22"/>
          <w:szCs w:val="22"/>
        </w:rPr>
        <w:t>ij</w:t>
      </w:r>
      <w:r w:rsidRPr="00C24B44">
        <w:rPr>
          <w:bCs/>
          <w:sz w:val="22"/>
          <w:szCs w:val="22"/>
        </w:rPr>
        <w:t>ednosti bili su značajno veći u terapijskoj grupi sa tenofovir</w:t>
      </w:r>
      <w:r w:rsidR="00D73D18" w:rsidRPr="00C24B44">
        <w:rPr>
          <w:bCs/>
          <w:sz w:val="22"/>
          <w:szCs w:val="22"/>
        </w:rPr>
        <w:t xml:space="preserve"> </w:t>
      </w:r>
      <w:r w:rsidRPr="00C24B44">
        <w:rPr>
          <w:bCs/>
          <w:sz w:val="22"/>
          <w:szCs w:val="22"/>
        </w:rPr>
        <w:t>dizoproksilom u 144. ned</w:t>
      </w:r>
      <w:r w:rsidR="00D73D18" w:rsidRPr="00C24B44">
        <w:rPr>
          <w:bCs/>
          <w:sz w:val="22"/>
          <w:szCs w:val="22"/>
        </w:rPr>
        <w:t>j</w:t>
      </w:r>
      <w:r w:rsidRPr="00C24B44">
        <w:rPr>
          <w:bCs/>
          <w:sz w:val="22"/>
          <w:szCs w:val="22"/>
        </w:rPr>
        <w:t>elji. Smanjenja BMD-a kostiju kuka bila su značajno veća u ovoj grupi</w:t>
      </w:r>
      <w:r w:rsidR="00D73D18" w:rsidRPr="00C24B44">
        <w:rPr>
          <w:bCs/>
          <w:sz w:val="22"/>
          <w:szCs w:val="22"/>
        </w:rPr>
        <w:t xml:space="preserve"> </w:t>
      </w:r>
      <w:r w:rsidRPr="00C24B44">
        <w:rPr>
          <w:bCs/>
          <w:sz w:val="22"/>
          <w:szCs w:val="22"/>
        </w:rPr>
        <w:t>sve do 96. ned</w:t>
      </w:r>
      <w:r w:rsidR="00D73D18" w:rsidRPr="00C24B44">
        <w:rPr>
          <w:bCs/>
          <w:sz w:val="22"/>
          <w:szCs w:val="22"/>
        </w:rPr>
        <w:t>j</w:t>
      </w:r>
      <w:r w:rsidRPr="00C24B44">
        <w:rPr>
          <w:bCs/>
          <w:sz w:val="22"/>
          <w:szCs w:val="22"/>
        </w:rPr>
        <w:t>elje. Ipak, nije bilo povećanog rizika od fraktura, niti dokaza o klinički relevantnim abnormalnostima kostiju tokom 144 ned</w:t>
      </w:r>
      <w:r w:rsidR="00D73D18" w:rsidRPr="00C24B44">
        <w:rPr>
          <w:bCs/>
          <w:sz w:val="22"/>
          <w:szCs w:val="22"/>
        </w:rPr>
        <w:t>jelje</w:t>
      </w:r>
      <w:r w:rsidRPr="00C24B44">
        <w:rPr>
          <w:bCs/>
          <w:sz w:val="22"/>
          <w:szCs w:val="22"/>
        </w:rPr>
        <w:t xml:space="preserve"> u ovim ispitivanjima.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U drugim ispitivanjima (prospektivnim i studijama pres</w:t>
      </w:r>
      <w:r w:rsidR="00D73D18" w:rsidRPr="00C24B44">
        <w:rPr>
          <w:bCs/>
          <w:sz w:val="22"/>
          <w:szCs w:val="22"/>
        </w:rPr>
        <w:t>j</w:t>
      </w:r>
      <w:r w:rsidRPr="00C24B44">
        <w:rPr>
          <w:bCs/>
          <w:sz w:val="22"/>
          <w:szCs w:val="22"/>
        </w:rPr>
        <w:t>eka), najizrazitije smanjenje BMD je prim</w:t>
      </w:r>
      <w:r w:rsidR="00D73D18" w:rsidRPr="00C24B44">
        <w:rPr>
          <w:bCs/>
          <w:sz w:val="22"/>
          <w:szCs w:val="22"/>
        </w:rPr>
        <w:t>ij</w:t>
      </w:r>
      <w:r w:rsidRPr="00C24B44">
        <w:rPr>
          <w:bCs/>
          <w:sz w:val="22"/>
          <w:szCs w:val="22"/>
        </w:rPr>
        <w:t>ećeno kod pacijenata l</w:t>
      </w:r>
      <w:r w:rsidR="00D73D18" w:rsidRPr="00C24B44">
        <w:rPr>
          <w:bCs/>
          <w:sz w:val="22"/>
          <w:szCs w:val="22"/>
        </w:rPr>
        <w:t>ij</w:t>
      </w:r>
      <w:r w:rsidRPr="00C24B44">
        <w:rPr>
          <w:bCs/>
          <w:sz w:val="22"/>
          <w:szCs w:val="22"/>
        </w:rPr>
        <w:t>ečenih tenofovir</w:t>
      </w:r>
      <w:r w:rsidR="00D73D18" w:rsidRPr="00C24B44">
        <w:rPr>
          <w:bCs/>
          <w:sz w:val="22"/>
          <w:szCs w:val="22"/>
        </w:rPr>
        <w:t xml:space="preserve"> </w:t>
      </w:r>
      <w:r w:rsidRPr="00C24B44">
        <w:rPr>
          <w:bCs/>
          <w:sz w:val="22"/>
          <w:szCs w:val="22"/>
        </w:rPr>
        <w:t>dizoproksilom kao d</w:t>
      </w:r>
      <w:r w:rsidR="00D73D18" w:rsidRPr="00C24B44">
        <w:rPr>
          <w:bCs/>
          <w:sz w:val="22"/>
          <w:szCs w:val="22"/>
        </w:rPr>
        <w:t>ij</w:t>
      </w:r>
      <w:r w:rsidRPr="00C24B44">
        <w:rPr>
          <w:bCs/>
          <w:sz w:val="22"/>
          <w:szCs w:val="22"/>
        </w:rPr>
        <w:t>elom režima koji je sadržao pojačani inhibitor proteaze. Ukupno gledano, s obzirom na abnormalnosti kostiju povezane sa prim</w:t>
      </w:r>
      <w:r w:rsidR="00D73D18" w:rsidRPr="00C24B44">
        <w:rPr>
          <w:bCs/>
          <w:sz w:val="22"/>
          <w:szCs w:val="22"/>
        </w:rPr>
        <w:t>j</w:t>
      </w:r>
      <w:r w:rsidRPr="00C24B44">
        <w:rPr>
          <w:bCs/>
          <w:sz w:val="22"/>
          <w:szCs w:val="22"/>
        </w:rPr>
        <w:t>enom tenofovir</w:t>
      </w:r>
      <w:r w:rsidR="00D73D18" w:rsidRPr="00C24B44">
        <w:rPr>
          <w:bCs/>
          <w:sz w:val="22"/>
          <w:szCs w:val="22"/>
        </w:rPr>
        <w:t xml:space="preserve"> </w:t>
      </w:r>
      <w:r w:rsidRPr="00C24B44">
        <w:rPr>
          <w:bCs/>
          <w:sz w:val="22"/>
          <w:szCs w:val="22"/>
        </w:rPr>
        <w:t>dizoproksila i ograničenja dugoročnih podataka o uticaju tenofovir</w:t>
      </w:r>
      <w:r w:rsidR="00D73D18" w:rsidRPr="00C24B44">
        <w:rPr>
          <w:bCs/>
          <w:sz w:val="22"/>
          <w:szCs w:val="22"/>
        </w:rPr>
        <w:t xml:space="preserve"> </w:t>
      </w:r>
      <w:r w:rsidRPr="00C24B44">
        <w:rPr>
          <w:bCs/>
          <w:sz w:val="22"/>
          <w:szCs w:val="22"/>
        </w:rPr>
        <w:t>dizoproksila na zdravlje kostiju i rizik od preloma, kod pacijenata sa osteoporozom koji su pod visokim rizikom od preloma treba razmotriti alternativne režime l</w:t>
      </w:r>
      <w:r w:rsidR="00D73D18" w:rsidRPr="00C24B44">
        <w:rPr>
          <w:bCs/>
          <w:sz w:val="22"/>
          <w:szCs w:val="22"/>
        </w:rPr>
        <w:t>ij</w:t>
      </w:r>
      <w:r w:rsidRPr="00C24B44">
        <w:rPr>
          <w:bCs/>
          <w:sz w:val="22"/>
          <w:szCs w:val="22"/>
        </w:rPr>
        <w:t>ečenja.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Ukoliko se sumnja na abnormalnosti kostiju ili se otkrije abnormalnost kostiju, treba razmotriti odgovarajuću konsultaciju.</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
          <w:bCs/>
          <w:i/>
          <w:sz w:val="22"/>
          <w:szCs w:val="22"/>
        </w:rPr>
        <w:t>Uticaj na bubrege i kosti kod pedijatrijske populacije</w:t>
      </w:r>
    </w:p>
    <w:p w:rsidR="00945676" w:rsidRPr="00C24B44" w:rsidRDefault="00945676" w:rsidP="00C24B44">
      <w:pPr>
        <w:tabs>
          <w:tab w:val="left" w:pos="540"/>
          <w:tab w:val="left" w:pos="569"/>
        </w:tabs>
        <w:jc w:val="both"/>
        <w:rPr>
          <w:bCs/>
          <w:sz w:val="22"/>
          <w:szCs w:val="22"/>
        </w:rPr>
      </w:pPr>
      <w:r w:rsidRPr="00C24B44">
        <w:rPr>
          <w:bCs/>
          <w:sz w:val="22"/>
          <w:szCs w:val="22"/>
        </w:rPr>
        <w:t>Postoje nedoumice u vezi sa dugoročnom toksičnošću na kosti i bubrege. Štaviše, reverzibilnost bubrežne toksičnosti ne može s</w:t>
      </w:r>
      <w:r w:rsidR="00C24B44">
        <w:rPr>
          <w:bCs/>
          <w:sz w:val="22"/>
          <w:szCs w:val="22"/>
        </w:rPr>
        <w:t>e sa</w:t>
      </w:r>
      <w:r w:rsidRPr="00C24B44">
        <w:rPr>
          <w:bCs/>
          <w:sz w:val="22"/>
          <w:szCs w:val="22"/>
        </w:rPr>
        <w:t xml:space="preserve"> sigurnošću potvrdi</w:t>
      </w:r>
      <w:r w:rsidR="00C24B44">
        <w:rPr>
          <w:bCs/>
          <w:sz w:val="22"/>
          <w:szCs w:val="22"/>
        </w:rPr>
        <w:t>ti</w:t>
      </w:r>
      <w:r w:rsidRPr="00C24B44">
        <w:rPr>
          <w:bCs/>
          <w:sz w:val="22"/>
          <w:szCs w:val="22"/>
        </w:rPr>
        <w:t>. Zbog toga je potreban multidisciplinaran i individualan pristup svakom pacijentu kako bi se pažljivo proc</w:t>
      </w:r>
      <w:r w:rsidR="00D73D18" w:rsidRPr="00C24B44">
        <w:rPr>
          <w:bCs/>
          <w:sz w:val="22"/>
          <w:szCs w:val="22"/>
        </w:rPr>
        <w:t>ij</w:t>
      </w:r>
      <w:r w:rsidRPr="00C24B44">
        <w:rPr>
          <w:bCs/>
          <w:sz w:val="22"/>
          <w:szCs w:val="22"/>
        </w:rPr>
        <w:t>enio odnos koristi i rizika, uspostavilo adekvatno praćenje tokom l</w:t>
      </w:r>
      <w:r w:rsidR="00D73D18" w:rsidRPr="00C24B44">
        <w:rPr>
          <w:bCs/>
          <w:sz w:val="22"/>
          <w:szCs w:val="22"/>
        </w:rPr>
        <w:t>ij</w:t>
      </w:r>
      <w:r w:rsidRPr="00C24B44">
        <w:rPr>
          <w:bCs/>
          <w:sz w:val="22"/>
          <w:szCs w:val="22"/>
        </w:rPr>
        <w:t>ečenja (uključujući donošenje odluke o obustavi terapije) i razmotrila potreba za uvođenjem dodatnih m</w:t>
      </w:r>
      <w:r w:rsidR="00D73D18" w:rsidRPr="00C24B44">
        <w:rPr>
          <w:bCs/>
          <w:sz w:val="22"/>
          <w:szCs w:val="22"/>
        </w:rPr>
        <w:t>j</w:t>
      </w:r>
      <w:r w:rsidRPr="00C24B44">
        <w:rPr>
          <w:bCs/>
          <w:sz w:val="22"/>
          <w:szCs w:val="22"/>
        </w:rPr>
        <w:t>era.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Uticaj na bubrege</w:t>
      </w:r>
    </w:p>
    <w:p w:rsidR="00945676" w:rsidRPr="00C24B44" w:rsidRDefault="00945676" w:rsidP="00C24B44">
      <w:pPr>
        <w:tabs>
          <w:tab w:val="left" w:pos="540"/>
          <w:tab w:val="left" w:pos="569"/>
        </w:tabs>
        <w:jc w:val="both"/>
        <w:rPr>
          <w:bCs/>
          <w:sz w:val="22"/>
          <w:szCs w:val="22"/>
        </w:rPr>
      </w:pPr>
      <w:r w:rsidRPr="00C24B44">
        <w:rPr>
          <w:bCs/>
          <w:sz w:val="22"/>
          <w:szCs w:val="22"/>
        </w:rPr>
        <w:t>U kliničkoj studiji GS-US-104-0352, prijavljivani su neželjeni efekti na bubrege koji odgovaraju proksimalnoj tubulopatiji kod d</w:t>
      </w:r>
      <w:r w:rsidR="00D73D18" w:rsidRPr="00C24B44">
        <w:rPr>
          <w:bCs/>
          <w:sz w:val="22"/>
          <w:szCs w:val="22"/>
        </w:rPr>
        <w:t>j</w:t>
      </w:r>
      <w:r w:rsidRPr="00C24B44">
        <w:rPr>
          <w:bCs/>
          <w:sz w:val="22"/>
          <w:szCs w:val="22"/>
        </w:rPr>
        <w:t>ece uzrasta 2 do &lt;12 godina, inficirane virusom HIV-1 (vid</w:t>
      </w:r>
      <w:r w:rsidR="00D73D18" w:rsidRPr="00C24B44">
        <w:rPr>
          <w:bCs/>
          <w:sz w:val="22"/>
          <w:szCs w:val="22"/>
        </w:rPr>
        <w:t>j</w:t>
      </w:r>
      <w:r w:rsidRPr="00C24B44">
        <w:rPr>
          <w:bCs/>
          <w:sz w:val="22"/>
          <w:szCs w:val="22"/>
        </w:rPr>
        <w:t>eti od</w:t>
      </w:r>
      <w:r w:rsidR="00D73D18" w:rsidRPr="00C24B44">
        <w:rPr>
          <w:bCs/>
          <w:sz w:val="22"/>
          <w:szCs w:val="22"/>
        </w:rPr>
        <w:t>j</w:t>
      </w:r>
      <w:r w:rsidRPr="00C24B44">
        <w:rPr>
          <w:bCs/>
          <w:sz w:val="22"/>
          <w:szCs w:val="22"/>
        </w:rPr>
        <w:t>eljke 4.8 i 5.1).</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 xml:space="preserve">Praćenje funkcije bubrega </w:t>
      </w:r>
    </w:p>
    <w:p w:rsidR="00945676" w:rsidRPr="00C24B44" w:rsidRDefault="00945676" w:rsidP="00C24B44">
      <w:pPr>
        <w:tabs>
          <w:tab w:val="left" w:pos="540"/>
          <w:tab w:val="left" w:pos="569"/>
        </w:tabs>
        <w:jc w:val="both"/>
        <w:rPr>
          <w:bCs/>
          <w:sz w:val="22"/>
          <w:szCs w:val="22"/>
        </w:rPr>
      </w:pPr>
      <w:r w:rsidRPr="00C24B44">
        <w:rPr>
          <w:bCs/>
          <w:sz w:val="22"/>
          <w:szCs w:val="22"/>
        </w:rPr>
        <w:t xml:space="preserve">Bubrežnu funkciju (klirens kreatinina i </w:t>
      </w:r>
      <w:r w:rsidR="00D73D18" w:rsidRPr="00C24B44">
        <w:rPr>
          <w:bCs/>
          <w:sz w:val="22"/>
          <w:szCs w:val="22"/>
          <w:lang w:val="sr-Latn-CS"/>
        </w:rPr>
        <w:t>fosfate</w:t>
      </w:r>
      <w:r w:rsidRPr="00C24B44">
        <w:rPr>
          <w:bCs/>
          <w:sz w:val="22"/>
          <w:szCs w:val="22"/>
          <w:lang w:val="sr-Latn-CS"/>
        </w:rPr>
        <w:t xml:space="preserve"> u serumu</w:t>
      </w:r>
      <w:r w:rsidRPr="00C24B44">
        <w:rPr>
          <w:bCs/>
          <w:sz w:val="22"/>
          <w:szCs w:val="22"/>
        </w:rPr>
        <w:t>) bi trebalo proc</w:t>
      </w:r>
      <w:r w:rsidR="00D73D18" w:rsidRPr="00C24B44">
        <w:rPr>
          <w:bCs/>
          <w:sz w:val="22"/>
          <w:szCs w:val="22"/>
        </w:rPr>
        <w:t>ij</w:t>
      </w:r>
      <w:r w:rsidRPr="00C24B44">
        <w:rPr>
          <w:bCs/>
          <w:sz w:val="22"/>
          <w:szCs w:val="22"/>
        </w:rPr>
        <w:t>eniti pr</w:t>
      </w:r>
      <w:r w:rsidR="00D73D18" w:rsidRPr="00C24B44">
        <w:rPr>
          <w:bCs/>
          <w:sz w:val="22"/>
          <w:szCs w:val="22"/>
        </w:rPr>
        <w:t>ij</w:t>
      </w:r>
      <w:r w:rsidRPr="00C24B44">
        <w:rPr>
          <w:bCs/>
          <w:sz w:val="22"/>
          <w:szCs w:val="22"/>
        </w:rPr>
        <w:t>e l</w:t>
      </w:r>
      <w:r w:rsidR="00D73D18" w:rsidRPr="00C24B44">
        <w:rPr>
          <w:bCs/>
          <w:sz w:val="22"/>
          <w:szCs w:val="22"/>
        </w:rPr>
        <w:t>ij</w:t>
      </w:r>
      <w:r w:rsidRPr="00C24B44">
        <w:rPr>
          <w:bCs/>
          <w:sz w:val="22"/>
          <w:szCs w:val="22"/>
        </w:rPr>
        <w:t>ečenja i prov</w:t>
      </w:r>
      <w:r w:rsidR="00D73D18" w:rsidRPr="00C24B44">
        <w:rPr>
          <w:bCs/>
          <w:sz w:val="22"/>
          <w:szCs w:val="22"/>
        </w:rPr>
        <w:t>j</w:t>
      </w:r>
      <w:r w:rsidRPr="00C24B44">
        <w:rPr>
          <w:bCs/>
          <w:sz w:val="22"/>
          <w:szCs w:val="22"/>
        </w:rPr>
        <w:t>eravati tokom l</w:t>
      </w:r>
      <w:r w:rsidR="00D73D18" w:rsidRPr="00C24B44">
        <w:rPr>
          <w:bCs/>
          <w:sz w:val="22"/>
          <w:szCs w:val="22"/>
        </w:rPr>
        <w:t>ij</w:t>
      </w:r>
      <w:r w:rsidRPr="00C24B44">
        <w:rPr>
          <w:bCs/>
          <w:sz w:val="22"/>
          <w:szCs w:val="22"/>
        </w:rPr>
        <w:t>ečenja, isto kao i kod odraslih (vid</w:t>
      </w:r>
      <w:r w:rsidR="00D73D18" w:rsidRPr="00C24B44">
        <w:rPr>
          <w:bCs/>
          <w:sz w:val="22"/>
          <w:szCs w:val="22"/>
        </w:rPr>
        <w:t>j</w:t>
      </w:r>
      <w:r w:rsidRPr="00C24B44">
        <w:rPr>
          <w:bCs/>
          <w:sz w:val="22"/>
          <w:szCs w:val="22"/>
        </w:rPr>
        <w:t xml:space="preserve">eti </w:t>
      </w:r>
      <w:r w:rsidRPr="00C24B44">
        <w:rPr>
          <w:bCs/>
          <w:sz w:val="22"/>
          <w:szCs w:val="22"/>
          <w:lang w:val="sr-Latn-CS"/>
        </w:rPr>
        <w:t>tekst iznad</w:t>
      </w:r>
      <w:r w:rsidRPr="00C24B44">
        <w:rPr>
          <w:bCs/>
          <w:sz w:val="22"/>
          <w:szCs w:val="22"/>
        </w:rPr>
        <w:t>).</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Kontrolisanje funkcije bubrega</w:t>
      </w:r>
    </w:p>
    <w:p w:rsidR="00945676" w:rsidRPr="00C24B44" w:rsidRDefault="00945676" w:rsidP="00C24B44">
      <w:pPr>
        <w:tabs>
          <w:tab w:val="left" w:pos="540"/>
          <w:tab w:val="left" w:pos="569"/>
        </w:tabs>
        <w:jc w:val="both"/>
        <w:rPr>
          <w:bCs/>
          <w:sz w:val="22"/>
          <w:szCs w:val="22"/>
        </w:rPr>
      </w:pPr>
      <w:r w:rsidRPr="00C24B44">
        <w:rPr>
          <w:bCs/>
          <w:sz w:val="22"/>
          <w:szCs w:val="22"/>
        </w:rPr>
        <w:t xml:space="preserve">Ukoliko je koncentracija </w:t>
      </w:r>
      <w:r w:rsidRPr="00C24B44">
        <w:rPr>
          <w:bCs/>
          <w:sz w:val="22"/>
          <w:szCs w:val="22"/>
          <w:lang w:val="sr-Latn-CS"/>
        </w:rPr>
        <w:t>fosfata u serumu</w:t>
      </w:r>
      <w:r w:rsidRPr="00C24B44" w:rsidDel="009355A3">
        <w:rPr>
          <w:bCs/>
          <w:sz w:val="22"/>
          <w:szCs w:val="22"/>
        </w:rPr>
        <w:t xml:space="preserve"> </w:t>
      </w:r>
      <w:r w:rsidRPr="00C24B44">
        <w:rPr>
          <w:bCs/>
          <w:sz w:val="22"/>
          <w:szCs w:val="22"/>
        </w:rPr>
        <w:t>&lt;3,0 mg/d</w:t>
      </w:r>
      <w:r w:rsidR="00C24B44">
        <w:rPr>
          <w:bCs/>
          <w:sz w:val="22"/>
          <w:szCs w:val="22"/>
        </w:rPr>
        <w:t>l</w:t>
      </w:r>
      <w:r w:rsidRPr="00C24B44">
        <w:rPr>
          <w:bCs/>
          <w:sz w:val="22"/>
          <w:szCs w:val="22"/>
        </w:rPr>
        <w:t xml:space="preserve"> (0,96 mmol/</w:t>
      </w:r>
      <w:r w:rsidR="00C24B44">
        <w:rPr>
          <w:bCs/>
          <w:sz w:val="22"/>
          <w:szCs w:val="22"/>
        </w:rPr>
        <w:t>l</w:t>
      </w:r>
      <w:r w:rsidRPr="00C24B44">
        <w:rPr>
          <w:bCs/>
          <w:sz w:val="22"/>
          <w:szCs w:val="22"/>
        </w:rPr>
        <w:t>) kod bilo kog pedijatrijskog pacijenta koji je na terpaiji tenofovir</w:t>
      </w:r>
      <w:r w:rsidR="00D73D18" w:rsidRPr="00C24B44">
        <w:rPr>
          <w:bCs/>
          <w:sz w:val="22"/>
          <w:szCs w:val="22"/>
        </w:rPr>
        <w:t xml:space="preserve"> </w:t>
      </w:r>
      <w:r w:rsidRPr="00C24B44">
        <w:rPr>
          <w:bCs/>
          <w:sz w:val="22"/>
          <w:szCs w:val="22"/>
        </w:rPr>
        <w:t>dizoproksilom, bubrežnu funkciju treba ponovo proc</w:t>
      </w:r>
      <w:r w:rsidR="00D73D18" w:rsidRPr="00C24B44">
        <w:rPr>
          <w:bCs/>
          <w:sz w:val="22"/>
          <w:szCs w:val="22"/>
        </w:rPr>
        <w:t>ij</w:t>
      </w:r>
      <w:r w:rsidRPr="00C24B44">
        <w:rPr>
          <w:bCs/>
          <w:sz w:val="22"/>
          <w:szCs w:val="22"/>
        </w:rPr>
        <w:t>eniti u roku od jedne ned</w:t>
      </w:r>
      <w:r w:rsidR="00D73D18" w:rsidRPr="00C24B44">
        <w:rPr>
          <w:bCs/>
          <w:sz w:val="22"/>
          <w:szCs w:val="22"/>
        </w:rPr>
        <w:t>j</w:t>
      </w:r>
      <w:r w:rsidRPr="00C24B44">
        <w:rPr>
          <w:bCs/>
          <w:sz w:val="22"/>
          <w:szCs w:val="22"/>
        </w:rPr>
        <w:t>elje, uključujući m</w:t>
      </w:r>
      <w:r w:rsidR="00D73D18" w:rsidRPr="00C24B44">
        <w:rPr>
          <w:bCs/>
          <w:sz w:val="22"/>
          <w:szCs w:val="22"/>
        </w:rPr>
        <w:t>j</w:t>
      </w:r>
      <w:r w:rsidRPr="00C24B44">
        <w:rPr>
          <w:bCs/>
          <w:sz w:val="22"/>
          <w:szCs w:val="22"/>
        </w:rPr>
        <w:t>erenje koncentracije glukoze i kalijuma u krvi i glukoze u urinu (vid</w:t>
      </w:r>
      <w:r w:rsidR="00D73D18" w:rsidRPr="00C24B44">
        <w:rPr>
          <w:bCs/>
          <w:sz w:val="22"/>
          <w:szCs w:val="22"/>
        </w:rPr>
        <w:t>j</w:t>
      </w:r>
      <w:r w:rsidRPr="00C24B44">
        <w:rPr>
          <w:bCs/>
          <w:sz w:val="22"/>
          <w:szCs w:val="22"/>
        </w:rPr>
        <w:t>eti odjeljak 4.8, proksimalna tubulopatija). Ukoliko se posumnja ili se potvrde bubrežne abnormalnosti, potrebno je konsultovati nefrologa radi razmatranja obustave terapije.</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Prekid terapije tenofovir</w:t>
      </w:r>
      <w:r w:rsidR="00D73D18" w:rsidRPr="00C24B44">
        <w:rPr>
          <w:bCs/>
          <w:sz w:val="22"/>
          <w:szCs w:val="22"/>
        </w:rPr>
        <w:t xml:space="preserve"> </w:t>
      </w:r>
      <w:r w:rsidRPr="00C24B44">
        <w:rPr>
          <w:bCs/>
          <w:sz w:val="22"/>
          <w:szCs w:val="22"/>
        </w:rPr>
        <w:t>dizoproksilom treba razmotriti i u slučaju progresivnog opadanja bubrežne funkcije bez identifikovanog drugog uzroka.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Istovremena prim</w:t>
      </w:r>
      <w:r w:rsidR="00D73D18" w:rsidRPr="00C24B44">
        <w:rPr>
          <w:bCs/>
          <w:i/>
          <w:sz w:val="22"/>
          <w:szCs w:val="22"/>
        </w:rPr>
        <w:t>j</w:t>
      </w:r>
      <w:r w:rsidRPr="00C24B44">
        <w:rPr>
          <w:bCs/>
          <w:i/>
          <w:sz w:val="22"/>
          <w:szCs w:val="22"/>
        </w:rPr>
        <w:t>ena i rizik od bubrežne toksičnosti</w:t>
      </w:r>
    </w:p>
    <w:p w:rsidR="00945676" w:rsidRPr="00C24B44" w:rsidRDefault="00945676" w:rsidP="00C24B44">
      <w:pPr>
        <w:tabs>
          <w:tab w:val="left" w:pos="540"/>
          <w:tab w:val="left" w:pos="569"/>
        </w:tabs>
        <w:jc w:val="both"/>
        <w:rPr>
          <w:bCs/>
          <w:sz w:val="22"/>
          <w:szCs w:val="22"/>
        </w:rPr>
      </w:pPr>
      <w:r w:rsidRPr="00C24B44">
        <w:rPr>
          <w:bCs/>
          <w:sz w:val="22"/>
          <w:szCs w:val="22"/>
        </w:rPr>
        <w:t>Važe iste preporuke kao i za odrasle (vid</w:t>
      </w:r>
      <w:r w:rsidR="00D73D18" w:rsidRPr="00C24B44">
        <w:rPr>
          <w:bCs/>
          <w:sz w:val="22"/>
          <w:szCs w:val="22"/>
        </w:rPr>
        <w:t>j</w:t>
      </w:r>
      <w:r w:rsidRPr="00C24B44">
        <w:rPr>
          <w:bCs/>
          <w:sz w:val="22"/>
          <w:szCs w:val="22"/>
        </w:rPr>
        <w:t xml:space="preserve">eti </w:t>
      </w:r>
      <w:r w:rsidRPr="00C24B44">
        <w:rPr>
          <w:bCs/>
          <w:sz w:val="22"/>
          <w:szCs w:val="22"/>
          <w:lang w:val="sr-Latn-CS"/>
        </w:rPr>
        <w:t>tekst iznad</w:t>
      </w:r>
      <w:r w:rsidRPr="00C24B44">
        <w:rPr>
          <w:bCs/>
          <w:sz w:val="22"/>
          <w:szCs w:val="22"/>
        </w:rPr>
        <w:t>).</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Oštećenje funkcije bubrega</w:t>
      </w:r>
    </w:p>
    <w:p w:rsidR="00945676" w:rsidRPr="00C24B44" w:rsidRDefault="00945676" w:rsidP="00C24B44">
      <w:pPr>
        <w:tabs>
          <w:tab w:val="left" w:pos="540"/>
          <w:tab w:val="left" w:pos="569"/>
        </w:tabs>
        <w:jc w:val="both"/>
        <w:rPr>
          <w:bCs/>
          <w:sz w:val="22"/>
          <w:szCs w:val="22"/>
        </w:rPr>
      </w:pPr>
      <w:r w:rsidRPr="00C24B44">
        <w:rPr>
          <w:bCs/>
          <w:sz w:val="22"/>
          <w:szCs w:val="22"/>
        </w:rPr>
        <w:t>Prim</w:t>
      </w:r>
      <w:r w:rsidR="00D73D18" w:rsidRPr="00C24B44">
        <w:rPr>
          <w:bCs/>
          <w:sz w:val="22"/>
          <w:szCs w:val="22"/>
        </w:rPr>
        <w:t>j</w:t>
      </w:r>
      <w:r w:rsidRPr="00C24B44">
        <w:rPr>
          <w:bCs/>
          <w:sz w:val="22"/>
          <w:szCs w:val="22"/>
        </w:rPr>
        <w:t>ena tenofovir</w:t>
      </w:r>
      <w:r w:rsidR="00D73D18" w:rsidRPr="00C24B44">
        <w:rPr>
          <w:bCs/>
          <w:sz w:val="22"/>
          <w:szCs w:val="22"/>
        </w:rPr>
        <w:t xml:space="preserve"> </w:t>
      </w:r>
      <w:r w:rsidRPr="00C24B44">
        <w:rPr>
          <w:bCs/>
          <w:sz w:val="22"/>
          <w:szCs w:val="22"/>
        </w:rPr>
        <w:t>dizoproksila se ne preporučuje kod pedijatrijske populacije sa oštećenjem funkcije bubrega (vid</w:t>
      </w:r>
      <w:r w:rsidR="00D73D18" w:rsidRPr="00C24B44">
        <w:rPr>
          <w:bCs/>
          <w:sz w:val="22"/>
          <w:szCs w:val="22"/>
        </w:rPr>
        <w:t>j</w:t>
      </w:r>
      <w:r w:rsidRPr="00C24B44">
        <w:rPr>
          <w:bCs/>
          <w:sz w:val="22"/>
          <w:szCs w:val="22"/>
        </w:rPr>
        <w:t>eti odjeljak 4.2). L</w:t>
      </w:r>
      <w:r w:rsidR="00D73D18" w:rsidRPr="00C24B44">
        <w:rPr>
          <w:bCs/>
          <w:sz w:val="22"/>
          <w:szCs w:val="22"/>
        </w:rPr>
        <w:t>ij</w:t>
      </w:r>
      <w:r w:rsidRPr="00C24B44">
        <w:rPr>
          <w:bCs/>
          <w:sz w:val="22"/>
          <w:szCs w:val="22"/>
        </w:rPr>
        <w:t>ečenje tenofovir</w:t>
      </w:r>
      <w:r w:rsidR="00D73D18" w:rsidRPr="00C24B44">
        <w:rPr>
          <w:bCs/>
          <w:sz w:val="22"/>
          <w:szCs w:val="22"/>
        </w:rPr>
        <w:t xml:space="preserve"> </w:t>
      </w:r>
      <w:r w:rsidRPr="00C24B44">
        <w:rPr>
          <w:bCs/>
          <w:sz w:val="22"/>
          <w:szCs w:val="22"/>
        </w:rPr>
        <w:t xml:space="preserve">dizoproksilom ne treba započinjati kod pedijatrijskih pacijenata sa oštećenjem funkcije bubrega i treba prekinuti </w:t>
      </w:r>
      <w:r w:rsidR="00D73D18" w:rsidRPr="00C24B44">
        <w:rPr>
          <w:bCs/>
          <w:sz w:val="22"/>
          <w:szCs w:val="22"/>
        </w:rPr>
        <w:t>primjenu</w:t>
      </w:r>
      <w:r w:rsidRPr="00C24B44">
        <w:rPr>
          <w:bCs/>
          <w:sz w:val="22"/>
          <w:szCs w:val="22"/>
        </w:rPr>
        <w:t xml:space="preserve"> pedijatrijskim pacijentima kod kojih se pojavi oštećenje funkcije bubrega tokom l</w:t>
      </w:r>
      <w:r w:rsidR="00D73D18" w:rsidRPr="00C24B44">
        <w:rPr>
          <w:bCs/>
          <w:sz w:val="22"/>
          <w:szCs w:val="22"/>
        </w:rPr>
        <w:t>ij</w:t>
      </w:r>
      <w:r w:rsidRPr="00C24B44">
        <w:rPr>
          <w:bCs/>
          <w:sz w:val="22"/>
          <w:szCs w:val="22"/>
        </w:rPr>
        <w:t>ečenja tenofovir</w:t>
      </w:r>
      <w:r w:rsidR="00D73D18" w:rsidRPr="00C24B44">
        <w:rPr>
          <w:bCs/>
          <w:sz w:val="22"/>
          <w:szCs w:val="22"/>
        </w:rPr>
        <w:t xml:space="preserve"> </w:t>
      </w:r>
      <w:r w:rsidRPr="00C24B44">
        <w:rPr>
          <w:bCs/>
          <w:sz w:val="22"/>
          <w:szCs w:val="22"/>
        </w:rPr>
        <w:t>dizoproksilom.</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i/>
          <w:sz w:val="22"/>
          <w:szCs w:val="22"/>
        </w:rPr>
      </w:pPr>
      <w:r w:rsidRPr="00C24B44">
        <w:rPr>
          <w:bCs/>
          <w:i/>
          <w:sz w:val="22"/>
          <w:szCs w:val="22"/>
        </w:rPr>
        <w:t>Uticaj na kosti</w:t>
      </w:r>
    </w:p>
    <w:p w:rsidR="00945676" w:rsidRPr="00C24B44" w:rsidRDefault="00945676" w:rsidP="00C24B44">
      <w:pPr>
        <w:tabs>
          <w:tab w:val="left" w:pos="540"/>
          <w:tab w:val="left" w:pos="569"/>
        </w:tabs>
        <w:jc w:val="both"/>
        <w:rPr>
          <w:bCs/>
          <w:sz w:val="22"/>
          <w:szCs w:val="22"/>
        </w:rPr>
      </w:pPr>
      <w:r w:rsidRPr="00C24B44">
        <w:rPr>
          <w:bCs/>
          <w:sz w:val="22"/>
          <w:szCs w:val="22"/>
        </w:rPr>
        <w:t>L</w:t>
      </w:r>
      <w:r w:rsidR="00D73D18" w:rsidRPr="00C24B44">
        <w:rPr>
          <w:bCs/>
          <w:sz w:val="22"/>
          <w:szCs w:val="22"/>
        </w:rPr>
        <w:t>ij</w:t>
      </w:r>
      <w:r w:rsidRPr="00C24B44">
        <w:rPr>
          <w:bCs/>
          <w:sz w:val="22"/>
          <w:szCs w:val="22"/>
        </w:rPr>
        <w:t xml:space="preserve">ek Gilestra može da utiče na smanjenje mineralne gustine kosti (BMD). Ovi efekti </w:t>
      </w:r>
      <w:r w:rsidR="00D73D18" w:rsidRPr="00C24B44">
        <w:rPr>
          <w:bCs/>
          <w:sz w:val="22"/>
          <w:szCs w:val="22"/>
        </w:rPr>
        <w:t>sa tenofovir dizoproksil</w:t>
      </w:r>
      <w:r w:rsidRPr="00C24B44">
        <w:rPr>
          <w:bCs/>
          <w:sz w:val="22"/>
          <w:szCs w:val="22"/>
        </w:rPr>
        <w:t xml:space="preserve"> </w:t>
      </w:r>
      <w:r w:rsidR="00D73D18" w:rsidRPr="00C24B44">
        <w:rPr>
          <w:bCs/>
          <w:sz w:val="22"/>
          <w:szCs w:val="22"/>
        </w:rPr>
        <w:t>povezanim promjenama</w:t>
      </w:r>
      <w:r w:rsidRPr="00C24B44">
        <w:rPr>
          <w:bCs/>
          <w:sz w:val="22"/>
          <w:szCs w:val="22"/>
        </w:rPr>
        <w:t xml:space="preserve"> BMD na dugoročno zdravlje kostiju i rizike od fraktura su nepoznati (vid</w:t>
      </w:r>
      <w:r w:rsidR="00D73D18" w:rsidRPr="00C24B44">
        <w:rPr>
          <w:bCs/>
          <w:sz w:val="22"/>
          <w:szCs w:val="22"/>
        </w:rPr>
        <w:t>j</w:t>
      </w:r>
      <w:r w:rsidRPr="00C24B44">
        <w:rPr>
          <w:bCs/>
          <w:sz w:val="22"/>
          <w:szCs w:val="22"/>
        </w:rPr>
        <w:t>eti odjeljak 5.1).</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Ukoliko se utvrde ili se posumnja na abnormalnosti kostiju kod d</w:t>
      </w:r>
      <w:r w:rsidR="00D73D18" w:rsidRPr="00C24B44">
        <w:rPr>
          <w:bCs/>
          <w:sz w:val="22"/>
          <w:szCs w:val="22"/>
        </w:rPr>
        <w:t>j</w:t>
      </w:r>
      <w:r w:rsidRPr="00C24B44">
        <w:rPr>
          <w:bCs/>
          <w:sz w:val="22"/>
          <w:szCs w:val="22"/>
        </w:rPr>
        <w:t>ece, potrebno je konsultovati endokrinologa i/ili nefrologa.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
          <w:bCs/>
          <w:i/>
          <w:sz w:val="22"/>
          <w:szCs w:val="22"/>
        </w:rPr>
        <w:t>Oboljenje jetre</w:t>
      </w:r>
    </w:p>
    <w:p w:rsidR="00945676" w:rsidRPr="00C24B44" w:rsidRDefault="00945676" w:rsidP="00C24B44">
      <w:pPr>
        <w:tabs>
          <w:tab w:val="left" w:pos="540"/>
          <w:tab w:val="left" w:pos="569"/>
        </w:tabs>
        <w:jc w:val="both"/>
        <w:rPr>
          <w:bCs/>
          <w:sz w:val="22"/>
          <w:szCs w:val="22"/>
        </w:rPr>
      </w:pPr>
      <w:r w:rsidRPr="00C24B44">
        <w:rPr>
          <w:bCs/>
          <w:sz w:val="22"/>
          <w:szCs w:val="22"/>
        </w:rPr>
        <w:t>Podaci o bezb</w:t>
      </w:r>
      <w:r w:rsidR="00D73D18" w:rsidRPr="00C24B44">
        <w:rPr>
          <w:bCs/>
          <w:sz w:val="22"/>
          <w:szCs w:val="22"/>
        </w:rPr>
        <w:t>j</w:t>
      </w:r>
      <w:r w:rsidRPr="00C24B44">
        <w:rPr>
          <w:bCs/>
          <w:sz w:val="22"/>
          <w:szCs w:val="22"/>
        </w:rPr>
        <w:t>ednosti i efikasnosti kod pacijenata sa presađenom jetrom su vrlo ograničeni.</w:t>
      </w:r>
    </w:p>
    <w:p w:rsidR="00D73D18" w:rsidRPr="00C24B44" w:rsidRDefault="00D73D18"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Dostupni su ograničeni podaci o efikasnosti i bezb</w:t>
      </w:r>
      <w:r w:rsidR="00D73D18" w:rsidRPr="00C24B44">
        <w:rPr>
          <w:bCs/>
          <w:sz w:val="22"/>
          <w:szCs w:val="22"/>
        </w:rPr>
        <w:t>j</w:t>
      </w:r>
      <w:r w:rsidRPr="00C24B44">
        <w:rPr>
          <w:bCs/>
          <w:sz w:val="22"/>
          <w:szCs w:val="22"/>
        </w:rPr>
        <w:t>ednosti kod pacijenata sa HBV infekcijom i dekompenzovanim oboljenjem jetre koji imaju CPT (</w:t>
      </w:r>
      <w:r w:rsidRPr="00C24B44">
        <w:rPr>
          <w:bCs/>
          <w:i/>
          <w:sz w:val="22"/>
          <w:szCs w:val="22"/>
        </w:rPr>
        <w:t>Child-Pugh-Turcotte</w:t>
      </w:r>
      <w:r w:rsidRPr="00C24B44">
        <w:rPr>
          <w:bCs/>
          <w:sz w:val="22"/>
          <w:szCs w:val="22"/>
        </w:rPr>
        <w:t>) skor veći od 9. Ovi pacijenti mogu biti pod većim rizikom od razvoja ozbiljnih hepatičkih i renalnih neželjenih dejstava. Zbog toga je kod njih neophodno da se sprovodi pažljivo praćenje hepatobilijarnih i bubrežnih parametara.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
          <w:bCs/>
          <w:i/>
          <w:sz w:val="22"/>
          <w:szCs w:val="22"/>
        </w:rPr>
        <w:t>Egzacerbacija hepatitisa</w:t>
      </w:r>
    </w:p>
    <w:p w:rsidR="00945676" w:rsidRPr="00C24B44" w:rsidRDefault="00C24B44" w:rsidP="00C24B44">
      <w:pPr>
        <w:tabs>
          <w:tab w:val="left" w:pos="540"/>
          <w:tab w:val="left" w:pos="569"/>
        </w:tabs>
        <w:jc w:val="both"/>
        <w:rPr>
          <w:bCs/>
          <w:sz w:val="22"/>
          <w:szCs w:val="22"/>
        </w:rPr>
      </w:pPr>
      <w:r>
        <w:rPr>
          <w:bCs/>
          <w:i/>
          <w:sz w:val="22"/>
          <w:szCs w:val="22"/>
        </w:rPr>
        <w:t>Reaktivacija</w:t>
      </w:r>
      <w:r w:rsidR="00945676" w:rsidRPr="00C24B44">
        <w:rPr>
          <w:bCs/>
          <w:i/>
          <w:sz w:val="22"/>
          <w:szCs w:val="22"/>
        </w:rPr>
        <w:t xml:space="preserve"> bolesti</w:t>
      </w:r>
      <w:r>
        <w:rPr>
          <w:bCs/>
          <w:i/>
          <w:sz w:val="22"/>
          <w:szCs w:val="22"/>
        </w:rPr>
        <w:t xml:space="preserve"> (eng.flares)</w:t>
      </w:r>
      <w:r w:rsidR="00945676" w:rsidRPr="00C24B44">
        <w:rPr>
          <w:bCs/>
          <w:i/>
          <w:sz w:val="22"/>
          <w:szCs w:val="22"/>
        </w:rPr>
        <w:t xml:space="preserve"> tokom terapije:</w:t>
      </w:r>
      <w:r w:rsidR="00945676" w:rsidRPr="00C24B44">
        <w:rPr>
          <w:bCs/>
          <w:sz w:val="22"/>
          <w:szCs w:val="22"/>
        </w:rPr>
        <w:t xml:space="preserve"> Spontane egzarcebacije u hroničnom hepatitisu B su relativno česte i karakteriše ih prolazno povećanje vr</w:t>
      </w:r>
      <w:r w:rsidR="00D73D18" w:rsidRPr="00C24B44">
        <w:rPr>
          <w:bCs/>
          <w:sz w:val="22"/>
          <w:szCs w:val="22"/>
        </w:rPr>
        <w:t>ij</w:t>
      </w:r>
      <w:r w:rsidR="00945676" w:rsidRPr="00C24B44">
        <w:rPr>
          <w:bCs/>
          <w:sz w:val="22"/>
          <w:szCs w:val="22"/>
        </w:rPr>
        <w:t>ednosti ALT u serumu. Nakon iniciranja antivirusne terapije, kod nekih pacijenata može doći do povećanja vr</w:t>
      </w:r>
      <w:r w:rsidR="00D73D18" w:rsidRPr="00C24B44">
        <w:rPr>
          <w:bCs/>
          <w:sz w:val="22"/>
          <w:szCs w:val="22"/>
        </w:rPr>
        <w:t>ij</w:t>
      </w:r>
      <w:r w:rsidR="00945676" w:rsidRPr="00C24B44">
        <w:rPr>
          <w:bCs/>
          <w:sz w:val="22"/>
          <w:szCs w:val="22"/>
        </w:rPr>
        <w:t>ednosti ALT u serumu (vid</w:t>
      </w:r>
      <w:r w:rsidR="00D73D18" w:rsidRPr="00C24B44">
        <w:rPr>
          <w:bCs/>
          <w:sz w:val="22"/>
          <w:szCs w:val="22"/>
        </w:rPr>
        <w:t>j</w:t>
      </w:r>
      <w:r w:rsidR="00945676" w:rsidRPr="00C24B44">
        <w:rPr>
          <w:bCs/>
          <w:sz w:val="22"/>
          <w:szCs w:val="22"/>
        </w:rPr>
        <w:t>eti odjeljak 4.8). Kod pacijenata sa kompenzovanim oboljenjem jetre, ta povećanja nivoa serumske ALT ni</w:t>
      </w:r>
      <w:r>
        <w:rPr>
          <w:bCs/>
          <w:sz w:val="22"/>
          <w:szCs w:val="22"/>
        </w:rPr>
        <w:t>je</w:t>
      </w:r>
      <w:r w:rsidR="00945676" w:rsidRPr="00C24B44">
        <w:rPr>
          <w:bCs/>
          <w:sz w:val="22"/>
          <w:szCs w:val="22"/>
        </w:rPr>
        <w:t>su praćena povećanjem koncentracija bilirubina u serumu ili dekompenzacijom jetre. Pacijenti sa cirozom jetre mogu biti pod povišenim rizikom od dekompenzacije jetre nakon egzarcebacije hepatitisa i zato ih treba pažljivo pratiti tokom terapije.</w:t>
      </w:r>
    </w:p>
    <w:p w:rsidR="00945676" w:rsidRPr="00C24B44" w:rsidRDefault="00945676" w:rsidP="00C24B44">
      <w:pPr>
        <w:tabs>
          <w:tab w:val="left" w:pos="540"/>
          <w:tab w:val="left" w:pos="569"/>
        </w:tabs>
        <w:jc w:val="both"/>
        <w:rPr>
          <w:bCs/>
          <w:sz w:val="22"/>
          <w:szCs w:val="22"/>
        </w:rPr>
      </w:pPr>
    </w:p>
    <w:p w:rsidR="00945676" w:rsidRPr="00C24B44" w:rsidRDefault="00C24B44" w:rsidP="00C24B44">
      <w:pPr>
        <w:tabs>
          <w:tab w:val="left" w:pos="540"/>
          <w:tab w:val="left" w:pos="569"/>
        </w:tabs>
        <w:jc w:val="both"/>
        <w:rPr>
          <w:bCs/>
          <w:sz w:val="22"/>
          <w:szCs w:val="22"/>
        </w:rPr>
      </w:pPr>
      <w:r>
        <w:rPr>
          <w:bCs/>
          <w:i/>
          <w:sz w:val="22"/>
          <w:szCs w:val="22"/>
        </w:rPr>
        <w:t>Reaktivacija</w:t>
      </w:r>
      <w:r w:rsidRPr="00C24B44">
        <w:rPr>
          <w:bCs/>
          <w:i/>
          <w:sz w:val="22"/>
          <w:szCs w:val="22"/>
        </w:rPr>
        <w:t xml:space="preserve"> </w:t>
      </w:r>
      <w:r w:rsidR="00945676" w:rsidRPr="00C24B44">
        <w:rPr>
          <w:bCs/>
          <w:i/>
          <w:sz w:val="22"/>
          <w:szCs w:val="22"/>
        </w:rPr>
        <w:t>bolesti nakon prekida terapije:</w:t>
      </w:r>
      <w:r w:rsidR="00945676" w:rsidRPr="00C24B44">
        <w:rPr>
          <w:bCs/>
          <w:sz w:val="22"/>
          <w:szCs w:val="22"/>
        </w:rPr>
        <w:t xml:space="preserve"> Akutna egzarcebacija hepatitisa takođe je prijavljena kod pacijenata koji su prekinuli l</w:t>
      </w:r>
      <w:r w:rsidR="00D73D18" w:rsidRPr="00C24B44">
        <w:rPr>
          <w:bCs/>
          <w:sz w:val="22"/>
          <w:szCs w:val="22"/>
        </w:rPr>
        <w:t>ij</w:t>
      </w:r>
      <w:r w:rsidR="00945676" w:rsidRPr="00C24B44">
        <w:rPr>
          <w:bCs/>
          <w:sz w:val="22"/>
          <w:szCs w:val="22"/>
        </w:rPr>
        <w:t>ečenje hepatitisa B. Egzarcebacije nakon terapije obično se povezuju sa porastom HBV DNK i većina njih je uglavnom samoograničavajuća. Međutim, prijavljene su i ozbiljne egzarcebacije, uključujući smrtne slučajeve. Potrebno je pratiti funkciju jetre u redovnim intervalima i sa kliničkim i laboratorijskim kontrolama tokom najmanje 6 m</w:t>
      </w:r>
      <w:r w:rsidR="00D73D18" w:rsidRPr="00C24B44">
        <w:rPr>
          <w:bCs/>
          <w:sz w:val="22"/>
          <w:szCs w:val="22"/>
        </w:rPr>
        <w:t>j</w:t>
      </w:r>
      <w:r w:rsidR="00945676" w:rsidRPr="00C24B44">
        <w:rPr>
          <w:bCs/>
          <w:sz w:val="22"/>
          <w:szCs w:val="22"/>
        </w:rPr>
        <w:t>eseci nakon prekida l</w:t>
      </w:r>
      <w:r w:rsidR="00D73D18" w:rsidRPr="00C24B44">
        <w:rPr>
          <w:bCs/>
          <w:sz w:val="22"/>
          <w:szCs w:val="22"/>
        </w:rPr>
        <w:t>ij</w:t>
      </w:r>
      <w:r w:rsidR="00945676" w:rsidRPr="00C24B44">
        <w:rPr>
          <w:bCs/>
          <w:sz w:val="22"/>
          <w:szCs w:val="22"/>
        </w:rPr>
        <w:t>ečenja hepatitisa</w:t>
      </w:r>
      <w:r w:rsidR="00945676" w:rsidRPr="00945676">
        <w:rPr>
          <w:bCs/>
          <w:sz w:val="22"/>
          <w:szCs w:val="22"/>
        </w:rPr>
        <w:t xml:space="preserve"> </w:t>
      </w:r>
      <w:r w:rsidR="00945676" w:rsidRPr="00192010">
        <w:rPr>
          <w:bCs/>
          <w:sz w:val="22"/>
          <w:szCs w:val="22"/>
        </w:rPr>
        <w:t>B. Ukoliko je prim</w:t>
      </w:r>
      <w:r w:rsidR="00D73D18" w:rsidRPr="00192010">
        <w:rPr>
          <w:bCs/>
          <w:sz w:val="22"/>
          <w:szCs w:val="22"/>
        </w:rPr>
        <w:t>j</w:t>
      </w:r>
      <w:r w:rsidR="00945676" w:rsidRPr="0078797C">
        <w:rPr>
          <w:bCs/>
          <w:sz w:val="22"/>
          <w:szCs w:val="22"/>
        </w:rPr>
        <w:t>ereno, može se dozvoliti nastavak terapije za hepatitis B. Kod pacijenata sa uznapredovalim oboljenjem jetre ili cirozom, prestanak terapije se ne preporučuje pošto egzacerbacija hepatitisa nakon terapije može dovesti do dekompenzacije je</w:t>
      </w:r>
      <w:r w:rsidR="00945676" w:rsidRPr="00C24B44">
        <w:rPr>
          <w:bCs/>
          <w:sz w:val="22"/>
          <w:szCs w:val="22"/>
        </w:rPr>
        <w:t>tre.</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Recidivi bolesti jetre posebno su ozbiljni i ponekad fatalni kod pacijenata sa dekompenzovanim oboljenjem jetre.</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i/>
          <w:sz w:val="22"/>
          <w:szCs w:val="22"/>
        </w:rPr>
        <w:t>Koinfekcija sa hepatitisom C ili D:</w:t>
      </w:r>
      <w:r w:rsidRPr="00C24B44">
        <w:rPr>
          <w:bCs/>
          <w:sz w:val="22"/>
          <w:szCs w:val="22"/>
        </w:rPr>
        <w:t xml:space="preserve"> Nema podataka o efikasnosti tenofovira kod pacijenata koji su koinficirani virusom hepatitisa C ili D.</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i/>
          <w:sz w:val="22"/>
          <w:szCs w:val="22"/>
        </w:rPr>
        <w:t>Koinfekcija sa virusom HIV-1 i hepatitisom B:</w:t>
      </w:r>
      <w:r w:rsidRPr="00C24B44">
        <w:rPr>
          <w:bCs/>
          <w:sz w:val="22"/>
          <w:szCs w:val="22"/>
        </w:rPr>
        <w:t xml:space="preserve"> Zbog rizika od razvoja rezistencije na HIV, tenofivir</w:t>
      </w:r>
      <w:r w:rsidR="00D73D18" w:rsidRPr="00C24B44">
        <w:rPr>
          <w:bCs/>
          <w:sz w:val="22"/>
          <w:szCs w:val="22"/>
        </w:rPr>
        <w:t xml:space="preserve"> </w:t>
      </w:r>
      <w:r w:rsidRPr="00C24B44">
        <w:rPr>
          <w:bCs/>
          <w:sz w:val="22"/>
          <w:szCs w:val="22"/>
        </w:rPr>
        <w:t xml:space="preserve">dizoproksil </w:t>
      </w:r>
      <w:r w:rsidR="00D73D18" w:rsidRPr="00C24B44">
        <w:rPr>
          <w:bCs/>
          <w:sz w:val="22"/>
          <w:szCs w:val="22"/>
        </w:rPr>
        <w:t>treba koristiti samo kao di</w:t>
      </w:r>
      <w:r w:rsidRPr="00C24B44">
        <w:rPr>
          <w:bCs/>
          <w:sz w:val="22"/>
          <w:szCs w:val="22"/>
        </w:rPr>
        <w:t>o adekvatnog antiretrovirusnog kombinovanog protokola kod pacijenata koinficiranih HIV- om/HBV-om. Pacijenti sa prethodnom disfunkcijom jetre, uključujući hronični aktivni hepatitis, imaju povišenu učestalost poremećaja funkcije jetre tokom kombinovane antiretrovirusne terapije (CART) i treba ih pažljivo pratiti u skladu sa standardnom praksom. Ukoliko postoje dokazi o pogoršanju oboljenja jetre kod ovih pacijenata, mora se razmotriti privremeno ili trajno obustavljanje terapije. Međutim, treba napomen</w:t>
      </w:r>
      <w:r w:rsidR="00D73D18" w:rsidRPr="00C24B44">
        <w:rPr>
          <w:bCs/>
          <w:sz w:val="22"/>
          <w:szCs w:val="22"/>
        </w:rPr>
        <w:t>uti da porast ALT-a može biti di</w:t>
      </w:r>
      <w:r w:rsidRPr="00C24B44">
        <w:rPr>
          <w:bCs/>
          <w:sz w:val="22"/>
          <w:szCs w:val="22"/>
        </w:rPr>
        <w:t>o eliminacije HBV-a tokom l</w:t>
      </w:r>
      <w:r w:rsidR="00D73D18" w:rsidRPr="00C24B44">
        <w:rPr>
          <w:bCs/>
          <w:sz w:val="22"/>
          <w:szCs w:val="22"/>
        </w:rPr>
        <w:t>ij</w:t>
      </w:r>
      <w:r w:rsidRPr="00C24B44">
        <w:rPr>
          <w:bCs/>
          <w:sz w:val="22"/>
          <w:szCs w:val="22"/>
        </w:rPr>
        <w:t>ečenja tenofovirom (vid</w:t>
      </w:r>
      <w:r w:rsidR="00D73D18" w:rsidRPr="00C24B44">
        <w:rPr>
          <w:bCs/>
          <w:sz w:val="22"/>
          <w:szCs w:val="22"/>
        </w:rPr>
        <w:t>j</w:t>
      </w:r>
      <w:r w:rsidRPr="00C24B44">
        <w:rPr>
          <w:bCs/>
          <w:sz w:val="22"/>
          <w:szCs w:val="22"/>
        </w:rPr>
        <w:t xml:space="preserve">eti gornji odjeljak </w:t>
      </w:r>
      <w:r w:rsidRPr="00C24B44">
        <w:rPr>
          <w:bCs/>
          <w:i/>
          <w:sz w:val="22"/>
          <w:szCs w:val="22"/>
        </w:rPr>
        <w:t>Egzarcebacije hepatitisa</w:t>
      </w:r>
      <w:r w:rsidRPr="00C24B44">
        <w:rPr>
          <w:bCs/>
          <w:sz w:val="22"/>
          <w:szCs w:val="22"/>
        </w:rPr>
        <w:t xml:space="preserve">). </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u w:val="single"/>
        </w:rPr>
        <w:t>Upotreba sa određenim antivirusnim l</w:t>
      </w:r>
      <w:r w:rsidR="00D73D18" w:rsidRPr="00C24B44">
        <w:rPr>
          <w:bCs/>
          <w:sz w:val="22"/>
          <w:szCs w:val="22"/>
          <w:u w:val="single"/>
        </w:rPr>
        <w:t>j</w:t>
      </w:r>
      <w:r w:rsidRPr="00C24B44">
        <w:rPr>
          <w:bCs/>
          <w:sz w:val="22"/>
          <w:szCs w:val="22"/>
          <w:u w:val="single"/>
        </w:rPr>
        <w:t>ekovima protiv virusa hepatitisa C</w:t>
      </w:r>
    </w:p>
    <w:p w:rsidR="00945676" w:rsidRPr="00C24B44" w:rsidRDefault="00945676" w:rsidP="00C24B44">
      <w:pPr>
        <w:tabs>
          <w:tab w:val="left" w:pos="540"/>
          <w:tab w:val="left" w:pos="569"/>
        </w:tabs>
        <w:jc w:val="both"/>
        <w:rPr>
          <w:bCs/>
          <w:sz w:val="22"/>
          <w:szCs w:val="22"/>
        </w:rPr>
      </w:pPr>
      <w:r w:rsidRPr="00C24B44">
        <w:rPr>
          <w:bCs/>
          <w:sz w:val="22"/>
          <w:szCs w:val="22"/>
        </w:rPr>
        <w:t>Pokazalo se da istovremena prim</w:t>
      </w:r>
      <w:r w:rsidR="00D73D18" w:rsidRPr="00C24B44">
        <w:rPr>
          <w:bCs/>
          <w:sz w:val="22"/>
          <w:szCs w:val="22"/>
        </w:rPr>
        <w:t>j</w:t>
      </w:r>
      <w:r w:rsidRPr="00C24B44">
        <w:rPr>
          <w:bCs/>
          <w:sz w:val="22"/>
          <w:szCs w:val="22"/>
        </w:rPr>
        <w:t>ena tenofovir</w:t>
      </w:r>
      <w:r w:rsidR="00D73D18" w:rsidRPr="00C24B44">
        <w:rPr>
          <w:bCs/>
          <w:sz w:val="22"/>
          <w:szCs w:val="22"/>
        </w:rPr>
        <w:t xml:space="preserve"> </w:t>
      </w:r>
      <w:r w:rsidRPr="00C24B44">
        <w:rPr>
          <w:bCs/>
          <w:sz w:val="22"/>
          <w:szCs w:val="22"/>
        </w:rPr>
        <w:t>dizoproksila sa ledipasvirom/sofosbuvirom, sofosbuvirom/velpatasvirom ili sofosbuvirom/velpatasvirom/voksilaprevirom dovodi do povećanja koncentracija tenofovira u plazmi, pogotovo kada se koristi zajedno sa režimom za HIV koji sadrži tenofovir</w:t>
      </w:r>
      <w:r w:rsidR="008577B0" w:rsidRPr="00C24B44">
        <w:rPr>
          <w:bCs/>
          <w:sz w:val="22"/>
          <w:szCs w:val="22"/>
        </w:rPr>
        <w:t xml:space="preserve"> </w:t>
      </w:r>
      <w:r w:rsidRPr="00C24B44">
        <w:rPr>
          <w:bCs/>
          <w:sz w:val="22"/>
          <w:szCs w:val="22"/>
        </w:rPr>
        <w:t>dizoproksil i farmakokinetički pojačivač (ritonavir ili kobicistat). Bezb</w:t>
      </w:r>
      <w:r w:rsidR="008577B0" w:rsidRPr="00C24B44">
        <w:rPr>
          <w:bCs/>
          <w:sz w:val="22"/>
          <w:szCs w:val="22"/>
        </w:rPr>
        <w:t>j</w:t>
      </w:r>
      <w:r w:rsidRPr="00C24B44">
        <w:rPr>
          <w:bCs/>
          <w:sz w:val="22"/>
          <w:szCs w:val="22"/>
        </w:rPr>
        <w:t>ednost tenofovir</w:t>
      </w:r>
      <w:r w:rsidR="008577B0" w:rsidRPr="00C24B44">
        <w:rPr>
          <w:bCs/>
          <w:sz w:val="22"/>
          <w:szCs w:val="22"/>
        </w:rPr>
        <w:t xml:space="preserve"> </w:t>
      </w:r>
      <w:r w:rsidRPr="00C24B44">
        <w:rPr>
          <w:bCs/>
          <w:sz w:val="22"/>
          <w:szCs w:val="22"/>
        </w:rPr>
        <w:t>dizoproksila u prisustvu ledipasvira/sofosbuvira, sofosbuvira/velpatasvira ili sofosbuvira/velpatasvira/voksilaprevira i farmakokinetičkog pojačivača nije ustanovljena. Potencijalni rizici i koristi povezani sa istovremenom prim</w:t>
      </w:r>
      <w:r w:rsidR="008577B0" w:rsidRPr="00C24B44">
        <w:rPr>
          <w:bCs/>
          <w:sz w:val="22"/>
          <w:szCs w:val="22"/>
        </w:rPr>
        <w:t>j</w:t>
      </w:r>
      <w:r w:rsidRPr="00C24B44">
        <w:rPr>
          <w:bCs/>
          <w:sz w:val="22"/>
          <w:szCs w:val="22"/>
        </w:rPr>
        <w:t>enom ledipasvira/sofosbuvira, sofosbuvira/velpatasvira ili sofosbuvira/velpatasvira/voksilaprevira sa tenofovir</w:t>
      </w:r>
      <w:r w:rsidR="008577B0" w:rsidRPr="00C24B44">
        <w:rPr>
          <w:bCs/>
          <w:sz w:val="22"/>
          <w:szCs w:val="22"/>
        </w:rPr>
        <w:t xml:space="preserve"> </w:t>
      </w:r>
      <w:r w:rsidRPr="00C24B44">
        <w:rPr>
          <w:bCs/>
          <w:sz w:val="22"/>
          <w:szCs w:val="22"/>
        </w:rPr>
        <w:t>dizoproksilom koji se daje u kombinaciji sa pojačanim inhibitorom HIV proteaze (npr. atazanavirom ili darunavirom) treba da se razmotri, pogotovo kod pacijenata koji su pod povećanim rizikom od disfunkcije bubrega. Pacijente koji primaju ledipasvir/sofosbuvir, sofosbuvir/velpatasvir ili sofosbuvir/velpatasvir/voksilaprevir istovremeno sa tenofovir</w:t>
      </w:r>
      <w:r w:rsidR="008577B0" w:rsidRPr="00C24B44">
        <w:rPr>
          <w:bCs/>
          <w:sz w:val="22"/>
          <w:szCs w:val="22"/>
        </w:rPr>
        <w:t xml:space="preserve"> </w:t>
      </w:r>
      <w:r w:rsidRPr="00C24B44">
        <w:rPr>
          <w:bCs/>
          <w:sz w:val="22"/>
          <w:szCs w:val="22"/>
        </w:rPr>
        <w:t>dizoproksilom i pojačanim inhibitorom HIV proteaze treba pratiti u pogledu neželjenih reakcija povezanih sa tenofovir</w:t>
      </w:r>
      <w:r w:rsidR="008577B0" w:rsidRPr="00C24B44">
        <w:rPr>
          <w:bCs/>
          <w:sz w:val="22"/>
          <w:szCs w:val="22"/>
        </w:rPr>
        <w:t xml:space="preserve"> </w:t>
      </w:r>
      <w:r w:rsidRPr="00C24B44">
        <w:rPr>
          <w:bCs/>
          <w:sz w:val="22"/>
          <w:szCs w:val="22"/>
        </w:rPr>
        <w:t>dizoproksilom.</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u w:val="single"/>
        </w:rPr>
      </w:pPr>
      <w:r w:rsidRPr="00C24B44">
        <w:rPr>
          <w:bCs/>
          <w:sz w:val="22"/>
          <w:szCs w:val="22"/>
          <w:u w:val="single"/>
        </w:rPr>
        <w:t>Parametri t</w:t>
      </w:r>
      <w:r w:rsidR="008577B0" w:rsidRPr="00C24B44">
        <w:rPr>
          <w:bCs/>
          <w:sz w:val="22"/>
          <w:szCs w:val="22"/>
          <w:u w:val="single"/>
        </w:rPr>
        <w:t>j</w:t>
      </w:r>
      <w:r w:rsidRPr="00C24B44">
        <w:rPr>
          <w:bCs/>
          <w:sz w:val="22"/>
          <w:szCs w:val="22"/>
          <w:u w:val="single"/>
        </w:rPr>
        <w:t>elesne mase i metabolizma</w:t>
      </w:r>
    </w:p>
    <w:p w:rsidR="00945676" w:rsidRPr="00C24B44" w:rsidRDefault="00945676" w:rsidP="00C24B44">
      <w:pPr>
        <w:tabs>
          <w:tab w:val="left" w:pos="540"/>
          <w:tab w:val="left" w:pos="569"/>
        </w:tabs>
        <w:jc w:val="both"/>
        <w:rPr>
          <w:bCs/>
          <w:sz w:val="22"/>
          <w:szCs w:val="22"/>
        </w:rPr>
      </w:pPr>
      <w:r w:rsidRPr="00C24B44">
        <w:rPr>
          <w:bCs/>
          <w:sz w:val="22"/>
          <w:szCs w:val="22"/>
        </w:rPr>
        <w:t>Povećanje t</w:t>
      </w:r>
      <w:r w:rsidR="008577B0" w:rsidRPr="00C24B44">
        <w:rPr>
          <w:bCs/>
          <w:sz w:val="22"/>
          <w:szCs w:val="22"/>
        </w:rPr>
        <w:t>j</w:t>
      </w:r>
      <w:r w:rsidRPr="00C24B44">
        <w:rPr>
          <w:bCs/>
          <w:sz w:val="22"/>
          <w:szCs w:val="22"/>
        </w:rPr>
        <w:t>elesne mase kao i povećanje koncentracije lipida i glukoze u krvi su mogući u toku antiretrovirusne terapije. Ovakve prom</w:t>
      </w:r>
      <w:r w:rsidR="008577B0" w:rsidRPr="00C24B44">
        <w:rPr>
          <w:bCs/>
          <w:sz w:val="22"/>
          <w:szCs w:val="22"/>
        </w:rPr>
        <w:t>j</w:t>
      </w:r>
      <w:r w:rsidRPr="00C24B44">
        <w:rPr>
          <w:bCs/>
          <w:sz w:val="22"/>
          <w:szCs w:val="22"/>
        </w:rPr>
        <w:t>ene mogu biti d</w:t>
      </w:r>
      <w:r w:rsidR="008577B0" w:rsidRPr="00C24B44">
        <w:rPr>
          <w:bCs/>
          <w:sz w:val="22"/>
          <w:szCs w:val="22"/>
        </w:rPr>
        <w:t>ij</w:t>
      </w:r>
      <w:r w:rsidRPr="00C24B44">
        <w:rPr>
          <w:bCs/>
          <w:sz w:val="22"/>
          <w:szCs w:val="22"/>
        </w:rPr>
        <w:t>elom posl</w:t>
      </w:r>
      <w:r w:rsidR="008577B0" w:rsidRPr="00C24B44">
        <w:rPr>
          <w:bCs/>
          <w:sz w:val="22"/>
          <w:szCs w:val="22"/>
        </w:rPr>
        <w:t>j</w:t>
      </w:r>
      <w:r w:rsidRPr="00C24B44">
        <w:rPr>
          <w:bCs/>
          <w:sz w:val="22"/>
          <w:szCs w:val="22"/>
        </w:rPr>
        <w:t>edica kontrole bolesti i načina života. Za lipide, postoji u nekim slučajevima dokaz efekta terapije, a za povećanje t</w:t>
      </w:r>
      <w:r w:rsidR="008577B0" w:rsidRPr="00C24B44">
        <w:rPr>
          <w:bCs/>
          <w:sz w:val="22"/>
          <w:szCs w:val="22"/>
        </w:rPr>
        <w:t>j</w:t>
      </w:r>
      <w:r w:rsidRPr="00C24B44">
        <w:rPr>
          <w:bCs/>
          <w:sz w:val="22"/>
          <w:szCs w:val="22"/>
        </w:rPr>
        <w:t xml:space="preserve">elesne mase nema jakih dokaza koji upućuju na terapiju. </w:t>
      </w:r>
    </w:p>
    <w:p w:rsidR="00945676" w:rsidRPr="00C24B44" w:rsidRDefault="00945676" w:rsidP="00C24B44">
      <w:pPr>
        <w:tabs>
          <w:tab w:val="left" w:pos="540"/>
          <w:tab w:val="left" w:pos="569"/>
        </w:tabs>
        <w:jc w:val="both"/>
        <w:rPr>
          <w:bCs/>
          <w:sz w:val="22"/>
          <w:szCs w:val="22"/>
        </w:rPr>
      </w:pPr>
      <w:r w:rsidRPr="00C24B44">
        <w:rPr>
          <w:bCs/>
          <w:sz w:val="22"/>
          <w:szCs w:val="22"/>
        </w:rPr>
        <w:t>Za praćenje lipida i glukoze u krvi dat</w:t>
      </w:r>
      <w:r w:rsidR="00FC4F4B">
        <w:rPr>
          <w:bCs/>
          <w:sz w:val="22"/>
          <w:szCs w:val="22"/>
        </w:rPr>
        <w:t xml:space="preserve">e su preporuke u </w:t>
      </w:r>
      <w:r w:rsidRPr="00C24B44">
        <w:rPr>
          <w:bCs/>
          <w:sz w:val="22"/>
          <w:szCs w:val="22"/>
        </w:rPr>
        <w:t>ustanovljenim sm</w:t>
      </w:r>
      <w:r w:rsidR="008577B0" w:rsidRPr="00C24B44">
        <w:rPr>
          <w:bCs/>
          <w:sz w:val="22"/>
          <w:szCs w:val="22"/>
        </w:rPr>
        <w:t>j</w:t>
      </w:r>
      <w:r w:rsidRPr="00C24B44">
        <w:rPr>
          <w:bCs/>
          <w:sz w:val="22"/>
          <w:szCs w:val="22"/>
        </w:rPr>
        <w:t>ernicama za l</w:t>
      </w:r>
      <w:r w:rsidR="008577B0" w:rsidRPr="00C24B44">
        <w:rPr>
          <w:bCs/>
          <w:sz w:val="22"/>
          <w:szCs w:val="22"/>
        </w:rPr>
        <w:t>ij</w:t>
      </w:r>
      <w:r w:rsidRPr="00C24B44">
        <w:rPr>
          <w:bCs/>
          <w:sz w:val="22"/>
          <w:szCs w:val="22"/>
        </w:rPr>
        <w:t xml:space="preserve">ečenje HIV-a. Poremećaje lipida </w:t>
      </w:r>
      <w:r w:rsidR="00FC4F4B">
        <w:rPr>
          <w:bCs/>
          <w:sz w:val="22"/>
          <w:szCs w:val="22"/>
        </w:rPr>
        <w:t>po</w:t>
      </w:r>
      <w:r w:rsidRPr="00C24B44">
        <w:rPr>
          <w:bCs/>
          <w:sz w:val="22"/>
          <w:szCs w:val="22"/>
        </w:rPr>
        <w:t>treb</w:t>
      </w:r>
      <w:r w:rsidR="00FC4F4B">
        <w:rPr>
          <w:bCs/>
          <w:sz w:val="22"/>
          <w:szCs w:val="22"/>
        </w:rPr>
        <w:t xml:space="preserve">no je </w:t>
      </w:r>
      <w:r w:rsidRPr="00C24B44">
        <w:rPr>
          <w:bCs/>
          <w:sz w:val="22"/>
          <w:szCs w:val="22"/>
        </w:rPr>
        <w:t xml:space="preserve"> l</w:t>
      </w:r>
      <w:r w:rsidR="008577B0" w:rsidRPr="00C24B44">
        <w:rPr>
          <w:bCs/>
          <w:sz w:val="22"/>
          <w:szCs w:val="22"/>
        </w:rPr>
        <w:t>ij</w:t>
      </w:r>
      <w:r w:rsidRPr="00C24B44">
        <w:rPr>
          <w:bCs/>
          <w:sz w:val="22"/>
          <w:szCs w:val="22"/>
        </w:rPr>
        <w:t>ečiti na klinički prim</w:t>
      </w:r>
      <w:r w:rsidR="008577B0" w:rsidRPr="00C24B44">
        <w:rPr>
          <w:bCs/>
          <w:sz w:val="22"/>
          <w:szCs w:val="22"/>
        </w:rPr>
        <w:t>j</w:t>
      </w:r>
      <w:r w:rsidRPr="00C24B44">
        <w:rPr>
          <w:bCs/>
          <w:sz w:val="22"/>
          <w:szCs w:val="22"/>
        </w:rPr>
        <w:t>eren način.</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Cs/>
          <w:sz w:val="22"/>
          <w:szCs w:val="22"/>
          <w:u w:val="single"/>
        </w:rPr>
        <w:t>Disfunkcija mitohondrija</w:t>
      </w:r>
      <w:r w:rsidRPr="00C24B44">
        <w:rPr>
          <w:b/>
          <w:bCs/>
          <w:i/>
          <w:sz w:val="22"/>
          <w:szCs w:val="22"/>
        </w:rPr>
        <w:t xml:space="preserve"> </w:t>
      </w:r>
      <w:r w:rsidRPr="00C24B44">
        <w:rPr>
          <w:bCs/>
          <w:sz w:val="22"/>
          <w:szCs w:val="22"/>
          <w:u w:val="single"/>
        </w:rPr>
        <w:t xml:space="preserve">nakon ekspozicije </w:t>
      </w:r>
      <w:r w:rsidRPr="00C24B44">
        <w:rPr>
          <w:bCs/>
          <w:i/>
          <w:sz w:val="22"/>
          <w:szCs w:val="22"/>
          <w:u w:val="single"/>
        </w:rPr>
        <w:t>in utero</w:t>
      </w:r>
    </w:p>
    <w:p w:rsidR="00945676" w:rsidRPr="00C24B44" w:rsidRDefault="00945676" w:rsidP="00C24B44">
      <w:pPr>
        <w:tabs>
          <w:tab w:val="left" w:pos="540"/>
          <w:tab w:val="left" w:pos="569"/>
        </w:tabs>
        <w:jc w:val="both"/>
        <w:rPr>
          <w:bCs/>
          <w:sz w:val="22"/>
          <w:szCs w:val="22"/>
        </w:rPr>
      </w:pPr>
      <w:r w:rsidRPr="00C24B44">
        <w:rPr>
          <w:bCs/>
          <w:sz w:val="22"/>
          <w:szCs w:val="22"/>
        </w:rPr>
        <w:t>Pokazano je da analozi nukleozida i nukleotida izazivaju varijabilni stepen oštećenja mitohondrija, što je najizraženije kod stavudina, didanozina i zidovudina. Postoje izv</w:t>
      </w:r>
      <w:r w:rsidR="008577B0" w:rsidRPr="00C24B44">
        <w:rPr>
          <w:bCs/>
          <w:sz w:val="22"/>
          <w:szCs w:val="22"/>
        </w:rPr>
        <w:t>j</w:t>
      </w:r>
      <w:r w:rsidRPr="00C24B44">
        <w:rPr>
          <w:bCs/>
          <w:sz w:val="22"/>
          <w:szCs w:val="22"/>
        </w:rPr>
        <w:t xml:space="preserve">eštaji o disfunkciji mitohondrija kod HIV negativne novorođenčadi koja su </w:t>
      </w:r>
      <w:r w:rsidRPr="00C24B44">
        <w:rPr>
          <w:bCs/>
          <w:i/>
          <w:sz w:val="22"/>
          <w:szCs w:val="22"/>
        </w:rPr>
        <w:t xml:space="preserve">in utero </w:t>
      </w:r>
      <w:r w:rsidRPr="00C24B44">
        <w:rPr>
          <w:bCs/>
          <w:sz w:val="22"/>
          <w:szCs w:val="22"/>
        </w:rPr>
        <w:t>i/ili postnatalno bila izložena analozima nukleozida; ovo se najviše odnosi na terapijske režime u kojima je uključen zidovudin. Osnovni neželjeni događaji koji su bili prijavljeni su hematološki poremećaji (anemija, neutropenija), metabolički poremećaji (hiperlaktatemija, povišenje lipaza). Ovi događaji su obično bili prolazni. Prijavljeni su r</w:t>
      </w:r>
      <w:r w:rsidR="008577B0" w:rsidRPr="00C24B44">
        <w:rPr>
          <w:bCs/>
          <w:sz w:val="22"/>
          <w:szCs w:val="22"/>
        </w:rPr>
        <w:t>ij</w:t>
      </w:r>
      <w:r w:rsidRPr="00C24B44">
        <w:rPr>
          <w:bCs/>
          <w:sz w:val="22"/>
          <w:szCs w:val="22"/>
        </w:rPr>
        <w:t>etko neurološki poremećaji sa kasnim početkom (hipertonija, konvulzije, poremećaji ponašanja). Trenutno nije poznato da li su neurološki poremećaji prolazni ili trajni. Ove nalaze treba uzeti u obzir kod svakog d</w:t>
      </w:r>
      <w:r w:rsidR="008577B0" w:rsidRPr="00C24B44">
        <w:rPr>
          <w:bCs/>
          <w:sz w:val="22"/>
          <w:szCs w:val="22"/>
        </w:rPr>
        <w:t>j</w:t>
      </w:r>
      <w:r w:rsidRPr="00C24B44">
        <w:rPr>
          <w:bCs/>
          <w:sz w:val="22"/>
          <w:szCs w:val="22"/>
        </w:rPr>
        <w:t xml:space="preserve">eteta koje je bilo </w:t>
      </w:r>
      <w:r w:rsidRPr="00C24B44">
        <w:rPr>
          <w:bCs/>
          <w:i/>
          <w:sz w:val="22"/>
          <w:szCs w:val="22"/>
        </w:rPr>
        <w:t xml:space="preserve">in utero </w:t>
      </w:r>
      <w:r w:rsidRPr="00C24B44">
        <w:rPr>
          <w:bCs/>
          <w:sz w:val="22"/>
          <w:szCs w:val="22"/>
        </w:rPr>
        <w:t>izloženo analozima nukleoz(t)ida, koje se prezentuje sa teškim kliničkim nalazom nepoznate etiologije,</w:t>
      </w:r>
      <w:r w:rsidR="008577B0" w:rsidRPr="00C24B44">
        <w:rPr>
          <w:bCs/>
          <w:sz w:val="22"/>
          <w:szCs w:val="22"/>
        </w:rPr>
        <w:t xml:space="preserve"> pogotovo neurološkim nalazom. </w:t>
      </w:r>
      <w:r w:rsidRPr="00C24B44">
        <w:rPr>
          <w:bCs/>
          <w:sz w:val="22"/>
          <w:szCs w:val="22"/>
        </w:rPr>
        <w:t>Ovi nalazi ne utiču na trenutne nacionalne preporuke za upotrebu antiretrovirusne terapije kod trudnica radi prevencije vertikalne transmisije HIV-a.</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
          <w:bCs/>
          <w:i/>
          <w:sz w:val="22"/>
          <w:szCs w:val="22"/>
        </w:rPr>
        <w:t>Sindrom imunske reaktivacije</w:t>
      </w:r>
    </w:p>
    <w:p w:rsidR="00945676" w:rsidRPr="00C24B44" w:rsidRDefault="00945676" w:rsidP="00C24B44">
      <w:pPr>
        <w:tabs>
          <w:tab w:val="left" w:pos="540"/>
          <w:tab w:val="left" w:pos="569"/>
        </w:tabs>
        <w:jc w:val="both"/>
        <w:rPr>
          <w:bCs/>
          <w:sz w:val="22"/>
          <w:szCs w:val="22"/>
        </w:rPr>
      </w:pPr>
      <w:r w:rsidRPr="00C24B44">
        <w:rPr>
          <w:bCs/>
          <w:sz w:val="22"/>
          <w:szCs w:val="22"/>
        </w:rPr>
        <w:t>Kod pacijenata sa HIV infekcijom sa teškom imunodeficijencijom u trenutku uspostavljanja kombinovane antiretrovirusne terapije (CART), moguća je pojava inflamatorne reakcije usl</w:t>
      </w:r>
      <w:r w:rsidR="00EF0263" w:rsidRPr="00C24B44">
        <w:rPr>
          <w:bCs/>
          <w:sz w:val="22"/>
          <w:szCs w:val="22"/>
        </w:rPr>
        <w:t>j</w:t>
      </w:r>
      <w:r w:rsidRPr="00C24B44">
        <w:rPr>
          <w:bCs/>
          <w:sz w:val="22"/>
          <w:szCs w:val="22"/>
        </w:rPr>
        <w:t>ed aktiviranja asimptomatske ili rezidualne oportunističke infekcije koja može dovesti do ozbiljnih kliničkih stanja ili do pogoršanja simptoma infekcije. Ove reakcije su tipično prim</w:t>
      </w:r>
      <w:r w:rsidR="008577B0" w:rsidRPr="00C24B44">
        <w:rPr>
          <w:bCs/>
          <w:sz w:val="22"/>
          <w:szCs w:val="22"/>
        </w:rPr>
        <w:t>ij</w:t>
      </w:r>
      <w:r w:rsidRPr="00C24B44">
        <w:rPr>
          <w:bCs/>
          <w:sz w:val="22"/>
          <w:szCs w:val="22"/>
        </w:rPr>
        <w:t>ećene tokom prvih nekoliko ned</w:t>
      </w:r>
      <w:r w:rsidR="008577B0" w:rsidRPr="00C24B44">
        <w:rPr>
          <w:bCs/>
          <w:sz w:val="22"/>
          <w:szCs w:val="22"/>
        </w:rPr>
        <w:t>j</w:t>
      </w:r>
      <w:r w:rsidRPr="00C24B44">
        <w:rPr>
          <w:bCs/>
          <w:sz w:val="22"/>
          <w:szCs w:val="22"/>
        </w:rPr>
        <w:t>elja ili m</w:t>
      </w:r>
      <w:r w:rsidR="008577B0" w:rsidRPr="00C24B44">
        <w:rPr>
          <w:bCs/>
          <w:sz w:val="22"/>
          <w:szCs w:val="22"/>
        </w:rPr>
        <w:t>j</w:t>
      </w:r>
      <w:r w:rsidRPr="00C24B44">
        <w:rPr>
          <w:bCs/>
          <w:sz w:val="22"/>
          <w:szCs w:val="22"/>
        </w:rPr>
        <w:t>eseci od započinjanja CART.  Relevantni prim</w:t>
      </w:r>
      <w:r w:rsidR="008577B0" w:rsidRPr="00C24B44">
        <w:rPr>
          <w:bCs/>
          <w:sz w:val="22"/>
          <w:szCs w:val="22"/>
        </w:rPr>
        <w:t>j</w:t>
      </w:r>
      <w:r w:rsidRPr="00C24B44">
        <w:rPr>
          <w:bCs/>
          <w:sz w:val="22"/>
          <w:szCs w:val="22"/>
        </w:rPr>
        <w:t xml:space="preserve">eri su retinitis izazvan citomegalovirusom, generalizovana i/ili fokalna mikobakterijska infekcija i pneumonija izazvana </w:t>
      </w:r>
      <w:r w:rsidRPr="00C24B44">
        <w:rPr>
          <w:bCs/>
          <w:i/>
          <w:sz w:val="22"/>
          <w:szCs w:val="22"/>
        </w:rPr>
        <w:t>Pneumocystis jirovecii</w:t>
      </w:r>
      <w:r w:rsidRPr="00C24B44">
        <w:rPr>
          <w:bCs/>
          <w:sz w:val="22"/>
          <w:szCs w:val="22"/>
        </w:rPr>
        <w:t>. Bilo koje inflamatorne simptome treba pažljivo proc</w:t>
      </w:r>
      <w:r w:rsidR="008577B0" w:rsidRPr="00C24B44">
        <w:rPr>
          <w:bCs/>
          <w:sz w:val="22"/>
          <w:szCs w:val="22"/>
        </w:rPr>
        <w:t>ij</w:t>
      </w:r>
      <w:r w:rsidRPr="00C24B44">
        <w:rPr>
          <w:bCs/>
          <w:sz w:val="22"/>
          <w:szCs w:val="22"/>
        </w:rPr>
        <w:t>eniti i, kada je to neophodno, započeti terapiju.</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Cs/>
          <w:sz w:val="22"/>
          <w:szCs w:val="22"/>
        </w:rPr>
      </w:pPr>
      <w:r w:rsidRPr="00C24B44">
        <w:rPr>
          <w:bCs/>
          <w:sz w:val="22"/>
          <w:szCs w:val="22"/>
        </w:rPr>
        <w:t xml:space="preserve">U sklopu sindroma imunske reaktivacije, prijavljeni su takođe i autoimunski poremećaji (kao što je </w:t>
      </w:r>
      <w:r w:rsidRPr="00C24B44">
        <w:rPr>
          <w:bCs/>
          <w:i/>
          <w:sz w:val="22"/>
          <w:szCs w:val="22"/>
        </w:rPr>
        <w:t>Graves</w:t>
      </w:r>
      <w:r w:rsidRPr="00C24B44">
        <w:rPr>
          <w:bCs/>
          <w:sz w:val="22"/>
          <w:szCs w:val="22"/>
        </w:rPr>
        <w:t>-ova bolest i autoimuni hepatitis)</w:t>
      </w:r>
      <w:r w:rsidR="008577B0" w:rsidRPr="00C24B44">
        <w:rPr>
          <w:bCs/>
          <w:sz w:val="22"/>
          <w:szCs w:val="22"/>
        </w:rPr>
        <w:t>,</w:t>
      </w:r>
      <w:r w:rsidRPr="00C24B44">
        <w:rPr>
          <w:bCs/>
          <w:sz w:val="22"/>
          <w:szCs w:val="22"/>
        </w:rPr>
        <w:t xml:space="preserve"> međutim</w:t>
      </w:r>
      <w:r w:rsidR="008577B0" w:rsidRPr="00C24B44">
        <w:rPr>
          <w:bCs/>
          <w:sz w:val="22"/>
          <w:szCs w:val="22"/>
        </w:rPr>
        <w:t>,</w:t>
      </w:r>
      <w:r w:rsidRPr="00C24B44">
        <w:rPr>
          <w:bCs/>
          <w:sz w:val="22"/>
          <w:szCs w:val="22"/>
        </w:rPr>
        <w:t xml:space="preserve"> prijavljeno vr</w:t>
      </w:r>
      <w:r w:rsidR="008577B0" w:rsidRPr="00C24B44">
        <w:rPr>
          <w:bCs/>
          <w:sz w:val="22"/>
          <w:szCs w:val="22"/>
        </w:rPr>
        <w:t>ij</w:t>
      </w:r>
      <w:r w:rsidRPr="00C24B44">
        <w:rPr>
          <w:bCs/>
          <w:sz w:val="22"/>
          <w:szCs w:val="22"/>
        </w:rPr>
        <w:t>eme od početka prim</w:t>
      </w:r>
      <w:r w:rsidR="008577B0" w:rsidRPr="00C24B44">
        <w:rPr>
          <w:bCs/>
          <w:sz w:val="22"/>
          <w:szCs w:val="22"/>
        </w:rPr>
        <w:t>j</w:t>
      </w:r>
      <w:r w:rsidRPr="00C24B44">
        <w:rPr>
          <w:bCs/>
          <w:sz w:val="22"/>
          <w:szCs w:val="22"/>
        </w:rPr>
        <w:t>ene terapije do pojave poremećaja bilo je prom</w:t>
      </w:r>
      <w:r w:rsidR="008577B0" w:rsidRPr="00C24B44">
        <w:rPr>
          <w:bCs/>
          <w:sz w:val="22"/>
          <w:szCs w:val="22"/>
        </w:rPr>
        <w:t>j</w:t>
      </w:r>
      <w:r w:rsidRPr="00C24B44">
        <w:rPr>
          <w:bCs/>
          <w:sz w:val="22"/>
          <w:szCs w:val="22"/>
        </w:rPr>
        <w:t>enljivo i ovi događaji mogu se desiti čak i mnogo m</w:t>
      </w:r>
      <w:r w:rsidR="008577B0" w:rsidRPr="00C24B44">
        <w:rPr>
          <w:bCs/>
          <w:sz w:val="22"/>
          <w:szCs w:val="22"/>
        </w:rPr>
        <w:t>j</w:t>
      </w:r>
      <w:r w:rsidRPr="00C24B44">
        <w:rPr>
          <w:bCs/>
          <w:sz w:val="22"/>
          <w:szCs w:val="22"/>
        </w:rPr>
        <w:t>eseci nakon iniciranja terapije.</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
          <w:bCs/>
          <w:i/>
          <w:sz w:val="22"/>
          <w:szCs w:val="22"/>
        </w:rPr>
        <w:t>Osteonekroza</w:t>
      </w:r>
    </w:p>
    <w:p w:rsidR="00945676" w:rsidRPr="00C24B44" w:rsidRDefault="00945676" w:rsidP="00C24B44">
      <w:pPr>
        <w:tabs>
          <w:tab w:val="left" w:pos="540"/>
          <w:tab w:val="left" w:pos="569"/>
        </w:tabs>
        <w:jc w:val="both"/>
        <w:rPr>
          <w:bCs/>
          <w:sz w:val="22"/>
          <w:szCs w:val="22"/>
        </w:rPr>
      </w:pPr>
      <w:r w:rsidRPr="00C24B44">
        <w:rPr>
          <w:bCs/>
          <w:sz w:val="22"/>
          <w:szCs w:val="22"/>
        </w:rPr>
        <w:t>Iako se smatra da je etiologija multifaktorijalna (uključujući upotrebu kortikosteroida, konzumiranje alkohola, tešku imunosupresiju, povišeni indeks t</w:t>
      </w:r>
      <w:r w:rsidR="008577B0" w:rsidRPr="00C24B44">
        <w:rPr>
          <w:bCs/>
          <w:sz w:val="22"/>
          <w:szCs w:val="22"/>
        </w:rPr>
        <w:t>j</w:t>
      </w:r>
      <w:r w:rsidRPr="00C24B44">
        <w:rPr>
          <w:bCs/>
          <w:sz w:val="22"/>
          <w:szCs w:val="22"/>
        </w:rPr>
        <w:t>elesne mase), slučajevi osteonekroze su prijavljeni pogotovo kod pacijenata sa uznapredovalim HIV oboljenjem i/ili sa dugoročnom izloženosti kombinovanoj antiretrovirusnoj terapiji (CART). Pacijente treba sav</w:t>
      </w:r>
      <w:r w:rsidR="008577B0" w:rsidRPr="00C24B44">
        <w:rPr>
          <w:bCs/>
          <w:sz w:val="22"/>
          <w:szCs w:val="22"/>
        </w:rPr>
        <w:t>j</w:t>
      </w:r>
      <w:r w:rsidRPr="00C24B44">
        <w:rPr>
          <w:bCs/>
          <w:sz w:val="22"/>
          <w:szCs w:val="22"/>
        </w:rPr>
        <w:t>etovati da zatraže medicinski sav</w:t>
      </w:r>
      <w:r w:rsidR="008577B0" w:rsidRPr="00C24B44">
        <w:rPr>
          <w:bCs/>
          <w:sz w:val="22"/>
          <w:szCs w:val="22"/>
        </w:rPr>
        <w:t>j</w:t>
      </w:r>
      <w:r w:rsidRPr="00C24B44">
        <w:rPr>
          <w:bCs/>
          <w:sz w:val="22"/>
          <w:szCs w:val="22"/>
        </w:rPr>
        <w:t>et ukoliko os</w:t>
      </w:r>
      <w:r w:rsidR="008577B0" w:rsidRPr="00C24B44">
        <w:rPr>
          <w:bCs/>
          <w:sz w:val="22"/>
          <w:szCs w:val="22"/>
        </w:rPr>
        <w:t>j</w:t>
      </w:r>
      <w:r w:rsidRPr="00C24B44">
        <w:rPr>
          <w:bCs/>
          <w:sz w:val="22"/>
          <w:szCs w:val="22"/>
        </w:rPr>
        <w:t>ete bolove u zglobovima, ukočenost u zglobovima ili teškoće pri kretanju.</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i/>
          <w:sz w:val="22"/>
          <w:szCs w:val="22"/>
        </w:rPr>
      </w:pPr>
      <w:r w:rsidRPr="00C24B44">
        <w:rPr>
          <w:b/>
          <w:bCs/>
          <w:i/>
          <w:sz w:val="22"/>
          <w:szCs w:val="22"/>
        </w:rPr>
        <w:t>Stariji pacijenti</w:t>
      </w:r>
    </w:p>
    <w:p w:rsidR="00945676" w:rsidRPr="00C24B44" w:rsidRDefault="00945676" w:rsidP="00C24B44">
      <w:pPr>
        <w:tabs>
          <w:tab w:val="left" w:pos="540"/>
          <w:tab w:val="left" w:pos="569"/>
        </w:tabs>
        <w:jc w:val="both"/>
        <w:rPr>
          <w:bCs/>
          <w:sz w:val="22"/>
          <w:szCs w:val="22"/>
        </w:rPr>
      </w:pPr>
      <w:r w:rsidRPr="00C24B44">
        <w:rPr>
          <w:bCs/>
          <w:sz w:val="22"/>
          <w:szCs w:val="22"/>
        </w:rPr>
        <w:t>Uticaj tenofovir dizoproksil sukcinata nije ispitivan kod pacijenata starijih od 65 godina. Kod ovih pacijenata je generalno veća šansa za postojanje smanjene bubrežne funkcije, pa je potrebno biti oprezan prilikom l</w:t>
      </w:r>
      <w:r w:rsidR="008577B0" w:rsidRPr="00C24B44">
        <w:rPr>
          <w:bCs/>
          <w:sz w:val="22"/>
          <w:szCs w:val="22"/>
        </w:rPr>
        <w:t>ij</w:t>
      </w:r>
      <w:r w:rsidRPr="00C24B44">
        <w:rPr>
          <w:bCs/>
          <w:sz w:val="22"/>
          <w:szCs w:val="22"/>
        </w:rPr>
        <w:t>ečenja starijih pacijenata tenofovir</w:t>
      </w:r>
      <w:r w:rsidR="008577B0" w:rsidRPr="00C24B44">
        <w:rPr>
          <w:bCs/>
          <w:sz w:val="22"/>
          <w:szCs w:val="22"/>
        </w:rPr>
        <w:t xml:space="preserve"> </w:t>
      </w:r>
      <w:r w:rsidRPr="00C24B44">
        <w:rPr>
          <w:bCs/>
          <w:sz w:val="22"/>
          <w:szCs w:val="22"/>
        </w:rPr>
        <w:t>dizoproksilom.</w:t>
      </w:r>
    </w:p>
    <w:p w:rsidR="00945676" w:rsidRPr="00C24B44" w:rsidRDefault="00945676" w:rsidP="00C24B44">
      <w:pPr>
        <w:tabs>
          <w:tab w:val="left" w:pos="540"/>
          <w:tab w:val="left" w:pos="569"/>
        </w:tabs>
        <w:jc w:val="both"/>
        <w:rPr>
          <w:bCs/>
          <w:sz w:val="22"/>
          <w:szCs w:val="22"/>
        </w:rPr>
      </w:pPr>
    </w:p>
    <w:p w:rsidR="00945676" w:rsidRPr="00C24B44" w:rsidRDefault="00945676" w:rsidP="00C24B44">
      <w:pPr>
        <w:tabs>
          <w:tab w:val="left" w:pos="540"/>
          <w:tab w:val="left" w:pos="569"/>
        </w:tabs>
        <w:jc w:val="both"/>
        <w:rPr>
          <w:b/>
          <w:bCs/>
          <w:sz w:val="22"/>
          <w:szCs w:val="22"/>
        </w:rPr>
      </w:pPr>
      <w:r w:rsidRPr="00C24B44">
        <w:rPr>
          <w:b/>
          <w:bCs/>
          <w:sz w:val="22"/>
          <w:szCs w:val="22"/>
        </w:rPr>
        <w:t>L</w:t>
      </w:r>
      <w:r w:rsidR="008577B0" w:rsidRPr="00C24B44">
        <w:rPr>
          <w:b/>
          <w:bCs/>
          <w:sz w:val="22"/>
          <w:szCs w:val="22"/>
        </w:rPr>
        <w:t>ij</w:t>
      </w:r>
      <w:r w:rsidRPr="00C24B44">
        <w:rPr>
          <w:b/>
          <w:bCs/>
          <w:sz w:val="22"/>
          <w:szCs w:val="22"/>
        </w:rPr>
        <w:t xml:space="preserve">ek Gilestra sadrži laktozu </w:t>
      </w:r>
    </w:p>
    <w:p w:rsidR="00945676" w:rsidRPr="00C24B44" w:rsidRDefault="00945676" w:rsidP="00C24B44">
      <w:pPr>
        <w:tabs>
          <w:tab w:val="left" w:pos="540"/>
          <w:tab w:val="left" w:pos="569"/>
        </w:tabs>
        <w:jc w:val="both"/>
        <w:rPr>
          <w:bCs/>
          <w:sz w:val="22"/>
          <w:szCs w:val="22"/>
        </w:rPr>
      </w:pPr>
      <w:r w:rsidRPr="00C24B44">
        <w:rPr>
          <w:bCs/>
          <w:sz w:val="22"/>
          <w:szCs w:val="22"/>
        </w:rPr>
        <w:t>Pacijenti sa r</w:t>
      </w:r>
      <w:r w:rsidR="00F434D9">
        <w:rPr>
          <w:bCs/>
          <w:sz w:val="22"/>
          <w:szCs w:val="22"/>
        </w:rPr>
        <w:t>ij</w:t>
      </w:r>
      <w:r w:rsidRPr="00C24B44">
        <w:rPr>
          <w:bCs/>
          <w:sz w:val="22"/>
          <w:szCs w:val="22"/>
        </w:rPr>
        <w:t>etkim hereditarnim oboljenjem intolerancije na galaktozu, n</w:t>
      </w:r>
      <w:r w:rsidR="008577B0" w:rsidRPr="00C24B44">
        <w:rPr>
          <w:bCs/>
          <w:sz w:val="22"/>
          <w:szCs w:val="22"/>
        </w:rPr>
        <w:t xml:space="preserve">edostatkom laktaze ili glukozno </w:t>
      </w:r>
      <w:r w:rsidRPr="00C24B44">
        <w:rPr>
          <w:bCs/>
          <w:sz w:val="22"/>
          <w:szCs w:val="22"/>
        </w:rPr>
        <w:t>g</w:t>
      </w:r>
      <w:r w:rsidR="008577B0" w:rsidRPr="00C24B44">
        <w:rPr>
          <w:bCs/>
          <w:sz w:val="22"/>
          <w:szCs w:val="22"/>
        </w:rPr>
        <w:t>alaktoznom malapsorpcijom ne smi</w:t>
      </w:r>
      <w:r w:rsidRPr="00C24B44">
        <w:rPr>
          <w:bCs/>
          <w:sz w:val="22"/>
          <w:szCs w:val="22"/>
        </w:rPr>
        <w:t>ju da koriste ovaj l</w:t>
      </w:r>
      <w:r w:rsidR="008577B0" w:rsidRPr="00C24B44">
        <w:rPr>
          <w:bCs/>
          <w:sz w:val="22"/>
          <w:szCs w:val="22"/>
        </w:rPr>
        <w:t>ij</w:t>
      </w:r>
      <w:r w:rsidRPr="00C24B44">
        <w:rPr>
          <w:bCs/>
          <w:sz w:val="22"/>
          <w:szCs w:val="22"/>
        </w:rPr>
        <w:t>ek.</w:t>
      </w:r>
    </w:p>
    <w:p w:rsidR="00057E35" w:rsidRPr="00C24B44" w:rsidRDefault="00057E35" w:rsidP="00A443AA">
      <w:pPr>
        <w:tabs>
          <w:tab w:val="left" w:pos="540"/>
          <w:tab w:val="left" w:pos="569"/>
        </w:tabs>
        <w:jc w:val="both"/>
        <w:rPr>
          <w:bCs/>
          <w:sz w:val="22"/>
          <w:szCs w:val="22"/>
        </w:rPr>
      </w:pPr>
    </w:p>
    <w:p w:rsidR="00411B4B" w:rsidRPr="00192010" w:rsidRDefault="00411B4B" w:rsidP="00A443AA">
      <w:pPr>
        <w:tabs>
          <w:tab w:val="left" w:pos="540"/>
          <w:tab w:val="left" w:pos="569"/>
        </w:tabs>
        <w:jc w:val="both"/>
        <w:rPr>
          <w:b/>
          <w:bCs/>
          <w:sz w:val="22"/>
          <w:szCs w:val="22"/>
        </w:rPr>
      </w:pPr>
      <w:r w:rsidRPr="00C24B44">
        <w:rPr>
          <w:b/>
          <w:bCs/>
          <w:sz w:val="22"/>
          <w:szCs w:val="22"/>
        </w:rPr>
        <w:t>4.5.</w:t>
      </w:r>
      <w:r w:rsidR="000D60CC" w:rsidRPr="00192010">
        <w:rPr>
          <w:b/>
          <w:bCs/>
          <w:sz w:val="22"/>
          <w:szCs w:val="22"/>
        </w:rPr>
        <w:tab/>
      </w:r>
      <w:r w:rsidRPr="00192010">
        <w:rPr>
          <w:b/>
          <w:bCs/>
          <w:sz w:val="22"/>
          <w:szCs w:val="22"/>
        </w:rPr>
        <w:t>Interakcije sa drugim ljekovima i druge vrste interakcija</w:t>
      </w:r>
    </w:p>
    <w:p w:rsidR="008577B0" w:rsidRPr="00192010" w:rsidRDefault="008577B0" w:rsidP="00A443AA">
      <w:pPr>
        <w:tabs>
          <w:tab w:val="left" w:pos="540"/>
          <w:tab w:val="left" w:pos="569"/>
        </w:tabs>
        <w:jc w:val="both"/>
        <w:rPr>
          <w:b/>
          <w:bCs/>
          <w:sz w:val="22"/>
          <w:szCs w:val="22"/>
        </w:rPr>
      </w:pPr>
    </w:p>
    <w:p w:rsidR="008577B0" w:rsidRDefault="008577B0" w:rsidP="00192010">
      <w:pPr>
        <w:tabs>
          <w:tab w:val="left" w:pos="540"/>
          <w:tab w:val="left" w:pos="569"/>
        </w:tabs>
        <w:jc w:val="both"/>
        <w:rPr>
          <w:bCs/>
          <w:sz w:val="22"/>
          <w:szCs w:val="22"/>
        </w:rPr>
      </w:pPr>
      <w:r w:rsidRPr="00192010">
        <w:rPr>
          <w:bCs/>
          <w:sz w:val="22"/>
          <w:szCs w:val="22"/>
        </w:rPr>
        <w:t>Ispitivanja interakcije vršena su samo kod odraslih pacijenata.</w:t>
      </w:r>
    </w:p>
    <w:p w:rsidR="00F434D9" w:rsidRPr="00F434D9" w:rsidRDefault="00F434D9" w:rsidP="00192010">
      <w:pPr>
        <w:tabs>
          <w:tab w:val="left" w:pos="540"/>
          <w:tab w:val="left" w:pos="569"/>
        </w:tabs>
        <w:jc w:val="both"/>
        <w:rPr>
          <w:bCs/>
          <w:sz w:val="22"/>
          <w:szCs w:val="22"/>
        </w:rPr>
      </w:pPr>
    </w:p>
    <w:p w:rsidR="008577B0" w:rsidRPr="00192010" w:rsidRDefault="008577B0" w:rsidP="00F434D9">
      <w:pPr>
        <w:tabs>
          <w:tab w:val="left" w:pos="540"/>
          <w:tab w:val="left" w:pos="569"/>
        </w:tabs>
        <w:jc w:val="both"/>
        <w:rPr>
          <w:bCs/>
          <w:sz w:val="22"/>
          <w:szCs w:val="22"/>
        </w:rPr>
      </w:pPr>
      <w:r w:rsidRPr="00F434D9">
        <w:rPr>
          <w:bCs/>
          <w:sz w:val="22"/>
          <w:szCs w:val="22"/>
        </w:rPr>
        <w:t xml:space="preserve">Na osnovu rezultata </w:t>
      </w:r>
      <w:r w:rsidRPr="00F434D9">
        <w:rPr>
          <w:bCs/>
          <w:i/>
          <w:sz w:val="22"/>
          <w:szCs w:val="22"/>
        </w:rPr>
        <w:t>in vitro</w:t>
      </w:r>
      <w:r w:rsidRPr="00F434D9">
        <w:rPr>
          <w:bCs/>
          <w:sz w:val="22"/>
          <w:szCs w:val="22"/>
        </w:rPr>
        <w:t xml:space="preserve"> eksperimenata i poznatim putevima eliminacije tenofovira, potencijal za interakcije posredovane CYP450 koje uključuju tenofovir sa drugim l</w:t>
      </w:r>
      <w:r w:rsidRPr="00192010">
        <w:rPr>
          <w:bCs/>
          <w:sz w:val="22"/>
          <w:szCs w:val="22"/>
        </w:rPr>
        <w:t>jekovima je nizak.</w:t>
      </w:r>
    </w:p>
    <w:p w:rsidR="008577B0" w:rsidRPr="00192010" w:rsidRDefault="008577B0">
      <w:pPr>
        <w:tabs>
          <w:tab w:val="left" w:pos="540"/>
          <w:tab w:val="left" w:pos="569"/>
        </w:tabs>
        <w:jc w:val="both"/>
        <w:rPr>
          <w:bCs/>
          <w:sz w:val="22"/>
          <w:szCs w:val="22"/>
        </w:rPr>
      </w:pPr>
    </w:p>
    <w:p w:rsidR="008577B0" w:rsidRPr="00192010" w:rsidRDefault="008577B0">
      <w:pPr>
        <w:tabs>
          <w:tab w:val="left" w:pos="540"/>
          <w:tab w:val="left" w:pos="569"/>
        </w:tabs>
        <w:jc w:val="both"/>
        <w:rPr>
          <w:bCs/>
          <w:i/>
          <w:sz w:val="22"/>
          <w:szCs w:val="22"/>
        </w:rPr>
      </w:pPr>
      <w:r w:rsidRPr="00192010">
        <w:rPr>
          <w:bCs/>
          <w:i/>
          <w:sz w:val="22"/>
          <w:szCs w:val="22"/>
        </w:rPr>
        <w:t>Istovremena primjena se ne preporučuje:</w:t>
      </w:r>
    </w:p>
    <w:p w:rsidR="008577B0" w:rsidRPr="00192010" w:rsidRDefault="008577B0">
      <w:pPr>
        <w:tabs>
          <w:tab w:val="left" w:pos="540"/>
          <w:tab w:val="left" w:pos="569"/>
        </w:tabs>
        <w:jc w:val="both"/>
        <w:rPr>
          <w:bCs/>
          <w:sz w:val="22"/>
          <w:szCs w:val="22"/>
        </w:rPr>
      </w:pPr>
      <w:r w:rsidRPr="00192010">
        <w:rPr>
          <w:bCs/>
          <w:sz w:val="22"/>
          <w:szCs w:val="22"/>
        </w:rPr>
        <w:t xml:space="preserve">Lijek Gilestra ne treba primjenjivati istovremeno sa bilo kojim drugim lijekom koji sadrži tenofovir dizoproksil ili tenofovir alafenamid. </w:t>
      </w:r>
    </w:p>
    <w:p w:rsidR="008577B0" w:rsidRPr="00192010" w:rsidRDefault="008577B0">
      <w:pPr>
        <w:tabs>
          <w:tab w:val="left" w:pos="540"/>
          <w:tab w:val="left" w:pos="569"/>
        </w:tabs>
        <w:jc w:val="both"/>
        <w:rPr>
          <w:bCs/>
          <w:sz w:val="22"/>
          <w:szCs w:val="22"/>
        </w:rPr>
      </w:pPr>
      <w:r w:rsidRPr="00192010">
        <w:rPr>
          <w:bCs/>
          <w:sz w:val="22"/>
          <w:szCs w:val="22"/>
        </w:rPr>
        <w:t>Lijek Gilestra takođe ne treba primjenjivati istovremeno sa adefovir dipivoksilom.</w:t>
      </w:r>
    </w:p>
    <w:p w:rsidR="008577B0" w:rsidRPr="00192010" w:rsidRDefault="008577B0">
      <w:pPr>
        <w:tabs>
          <w:tab w:val="left" w:pos="540"/>
          <w:tab w:val="left" w:pos="569"/>
        </w:tabs>
        <w:jc w:val="both"/>
        <w:rPr>
          <w:bCs/>
          <w:sz w:val="22"/>
          <w:szCs w:val="22"/>
        </w:rPr>
      </w:pPr>
    </w:p>
    <w:p w:rsidR="008577B0" w:rsidRPr="00192010" w:rsidRDefault="008577B0">
      <w:pPr>
        <w:tabs>
          <w:tab w:val="left" w:pos="540"/>
          <w:tab w:val="left" w:pos="569"/>
        </w:tabs>
        <w:jc w:val="both"/>
        <w:rPr>
          <w:b/>
          <w:bCs/>
          <w:i/>
          <w:sz w:val="22"/>
          <w:szCs w:val="22"/>
        </w:rPr>
      </w:pPr>
      <w:r w:rsidRPr="00192010">
        <w:rPr>
          <w:b/>
          <w:bCs/>
          <w:i/>
          <w:sz w:val="22"/>
          <w:szCs w:val="22"/>
        </w:rPr>
        <w:t>Didanozin</w:t>
      </w:r>
    </w:p>
    <w:p w:rsidR="008577B0" w:rsidRPr="00192010" w:rsidRDefault="008577B0">
      <w:pPr>
        <w:tabs>
          <w:tab w:val="left" w:pos="540"/>
          <w:tab w:val="left" w:pos="569"/>
        </w:tabs>
        <w:jc w:val="both"/>
        <w:rPr>
          <w:bCs/>
          <w:sz w:val="22"/>
          <w:szCs w:val="22"/>
        </w:rPr>
      </w:pPr>
      <w:r w:rsidRPr="00192010">
        <w:rPr>
          <w:bCs/>
          <w:sz w:val="22"/>
          <w:szCs w:val="22"/>
        </w:rPr>
        <w:t>Istovremena primjena tenofovir dizoproksila i didanozina se ne preporučuje (vidjeti odjeljak 4.4 i Tabelu 1).</w:t>
      </w:r>
    </w:p>
    <w:p w:rsidR="008577B0" w:rsidRPr="00192010" w:rsidRDefault="008577B0">
      <w:pPr>
        <w:tabs>
          <w:tab w:val="left" w:pos="540"/>
          <w:tab w:val="left" w:pos="569"/>
        </w:tabs>
        <w:jc w:val="both"/>
        <w:rPr>
          <w:bCs/>
          <w:sz w:val="22"/>
          <w:szCs w:val="22"/>
        </w:rPr>
      </w:pPr>
    </w:p>
    <w:p w:rsidR="008577B0" w:rsidRPr="00192010" w:rsidRDefault="008577B0">
      <w:pPr>
        <w:tabs>
          <w:tab w:val="left" w:pos="540"/>
          <w:tab w:val="left" w:pos="569"/>
        </w:tabs>
        <w:jc w:val="both"/>
        <w:rPr>
          <w:b/>
          <w:bCs/>
          <w:i/>
          <w:sz w:val="22"/>
          <w:szCs w:val="22"/>
        </w:rPr>
      </w:pPr>
      <w:r w:rsidRPr="00192010">
        <w:rPr>
          <w:b/>
          <w:bCs/>
          <w:i/>
          <w:sz w:val="22"/>
          <w:szCs w:val="22"/>
        </w:rPr>
        <w:t>Ljekovi koji se izlučuju putem bubrega</w:t>
      </w:r>
    </w:p>
    <w:p w:rsidR="008577B0" w:rsidRPr="00192010" w:rsidRDefault="008577B0">
      <w:pPr>
        <w:tabs>
          <w:tab w:val="left" w:pos="540"/>
          <w:tab w:val="left" w:pos="569"/>
        </w:tabs>
        <w:jc w:val="both"/>
        <w:rPr>
          <w:bCs/>
          <w:sz w:val="22"/>
          <w:szCs w:val="22"/>
        </w:rPr>
      </w:pPr>
      <w:r w:rsidRPr="00192010">
        <w:rPr>
          <w:bCs/>
          <w:sz w:val="22"/>
          <w:szCs w:val="22"/>
        </w:rPr>
        <w:t>Pošto se tenofovir primarno eliminiše putem bubrega, istovremena primjena tenofovir dizoproksila sa ljekovima koji smanjuju funkciju bubrega ili koji su u kompeticiji za aktivnu tubularnu sekreciju preko transportnih proteina hOAT1, hOAT3 ili MRP 4 (npr. cidofovir) može dovesti do povećanja koncentracija tenofovira i/ili istovremeno primjenjivanog lijeka u serumu.</w:t>
      </w:r>
    </w:p>
    <w:p w:rsidR="008577B0" w:rsidRPr="00192010" w:rsidRDefault="008577B0">
      <w:pPr>
        <w:tabs>
          <w:tab w:val="left" w:pos="540"/>
          <w:tab w:val="left" w:pos="569"/>
        </w:tabs>
        <w:jc w:val="both"/>
        <w:rPr>
          <w:bCs/>
          <w:sz w:val="22"/>
          <w:szCs w:val="22"/>
        </w:rPr>
      </w:pPr>
    </w:p>
    <w:p w:rsidR="008577B0" w:rsidRPr="00192010" w:rsidRDefault="008577B0">
      <w:pPr>
        <w:tabs>
          <w:tab w:val="left" w:pos="540"/>
          <w:tab w:val="left" w:pos="569"/>
        </w:tabs>
        <w:jc w:val="both"/>
        <w:rPr>
          <w:bCs/>
          <w:sz w:val="22"/>
          <w:szCs w:val="22"/>
        </w:rPr>
      </w:pPr>
      <w:r w:rsidRPr="00192010">
        <w:rPr>
          <w:bCs/>
          <w:sz w:val="22"/>
          <w:szCs w:val="22"/>
        </w:rPr>
        <w:t>Upotrebu tenofovir dizoproksila treba izbjegavati prilikom istovremene ili nedavne upotrebe nefrotoksičnog lijeka. Neki primjeri uključuju, ali ni</w:t>
      </w:r>
      <w:r w:rsidR="00F434D9">
        <w:rPr>
          <w:bCs/>
          <w:sz w:val="22"/>
          <w:szCs w:val="22"/>
        </w:rPr>
        <w:t>je</w:t>
      </w:r>
      <w:r w:rsidRPr="00F434D9">
        <w:rPr>
          <w:bCs/>
          <w:sz w:val="22"/>
          <w:szCs w:val="22"/>
        </w:rPr>
        <w:t>su ograničeni na aminoglikozide, amfotericin B, foskarnet, ganciklovir, pentamidin, vankomicin, cidofovir ili interleukin-2 (vid</w:t>
      </w:r>
      <w:r w:rsidRPr="00192010">
        <w:rPr>
          <w:bCs/>
          <w:sz w:val="22"/>
          <w:szCs w:val="22"/>
        </w:rPr>
        <w:t>jeti odjeljak 4.4).</w:t>
      </w:r>
    </w:p>
    <w:p w:rsidR="008577B0" w:rsidRPr="00192010" w:rsidRDefault="008577B0">
      <w:pPr>
        <w:tabs>
          <w:tab w:val="left" w:pos="540"/>
          <w:tab w:val="left" w:pos="569"/>
        </w:tabs>
        <w:jc w:val="both"/>
        <w:rPr>
          <w:bCs/>
          <w:sz w:val="22"/>
          <w:szCs w:val="22"/>
        </w:rPr>
      </w:pPr>
    </w:p>
    <w:p w:rsidR="008577B0" w:rsidRPr="00192010" w:rsidRDefault="008577B0">
      <w:pPr>
        <w:tabs>
          <w:tab w:val="left" w:pos="540"/>
          <w:tab w:val="left" w:pos="569"/>
        </w:tabs>
        <w:jc w:val="both"/>
        <w:rPr>
          <w:bCs/>
          <w:sz w:val="22"/>
          <w:szCs w:val="22"/>
        </w:rPr>
      </w:pPr>
      <w:r w:rsidRPr="00192010">
        <w:rPr>
          <w:bCs/>
          <w:sz w:val="22"/>
          <w:szCs w:val="22"/>
        </w:rPr>
        <w:t>Pošto takrolimus može uticati na funkciju bubrega, preporučuje se pažljivo praćenje pacijenata kod kojih se takrolimus istovremeno primjenjuje sa tenofovir dizoproksilom.</w:t>
      </w:r>
    </w:p>
    <w:p w:rsidR="008577B0" w:rsidRPr="00192010" w:rsidRDefault="008577B0" w:rsidP="00A443AA">
      <w:pPr>
        <w:tabs>
          <w:tab w:val="left" w:pos="540"/>
          <w:tab w:val="left" w:pos="569"/>
        </w:tabs>
        <w:jc w:val="both"/>
        <w:rPr>
          <w:bCs/>
          <w:sz w:val="22"/>
          <w:szCs w:val="22"/>
        </w:rPr>
      </w:pPr>
    </w:p>
    <w:p w:rsidR="008577B0" w:rsidRPr="00192010" w:rsidRDefault="008577B0" w:rsidP="00192010">
      <w:pPr>
        <w:tabs>
          <w:tab w:val="left" w:pos="540"/>
          <w:tab w:val="left" w:pos="569"/>
        </w:tabs>
        <w:jc w:val="both"/>
        <w:rPr>
          <w:b/>
          <w:bCs/>
          <w:i/>
          <w:sz w:val="22"/>
          <w:szCs w:val="22"/>
        </w:rPr>
      </w:pPr>
      <w:r w:rsidRPr="00192010">
        <w:rPr>
          <w:bCs/>
          <w:sz w:val="22"/>
          <w:szCs w:val="22"/>
          <w:u w:val="single"/>
        </w:rPr>
        <w:t>Ostale interakcije</w:t>
      </w:r>
    </w:p>
    <w:p w:rsidR="008577B0" w:rsidRPr="00192010" w:rsidRDefault="008577B0" w:rsidP="0078797C">
      <w:pPr>
        <w:tabs>
          <w:tab w:val="left" w:pos="540"/>
          <w:tab w:val="left" w:pos="569"/>
        </w:tabs>
        <w:jc w:val="both"/>
        <w:rPr>
          <w:bCs/>
          <w:sz w:val="22"/>
          <w:szCs w:val="22"/>
        </w:rPr>
      </w:pPr>
      <w:r w:rsidRPr="00192010">
        <w:rPr>
          <w:bCs/>
          <w:sz w:val="22"/>
          <w:szCs w:val="22"/>
        </w:rPr>
        <w:t>Interakcije između tenofovir dizoproksila i drugih ljekova nabrojane su u Tabeli 1 u daljem tekstu (povećanje je označeno kao “↑”, smanjenje kao “↓”, odsustvo prom</w:t>
      </w:r>
      <w:r w:rsidR="009859DC" w:rsidRPr="00192010">
        <w:rPr>
          <w:bCs/>
          <w:sz w:val="22"/>
          <w:szCs w:val="22"/>
        </w:rPr>
        <w:t>j</w:t>
      </w:r>
      <w:r w:rsidRPr="00192010">
        <w:rPr>
          <w:bCs/>
          <w:sz w:val="22"/>
          <w:szCs w:val="22"/>
        </w:rPr>
        <w:t>ena kao “↔”, dva puta dnevno kao “b.i.d.”, a jedanput dnevno kao “q.d.”).</w:t>
      </w:r>
    </w:p>
    <w:p w:rsidR="008577B0" w:rsidRPr="00192010" w:rsidRDefault="008577B0" w:rsidP="00A443AA">
      <w:pPr>
        <w:tabs>
          <w:tab w:val="left" w:pos="540"/>
          <w:tab w:val="left" w:pos="569"/>
        </w:tabs>
        <w:jc w:val="both"/>
        <w:rPr>
          <w:bCs/>
          <w:sz w:val="22"/>
          <w:szCs w:val="22"/>
        </w:rPr>
      </w:pPr>
    </w:p>
    <w:p w:rsidR="008577B0" w:rsidRPr="008577B0" w:rsidRDefault="008577B0" w:rsidP="008577B0">
      <w:pPr>
        <w:tabs>
          <w:tab w:val="left" w:pos="540"/>
          <w:tab w:val="left" w:pos="569"/>
        </w:tabs>
        <w:rPr>
          <w:b/>
          <w:bCs/>
          <w:sz w:val="22"/>
          <w:szCs w:val="22"/>
        </w:rPr>
      </w:pPr>
      <w:r w:rsidRPr="008577B0">
        <w:rPr>
          <w:b/>
          <w:bCs/>
          <w:sz w:val="22"/>
          <w:szCs w:val="22"/>
        </w:rPr>
        <w:t>Tabela 1: Interakcije između tenofovir</w:t>
      </w:r>
      <w:r w:rsidR="009859DC">
        <w:rPr>
          <w:b/>
          <w:bCs/>
          <w:sz w:val="22"/>
          <w:szCs w:val="22"/>
        </w:rPr>
        <w:t xml:space="preserve"> </w:t>
      </w:r>
      <w:r w:rsidRPr="008577B0">
        <w:rPr>
          <w:b/>
          <w:bCs/>
          <w:sz w:val="22"/>
          <w:szCs w:val="22"/>
        </w:rPr>
        <w:t>dizoproksila i drugih l</w:t>
      </w:r>
      <w:r w:rsidR="009859DC">
        <w:rPr>
          <w:b/>
          <w:bCs/>
          <w:sz w:val="22"/>
          <w:szCs w:val="22"/>
        </w:rPr>
        <w:t>j</w:t>
      </w:r>
      <w:r w:rsidRPr="008577B0">
        <w:rPr>
          <w:b/>
          <w:bCs/>
          <w:sz w:val="22"/>
          <w:szCs w:val="22"/>
        </w:rPr>
        <w:t>ekova</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3286"/>
        <w:gridCol w:w="2619"/>
        <w:gridCol w:w="3152"/>
      </w:tblGrid>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086879">
              <w:rPr>
                <w:b/>
                <w:bCs/>
                <w:sz w:val="22"/>
                <w:szCs w:val="22"/>
              </w:rPr>
              <w:t>L</w:t>
            </w:r>
            <w:r>
              <w:rPr>
                <w:b/>
                <w:bCs/>
                <w:sz w:val="22"/>
                <w:szCs w:val="22"/>
              </w:rPr>
              <w:t>ij</w:t>
            </w:r>
            <w:r w:rsidRPr="00086879">
              <w:rPr>
                <w:b/>
                <w:bCs/>
                <w:sz w:val="22"/>
                <w:szCs w:val="22"/>
              </w:rPr>
              <w:t>ek po terapijskoj oblasti (doza u mg)</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EF2342" w:rsidRDefault="00EF2342" w:rsidP="009859DC">
            <w:pPr>
              <w:tabs>
                <w:tab w:val="left" w:pos="540"/>
                <w:tab w:val="left" w:pos="569"/>
              </w:tabs>
              <w:rPr>
                <w:b/>
                <w:bCs/>
                <w:sz w:val="22"/>
                <w:szCs w:val="22"/>
              </w:rPr>
            </w:pPr>
            <w:r>
              <w:rPr>
                <w:b/>
                <w:bCs/>
                <w:sz w:val="22"/>
                <w:szCs w:val="22"/>
              </w:rPr>
              <w:t>Efekti na koncentracije</w:t>
            </w:r>
            <w:r w:rsidR="009859DC" w:rsidRPr="00E57677">
              <w:rPr>
                <w:b/>
                <w:bCs/>
                <w:sz w:val="22"/>
                <w:szCs w:val="22"/>
              </w:rPr>
              <w:t xml:space="preserve"> l</w:t>
            </w:r>
            <w:r w:rsidR="009859DC">
              <w:rPr>
                <w:b/>
                <w:bCs/>
                <w:sz w:val="22"/>
                <w:szCs w:val="22"/>
              </w:rPr>
              <w:t>ij</w:t>
            </w:r>
            <w:r w:rsidR="009859DC" w:rsidRPr="00E57677">
              <w:rPr>
                <w:b/>
                <w:bCs/>
                <w:sz w:val="22"/>
                <w:szCs w:val="22"/>
              </w:rPr>
              <w:t xml:space="preserve">eka </w:t>
            </w:r>
          </w:p>
          <w:p w:rsidR="009859DC" w:rsidRPr="00EF2342" w:rsidRDefault="009859DC" w:rsidP="009859DC">
            <w:pPr>
              <w:tabs>
                <w:tab w:val="left" w:pos="540"/>
                <w:tab w:val="left" w:pos="569"/>
              </w:tabs>
              <w:rPr>
                <w:b/>
                <w:bCs/>
                <w:sz w:val="22"/>
                <w:szCs w:val="22"/>
              </w:rPr>
            </w:pPr>
            <w:r w:rsidRPr="00E57677">
              <w:rPr>
                <w:b/>
                <w:bCs/>
                <w:sz w:val="22"/>
                <w:szCs w:val="22"/>
              </w:rPr>
              <w:t xml:space="preserve">Srednja </w:t>
            </w:r>
            <w:r w:rsidR="00EF2342">
              <w:rPr>
                <w:b/>
                <w:bCs/>
                <w:sz w:val="22"/>
                <w:szCs w:val="22"/>
              </w:rPr>
              <w:t>proc</w:t>
            </w:r>
            <w:r>
              <w:rPr>
                <w:b/>
                <w:bCs/>
                <w:sz w:val="22"/>
                <w:szCs w:val="22"/>
              </w:rPr>
              <w:t>en</w:t>
            </w:r>
            <w:r w:rsidRPr="00E57677">
              <w:rPr>
                <w:b/>
                <w:bCs/>
                <w:sz w:val="22"/>
                <w:szCs w:val="22"/>
              </w:rPr>
              <w:t>tualna prom</w:t>
            </w:r>
            <w:r>
              <w:rPr>
                <w:b/>
                <w:bCs/>
                <w:sz w:val="22"/>
                <w:szCs w:val="22"/>
              </w:rPr>
              <w:t>j</w:t>
            </w:r>
            <w:r w:rsidRPr="00E57677">
              <w:rPr>
                <w:b/>
                <w:bCs/>
                <w:sz w:val="22"/>
                <w:szCs w:val="22"/>
              </w:rPr>
              <w:t>ena</w:t>
            </w:r>
            <w:r w:rsidR="00EF2342">
              <w:rPr>
                <w:b/>
                <w:bCs/>
                <w:sz w:val="22"/>
                <w:szCs w:val="22"/>
              </w:rPr>
              <w:t xml:space="preserve"> </w:t>
            </w:r>
            <w:r w:rsidRPr="00E57677">
              <w:rPr>
                <w:b/>
                <w:bCs/>
                <w:sz w:val="22"/>
                <w:szCs w:val="22"/>
              </w:rPr>
              <w:t>PIK,</w:t>
            </w:r>
            <w:r w:rsidRPr="0094706A">
              <w:rPr>
                <w:b/>
                <w:bCs/>
                <w:sz w:val="22"/>
                <w:szCs w:val="22"/>
                <w:lang w:val="en-GB"/>
              </w:rPr>
              <w:t xml:space="preserve"> C</w:t>
            </w:r>
            <w:r w:rsidRPr="0094706A">
              <w:rPr>
                <w:b/>
                <w:bCs/>
                <w:sz w:val="22"/>
                <w:szCs w:val="22"/>
                <w:vertAlign w:val="subscript"/>
                <w:lang w:val="en-GB"/>
              </w:rPr>
              <w:t>max</w:t>
            </w:r>
            <w:r w:rsidRPr="0094706A">
              <w:rPr>
                <w:b/>
                <w:bCs/>
                <w:sz w:val="22"/>
                <w:szCs w:val="22"/>
                <w:lang w:val="en-GB"/>
              </w:rPr>
              <w:t>, C</w:t>
            </w:r>
            <w:r w:rsidRPr="0094706A">
              <w:rPr>
                <w:b/>
                <w:bCs/>
                <w:sz w:val="22"/>
                <w:szCs w:val="22"/>
                <w:vertAlign w:val="subscript"/>
                <w:lang w:val="en-GB"/>
              </w:rPr>
              <w:t>min</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CC4254" w:rsidRDefault="009859DC" w:rsidP="009859DC">
            <w:pPr>
              <w:tabs>
                <w:tab w:val="left" w:pos="540"/>
                <w:tab w:val="left" w:pos="569"/>
              </w:tabs>
              <w:rPr>
                <w:b/>
                <w:bCs/>
                <w:sz w:val="22"/>
                <w:szCs w:val="22"/>
              </w:rPr>
            </w:pPr>
            <w:r w:rsidRPr="00CC4254">
              <w:rPr>
                <w:b/>
                <w:bCs/>
                <w:sz w:val="22"/>
                <w:szCs w:val="22"/>
              </w:rPr>
              <w:t>Preporuka koja se tiče istovremene prim</w:t>
            </w:r>
            <w:r>
              <w:rPr>
                <w:b/>
                <w:bCs/>
                <w:sz w:val="22"/>
                <w:szCs w:val="22"/>
              </w:rPr>
              <w:t>j</w:t>
            </w:r>
            <w:r w:rsidRPr="00CC4254">
              <w:rPr>
                <w:b/>
                <w:bCs/>
                <w:sz w:val="22"/>
                <w:szCs w:val="22"/>
              </w:rPr>
              <w:t>ene sa 245 mg</w:t>
            </w:r>
          </w:p>
          <w:p w:rsidR="009859DC" w:rsidRPr="0094706A" w:rsidRDefault="00EF2342" w:rsidP="009859DC">
            <w:pPr>
              <w:tabs>
                <w:tab w:val="left" w:pos="540"/>
                <w:tab w:val="left" w:pos="569"/>
              </w:tabs>
              <w:rPr>
                <w:bCs/>
                <w:sz w:val="22"/>
                <w:szCs w:val="22"/>
                <w:lang w:val="en-GB"/>
              </w:rPr>
            </w:pPr>
            <w:r>
              <w:rPr>
                <w:b/>
                <w:bCs/>
                <w:sz w:val="22"/>
                <w:szCs w:val="22"/>
              </w:rPr>
              <w:t>t</w:t>
            </w:r>
            <w:r w:rsidR="009859DC" w:rsidRPr="00CC4254">
              <w:rPr>
                <w:b/>
                <w:bCs/>
                <w:sz w:val="22"/>
                <w:szCs w:val="22"/>
              </w:rPr>
              <w:t>enofovir</w:t>
            </w:r>
            <w:r>
              <w:rPr>
                <w:b/>
                <w:bCs/>
                <w:sz w:val="22"/>
                <w:szCs w:val="22"/>
              </w:rPr>
              <w:t xml:space="preserve"> </w:t>
            </w:r>
            <w:r w:rsidR="009859DC" w:rsidRPr="00CC4254">
              <w:rPr>
                <w:b/>
                <w:bCs/>
                <w:sz w:val="22"/>
                <w:szCs w:val="22"/>
              </w:rPr>
              <w:t>dizoproksila</w:t>
            </w:r>
          </w:p>
        </w:tc>
      </w:tr>
      <w:tr w:rsidR="009859DC" w:rsidRPr="0094706A" w:rsidTr="009859DC">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
                <w:bCs/>
                <w:i/>
                <w:iCs/>
                <w:sz w:val="22"/>
                <w:szCs w:val="22"/>
                <w:lang w:val="en-GB"/>
              </w:rPr>
              <w:t>ANTIINFEKTIVI</w:t>
            </w:r>
          </w:p>
        </w:tc>
      </w:tr>
      <w:tr w:rsidR="009859DC" w:rsidRPr="0094706A" w:rsidTr="009859DC">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
                <w:bCs/>
                <w:sz w:val="22"/>
                <w:szCs w:val="22"/>
                <w:lang w:val="en-GB"/>
              </w:rPr>
              <w:t>Antiretrovirusni ljekovi</w:t>
            </w:r>
          </w:p>
        </w:tc>
      </w:tr>
      <w:tr w:rsidR="009859DC" w:rsidRPr="0094706A" w:rsidTr="009859DC">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
                <w:bCs/>
                <w:sz w:val="22"/>
                <w:szCs w:val="22"/>
                <w:lang w:val="en-GB"/>
              </w:rPr>
              <w:t>Inhibitori proteaze</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Atazanavir/Ritonavir</w:t>
            </w:r>
          </w:p>
          <w:p w:rsidR="009859DC" w:rsidRPr="0094706A" w:rsidRDefault="009859DC" w:rsidP="009859DC">
            <w:pPr>
              <w:tabs>
                <w:tab w:val="left" w:pos="540"/>
                <w:tab w:val="left" w:pos="569"/>
              </w:tabs>
              <w:rPr>
                <w:bCs/>
                <w:sz w:val="22"/>
                <w:szCs w:val="22"/>
                <w:lang w:val="en-GB"/>
              </w:rPr>
            </w:pPr>
            <w:r w:rsidRPr="0094706A">
              <w:rPr>
                <w:bCs/>
                <w:sz w:val="22"/>
                <w:szCs w:val="22"/>
                <w:lang w:val="en-GB"/>
              </w:rPr>
              <w:t>(300 q.d./100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Atazanavir: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25%</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28%</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26%</w:t>
            </w: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37%</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34%</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29%</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Ne preporučuje se prilagođavanje doze. Povećana izloženost tenofoviru može potencirati neželjena dejstva koja su povezana sa tenofovirom, uključujući 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Lopinavir/Ritonavir</w:t>
            </w:r>
          </w:p>
          <w:p w:rsidR="009859DC" w:rsidRPr="0094706A" w:rsidRDefault="009859DC" w:rsidP="009859DC">
            <w:pPr>
              <w:tabs>
                <w:tab w:val="left" w:pos="540"/>
                <w:tab w:val="left" w:pos="569"/>
              </w:tabs>
              <w:rPr>
                <w:bCs/>
                <w:sz w:val="22"/>
                <w:szCs w:val="22"/>
                <w:lang w:val="en-GB"/>
              </w:rPr>
            </w:pPr>
            <w:r w:rsidRPr="0094706A">
              <w:rPr>
                <w:bCs/>
                <w:sz w:val="22"/>
                <w:szCs w:val="22"/>
                <w:lang w:val="en-GB"/>
              </w:rPr>
              <w:t>(400 b.i.d./100 b.i.d.)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Lopinavir/ritonavir:</w:t>
            </w:r>
          </w:p>
          <w:p w:rsidR="009859DC" w:rsidRDefault="009859DC" w:rsidP="009859DC">
            <w:pPr>
              <w:tabs>
                <w:tab w:val="left" w:pos="540"/>
                <w:tab w:val="left" w:pos="569"/>
              </w:tabs>
              <w:rPr>
                <w:bCs/>
                <w:sz w:val="22"/>
                <w:szCs w:val="22"/>
                <w:lang w:val="en-GB"/>
              </w:rPr>
            </w:pPr>
            <w:r w:rsidRPr="000F5EFC">
              <w:rPr>
                <w:bCs/>
                <w:sz w:val="22"/>
                <w:szCs w:val="22"/>
                <w:lang w:val="en-GB"/>
              </w:rPr>
              <w:t xml:space="preserve">Nema značajnih efekata na FK parametre za </w:t>
            </w:r>
            <w:r w:rsidRPr="0094706A">
              <w:rPr>
                <w:bCs/>
                <w:sz w:val="22"/>
                <w:szCs w:val="22"/>
                <w:lang w:val="en-GB"/>
              </w:rPr>
              <w:t>lopinavi</w:t>
            </w:r>
            <w:r>
              <w:rPr>
                <w:bCs/>
                <w:sz w:val="22"/>
                <w:szCs w:val="22"/>
                <w:lang w:val="en-GB"/>
              </w:rPr>
              <w:t xml:space="preserve">r/ritonavir </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32%</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51%</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F47B61">
              <w:rPr>
                <w:bCs/>
                <w:sz w:val="22"/>
                <w:szCs w:val="22"/>
                <w:lang w:val="en-GB"/>
              </w:rPr>
              <w:t xml:space="preserve">Ne preporučuje se prilagođavanje doze. Povećana izloženost tenofoviru može potencirati neželjena dejstva koja su povezana sa tenofovirom </w:t>
            </w:r>
            <w:r>
              <w:rPr>
                <w:bCs/>
                <w:sz w:val="22"/>
                <w:szCs w:val="22"/>
                <w:lang w:val="en-GB"/>
              </w:rPr>
              <w:t xml:space="preserve">uključujući </w:t>
            </w:r>
            <w:r w:rsidRPr="00F47B61">
              <w:rPr>
                <w:bCs/>
                <w:sz w:val="22"/>
                <w:szCs w:val="22"/>
                <w:lang w:val="en-GB"/>
              </w:rPr>
              <w:t>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Darunavir/Ritonavir</w:t>
            </w:r>
          </w:p>
          <w:p w:rsidR="009859DC" w:rsidRPr="0094706A" w:rsidRDefault="009859DC" w:rsidP="009859DC">
            <w:pPr>
              <w:tabs>
                <w:tab w:val="left" w:pos="540"/>
                <w:tab w:val="left" w:pos="569"/>
              </w:tabs>
              <w:rPr>
                <w:bCs/>
                <w:sz w:val="22"/>
                <w:szCs w:val="22"/>
                <w:lang w:val="en-GB"/>
              </w:rPr>
            </w:pPr>
            <w:r w:rsidRPr="0094706A">
              <w:rPr>
                <w:bCs/>
                <w:sz w:val="22"/>
                <w:szCs w:val="22"/>
                <w:lang w:val="en-GB"/>
              </w:rPr>
              <w:t>(300/100 b.i.d.)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Darunavir:</w:t>
            </w:r>
          </w:p>
          <w:p w:rsidR="009859DC" w:rsidRDefault="009859DC" w:rsidP="009859DC">
            <w:pPr>
              <w:tabs>
                <w:tab w:val="left" w:pos="540"/>
                <w:tab w:val="left" w:pos="569"/>
              </w:tabs>
              <w:rPr>
                <w:bCs/>
                <w:sz w:val="22"/>
                <w:szCs w:val="22"/>
                <w:lang w:val="en-GB"/>
              </w:rPr>
            </w:pPr>
            <w:r>
              <w:rPr>
                <w:bCs/>
                <w:sz w:val="22"/>
                <w:szCs w:val="22"/>
                <w:lang w:val="en-GB"/>
              </w:rPr>
              <w:t>Nema značajnih efekata na FK parametre za darunavir/ritonavir</w:t>
            </w:r>
            <w:r w:rsidRPr="0094706A">
              <w:rPr>
                <w:bCs/>
                <w:sz w:val="22"/>
                <w:szCs w:val="22"/>
                <w:lang w:val="en-GB"/>
              </w:rPr>
              <w:t>.</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22%</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37%</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Ne preporučuje se prilagođavanje doze. Povećana izloženost tenofoviru može potencirati neželjena dejstva koja su povezana sa tenofovirom, uključujući poremećaje bubrega. Bubrežnu funkciju treba pažljivo pratiti. (vidjeti odjeljak 4.4)</w:t>
            </w:r>
          </w:p>
        </w:tc>
      </w:tr>
      <w:tr w:rsidR="009859DC" w:rsidRPr="0094706A" w:rsidTr="009859DC">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rsidR="009859DC" w:rsidRPr="00F27B41" w:rsidRDefault="009859DC" w:rsidP="009859DC">
            <w:pPr>
              <w:tabs>
                <w:tab w:val="left" w:pos="540"/>
                <w:tab w:val="left" w:pos="569"/>
              </w:tabs>
              <w:rPr>
                <w:bCs/>
                <w:sz w:val="22"/>
                <w:szCs w:val="22"/>
                <w:lang w:val="en-GB"/>
              </w:rPr>
            </w:pPr>
            <w:r w:rsidRPr="00F27B41">
              <w:rPr>
                <w:b/>
                <w:w w:val="105"/>
                <w:sz w:val="22"/>
                <w:szCs w:val="22"/>
              </w:rPr>
              <w:t xml:space="preserve">Nukleozidni inhibitori reverzne transkriptaze </w:t>
            </w:r>
            <w:r>
              <w:rPr>
                <w:b/>
                <w:w w:val="105"/>
                <w:sz w:val="22"/>
                <w:szCs w:val="22"/>
              </w:rPr>
              <w:t>(</w:t>
            </w:r>
            <w:r w:rsidRPr="00F27B41">
              <w:rPr>
                <w:b/>
                <w:bCs/>
                <w:sz w:val="22"/>
                <w:szCs w:val="22"/>
                <w:lang w:val="en-GB"/>
              </w:rPr>
              <w:t>NRTIs</w:t>
            </w:r>
            <w:r>
              <w:rPr>
                <w:b/>
                <w:bCs/>
                <w:sz w:val="22"/>
                <w:szCs w:val="22"/>
                <w:lang w:val="en-GB"/>
              </w:rPr>
              <w:t>)</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Didanozin</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EF2342" w:rsidRPr="009C00F1" w:rsidRDefault="009859DC" w:rsidP="00EF2342">
            <w:pPr>
              <w:tabs>
                <w:tab w:val="left" w:pos="540"/>
                <w:tab w:val="left" w:pos="569"/>
              </w:tabs>
              <w:rPr>
                <w:bCs/>
                <w:sz w:val="22"/>
                <w:szCs w:val="22"/>
              </w:rPr>
            </w:pPr>
            <w:r w:rsidRPr="009C00F1">
              <w:rPr>
                <w:bCs/>
                <w:sz w:val="22"/>
                <w:szCs w:val="22"/>
              </w:rPr>
              <w:t>Istovremena prim</w:t>
            </w:r>
            <w:r w:rsidR="00EF2342">
              <w:rPr>
                <w:bCs/>
                <w:sz w:val="22"/>
                <w:szCs w:val="22"/>
              </w:rPr>
              <w:t>j</w:t>
            </w:r>
            <w:r w:rsidRPr="009C00F1">
              <w:rPr>
                <w:bCs/>
                <w:sz w:val="22"/>
                <w:szCs w:val="22"/>
              </w:rPr>
              <w:t>ena tenofovir</w:t>
            </w:r>
            <w:r w:rsidR="00EF2342">
              <w:rPr>
                <w:bCs/>
                <w:sz w:val="22"/>
                <w:szCs w:val="22"/>
              </w:rPr>
              <w:t xml:space="preserve"> </w:t>
            </w:r>
            <w:r w:rsidRPr="009C00F1">
              <w:rPr>
                <w:bCs/>
                <w:sz w:val="22"/>
                <w:szCs w:val="22"/>
              </w:rPr>
              <w:t>dizoproksil sukcinata i dadinozina dovodi do povećanja sistemske izloženosti didanozinu od 40-60%</w:t>
            </w:r>
            <w:r w:rsidR="00EF2342">
              <w:rPr>
                <w:bCs/>
                <w:sz w:val="22"/>
                <w:szCs w:val="22"/>
              </w:rPr>
              <w:t>.</w:t>
            </w:r>
          </w:p>
          <w:p w:rsidR="009859DC" w:rsidRPr="00EF2342" w:rsidRDefault="009859DC" w:rsidP="009859DC">
            <w:pPr>
              <w:tabs>
                <w:tab w:val="left" w:pos="540"/>
                <w:tab w:val="left" w:pos="569"/>
              </w:tabs>
              <w:rPr>
                <w:bCs/>
                <w:sz w:val="22"/>
                <w:szCs w:val="22"/>
              </w:rPr>
            </w:pP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Default="009859DC" w:rsidP="009859DC">
            <w:pPr>
              <w:tabs>
                <w:tab w:val="left" w:pos="540"/>
                <w:tab w:val="left" w:pos="569"/>
              </w:tabs>
              <w:rPr>
                <w:bCs/>
                <w:sz w:val="22"/>
                <w:szCs w:val="22"/>
              </w:rPr>
            </w:pPr>
            <w:r w:rsidRPr="00904699">
              <w:rPr>
                <w:bCs/>
                <w:sz w:val="22"/>
                <w:szCs w:val="22"/>
              </w:rPr>
              <w:t>Istovremena prim</w:t>
            </w:r>
            <w:r>
              <w:rPr>
                <w:bCs/>
                <w:sz w:val="22"/>
                <w:szCs w:val="22"/>
              </w:rPr>
              <w:t>j</w:t>
            </w:r>
            <w:r w:rsidRPr="00904699">
              <w:rPr>
                <w:bCs/>
                <w:sz w:val="22"/>
                <w:szCs w:val="22"/>
              </w:rPr>
              <w:t>ena tenofovir</w:t>
            </w:r>
            <w:r w:rsidR="00EF0263">
              <w:rPr>
                <w:bCs/>
                <w:sz w:val="22"/>
                <w:szCs w:val="22"/>
              </w:rPr>
              <w:t xml:space="preserve"> </w:t>
            </w:r>
            <w:r w:rsidRPr="00904699">
              <w:rPr>
                <w:bCs/>
                <w:sz w:val="22"/>
                <w:szCs w:val="22"/>
              </w:rPr>
              <w:t>dizoproksil sukcinata i didanozina nije preporučljiva (vid</w:t>
            </w:r>
            <w:r>
              <w:rPr>
                <w:bCs/>
                <w:sz w:val="22"/>
                <w:szCs w:val="22"/>
              </w:rPr>
              <w:t>j</w:t>
            </w:r>
            <w:r w:rsidRPr="00904699">
              <w:rPr>
                <w:bCs/>
                <w:sz w:val="22"/>
                <w:szCs w:val="22"/>
              </w:rPr>
              <w:t>eti od</w:t>
            </w:r>
            <w:r>
              <w:rPr>
                <w:bCs/>
                <w:sz w:val="22"/>
                <w:szCs w:val="22"/>
              </w:rPr>
              <w:t>j</w:t>
            </w:r>
            <w:r w:rsidRPr="00904699">
              <w:rPr>
                <w:bCs/>
                <w:sz w:val="22"/>
                <w:szCs w:val="22"/>
              </w:rPr>
              <w:t>eljak 4.4).</w:t>
            </w:r>
          </w:p>
          <w:p w:rsidR="00EF2342" w:rsidRDefault="00EF2342" w:rsidP="009859DC">
            <w:pPr>
              <w:tabs>
                <w:tab w:val="left" w:pos="540"/>
                <w:tab w:val="left" w:pos="569"/>
              </w:tabs>
              <w:rPr>
                <w:bCs/>
                <w:sz w:val="22"/>
                <w:szCs w:val="22"/>
              </w:rPr>
            </w:pPr>
          </w:p>
          <w:p w:rsidR="00EF2342" w:rsidRPr="00EF2342" w:rsidRDefault="00EF2342" w:rsidP="00EF2342">
            <w:pPr>
              <w:tabs>
                <w:tab w:val="left" w:pos="540"/>
                <w:tab w:val="left" w:pos="569"/>
              </w:tabs>
              <w:rPr>
                <w:bCs/>
                <w:sz w:val="22"/>
                <w:szCs w:val="22"/>
              </w:rPr>
            </w:pPr>
            <w:r w:rsidRPr="00EF2342">
              <w:rPr>
                <w:bCs/>
                <w:sz w:val="22"/>
                <w:szCs w:val="22"/>
              </w:rPr>
              <w:t>Povećana sistemska izloženost didanozinu može povećati rizik od neželjenih dejstava koja su posljedica didanozina. Prijavljeni su rijetki slučajevi pankreatitisa i laktatne acidoze, ponekad fatalne. Istovremena primjena tenofovir dizoproksil sukcinata i dadinozina u dozi od 400 mg dnevno je povezana sa značajnim smanjenjem broja CD4 ćelija, moguće kao posljedica intracelularne interakcije koja dovodi do povišenja fosforilisanog (tj. aktivnog) didanozina.</w:t>
            </w:r>
          </w:p>
          <w:p w:rsidR="00EF2342" w:rsidRPr="0094706A" w:rsidRDefault="00EF2342" w:rsidP="00EF2342">
            <w:pPr>
              <w:tabs>
                <w:tab w:val="left" w:pos="540"/>
                <w:tab w:val="left" w:pos="569"/>
              </w:tabs>
              <w:rPr>
                <w:bCs/>
                <w:sz w:val="22"/>
                <w:szCs w:val="22"/>
                <w:lang w:val="en-GB"/>
              </w:rPr>
            </w:pPr>
            <w:r w:rsidRPr="00EF2342">
              <w:rPr>
                <w:bCs/>
                <w:sz w:val="22"/>
                <w:szCs w:val="22"/>
              </w:rPr>
              <w:t>Umanjena doza od 250 mg didanozina primijenjenog istovremeno sa terapijom tenofovir dizoproksil sukcinatom je povezana sa izvještajima o visokim stopama virološke disfunkcije u okviru nekoliko testiranih kombinacija za liječenje HIV-1 infekcije</w:t>
            </w:r>
            <w:r>
              <w:rPr>
                <w:bCs/>
                <w:sz w:val="22"/>
                <w:szCs w:val="22"/>
              </w:rPr>
              <w:t>.</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Adefovir dipivoks</w:t>
            </w:r>
            <w:r w:rsidRPr="0094706A">
              <w:rPr>
                <w:bCs/>
                <w:sz w:val="22"/>
                <w:szCs w:val="22"/>
                <w:lang w:val="en-GB"/>
              </w:rPr>
              <w:t>il</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C2762A" w:rsidRDefault="009859DC" w:rsidP="009859DC">
            <w:pPr>
              <w:tabs>
                <w:tab w:val="left" w:pos="540"/>
                <w:tab w:val="left" w:pos="569"/>
              </w:tabs>
              <w:rPr>
                <w:bCs/>
                <w:sz w:val="22"/>
                <w:szCs w:val="22"/>
              </w:rPr>
            </w:pPr>
            <w:r w:rsidRPr="00C2762A">
              <w:rPr>
                <w:bCs/>
                <w:sz w:val="22"/>
                <w:szCs w:val="22"/>
              </w:rPr>
              <w:t>Tenofovir</w:t>
            </w:r>
            <w:r w:rsidR="00EF2342">
              <w:rPr>
                <w:bCs/>
                <w:sz w:val="22"/>
                <w:szCs w:val="22"/>
              </w:rPr>
              <w:t xml:space="preserve"> </w:t>
            </w:r>
            <w:r w:rsidRPr="00C2762A">
              <w:rPr>
                <w:bCs/>
                <w:sz w:val="22"/>
                <w:szCs w:val="22"/>
              </w:rPr>
              <w:t>dizoproksil sukcinat ne treba prim</w:t>
            </w:r>
            <w:r>
              <w:rPr>
                <w:bCs/>
                <w:sz w:val="22"/>
                <w:szCs w:val="22"/>
              </w:rPr>
              <w:t>j</w:t>
            </w:r>
            <w:r w:rsidRPr="00C2762A">
              <w:rPr>
                <w:bCs/>
                <w:sz w:val="22"/>
                <w:szCs w:val="22"/>
              </w:rPr>
              <w:t>enjivati istovremeno sa</w:t>
            </w:r>
          </w:p>
          <w:p w:rsidR="009859DC" w:rsidRPr="0094706A" w:rsidRDefault="009859DC" w:rsidP="009859DC">
            <w:pPr>
              <w:tabs>
                <w:tab w:val="left" w:pos="540"/>
                <w:tab w:val="left" w:pos="569"/>
              </w:tabs>
              <w:rPr>
                <w:bCs/>
                <w:sz w:val="22"/>
                <w:szCs w:val="22"/>
                <w:lang w:val="en-GB"/>
              </w:rPr>
            </w:pPr>
            <w:r w:rsidRPr="00C2762A">
              <w:rPr>
                <w:bCs/>
                <w:sz w:val="22"/>
                <w:szCs w:val="22"/>
              </w:rPr>
              <w:t>adefovir dipivoksilom (vid</w:t>
            </w:r>
            <w:r>
              <w:rPr>
                <w:bCs/>
                <w:sz w:val="22"/>
                <w:szCs w:val="22"/>
              </w:rPr>
              <w:t>j</w:t>
            </w:r>
            <w:r w:rsidRPr="00C2762A">
              <w:rPr>
                <w:bCs/>
                <w:sz w:val="22"/>
                <w:szCs w:val="22"/>
              </w:rPr>
              <w:t>eti</w:t>
            </w:r>
            <w:r w:rsidRPr="00C2762A">
              <w:rPr>
                <w:w w:val="105"/>
                <w:sz w:val="20"/>
                <w:szCs w:val="22"/>
              </w:rPr>
              <w:t xml:space="preserve"> </w:t>
            </w:r>
            <w:r w:rsidRPr="00C2762A">
              <w:rPr>
                <w:bCs/>
                <w:sz w:val="22"/>
                <w:szCs w:val="22"/>
              </w:rPr>
              <w:t>od</w:t>
            </w:r>
            <w:r>
              <w:rPr>
                <w:bCs/>
                <w:sz w:val="22"/>
                <w:szCs w:val="22"/>
              </w:rPr>
              <w:t>j</w:t>
            </w:r>
            <w:r w:rsidRPr="00C2762A">
              <w:rPr>
                <w:bCs/>
                <w:sz w:val="22"/>
                <w:szCs w:val="22"/>
              </w:rPr>
              <w:t>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Entek</w:t>
            </w:r>
            <w:r w:rsidRPr="0094706A">
              <w:rPr>
                <w:bCs/>
                <w:sz w:val="22"/>
                <w:szCs w:val="22"/>
                <w:lang w:val="en-GB"/>
              </w:rPr>
              <w:t>avir</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7716FC" w:rsidRDefault="009859DC" w:rsidP="009859DC">
            <w:pPr>
              <w:tabs>
                <w:tab w:val="left" w:pos="540"/>
                <w:tab w:val="left" w:pos="569"/>
              </w:tabs>
              <w:rPr>
                <w:bCs/>
                <w:sz w:val="22"/>
                <w:szCs w:val="22"/>
              </w:rPr>
            </w:pPr>
            <w:r w:rsidRPr="007716FC">
              <w:rPr>
                <w:bCs/>
                <w:sz w:val="22"/>
                <w:szCs w:val="22"/>
              </w:rPr>
              <w:t>Nema kli</w:t>
            </w:r>
            <w:r w:rsidR="00EF2342">
              <w:rPr>
                <w:bCs/>
                <w:sz w:val="22"/>
                <w:szCs w:val="22"/>
              </w:rPr>
              <w:t>nički značajnih farmakokinetičkih</w:t>
            </w:r>
            <w:r w:rsidRPr="007716FC">
              <w:rPr>
                <w:bCs/>
                <w:sz w:val="22"/>
                <w:szCs w:val="22"/>
              </w:rPr>
              <w:t xml:space="preserve"> interakcija kad se tenofovir dizoproksil sukcinat</w:t>
            </w:r>
          </w:p>
          <w:p w:rsidR="009859DC" w:rsidRPr="0094706A" w:rsidRDefault="009859DC" w:rsidP="009859DC">
            <w:pPr>
              <w:tabs>
                <w:tab w:val="left" w:pos="540"/>
                <w:tab w:val="left" w:pos="569"/>
              </w:tabs>
              <w:rPr>
                <w:bCs/>
                <w:sz w:val="22"/>
                <w:szCs w:val="22"/>
                <w:lang w:val="en-GB"/>
              </w:rPr>
            </w:pPr>
            <w:r w:rsidRPr="007716FC">
              <w:rPr>
                <w:bCs/>
                <w:sz w:val="22"/>
                <w:szCs w:val="22"/>
              </w:rPr>
              <w:t>prim</w:t>
            </w:r>
            <w:r>
              <w:rPr>
                <w:bCs/>
                <w:sz w:val="22"/>
                <w:szCs w:val="22"/>
              </w:rPr>
              <w:t>j</w:t>
            </w:r>
            <w:r w:rsidRPr="007716FC">
              <w:rPr>
                <w:bCs/>
                <w:sz w:val="22"/>
                <w:szCs w:val="22"/>
              </w:rPr>
              <w:t>enjuje istovremeno sa entekavirom.</w:t>
            </w:r>
          </w:p>
        </w:tc>
      </w:tr>
      <w:tr w:rsidR="009859DC" w:rsidRPr="0094706A" w:rsidTr="009859DC">
        <w:tc>
          <w:tcPr>
            <w:tcW w:w="50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
                <w:bCs/>
                <w:sz w:val="22"/>
                <w:szCs w:val="22"/>
                <w:lang w:val="en-GB"/>
              </w:rPr>
              <w:t xml:space="preserve">Antivirusni ljekovi protiv </w:t>
            </w:r>
            <w:r w:rsidRPr="0094706A">
              <w:rPr>
                <w:b/>
                <w:bCs/>
                <w:sz w:val="22"/>
                <w:szCs w:val="22"/>
                <w:lang w:val="en-GB"/>
              </w:rPr>
              <w:t>Hepatitis C virus</w:t>
            </w:r>
            <w:r>
              <w:rPr>
                <w:b/>
                <w:bCs/>
                <w:sz w:val="22"/>
                <w:szCs w:val="22"/>
                <w:lang w:val="en-GB"/>
              </w:rPr>
              <w:t>a</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Ledipasvir/Sofosbuvir (90 mg/400 mg q.d.) + Atazanavir/Ritonavir (300 mg q.d./100 mg q.d.) + </w:t>
            </w:r>
            <w:r>
              <w:rPr>
                <w:bCs/>
                <w:sz w:val="22"/>
                <w:szCs w:val="22"/>
                <w:lang w:val="en-GB"/>
              </w:rPr>
              <w:t xml:space="preserve">Emtricitabin/Tenofovir </w:t>
            </w:r>
            <w:r w:rsidR="005F64DF">
              <w:rPr>
                <w:bCs/>
                <w:sz w:val="22"/>
                <w:szCs w:val="22"/>
                <w:lang w:val="en-GB"/>
              </w:rPr>
              <w:t>dizoproksil</w:t>
            </w:r>
            <w:r w:rsidRPr="0094706A">
              <w:rPr>
                <w:bCs/>
                <w:sz w:val="22"/>
                <w:szCs w:val="22"/>
                <w:lang w:val="en-GB"/>
              </w:rPr>
              <w:t xml:space="preserve"> (200 mg/245 mg q.d.)</w:t>
            </w:r>
            <w:r w:rsidRPr="0094706A">
              <w:rPr>
                <w:b/>
                <w:bCs/>
                <w:sz w:val="22"/>
                <w:szCs w:val="22"/>
                <w:vertAlign w:val="superscript"/>
                <w:lang w:val="en-GB"/>
              </w:rPr>
              <w:t>1</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96%</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68%</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118%</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42%</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Atazanavir: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63%</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Ritonavir: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45%</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Emtricitabin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47%</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47%</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Pr>
                <w:bCs/>
                <w:sz w:val="22"/>
                <w:szCs w:val="22"/>
                <w:lang w:val="en-GB"/>
              </w:rPr>
              <w:t xml:space="preserve">Povećane koncentracije tenofovira u plazmi koje su posljedica istovremene primjene tenofovir </w:t>
            </w:r>
            <w:r w:rsidR="005F64DF">
              <w:rPr>
                <w:bCs/>
                <w:sz w:val="22"/>
                <w:szCs w:val="22"/>
                <w:lang w:val="en-GB"/>
              </w:rPr>
              <w:t>dizoproksil</w:t>
            </w:r>
            <w:r w:rsidR="00EF2342">
              <w:rPr>
                <w:bCs/>
                <w:sz w:val="22"/>
                <w:szCs w:val="22"/>
                <w:lang w:val="en-GB"/>
              </w:rPr>
              <w:t>a</w:t>
            </w:r>
            <w:r w:rsidRPr="0094706A">
              <w:rPr>
                <w:bCs/>
                <w:sz w:val="22"/>
                <w:szCs w:val="22"/>
                <w:lang w:val="en-GB"/>
              </w:rPr>
              <w:t xml:space="preserve">, </w:t>
            </w:r>
            <w:r>
              <w:rPr>
                <w:bCs/>
                <w:sz w:val="22"/>
                <w:szCs w:val="22"/>
                <w:lang w:val="en-GB"/>
              </w:rPr>
              <w:t>kombinacije ledipasvir/sofosbuvir i</w:t>
            </w:r>
            <w:r w:rsidRPr="0094706A">
              <w:rPr>
                <w:bCs/>
                <w:sz w:val="22"/>
                <w:szCs w:val="22"/>
                <w:lang w:val="en-GB"/>
              </w:rPr>
              <w:t xml:space="preserve"> atazanavir/ritonavir </w:t>
            </w:r>
            <w:r>
              <w:rPr>
                <w:bCs/>
                <w:sz w:val="22"/>
                <w:szCs w:val="22"/>
                <w:lang w:val="en-GB"/>
              </w:rPr>
              <w:t>mogu pojačati neželjena dejstva koja su povezana</w:t>
            </w:r>
            <w:r w:rsidR="00EF2342">
              <w:rPr>
                <w:bCs/>
                <w:sz w:val="22"/>
                <w:szCs w:val="22"/>
                <w:lang w:val="en-GB"/>
              </w:rPr>
              <w:t xml:space="preserve"> sa  tenofovir</w:t>
            </w:r>
            <w:r>
              <w:rPr>
                <w:bCs/>
                <w:sz w:val="22"/>
                <w:szCs w:val="22"/>
                <w:lang w:val="en-GB"/>
              </w:rPr>
              <w:t xml:space="preserve"> </w:t>
            </w:r>
            <w:r w:rsidR="005F64DF">
              <w:rPr>
                <w:bCs/>
                <w:sz w:val="22"/>
                <w:szCs w:val="22"/>
                <w:lang w:val="en-GB"/>
              </w:rPr>
              <w:t>dizoproksil</w:t>
            </w:r>
            <w:r>
              <w:rPr>
                <w:bCs/>
                <w:sz w:val="22"/>
                <w:szCs w:val="22"/>
                <w:lang w:val="en-GB"/>
              </w:rPr>
              <w:t>om</w:t>
            </w:r>
            <w:r w:rsidRPr="0094706A">
              <w:rPr>
                <w:bCs/>
                <w:sz w:val="22"/>
                <w:szCs w:val="22"/>
                <w:lang w:val="en-GB"/>
              </w:rPr>
              <w:t xml:space="preserve">, </w:t>
            </w:r>
            <w:r>
              <w:rPr>
                <w:bCs/>
                <w:sz w:val="22"/>
                <w:szCs w:val="22"/>
                <w:lang w:val="en-GB"/>
              </w:rPr>
              <w:t xml:space="preserve">uključujući poremećaje bubrega. Bezbjednost tenofovir </w:t>
            </w:r>
            <w:r w:rsidR="005F64DF">
              <w:rPr>
                <w:bCs/>
                <w:sz w:val="22"/>
                <w:szCs w:val="22"/>
                <w:lang w:val="en-GB"/>
              </w:rPr>
              <w:t>dizoproksil</w:t>
            </w:r>
            <w:r>
              <w:rPr>
                <w:bCs/>
                <w:sz w:val="22"/>
                <w:szCs w:val="22"/>
                <w:lang w:val="en-GB"/>
              </w:rPr>
              <w:t xml:space="preserve">a kada se koristi sa kombinacijom </w:t>
            </w:r>
            <w:r w:rsidRPr="0094706A">
              <w:rPr>
                <w:bCs/>
                <w:sz w:val="22"/>
                <w:szCs w:val="22"/>
                <w:lang w:val="en-GB"/>
              </w:rPr>
              <w:t xml:space="preserve">ledipasvir/sofosbuvir </w:t>
            </w:r>
            <w:r>
              <w:rPr>
                <w:bCs/>
                <w:sz w:val="22"/>
                <w:szCs w:val="22"/>
                <w:lang w:val="en-GB"/>
              </w:rPr>
              <w:t>i pharmakokinetičkim stimulatorom (e.g. ritonavir ili k</w:t>
            </w:r>
            <w:r w:rsidRPr="0094706A">
              <w:rPr>
                <w:bCs/>
                <w:sz w:val="22"/>
                <w:szCs w:val="22"/>
                <w:lang w:val="en-GB"/>
              </w:rPr>
              <w:t xml:space="preserve">obicistat) </w:t>
            </w:r>
            <w:r>
              <w:rPr>
                <w:bCs/>
                <w:sz w:val="22"/>
                <w:szCs w:val="22"/>
                <w:lang w:val="en-GB"/>
              </w:rPr>
              <w:t>nije ustanovljena.</w:t>
            </w:r>
          </w:p>
          <w:p w:rsidR="009859DC" w:rsidRPr="0094706A" w:rsidRDefault="009859DC" w:rsidP="009859DC">
            <w:pPr>
              <w:tabs>
                <w:tab w:val="left" w:pos="540"/>
                <w:tab w:val="left" w:pos="569"/>
              </w:tabs>
              <w:rPr>
                <w:bCs/>
                <w:sz w:val="22"/>
                <w:szCs w:val="22"/>
                <w:lang w:val="en-GB"/>
              </w:rPr>
            </w:pPr>
            <w:r>
              <w:rPr>
                <w:bCs/>
                <w:sz w:val="22"/>
                <w:szCs w:val="22"/>
                <w:lang w:val="en-GB"/>
              </w:rPr>
              <w:t xml:space="preserve">Kombinovana terapija bi </w:t>
            </w:r>
            <w:r w:rsidR="00EF2342">
              <w:rPr>
                <w:bCs/>
                <w:sz w:val="22"/>
                <w:szCs w:val="22"/>
                <w:lang w:val="en-GB"/>
              </w:rPr>
              <w:t xml:space="preserve">se </w:t>
            </w:r>
            <w:r>
              <w:rPr>
                <w:bCs/>
                <w:sz w:val="22"/>
                <w:szCs w:val="22"/>
                <w:lang w:val="en-GB"/>
              </w:rPr>
              <w:t>trebalo  koristiti sa oprezom uz često praćenje funkcije bubrega, ukoliko druge terapijske alternative ni</w:t>
            </w:r>
            <w:r w:rsidR="00F434D9">
              <w:rPr>
                <w:bCs/>
                <w:sz w:val="22"/>
                <w:szCs w:val="22"/>
                <w:lang w:val="en-GB"/>
              </w:rPr>
              <w:t>je</w:t>
            </w:r>
            <w:r>
              <w:rPr>
                <w:bCs/>
                <w:sz w:val="22"/>
                <w:szCs w:val="22"/>
                <w:lang w:val="en-GB"/>
              </w:rPr>
              <w:t xml:space="preserve">su dostupne (vidjeti odjeljak </w:t>
            </w:r>
            <w:r w:rsidRPr="0094706A">
              <w:rPr>
                <w:bCs/>
                <w:sz w:val="22"/>
                <w:szCs w:val="22"/>
                <w:lang w:val="en-GB"/>
              </w:rPr>
              <w:t>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Ledipasvir/Sofosbuvir (90 mg/400 mg q.d.) + Darunavir/Ritonavir (800 mg q.d./100 mg q.d.) + </w:t>
            </w:r>
            <w:r>
              <w:rPr>
                <w:bCs/>
                <w:sz w:val="22"/>
                <w:szCs w:val="22"/>
                <w:lang w:val="en-GB"/>
              </w:rPr>
              <w:t xml:space="preserve">Emtricitabin/Tenofovir </w:t>
            </w:r>
            <w:r w:rsidR="005F64DF">
              <w:rPr>
                <w:bCs/>
                <w:sz w:val="22"/>
                <w:szCs w:val="22"/>
                <w:lang w:val="en-GB"/>
              </w:rPr>
              <w:t>dizoproksil</w:t>
            </w:r>
            <w:r w:rsidRPr="0094706A">
              <w:rPr>
                <w:bCs/>
                <w:sz w:val="22"/>
                <w:szCs w:val="22"/>
                <w:lang w:val="en-GB"/>
              </w:rPr>
              <w:t xml:space="preserve"> (200 mg/245 mg q.d.)</w:t>
            </w:r>
            <w:r w:rsidRPr="0094706A">
              <w:rPr>
                <w:b/>
                <w:bCs/>
                <w:sz w:val="22"/>
                <w:szCs w:val="22"/>
                <w:vertAlign w:val="superscript"/>
                <w:lang w:val="en-GB"/>
              </w:rPr>
              <w:t>1</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27%</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37%</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Darunavir: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Ritonavir: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48%</w:t>
            </w:r>
          </w:p>
          <w:p w:rsidR="00EF2342" w:rsidRPr="0094706A" w:rsidRDefault="00EF2342" w:rsidP="009859DC">
            <w:pPr>
              <w:tabs>
                <w:tab w:val="left" w:pos="540"/>
                <w:tab w:val="left" w:pos="569"/>
              </w:tabs>
              <w:rPr>
                <w:bCs/>
                <w:sz w:val="22"/>
                <w:szCs w:val="22"/>
                <w:lang w:val="en-GB"/>
              </w:rPr>
            </w:pP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EF2342" w:rsidRPr="0094706A" w:rsidRDefault="00EF2342"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50%</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64%</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59%</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373710">
              <w:rPr>
                <w:bCs/>
                <w:sz w:val="22"/>
                <w:szCs w:val="22"/>
                <w:lang w:val="en-GB"/>
              </w:rPr>
              <w:t>Povećane koncentracije tenofovira u plazmi koje su posljedica istovremen</w:t>
            </w:r>
            <w:r>
              <w:rPr>
                <w:bCs/>
                <w:sz w:val="22"/>
                <w:szCs w:val="22"/>
                <w:lang w:val="en-GB"/>
              </w:rPr>
              <w:t>e p</w:t>
            </w:r>
            <w:r w:rsidR="00EF2342">
              <w:rPr>
                <w:bCs/>
                <w:sz w:val="22"/>
                <w:szCs w:val="22"/>
                <w:lang w:val="en-GB"/>
              </w:rPr>
              <w:t xml:space="preserve">rimjene tenofovir </w:t>
            </w:r>
            <w:r w:rsidR="005F64DF">
              <w:rPr>
                <w:bCs/>
                <w:sz w:val="22"/>
                <w:szCs w:val="22"/>
                <w:lang w:val="en-GB"/>
              </w:rPr>
              <w:t>dizoproksil</w:t>
            </w:r>
            <w:r w:rsidR="00EF2342">
              <w:rPr>
                <w:bCs/>
                <w:sz w:val="22"/>
                <w:szCs w:val="22"/>
                <w:lang w:val="en-GB"/>
              </w:rPr>
              <w:t>a i</w:t>
            </w:r>
            <w:r>
              <w:rPr>
                <w:bCs/>
                <w:sz w:val="22"/>
                <w:szCs w:val="22"/>
                <w:lang w:val="en-GB"/>
              </w:rPr>
              <w:t xml:space="preserve"> kombinacije </w:t>
            </w:r>
            <w:r w:rsidRPr="0094706A">
              <w:rPr>
                <w:bCs/>
                <w:sz w:val="22"/>
                <w:szCs w:val="22"/>
                <w:lang w:val="en-GB"/>
              </w:rPr>
              <w:t xml:space="preserve">ledipasvir/sofosbuvir </w:t>
            </w:r>
            <w:r>
              <w:rPr>
                <w:bCs/>
                <w:sz w:val="22"/>
                <w:szCs w:val="22"/>
                <w:lang w:val="en-GB"/>
              </w:rPr>
              <w:t>i</w:t>
            </w:r>
            <w:r w:rsidRPr="0094706A">
              <w:rPr>
                <w:bCs/>
                <w:sz w:val="22"/>
                <w:szCs w:val="22"/>
                <w:lang w:val="en-GB"/>
              </w:rPr>
              <w:t xml:space="preserve"> darunavir/ritonavir </w:t>
            </w:r>
            <w:r w:rsidRPr="00373710">
              <w:rPr>
                <w:bCs/>
                <w:sz w:val="22"/>
                <w:szCs w:val="22"/>
                <w:lang w:val="en-GB"/>
              </w:rPr>
              <w:t>mogu pojačati neželjena dejs</w:t>
            </w:r>
            <w:r w:rsidR="00EF2342">
              <w:rPr>
                <w:bCs/>
                <w:sz w:val="22"/>
                <w:szCs w:val="22"/>
                <w:lang w:val="en-GB"/>
              </w:rPr>
              <w:t>tva koja su povezana tenofovir</w:t>
            </w:r>
            <w:r w:rsidRPr="00373710">
              <w:rPr>
                <w:bCs/>
                <w:sz w:val="22"/>
                <w:szCs w:val="22"/>
                <w:lang w:val="en-GB"/>
              </w:rPr>
              <w:t xml:space="preserve"> </w:t>
            </w:r>
            <w:r w:rsidR="005F64DF">
              <w:rPr>
                <w:bCs/>
                <w:sz w:val="22"/>
                <w:szCs w:val="22"/>
                <w:lang w:val="en-GB"/>
              </w:rPr>
              <w:t>dizoproksil</w:t>
            </w:r>
            <w:r w:rsidRPr="00373710">
              <w:rPr>
                <w:bCs/>
                <w:sz w:val="22"/>
                <w:szCs w:val="22"/>
                <w:lang w:val="en-GB"/>
              </w:rPr>
              <w:t>om, uključujući poremećaje bubrega.</w:t>
            </w:r>
            <w:r>
              <w:rPr>
                <w:bCs/>
                <w:sz w:val="22"/>
                <w:szCs w:val="22"/>
                <w:lang w:val="en-GB"/>
              </w:rPr>
              <w:t xml:space="preserve"> </w:t>
            </w:r>
            <w:r w:rsidRPr="00373710">
              <w:rPr>
                <w:bCs/>
                <w:sz w:val="22"/>
                <w:szCs w:val="22"/>
                <w:lang w:val="en-GB"/>
              </w:rPr>
              <w:t xml:space="preserve">Bezbjednost tenofovir </w:t>
            </w:r>
            <w:r w:rsidR="005F64DF">
              <w:rPr>
                <w:bCs/>
                <w:sz w:val="22"/>
                <w:szCs w:val="22"/>
                <w:lang w:val="en-GB"/>
              </w:rPr>
              <w:t>dizoproksil</w:t>
            </w:r>
            <w:r w:rsidRPr="00373710">
              <w:rPr>
                <w:bCs/>
                <w:sz w:val="22"/>
                <w:szCs w:val="22"/>
                <w:lang w:val="en-GB"/>
              </w:rPr>
              <w:t xml:space="preserve">a kada se koristi sa kombinacijom </w:t>
            </w:r>
            <w:r w:rsidR="00EF2342">
              <w:rPr>
                <w:bCs/>
                <w:sz w:val="22"/>
                <w:szCs w:val="22"/>
                <w:lang w:val="en-GB"/>
              </w:rPr>
              <w:t xml:space="preserve">ledipasvir/sofosbuvir i </w:t>
            </w:r>
            <w:r>
              <w:rPr>
                <w:bCs/>
                <w:sz w:val="22"/>
                <w:szCs w:val="22"/>
                <w:lang w:val="en-GB"/>
              </w:rPr>
              <w:t>farmakokinetičkim stimulatorom</w:t>
            </w:r>
            <w:r w:rsidRPr="0094706A">
              <w:rPr>
                <w:bCs/>
                <w:sz w:val="22"/>
                <w:szCs w:val="22"/>
                <w:lang w:val="en-GB"/>
              </w:rPr>
              <w:t xml:space="preserve"> </w:t>
            </w:r>
            <w:r>
              <w:rPr>
                <w:bCs/>
                <w:sz w:val="22"/>
                <w:szCs w:val="22"/>
                <w:lang w:val="en-GB"/>
              </w:rPr>
              <w:t>(e.g. ritonavir or cobicistat) nije ustanovljena.</w:t>
            </w:r>
          </w:p>
          <w:p w:rsidR="009859DC" w:rsidRPr="0094706A" w:rsidRDefault="009859DC" w:rsidP="009859DC">
            <w:pPr>
              <w:tabs>
                <w:tab w:val="left" w:pos="540"/>
                <w:tab w:val="left" w:pos="569"/>
              </w:tabs>
              <w:rPr>
                <w:bCs/>
                <w:sz w:val="22"/>
                <w:szCs w:val="22"/>
                <w:lang w:val="en-GB"/>
              </w:rPr>
            </w:pPr>
            <w:r w:rsidRPr="00447BE0">
              <w:rPr>
                <w:bCs/>
                <w:sz w:val="22"/>
                <w:szCs w:val="22"/>
                <w:lang w:val="en-GB"/>
              </w:rPr>
              <w:t xml:space="preserve">Kombinovana terapija bi </w:t>
            </w:r>
            <w:r w:rsidR="00EF2342">
              <w:rPr>
                <w:bCs/>
                <w:sz w:val="22"/>
                <w:szCs w:val="22"/>
                <w:lang w:val="en-GB"/>
              </w:rPr>
              <w:t xml:space="preserve">se </w:t>
            </w:r>
            <w:r w:rsidRPr="00447BE0">
              <w:rPr>
                <w:bCs/>
                <w:sz w:val="22"/>
                <w:szCs w:val="22"/>
                <w:lang w:val="en-GB"/>
              </w:rPr>
              <w:t>trebalo  koristiti sa oprezom uz često praćenje funkcije bubrega, ukoliko druge terapijske alternative ni</w:t>
            </w:r>
            <w:r w:rsidR="00F434D9">
              <w:rPr>
                <w:bCs/>
                <w:sz w:val="22"/>
                <w:szCs w:val="22"/>
                <w:lang w:val="en-GB"/>
              </w:rPr>
              <w:t>je</w:t>
            </w:r>
            <w:r w:rsidRPr="00447BE0">
              <w:rPr>
                <w:bCs/>
                <w:sz w:val="22"/>
                <w:szCs w:val="22"/>
                <w:lang w:val="en-GB"/>
              </w:rPr>
              <w:t>su dostupne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Ledipasvir/Sofosbuvir (90 mg/400 mg</w:t>
            </w:r>
            <w:r>
              <w:rPr>
                <w:bCs/>
                <w:sz w:val="22"/>
                <w:szCs w:val="22"/>
                <w:lang w:val="en-GB"/>
              </w:rPr>
              <w:t xml:space="preserve"> q.d.) + Efavirenz/Emtricitabin</w:t>
            </w:r>
            <w:r w:rsidRPr="0094706A">
              <w:rPr>
                <w:bCs/>
                <w:sz w:val="22"/>
                <w:szCs w:val="22"/>
                <w:lang w:val="en-GB"/>
              </w:rPr>
              <w:t xml:space="preserve">/Tenofovir </w:t>
            </w:r>
            <w:r w:rsidR="005F64DF">
              <w:rPr>
                <w:bCs/>
                <w:sz w:val="22"/>
                <w:szCs w:val="22"/>
                <w:lang w:val="en-GB"/>
              </w:rPr>
              <w:t>dizoproksil</w:t>
            </w:r>
            <w:r w:rsidRPr="0094706A">
              <w:rPr>
                <w:bCs/>
                <w:sz w:val="22"/>
                <w:szCs w:val="22"/>
                <w:lang w:val="en-GB"/>
              </w:rPr>
              <w:t xml:space="preserve"> (600 mg/200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34%</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34%</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34%</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Efavirenz:</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98%</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79%</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163%</w:t>
            </w:r>
          </w:p>
        </w:tc>
        <w:tc>
          <w:tcPr>
            <w:tcW w:w="1738" w:type="pct"/>
            <w:tcBorders>
              <w:top w:val="outset" w:sz="6" w:space="0" w:color="7B7B7B"/>
              <w:left w:val="outset" w:sz="6" w:space="0" w:color="7B7B7B"/>
              <w:bottom w:val="outset" w:sz="6" w:space="0" w:color="7B7B7B"/>
              <w:right w:val="outset" w:sz="6" w:space="0" w:color="7B7B7B"/>
            </w:tcBorders>
            <w:shd w:val="clear" w:color="auto" w:fill="FFFFFF"/>
          </w:tcPr>
          <w:p w:rsidR="009859DC" w:rsidRPr="0094706A" w:rsidRDefault="009859DC" w:rsidP="009859DC">
            <w:pPr>
              <w:tabs>
                <w:tab w:val="left" w:pos="540"/>
                <w:tab w:val="left" w:pos="569"/>
              </w:tabs>
              <w:rPr>
                <w:bCs/>
                <w:sz w:val="22"/>
                <w:szCs w:val="22"/>
                <w:lang w:val="en-GB"/>
              </w:rPr>
            </w:pPr>
            <w:r w:rsidRPr="00F735AA">
              <w:rPr>
                <w:bCs/>
                <w:sz w:val="22"/>
                <w:szCs w:val="22"/>
                <w:lang w:val="en-GB"/>
              </w:rPr>
              <w:t>Ne preporučuje se prilagođavanje doze. Povećana izloženost tenofoviru može potencirati neželjena dejstva koja su povezana sa tenofovirom uključujući 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Ledipasvir/Sofosbuvir (90 mg/400 mg q</w:t>
            </w:r>
            <w:r>
              <w:rPr>
                <w:bCs/>
                <w:sz w:val="22"/>
                <w:szCs w:val="22"/>
                <w:lang w:val="en-GB"/>
              </w:rPr>
              <w:t xml:space="preserve">.d.) + Emtricitabin/Rilpivirin/Tenofovir </w:t>
            </w:r>
            <w:r w:rsidR="005F64DF">
              <w:rPr>
                <w:bCs/>
                <w:sz w:val="22"/>
                <w:szCs w:val="22"/>
                <w:lang w:val="en-GB"/>
              </w:rPr>
              <w:t>dizoproksil</w:t>
            </w:r>
            <w:r w:rsidRPr="0094706A">
              <w:rPr>
                <w:bCs/>
                <w:sz w:val="22"/>
                <w:szCs w:val="22"/>
                <w:lang w:val="en-GB"/>
              </w:rPr>
              <w:t xml:space="preserve"> (200 mg/25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Emtricitabin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Rilpivirin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40%</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91%</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F47B61">
              <w:rPr>
                <w:bCs/>
                <w:sz w:val="22"/>
                <w:szCs w:val="22"/>
                <w:lang w:val="en-GB"/>
              </w:rPr>
              <w:t xml:space="preserve">Ne preporučuje se prilagođavanje doze. Povećana izloženost tenofoviru može potencirati neželjena dejstva koja su povezana sa tenofovirom </w:t>
            </w:r>
            <w:r>
              <w:rPr>
                <w:bCs/>
                <w:sz w:val="22"/>
                <w:szCs w:val="22"/>
                <w:lang w:val="en-GB"/>
              </w:rPr>
              <w:t xml:space="preserve">uključujući </w:t>
            </w:r>
            <w:r w:rsidRPr="00F47B61">
              <w:rPr>
                <w:bCs/>
                <w:sz w:val="22"/>
                <w:szCs w:val="22"/>
                <w:lang w:val="en-GB"/>
              </w:rPr>
              <w:t>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Ledipasvir/Sofosbuvir (90 mg/400 mg q.d.) + Dolutegravir (50 mg q.d.) + Emtri</w:t>
            </w:r>
            <w:r>
              <w:rPr>
                <w:bCs/>
                <w:sz w:val="22"/>
                <w:szCs w:val="22"/>
                <w:lang w:val="en-GB"/>
              </w:rPr>
              <w:t xml:space="preserve">citabin/Tenofovir </w:t>
            </w:r>
            <w:r w:rsidR="005F64DF">
              <w:rPr>
                <w:bCs/>
                <w:sz w:val="22"/>
                <w:szCs w:val="22"/>
                <w:lang w:val="en-GB"/>
              </w:rPr>
              <w:t>dizoproksil</w:t>
            </w:r>
            <w:r w:rsidRPr="0094706A">
              <w:rPr>
                <w:bCs/>
                <w:sz w:val="22"/>
                <w:szCs w:val="22"/>
                <w:lang w:val="en-GB"/>
              </w:rPr>
              <w:t xml:space="preserve"> (200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Ledipasvir: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Dolutegravir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Emtricitabin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65%</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61%</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115%</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031602">
              <w:rPr>
                <w:bCs/>
                <w:sz w:val="22"/>
                <w:szCs w:val="22"/>
                <w:lang w:val="en-GB"/>
              </w:rPr>
              <w:t>Ne preporučuje se prilagođavanje doze. Povećana izloženost tenofoviru može potencirati neželjena dejstva koja su povezana sa tenofovirom uključujući 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Sofosbuvir/Velpatasvir (400 mg/100 mg q.d.) + Atazanavir/Ritonavir (300 mg q.d./100 mg q.d.) + </w:t>
            </w:r>
            <w:r w:rsidR="005F64DF">
              <w:rPr>
                <w:bCs/>
                <w:sz w:val="22"/>
                <w:szCs w:val="22"/>
                <w:lang w:val="en-GB"/>
              </w:rPr>
              <w:t>Emtricitabin</w:t>
            </w:r>
            <w:r w:rsidRPr="0094706A">
              <w:rPr>
                <w:bCs/>
                <w:sz w:val="22"/>
                <w:szCs w:val="22"/>
                <w:lang w:val="en-GB"/>
              </w:rPr>
              <w:t xml:space="preserve">/Tenofovir </w:t>
            </w:r>
            <w:r w:rsidR="005F64DF">
              <w:rPr>
                <w:bCs/>
                <w:sz w:val="22"/>
                <w:szCs w:val="22"/>
                <w:lang w:val="en-GB"/>
              </w:rPr>
              <w:t>dizoproksil</w:t>
            </w:r>
            <w:r w:rsidRPr="0094706A">
              <w:rPr>
                <w:bCs/>
                <w:sz w:val="22"/>
                <w:szCs w:val="22"/>
                <w:lang w:val="en-GB"/>
              </w:rPr>
              <w:t xml:space="preserve"> (200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42%</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142%</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55%</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301%</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Atazanavir: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39%</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Ritonavir: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29%</w:t>
            </w:r>
          </w:p>
          <w:p w:rsidR="005F64DF" w:rsidRPr="0094706A" w:rsidRDefault="005F64DF" w:rsidP="009859DC">
            <w:pPr>
              <w:tabs>
                <w:tab w:val="left" w:pos="540"/>
                <w:tab w:val="left" w:pos="569"/>
              </w:tabs>
              <w:rPr>
                <w:bCs/>
                <w:sz w:val="22"/>
                <w:szCs w:val="22"/>
                <w:lang w:val="en-GB"/>
              </w:rPr>
            </w:pP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55%</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39%</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350021" w:rsidRDefault="009859DC" w:rsidP="009859DC">
            <w:pPr>
              <w:tabs>
                <w:tab w:val="left" w:pos="540"/>
                <w:tab w:val="left" w:pos="569"/>
              </w:tabs>
              <w:rPr>
                <w:bCs/>
                <w:sz w:val="22"/>
                <w:szCs w:val="22"/>
                <w:lang w:val="en-GB"/>
              </w:rPr>
            </w:pPr>
            <w:r w:rsidRPr="00043D7D">
              <w:rPr>
                <w:bCs/>
                <w:sz w:val="22"/>
                <w:szCs w:val="22"/>
                <w:lang w:val="en-GB"/>
              </w:rPr>
              <w:t xml:space="preserve">Povećane koncentracije tenofovira u plazmi koje su posljedica istovremene primjene tenofovir </w:t>
            </w:r>
            <w:r w:rsidR="005F64DF">
              <w:rPr>
                <w:bCs/>
                <w:sz w:val="22"/>
                <w:szCs w:val="22"/>
                <w:lang w:val="en-GB"/>
              </w:rPr>
              <w:t>dizoproksila</w:t>
            </w:r>
            <w:r w:rsidRPr="00043D7D">
              <w:rPr>
                <w:bCs/>
                <w:sz w:val="22"/>
                <w:szCs w:val="22"/>
                <w:lang w:val="en-GB"/>
              </w:rPr>
              <w:t xml:space="preserve">, </w:t>
            </w:r>
            <w:r>
              <w:rPr>
                <w:bCs/>
                <w:sz w:val="22"/>
                <w:szCs w:val="22"/>
                <w:lang w:val="en-GB"/>
              </w:rPr>
              <w:t>kombinacije sofosbuvir/velpatasvir i</w:t>
            </w:r>
            <w:r w:rsidRPr="0094706A">
              <w:rPr>
                <w:bCs/>
                <w:sz w:val="22"/>
                <w:szCs w:val="22"/>
                <w:lang w:val="en-GB"/>
              </w:rPr>
              <w:t xml:space="preserve"> atazanavir/ritonavir </w:t>
            </w:r>
            <w:r w:rsidRPr="00350021">
              <w:rPr>
                <w:bCs/>
                <w:sz w:val="22"/>
                <w:szCs w:val="22"/>
                <w:lang w:val="en-GB"/>
              </w:rPr>
              <w:t>mogu pojačati neželjena dejs</w:t>
            </w:r>
            <w:r w:rsidR="005F64DF">
              <w:rPr>
                <w:bCs/>
                <w:sz w:val="22"/>
                <w:szCs w:val="22"/>
                <w:lang w:val="en-GB"/>
              </w:rPr>
              <w:t>tva koja su povezana tenofovir</w:t>
            </w:r>
            <w:r w:rsidRPr="00350021">
              <w:rPr>
                <w:bCs/>
                <w:sz w:val="22"/>
                <w:szCs w:val="22"/>
                <w:lang w:val="en-GB"/>
              </w:rPr>
              <w:t xml:space="preserve"> </w:t>
            </w:r>
            <w:r w:rsidR="005F64DF">
              <w:rPr>
                <w:bCs/>
                <w:sz w:val="22"/>
                <w:szCs w:val="22"/>
                <w:lang w:val="en-GB"/>
              </w:rPr>
              <w:t>dizoproksil</w:t>
            </w:r>
            <w:r w:rsidRPr="00350021">
              <w:rPr>
                <w:bCs/>
                <w:sz w:val="22"/>
                <w:szCs w:val="22"/>
                <w:lang w:val="en-GB"/>
              </w:rPr>
              <w:t xml:space="preserve">om, uključujući poremećaje bubrega. Bezbjednost tenofovir </w:t>
            </w:r>
            <w:r w:rsidR="005F64DF">
              <w:rPr>
                <w:bCs/>
                <w:sz w:val="22"/>
                <w:szCs w:val="22"/>
                <w:lang w:val="en-GB"/>
              </w:rPr>
              <w:t>dizoproksil</w:t>
            </w:r>
            <w:r w:rsidRPr="00350021">
              <w:rPr>
                <w:bCs/>
                <w:sz w:val="22"/>
                <w:szCs w:val="22"/>
                <w:lang w:val="en-GB"/>
              </w:rPr>
              <w:t>a kada se koristi sa kombinacijom ledipasvir/sofosbuvir i pharmakokinetičkim stimulatorom (e.g. ritonavir ili kobicistat) nije ustanovljena.</w:t>
            </w:r>
          </w:p>
          <w:p w:rsidR="009859DC" w:rsidRPr="0094706A" w:rsidRDefault="009859DC" w:rsidP="009859DC">
            <w:pPr>
              <w:tabs>
                <w:tab w:val="left" w:pos="540"/>
                <w:tab w:val="left" w:pos="569"/>
              </w:tabs>
              <w:rPr>
                <w:bCs/>
                <w:sz w:val="22"/>
                <w:szCs w:val="22"/>
                <w:lang w:val="en-GB"/>
              </w:rPr>
            </w:pPr>
            <w:r w:rsidRPr="00350021">
              <w:rPr>
                <w:bCs/>
                <w:sz w:val="22"/>
                <w:szCs w:val="22"/>
                <w:lang w:val="en-GB"/>
              </w:rPr>
              <w:t>K</w:t>
            </w:r>
            <w:r>
              <w:rPr>
                <w:bCs/>
                <w:sz w:val="22"/>
                <w:szCs w:val="22"/>
                <w:lang w:val="en-GB"/>
              </w:rPr>
              <w:t xml:space="preserve">ombinovana terapija bi </w:t>
            </w:r>
            <w:r w:rsidR="005F64DF">
              <w:rPr>
                <w:bCs/>
                <w:sz w:val="22"/>
                <w:szCs w:val="22"/>
                <w:lang w:val="en-GB"/>
              </w:rPr>
              <w:t xml:space="preserve">se </w:t>
            </w:r>
            <w:r>
              <w:rPr>
                <w:bCs/>
                <w:sz w:val="22"/>
                <w:szCs w:val="22"/>
                <w:lang w:val="en-GB"/>
              </w:rPr>
              <w:t xml:space="preserve">trebalo </w:t>
            </w:r>
            <w:r w:rsidRPr="00350021">
              <w:rPr>
                <w:bCs/>
                <w:sz w:val="22"/>
                <w:szCs w:val="22"/>
                <w:lang w:val="en-GB"/>
              </w:rPr>
              <w:t>koristiti sa oprezom uz često praćenje funkcije bubrega, ukoliko druge terapijske alternative ni</w:t>
            </w:r>
            <w:r w:rsidR="00F434D9">
              <w:rPr>
                <w:bCs/>
                <w:sz w:val="22"/>
                <w:szCs w:val="22"/>
                <w:lang w:val="en-GB"/>
              </w:rPr>
              <w:t>je</w:t>
            </w:r>
            <w:r w:rsidRPr="00350021">
              <w:rPr>
                <w:bCs/>
                <w:sz w:val="22"/>
                <w:szCs w:val="22"/>
                <w:lang w:val="en-GB"/>
              </w:rPr>
              <w:t>su dostupne (vidjeti odjeljak 4.4).</w:t>
            </w:r>
          </w:p>
          <w:p w:rsidR="009859DC" w:rsidRPr="0094706A" w:rsidRDefault="009859DC" w:rsidP="009859DC">
            <w:pPr>
              <w:tabs>
                <w:tab w:val="left" w:pos="540"/>
                <w:tab w:val="left" w:pos="569"/>
              </w:tabs>
              <w:rPr>
                <w:bCs/>
                <w:sz w:val="22"/>
                <w:szCs w:val="22"/>
                <w:lang w:val="en-GB"/>
              </w:rPr>
            </w:pP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Sofosbuvir/Velpatasvir (400 mg/100 mg q.d.) + Darunavir/Ritonavir (800 mg q.d./100 mg q.d.) + </w:t>
            </w:r>
            <w:r w:rsidR="005F64DF">
              <w:rPr>
                <w:bCs/>
                <w:sz w:val="22"/>
                <w:szCs w:val="22"/>
                <w:lang w:val="en-GB"/>
              </w:rPr>
              <w:t>Emtricitabin</w:t>
            </w:r>
            <w:r w:rsidRPr="0094706A">
              <w:rPr>
                <w:bCs/>
                <w:sz w:val="22"/>
                <w:szCs w:val="22"/>
                <w:lang w:val="en-GB"/>
              </w:rPr>
              <w:t xml:space="preserve">/Tenofovir </w:t>
            </w:r>
            <w:r w:rsidR="005F64DF">
              <w:rPr>
                <w:bCs/>
                <w:sz w:val="22"/>
                <w:szCs w:val="22"/>
                <w:lang w:val="en-GB"/>
              </w:rPr>
              <w:t>dizoproksil</w:t>
            </w:r>
            <w:r w:rsidRPr="0094706A">
              <w:rPr>
                <w:bCs/>
                <w:sz w:val="22"/>
                <w:szCs w:val="22"/>
                <w:lang w:val="en-GB"/>
              </w:rPr>
              <w:t xml:space="preserve"> (200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↓28%</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38%</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24%</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Darunavir: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Ritonavir: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39%</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55%</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52%</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133852" w:rsidRDefault="009859DC" w:rsidP="009859DC">
            <w:pPr>
              <w:tabs>
                <w:tab w:val="left" w:pos="540"/>
                <w:tab w:val="left" w:pos="569"/>
              </w:tabs>
              <w:rPr>
                <w:bCs/>
                <w:sz w:val="22"/>
                <w:szCs w:val="22"/>
                <w:lang w:val="en-GB"/>
              </w:rPr>
            </w:pPr>
            <w:r w:rsidRPr="008720F3">
              <w:rPr>
                <w:bCs/>
                <w:sz w:val="22"/>
                <w:szCs w:val="22"/>
                <w:lang w:val="en-GB"/>
              </w:rPr>
              <w:t xml:space="preserve">Povećane koncentracije tenofovira u plazmi koje su posljedica istovremene primjene tenofovir </w:t>
            </w:r>
            <w:r w:rsidR="005F64DF">
              <w:rPr>
                <w:bCs/>
                <w:sz w:val="22"/>
                <w:szCs w:val="22"/>
                <w:lang w:val="en-GB"/>
              </w:rPr>
              <w:t>dizoproksil</w:t>
            </w:r>
            <w:r>
              <w:rPr>
                <w:bCs/>
                <w:sz w:val="22"/>
                <w:szCs w:val="22"/>
                <w:lang w:val="en-GB"/>
              </w:rPr>
              <w:t>a i</w:t>
            </w:r>
            <w:r w:rsidRPr="005910B0">
              <w:rPr>
                <w:bCs/>
                <w:sz w:val="22"/>
                <w:szCs w:val="22"/>
                <w:lang w:val="en-GB"/>
              </w:rPr>
              <w:t xml:space="preserve"> kombinacije </w:t>
            </w:r>
            <w:r>
              <w:rPr>
                <w:bCs/>
                <w:sz w:val="22"/>
                <w:szCs w:val="22"/>
                <w:lang w:val="en-GB"/>
              </w:rPr>
              <w:t>sofosbuvir/velpatasvir i</w:t>
            </w:r>
            <w:r w:rsidRPr="0094706A">
              <w:rPr>
                <w:bCs/>
                <w:sz w:val="22"/>
                <w:szCs w:val="22"/>
                <w:lang w:val="en-GB"/>
              </w:rPr>
              <w:t xml:space="preserve"> darunavir/ritonavir </w:t>
            </w:r>
            <w:r>
              <w:rPr>
                <w:bCs/>
                <w:sz w:val="22"/>
                <w:szCs w:val="22"/>
                <w:lang w:val="en-GB"/>
              </w:rPr>
              <w:t>mogu pojačati neželjena dejstva povezana sa tenofovirom, uključujući poremećaje bubrega. Bezbjednost tenofovir dizoproksila sa kombi</w:t>
            </w:r>
            <w:r w:rsidR="005F64DF">
              <w:rPr>
                <w:bCs/>
                <w:sz w:val="22"/>
                <w:szCs w:val="22"/>
                <w:lang w:val="en-GB"/>
              </w:rPr>
              <w:t>nacijom sofosbuvir/velpatasvir i</w:t>
            </w:r>
            <w:r>
              <w:rPr>
                <w:bCs/>
                <w:sz w:val="22"/>
                <w:szCs w:val="22"/>
                <w:lang w:val="en-GB"/>
              </w:rPr>
              <w:t xml:space="preserve"> farmakokinteičkim stimulatorom (e.g. ritonavir ili k</w:t>
            </w:r>
            <w:r w:rsidRPr="0094706A">
              <w:rPr>
                <w:bCs/>
                <w:sz w:val="22"/>
                <w:szCs w:val="22"/>
                <w:lang w:val="en-GB"/>
              </w:rPr>
              <w:t xml:space="preserve">obicistat) </w:t>
            </w:r>
            <w:r w:rsidRPr="00133852">
              <w:rPr>
                <w:bCs/>
                <w:sz w:val="22"/>
                <w:szCs w:val="22"/>
                <w:lang w:val="en-GB"/>
              </w:rPr>
              <w:t>nije ustanovljena.</w:t>
            </w:r>
          </w:p>
          <w:p w:rsidR="009859DC" w:rsidRPr="00133852" w:rsidRDefault="009859DC" w:rsidP="009859DC">
            <w:pPr>
              <w:tabs>
                <w:tab w:val="left" w:pos="540"/>
                <w:tab w:val="left" w:pos="569"/>
              </w:tabs>
              <w:rPr>
                <w:bCs/>
                <w:sz w:val="22"/>
                <w:szCs w:val="22"/>
                <w:lang w:val="en-GB"/>
              </w:rPr>
            </w:pPr>
            <w:r w:rsidRPr="00133852">
              <w:rPr>
                <w:bCs/>
                <w:sz w:val="22"/>
                <w:szCs w:val="22"/>
                <w:lang w:val="en-GB"/>
              </w:rPr>
              <w:t>K</w:t>
            </w:r>
            <w:r>
              <w:rPr>
                <w:bCs/>
                <w:sz w:val="22"/>
                <w:szCs w:val="22"/>
                <w:lang w:val="en-GB"/>
              </w:rPr>
              <w:t>ombinovanu terapiju</w:t>
            </w:r>
            <w:r w:rsidRPr="00133852">
              <w:rPr>
                <w:bCs/>
                <w:sz w:val="22"/>
                <w:szCs w:val="22"/>
                <w:lang w:val="en-GB"/>
              </w:rPr>
              <w:t xml:space="preserve"> bi trebalo koristiti sa oprezom uz često praćenje funkcije bubrega, ukoliko druge terapijske alternative ni</w:t>
            </w:r>
            <w:r w:rsidR="00F434D9">
              <w:rPr>
                <w:bCs/>
                <w:sz w:val="22"/>
                <w:szCs w:val="22"/>
                <w:lang w:val="en-GB"/>
              </w:rPr>
              <w:t>je</w:t>
            </w:r>
            <w:r w:rsidRPr="00133852">
              <w:rPr>
                <w:bCs/>
                <w:sz w:val="22"/>
                <w:szCs w:val="22"/>
                <w:lang w:val="en-GB"/>
              </w:rPr>
              <w:t>su dostupne (vidjeti odjeljak 4.4).</w:t>
            </w:r>
          </w:p>
          <w:p w:rsidR="009859DC" w:rsidRPr="0094706A" w:rsidRDefault="009859DC"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Sofosbuvir/Velpatasvir (400 mg/100 mg q.d.) + Lopinavir/Ritonavir (800 mg/200 mg q.d.) + </w:t>
            </w:r>
            <w:r w:rsidR="005F64DF">
              <w:rPr>
                <w:bCs/>
                <w:sz w:val="22"/>
                <w:szCs w:val="22"/>
                <w:lang w:val="en-GB"/>
              </w:rPr>
              <w:t>Emtricitabin</w:t>
            </w:r>
            <w:r w:rsidRPr="0094706A">
              <w:rPr>
                <w:bCs/>
                <w:sz w:val="22"/>
                <w:szCs w:val="22"/>
                <w:lang w:val="en-GB"/>
              </w:rPr>
              <w:t xml:space="preserve">/Tenofovir </w:t>
            </w:r>
            <w:r w:rsidR="005F64DF">
              <w:rPr>
                <w:bCs/>
                <w:sz w:val="22"/>
                <w:szCs w:val="22"/>
                <w:lang w:val="en-GB"/>
              </w:rPr>
              <w:t>dizoproksil</w:t>
            </w:r>
            <w:r w:rsidRPr="0094706A">
              <w:rPr>
                <w:bCs/>
                <w:sz w:val="22"/>
                <w:szCs w:val="22"/>
                <w:lang w:val="en-GB"/>
              </w:rPr>
              <w:t xml:space="preserve"> (200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29%</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41%</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30%</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63%</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Lopinavir: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Ritonavir: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42%</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Default="009859DC" w:rsidP="009859DC">
            <w:pPr>
              <w:tabs>
                <w:tab w:val="left" w:pos="540"/>
                <w:tab w:val="left" w:pos="569"/>
              </w:tabs>
              <w:rPr>
                <w:bCs/>
                <w:sz w:val="22"/>
                <w:szCs w:val="22"/>
                <w:lang w:val="en-GB"/>
              </w:rPr>
            </w:pPr>
            <w:r w:rsidRPr="006C4FA5">
              <w:rPr>
                <w:bCs/>
                <w:sz w:val="22"/>
                <w:szCs w:val="22"/>
                <w:lang w:val="en-GB"/>
              </w:rPr>
              <w:t xml:space="preserve">Povećane koncentracije tenofovira u plazmi koje su posljedica istovremene primjene tenofovir </w:t>
            </w:r>
            <w:r w:rsidR="005F64DF">
              <w:rPr>
                <w:bCs/>
                <w:sz w:val="22"/>
                <w:szCs w:val="22"/>
                <w:lang w:val="en-GB"/>
              </w:rPr>
              <w:t>dizoproksil</w:t>
            </w:r>
            <w:r w:rsidRPr="006C4FA5">
              <w:rPr>
                <w:bCs/>
                <w:sz w:val="22"/>
                <w:szCs w:val="22"/>
                <w:lang w:val="en-GB"/>
              </w:rPr>
              <w:t xml:space="preserve">a i kombinacije </w:t>
            </w:r>
            <w:r>
              <w:rPr>
                <w:bCs/>
                <w:sz w:val="22"/>
                <w:szCs w:val="22"/>
                <w:lang w:val="en-GB"/>
              </w:rPr>
              <w:t>sofosbuvir/velpatasvir i</w:t>
            </w:r>
            <w:r w:rsidRPr="0094706A">
              <w:rPr>
                <w:bCs/>
                <w:sz w:val="22"/>
                <w:szCs w:val="22"/>
                <w:lang w:val="en-GB"/>
              </w:rPr>
              <w:t xml:space="preserve"> lopinavir/ritonavir </w:t>
            </w:r>
            <w:r w:rsidRPr="00FD468B">
              <w:rPr>
                <w:bCs/>
                <w:sz w:val="22"/>
                <w:szCs w:val="22"/>
                <w:lang w:val="en-GB"/>
              </w:rPr>
              <w:t>mogu pojačati neželjena dejstva povezana sa tenofoviro</w:t>
            </w:r>
            <w:r>
              <w:rPr>
                <w:bCs/>
                <w:sz w:val="22"/>
                <w:szCs w:val="22"/>
                <w:lang w:val="en-GB"/>
              </w:rPr>
              <w:t>m, uključujući poremećaje bubrega. Bezbjednost tenofovir dizoproksila sa kombi</w:t>
            </w:r>
            <w:r w:rsidR="005F64DF">
              <w:rPr>
                <w:bCs/>
                <w:sz w:val="22"/>
                <w:szCs w:val="22"/>
                <w:lang w:val="en-GB"/>
              </w:rPr>
              <w:t>nacijom sofosbuvir/velpatasvir i</w:t>
            </w:r>
            <w:r>
              <w:rPr>
                <w:bCs/>
                <w:sz w:val="22"/>
                <w:szCs w:val="22"/>
                <w:lang w:val="en-GB"/>
              </w:rPr>
              <w:t xml:space="preserve">  farmakokinetičkim stimulatorom (e.g. ritonavir ili k</w:t>
            </w:r>
            <w:r w:rsidRPr="0094706A">
              <w:rPr>
                <w:bCs/>
                <w:sz w:val="22"/>
                <w:szCs w:val="22"/>
                <w:lang w:val="en-GB"/>
              </w:rPr>
              <w:t xml:space="preserve">obicistat) </w:t>
            </w:r>
            <w:r>
              <w:rPr>
                <w:bCs/>
                <w:sz w:val="22"/>
                <w:szCs w:val="22"/>
                <w:lang w:val="en-GB"/>
              </w:rPr>
              <w:t xml:space="preserve">nije ustanovljena. </w:t>
            </w:r>
          </w:p>
          <w:p w:rsidR="009859DC" w:rsidRPr="0094706A" w:rsidRDefault="009859DC" w:rsidP="009859DC">
            <w:pPr>
              <w:tabs>
                <w:tab w:val="left" w:pos="540"/>
                <w:tab w:val="left" w:pos="569"/>
              </w:tabs>
              <w:rPr>
                <w:bCs/>
                <w:sz w:val="22"/>
                <w:szCs w:val="22"/>
                <w:lang w:val="en-GB"/>
              </w:rPr>
            </w:pPr>
            <w:r w:rsidRPr="00FD468B">
              <w:rPr>
                <w:bCs/>
                <w:sz w:val="22"/>
                <w:szCs w:val="22"/>
                <w:lang w:val="en-GB"/>
              </w:rPr>
              <w:t>Kombinovanu terapiju bi trebalo koristiti sa oprezom uz često praćenje funkcije bubrega, ukoliko druge terapijske alternative ni</w:t>
            </w:r>
            <w:r w:rsidR="00F434D9">
              <w:rPr>
                <w:bCs/>
                <w:sz w:val="22"/>
                <w:szCs w:val="22"/>
                <w:lang w:val="en-GB"/>
              </w:rPr>
              <w:t>je</w:t>
            </w:r>
            <w:r w:rsidRPr="00FD468B">
              <w:rPr>
                <w:bCs/>
                <w:sz w:val="22"/>
                <w:szCs w:val="22"/>
                <w:lang w:val="en-GB"/>
              </w:rPr>
              <w:t>su dostupne (vidjeti odjeljak 4.4).</w:t>
            </w:r>
          </w:p>
          <w:p w:rsidR="009859DC" w:rsidRPr="0094706A" w:rsidRDefault="009859DC" w:rsidP="009859DC">
            <w:pPr>
              <w:tabs>
                <w:tab w:val="left" w:pos="540"/>
                <w:tab w:val="left" w:pos="569"/>
              </w:tabs>
              <w:rPr>
                <w:bCs/>
                <w:sz w:val="22"/>
                <w:szCs w:val="22"/>
                <w:lang w:val="en-GB"/>
              </w:rPr>
            </w:pP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Sofosbuvir/Velpatasvir (400 mg/100 mg q.d.) + Raltegravir (400 mg b.i.d) + </w:t>
            </w:r>
            <w:r w:rsidR="005F64DF">
              <w:rPr>
                <w:bCs/>
                <w:sz w:val="22"/>
                <w:szCs w:val="22"/>
                <w:lang w:val="en-GB"/>
              </w:rPr>
              <w:t>Emtricitabin</w:t>
            </w:r>
            <w:r w:rsidRPr="0094706A">
              <w:rPr>
                <w:bCs/>
                <w:sz w:val="22"/>
                <w:szCs w:val="22"/>
                <w:lang w:val="en-GB"/>
              </w:rPr>
              <w:t xml:space="preserve">/Tenofovir </w:t>
            </w:r>
            <w:r w:rsidR="005F64DF">
              <w:rPr>
                <w:bCs/>
                <w:sz w:val="22"/>
                <w:szCs w:val="22"/>
                <w:lang w:val="en-GB"/>
              </w:rPr>
              <w:t>dizoproksil</w:t>
            </w:r>
            <w:r w:rsidRPr="0094706A">
              <w:rPr>
                <w:bCs/>
                <w:sz w:val="22"/>
                <w:szCs w:val="22"/>
                <w:lang w:val="en-GB"/>
              </w:rPr>
              <w:t xml:space="preserve"> (200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F434D9" w:rsidRDefault="00F434D9"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Raltegravir: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21%</w:t>
            </w:r>
          </w:p>
          <w:p w:rsidR="005F64DF" w:rsidRPr="0094706A" w:rsidRDefault="005F64DF" w:rsidP="009859DC">
            <w:pPr>
              <w:tabs>
                <w:tab w:val="left" w:pos="540"/>
                <w:tab w:val="left" w:pos="569"/>
              </w:tabs>
              <w:rPr>
                <w:bCs/>
                <w:sz w:val="22"/>
                <w:szCs w:val="22"/>
                <w:lang w:val="en-GB"/>
              </w:rPr>
            </w:pP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40%</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46%</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70%</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F47B61">
              <w:rPr>
                <w:bCs/>
                <w:sz w:val="22"/>
                <w:szCs w:val="22"/>
                <w:lang w:val="en-GB"/>
              </w:rPr>
              <w:t xml:space="preserve">Ne preporučuje se prilagođavanje doze. Povećana izloženost tenofoviru može potencirati neželjena dejstva koja su povezana sa tenofovirom </w:t>
            </w:r>
            <w:r>
              <w:rPr>
                <w:bCs/>
                <w:sz w:val="22"/>
                <w:szCs w:val="22"/>
                <w:lang w:val="en-GB"/>
              </w:rPr>
              <w:t xml:space="preserve">uključujući </w:t>
            </w:r>
            <w:r w:rsidRPr="00F47B61">
              <w:rPr>
                <w:bCs/>
                <w:sz w:val="22"/>
                <w:szCs w:val="22"/>
                <w:lang w:val="en-GB"/>
              </w:rPr>
              <w:t>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Sofosbuvir/Velpatasvir (400 mg/100 mg q.d.) + </w:t>
            </w:r>
            <w:r>
              <w:rPr>
                <w:bCs/>
                <w:sz w:val="22"/>
                <w:szCs w:val="22"/>
                <w:lang w:val="en-GB"/>
              </w:rPr>
              <w:t>Efavirenc/Emtricitabin</w:t>
            </w:r>
            <w:r w:rsidRPr="0094706A">
              <w:rPr>
                <w:bCs/>
                <w:sz w:val="22"/>
                <w:szCs w:val="22"/>
                <w:lang w:val="en-GB"/>
              </w:rPr>
              <w:t>/T</w:t>
            </w:r>
            <w:r>
              <w:rPr>
                <w:bCs/>
                <w:sz w:val="22"/>
                <w:szCs w:val="22"/>
                <w:lang w:val="en-GB"/>
              </w:rPr>
              <w:t xml:space="preserve">enofovir </w:t>
            </w:r>
            <w:r w:rsidR="005F64DF">
              <w:rPr>
                <w:bCs/>
                <w:sz w:val="22"/>
                <w:szCs w:val="22"/>
                <w:lang w:val="en-GB"/>
              </w:rPr>
              <w:t>dizoproksil</w:t>
            </w:r>
            <w:r w:rsidRPr="0094706A">
              <w:rPr>
                <w:bCs/>
                <w:sz w:val="22"/>
                <w:szCs w:val="22"/>
                <w:lang w:val="en-GB"/>
              </w:rPr>
              <w:t xml:space="preserve"> (600 mg/200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38%</w:t>
            </w:r>
          </w:p>
          <w:p w:rsidR="00264966" w:rsidRDefault="00264966"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53%</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47%</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57%</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Efavirenc</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Emtricitabin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81%</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77%</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121%</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5F64DF" w:rsidP="009859DC">
            <w:pPr>
              <w:tabs>
                <w:tab w:val="left" w:pos="540"/>
                <w:tab w:val="left" w:pos="569"/>
              </w:tabs>
              <w:rPr>
                <w:bCs/>
                <w:sz w:val="22"/>
                <w:szCs w:val="22"/>
                <w:lang w:val="en-GB"/>
              </w:rPr>
            </w:pPr>
            <w:r>
              <w:rPr>
                <w:bCs/>
                <w:sz w:val="22"/>
                <w:szCs w:val="22"/>
                <w:lang w:val="en-GB"/>
              </w:rPr>
              <w:t>Od istovremene primjene</w:t>
            </w:r>
            <w:r w:rsidR="009859DC">
              <w:rPr>
                <w:bCs/>
                <w:sz w:val="22"/>
                <w:szCs w:val="22"/>
                <w:lang w:val="en-GB"/>
              </w:rPr>
              <w:t xml:space="preserve"> kombinacije </w:t>
            </w:r>
            <w:r w:rsidR="009859DC" w:rsidRPr="0094706A">
              <w:rPr>
                <w:bCs/>
                <w:sz w:val="22"/>
                <w:szCs w:val="22"/>
                <w:lang w:val="en-GB"/>
              </w:rPr>
              <w:t>sofos</w:t>
            </w:r>
            <w:r w:rsidR="009859DC">
              <w:rPr>
                <w:bCs/>
                <w:sz w:val="22"/>
                <w:szCs w:val="22"/>
                <w:lang w:val="en-GB"/>
              </w:rPr>
              <w:t>buvir/velpatasvir i efavirenc</w:t>
            </w:r>
            <w:r w:rsidR="009859DC" w:rsidRPr="0094706A">
              <w:rPr>
                <w:bCs/>
                <w:sz w:val="22"/>
                <w:szCs w:val="22"/>
                <w:lang w:val="en-GB"/>
              </w:rPr>
              <w:t xml:space="preserve"> </w:t>
            </w:r>
            <w:r w:rsidR="009859DC">
              <w:rPr>
                <w:bCs/>
                <w:sz w:val="22"/>
                <w:szCs w:val="22"/>
                <w:lang w:val="en-GB"/>
              </w:rPr>
              <w:t xml:space="preserve">se očekuje da smanji koncentracije </w:t>
            </w:r>
            <w:r w:rsidR="009859DC" w:rsidRPr="0094706A">
              <w:rPr>
                <w:bCs/>
                <w:sz w:val="22"/>
                <w:szCs w:val="22"/>
                <w:lang w:val="en-GB"/>
              </w:rPr>
              <w:t>velpatasvir</w:t>
            </w:r>
            <w:r w:rsidR="009859DC">
              <w:rPr>
                <w:bCs/>
                <w:sz w:val="22"/>
                <w:szCs w:val="22"/>
                <w:lang w:val="en-GB"/>
              </w:rPr>
              <w:t>a</w:t>
            </w:r>
            <w:r w:rsidR="009859DC" w:rsidRPr="003D2DFF">
              <w:rPr>
                <w:bCs/>
                <w:sz w:val="22"/>
                <w:szCs w:val="22"/>
                <w:lang w:val="en-GB"/>
              </w:rPr>
              <w:t xml:space="preserve"> u plazmi</w:t>
            </w:r>
            <w:r w:rsidR="009859DC" w:rsidRPr="0094706A">
              <w:rPr>
                <w:bCs/>
                <w:sz w:val="22"/>
                <w:szCs w:val="22"/>
                <w:lang w:val="en-GB"/>
              </w:rPr>
              <w:t xml:space="preserve">. </w:t>
            </w:r>
            <w:r w:rsidR="009859DC">
              <w:rPr>
                <w:bCs/>
                <w:sz w:val="22"/>
                <w:szCs w:val="22"/>
                <w:lang w:val="en-GB"/>
              </w:rPr>
              <w:t>Istovremena primjena kombinacije sofosbuvir/velpatasvir sa ter</w:t>
            </w:r>
            <w:r>
              <w:rPr>
                <w:bCs/>
                <w:sz w:val="22"/>
                <w:szCs w:val="22"/>
                <w:lang w:val="en-GB"/>
              </w:rPr>
              <w:t>a</w:t>
            </w:r>
            <w:r w:rsidR="009859DC">
              <w:rPr>
                <w:bCs/>
                <w:sz w:val="22"/>
                <w:szCs w:val="22"/>
                <w:lang w:val="en-GB"/>
              </w:rPr>
              <w:t>pijskim režimima koji sadrže efavirenc</w:t>
            </w:r>
            <w:r w:rsidR="009859DC" w:rsidRPr="0094706A">
              <w:rPr>
                <w:bCs/>
                <w:sz w:val="22"/>
                <w:szCs w:val="22"/>
                <w:lang w:val="en-GB"/>
              </w:rPr>
              <w:t xml:space="preserve"> </w:t>
            </w:r>
            <w:r w:rsidR="009859DC">
              <w:rPr>
                <w:bCs/>
                <w:sz w:val="22"/>
                <w:szCs w:val="22"/>
                <w:lang w:val="en-GB"/>
              </w:rPr>
              <w:t>se ne preporučuje.</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 xml:space="preserve">Sofosbuvir/Velpatasvir (400 mg/100 mg q.d.) + </w:t>
            </w:r>
            <w:r w:rsidR="005F64DF">
              <w:rPr>
                <w:bCs/>
                <w:sz w:val="22"/>
                <w:szCs w:val="22"/>
                <w:lang w:val="en-GB"/>
              </w:rPr>
              <w:t>Emtricitabin/Rilpivirine/Tenofovir dizoproksil</w:t>
            </w:r>
            <w:r w:rsidRPr="0094706A">
              <w:rPr>
                <w:bCs/>
                <w:sz w:val="22"/>
                <w:szCs w:val="22"/>
                <w:lang w:val="en-GB"/>
              </w:rPr>
              <w:t xml:space="preserve"> (200 mg/25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264966" w:rsidRDefault="00264966"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5F64DF" w:rsidP="009859DC">
            <w:pPr>
              <w:tabs>
                <w:tab w:val="left" w:pos="540"/>
                <w:tab w:val="left" w:pos="569"/>
              </w:tabs>
              <w:rPr>
                <w:bCs/>
                <w:sz w:val="22"/>
                <w:szCs w:val="22"/>
                <w:lang w:val="en-GB"/>
              </w:rPr>
            </w:pPr>
            <w:r>
              <w:rPr>
                <w:bCs/>
                <w:sz w:val="22"/>
                <w:szCs w:val="22"/>
                <w:lang w:val="en-GB"/>
              </w:rPr>
              <w:t>Emtricitabin</w:t>
            </w:r>
            <w:r w:rsidR="009859DC"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264966" w:rsidRDefault="00264966"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Rilpivirine:</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40%</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44%</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84%</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7B716C">
              <w:rPr>
                <w:bCs/>
                <w:sz w:val="22"/>
                <w:szCs w:val="22"/>
                <w:lang w:val="en-GB"/>
              </w:rPr>
              <w:t>Ne preporučuje se prilagođavanje doze. Povećana izloženost tenofoviru može potencirati neželjena dejstva koja su povezana sa tenofovirom uključujući poremećaje bubrega. Bubrežnu funkciju treba pažljivo pratiti. (vidjeti odjeljak 4.4)</w:t>
            </w: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Sofosbuvir/Velpatasvir/Voxilaprevir (400 mg/100 mg/100 mg+100 mg q.d.)</w:t>
            </w:r>
            <w:r w:rsidRPr="0094706A">
              <w:rPr>
                <w:bCs/>
                <w:sz w:val="22"/>
                <w:szCs w:val="22"/>
                <w:vertAlign w:val="superscript"/>
                <w:lang w:val="en-GB"/>
              </w:rPr>
              <w:t>3</w:t>
            </w:r>
            <w:r w:rsidRPr="0094706A">
              <w:rPr>
                <w:bCs/>
                <w:sz w:val="22"/>
                <w:szCs w:val="22"/>
                <w:lang w:val="en-GB"/>
              </w:rPr>
              <w:t> + Darunavir (800 mg q.d.) + Ritonav</w:t>
            </w:r>
            <w:r>
              <w:rPr>
                <w:bCs/>
                <w:sz w:val="22"/>
                <w:szCs w:val="22"/>
                <w:lang w:val="en-GB"/>
              </w:rPr>
              <w:t xml:space="preserve">ir (100 mg q.d.) + Emtricitabin/Tenofovir </w:t>
            </w:r>
            <w:r w:rsidR="005F64DF">
              <w:rPr>
                <w:bCs/>
                <w:sz w:val="22"/>
                <w:szCs w:val="22"/>
                <w:lang w:val="en-GB"/>
              </w:rPr>
              <w:t>dizoproksil</w:t>
            </w:r>
            <w:r w:rsidRPr="0094706A">
              <w:rPr>
                <w:bCs/>
                <w:sz w:val="22"/>
                <w:szCs w:val="22"/>
                <w:lang w:val="en-GB"/>
              </w:rPr>
              <w:t xml:space="preserve"> (200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30%</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N/A</w:t>
            </w:r>
          </w:p>
          <w:p w:rsidR="00264966" w:rsidRDefault="00264966"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N/A</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Velpatasvir: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Voks</w:t>
            </w:r>
            <w:r w:rsidRPr="0094706A">
              <w:rPr>
                <w:bCs/>
                <w:sz w:val="22"/>
                <w:szCs w:val="22"/>
                <w:lang w:val="en-GB"/>
              </w:rPr>
              <w:t>ilaprevir: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143%</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72%</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300%</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Darunavir: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34%</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Ritonavir: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45%</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60%</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Emtricitabin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 39%</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48%</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 47%</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5F64DF" w:rsidRDefault="009859DC" w:rsidP="009859DC">
            <w:pPr>
              <w:tabs>
                <w:tab w:val="left" w:pos="540"/>
                <w:tab w:val="left" w:pos="569"/>
              </w:tabs>
              <w:rPr>
                <w:bCs/>
                <w:sz w:val="22"/>
                <w:szCs w:val="22"/>
                <w:lang w:val="en-GB"/>
              </w:rPr>
            </w:pPr>
            <w:r w:rsidRPr="00C666ED">
              <w:rPr>
                <w:bCs/>
                <w:sz w:val="22"/>
                <w:szCs w:val="22"/>
                <w:lang w:val="en-GB"/>
              </w:rPr>
              <w:t xml:space="preserve">Povećane koncentracije tenofovira u plazmi koje su posljedica istovremene primjene tenofovir </w:t>
            </w:r>
            <w:r w:rsidR="005F64DF">
              <w:rPr>
                <w:bCs/>
                <w:sz w:val="22"/>
                <w:szCs w:val="22"/>
                <w:lang w:val="en-GB"/>
              </w:rPr>
              <w:t>dizoproksil</w:t>
            </w:r>
            <w:r w:rsidRPr="00C666ED">
              <w:rPr>
                <w:bCs/>
                <w:sz w:val="22"/>
                <w:szCs w:val="22"/>
                <w:lang w:val="en-GB"/>
              </w:rPr>
              <w:t xml:space="preserve">a i kombinacije </w:t>
            </w:r>
            <w:r w:rsidRPr="0094706A">
              <w:rPr>
                <w:bCs/>
                <w:sz w:val="22"/>
                <w:szCs w:val="22"/>
                <w:lang w:val="en-GB"/>
              </w:rPr>
              <w:t>sofosbuv</w:t>
            </w:r>
            <w:r w:rsidR="005F64DF">
              <w:rPr>
                <w:bCs/>
                <w:sz w:val="22"/>
                <w:szCs w:val="22"/>
                <w:lang w:val="en-GB"/>
              </w:rPr>
              <w:t>ir/velpatasvir/voxilaprevir i</w:t>
            </w:r>
            <w:r>
              <w:rPr>
                <w:bCs/>
                <w:sz w:val="22"/>
                <w:szCs w:val="22"/>
                <w:lang w:val="en-GB"/>
              </w:rPr>
              <w:t xml:space="preserve"> </w:t>
            </w:r>
            <w:r w:rsidRPr="0094706A">
              <w:rPr>
                <w:bCs/>
                <w:sz w:val="22"/>
                <w:szCs w:val="22"/>
                <w:lang w:val="en-GB"/>
              </w:rPr>
              <w:t xml:space="preserve">darunavir/ritonavir </w:t>
            </w:r>
            <w:r w:rsidRPr="0087469F">
              <w:rPr>
                <w:bCs/>
                <w:sz w:val="22"/>
                <w:szCs w:val="22"/>
                <w:lang w:val="en-GB"/>
              </w:rPr>
              <w:t>mogu pojačati neželjena dejstva povezana sa tenofoviro</w:t>
            </w:r>
            <w:r>
              <w:rPr>
                <w:bCs/>
                <w:sz w:val="22"/>
                <w:szCs w:val="22"/>
                <w:lang w:val="en-GB"/>
              </w:rPr>
              <w:t xml:space="preserve">m, uključujući poremećaje bubrega. </w:t>
            </w:r>
          </w:p>
          <w:p w:rsidR="005F64DF" w:rsidRDefault="005F64DF" w:rsidP="009859DC">
            <w:pPr>
              <w:tabs>
                <w:tab w:val="left" w:pos="540"/>
                <w:tab w:val="left" w:pos="569"/>
              </w:tabs>
              <w:rPr>
                <w:bCs/>
                <w:sz w:val="22"/>
                <w:szCs w:val="22"/>
                <w:lang w:val="en-GB"/>
              </w:rPr>
            </w:pPr>
          </w:p>
          <w:p w:rsidR="009859DC" w:rsidRDefault="009859DC" w:rsidP="009859DC">
            <w:pPr>
              <w:tabs>
                <w:tab w:val="left" w:pos="540"/>
                <w:tab w:val="left" w:pos="569"/>
              </w:tabs>
              <w:rPr>
                <w:bCs/>
                <w:sz w:val="22"/>
                <w:szCs w:val="22"/>
                <w:lang w:val="en-GB"/>
              </w:rPr>
            </w:pPr>
            <w:r>
              <w:rPr>
                <w:bCs/>
                <w:sz w:val="22"/>
                <w:szCs w:val="22"/>
                <w:lang w:val="en-GB"/>
              </w:rPr>
              <w:t xml:space="preserve">Bezbjednost tenofovir dizoproksila sa kombinaijom </w:t>
            </w:r>
            <w:r w:rsidRPr="0094706A">
              <w:rPr>
                <w:bCs/>
                <w:sz w:val="22"/>
                <w:szCs w:val="22"/>
                <w:lang w:val="en-GB"/>
              </w:rPr>
              <w:t xml:space="preserve">sofosbuvir/velpatasvir/voxilaprevir </w:t>
            </w:r>
            <w:r w:rsidR="005F64DF">
              <w:rPr>
                <w:bCs/>
                <w:sz w:val="22"/>
                <w:szCs w:val="22"/>
                <w:lang w:val="en-GB"/>
              </w:rPr>
              <w:t>i</w:t>
            </w:r>
            <w:r>
              <w:rPr>
                <w:bCs/>
                <w:sz w:val="22"/>
                <w:szCs w:val="22"/>
                <w:lang w:val="en-GB"/>
              </w:rPr>
              <w:t xml:space="preserve"> farmakokinetičkim stimulatorom (e.g. ritonavir or k</w:t>
            </w:r>
            <w:r w:rsidRPr="0094706A">
              <w:rPr>
                <w:bCs/>
                <w:sz w:val="22"/>
                <w:szCs w:val="22"/>
                <w:lang w:val="en-GB"/>
              </w:rPr>
              <w:t xml:space="preserve">obicistat) </w:t>
            </w:r>
            <w:r>
              <w:rPr>
                <w:bCs/>
                <w:sz w:val="22"/>
                <w:szCs w:val="22"/>
                <w:lang w:val="en-GB"/>
              </w:rPr>
              <w:t xml:space="preserve">nije ustanovljena. </w:t>
            </w:r>
          </w:p>
          <w:p w:rsidR="005F64DF" w:rsidRDefault="005F64DF" w:rsidP="009859DC">
            <w:pPr>
              <w:tabs>
                <w:tab w:val="left" w:pos="540"/>
                <w:tab w:val="left" w:pos="569"/>
              </w:tabs>
              <w:rPr>
                <w:bCs/>
                <w:sz w:val="22"/>
                <w:szCs w:val="22"/>
                <w:lang w:val="en-GB"/>
              </w:rPr>
            </w:pPr>
          </w:p>
          <w:p w:rsidR="009859DC" w:rsidRPr="00BD1D90" w:rsidRDefault="009859DC" w:rsidP="009859DC">
            <w:pPr>
              <w:tabs>
                <w:tab w:val="left" w:pos="540"/>
                <w:tab w:val="left" w:pos="569"/>
              </w:tabs>
              <w:rPr>
                <w:bCs/>
                <w:sz w:val="22"/>
                <w:szCs w:val="22"/>
                <w:lang w:val="en-GB"/>
              </w:rPr>
            </w:pPr>
            <w:r w:rsidRPr="00BD1D90">
              <w:rPr>
                <w:bCs/>
                <w:sz w:val="22"/>
                <w:szCs w:val="22"/>
                <w:lang w:val="en-GB"/>
              </w:rPr>
              <w:t>Kombinovanu terapiju bi trebalo koristiti sa oprezom uz često praćenje funkcije bubrega, ukoliko druge terapijske alternative ni</w:t>
            </w:r>
            <w:r w:rsidR="00264966">
              <w:rPr>
                <w:bCs/>
                <w:sz w:val="22"/>
                <w:szCs w:val="22"/>
                <w:lang w:val="en-GB"/>
              </w:rPr>
              <w:t>je</w:t>
            </w:r>
            <w:r w:rsidRPr="00BD1D90">
              <w:rPr>
                <w:bCs/>
                <w:sz w:val="22"/>
                <w:szCs w:val="22"/>
                <w:lang w:val="en-GB"/>
              </w:rPr>
              <w:t>su dostupne (vidjeti odjeljak 4.4).</w:t>
            </w:r>
          </w:p>
          <w:p w:rsidR="009859DC" w:rsidRPr="0094706A" w:rsidRDefault="009859DC" w:rsidP="009859DC">
            <w:pPr>
              <w:tabs>
                <w:tab w:val="left" w:pos="540"/>
                <w:tab w:val="left" w:pos="569"/>
              </w:tabs>
              <w:rPr>
                <w:bCs/>
                <w:sz w:val="22"/>
                <w:szCs w:val="22"/>
                <w:lang w:val="en-GB"/>
              </w:rPr>
            </w:pPr>
          </w:p>
        </w:tc>
      </w:tr>
      <w:tr w:rsidR="009859DC" w:rsidRPr="0094706A" w:rsidTr="009859DC">
        <w:tc>
          <w:tcPr>
            <w:tcW w:w="1812"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w:t>
            </w:r>
            <w:r>
              <w:rPr>
                <w:bCs/>
                <w:sz w:val="22"/>
                <w:szCs w:val="22"/>
                <w:lang w:val="en-GB"/>
              </w:rPr>
              <w:t xml:space="preserve">sbuvir (400 mg q.d.) + Efavirenc/Emtricitabin/Tenofovir </w:t>
            </w:r>
            <w:r w:rsidR="005F64DF">
              <w:rPr>
                <w:bCs/>
                <w:sz w:val="22"/>
                <w:szCs w:val="22"/>
                <w:lang w:val="en-GB"/>
              </w:rPr>
              <w:t>dizoproksil</w:t>
            </w:r>
            <w:r w:rsidRPr="0094706A">
              <w:rPr>
                <w:bCs/>
                <w:sz w:val="22"/>
                <w:szCs w:val="22"/>
                <w:lang w:val="en-GB"/>
              </w:rPr>
              <w:t xml:space="preserve"> (600 mg/200 mg/245 mg q.d.)</w:t>
            </w:r>
          </w:p>
        </w:tc>
        <w:tc>
          <w:tcPr>
            <w:tcW w:w="1451"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9859DC" w:rsidP="009859DC">
            <w:pPr>
              <w:tabs>
                <w:tab w:val="left" w:pos="540"/>
                <w:tab w:val="left" w:pos="569"/>
              </w:tabs>
              <w:rPr>
                <w:bCs/>
                <w:sz w:val="22"/>
                <w:szCs w:val="22"/>
                <w:lang w:val="en-GB"/>
              </w:rPr>
            </w:pPr>
            <w:r w:rsidRPr="0094706A">
              <w:rPr>
                <w:bCs/>
                <w:sz w:val="22"/>
                <w:szCs w:val="22"/>
                <w:lang w:val="en-GB"/>
              </w:rPr>
              <w:t>Sofosbuvir: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19%</w:t>
            </w:r>
          </w:p>
          <w:p w:rsidR="00264966" w:rsidRDefault="00264966"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GS-331007</w:t>
            </w:r>
            <w:r w:rsidRPr="0094706A">
              <w:rPr>
                <w:b/>
                <w:bCs/>
                <w:sz w:val="22"/>
                <w:szCs w:val="22"/>
                <w:vertAlign w:val="superscript"/>
                <w:lang w:val="en-GB"/>
              </w:rPr>
              <w:t>2</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23%</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Efavirenc</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Pr>
                <w:bCs/>
                <w:sz w:val="22"/>
                <w:szCs w:val="22"/>
                <w:lang w:val="en-GB"/>
              </w:rPr>
              <w:t>Emtricitabin</w:t>
            </w:r>
            <w:r w:rsidRPr="0094706A">
              <w:rPr>
                <w:bCs/>
                <w:sz w:val="22"/>
                <w:szCs w:val="22"/>
                <w:lang w:val="en-GB"/>
              </w:rPr>
              <w:t>:</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w:t>
            </w:r>
          </w:p>
          <w:p w:rsidR="009859DC"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p w:rsidR="005F64DF" w:rsidRPr="0094706A" w:rsidRDefault="005F64DF" w:rsidP="009859DC">
            <w:pPr>
              <w:tabs>
                <w:tab w:val="left" w:pos="540"/>
                <w:tab w:val="left" w:pos="569"/>
              </w:tabs>
              <w:rPr>
                <w:bCs/>
                <w:sz w:val="22"/>
                <w:szCs w:val="22"/>
                <w:lang w:val="en-GB"/>
              </w:rPr>
            </w:pPr>
          </w:p>
          <w:p w:rsidR="009859DC" w:rsidRPr="0094706A" w:rsidRDefault="009859DC" w:rsidP="009859DC">
            <w:pPr>
              <w:tabs>
                <w:tab w:val="left" w:pos="540"/>
                <w:tab w:val="left" w:pos="569"/>
              </w:tabs>
              <w:rPr>
                <w:bCs/>
                <w:sz w:val="22"/>
                <w:szCs w:val="22"/>
                <w:lang w:val="en-GB"/>
              </w:rPr>
            </w:pPr>
            <w:r w:rsidRPr="0094706A">
              <w:rPr>
                <w:bCs/>
                <w:sz w:val="22"/>
                <w:szCs w:val="22"/>
                <w:lang w:val="en-GB"/>
              </w:rPr>
              <w:t>Tenofovir:</w:t>
            </w:r>
          </w:p>
          <w:p w:rsidR="009859DC" w:rsidRPr="0094706A" w:rsidRDefault="009859DC" w:rsidP="009859DC">
            <w:pPr>
              <w:tabs>
                <w:tab w:val="left" w:pos="540"/>
                <w:tab w:val="left" w:pos="569"/>
              </w:tabs>
              <w:rPr>
                <w:bCs/>
                <w:sz w:val="22"/>
                <w:szCs w:val="22"/>
                <w:lang w:val="en-GB"/>
              </w:rPr>
            </w:pPr>
            <w:r>
              <w:rPr>
                <w:bCs/>
                <w:sz w:val="22"/>
                <w:szCs w:val="22"/>
                <w:lang w:val="en-GB"/>
              </w:rPr>
              <w:t>PIK</w:t>
            </w:r>
            <w:r w:rsidRPr="0094706A">
              <w:rPr>
                <w:bCs/>
                <w:sz w:val="22"/>
                <w:szCs w:val="22"/>
                <w:lang w:val="en-GB"/>
              </w:rPr>
              <w:t>: ↔</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max</w:t>
            </w:r>
            <w:r w:rsidRPr="0094706A">
              <w:rPr>
                <w:bCs/>
                <w:sz w:val="22"/>
                <w:szCs w:val="22"/>
                <w:lang w:val="en-GB"/>
              </w:rPr>
              <w:t>: ↑ 25%</w:t>
            </w:r>
          </w:p>
          <w:p w:rsidR="009859DC" w:rsidRPr="0094706A" w:rsidRDefault="009859DC" w:rsidP="009859DC">
            <w:pPr>
              <w:tabs>
                <w:tab w:val="left" w:pos="540"/>
                <w:tab w:val="left" w:pos="569"/>
              </w:tabs>
              <w:rPr>
                <w:bCs/>
                <w:sz w:val="22"/>
                <w:szCs w:val="22"/>
                <w:lang w:val="en-GB"/>
              </w:rPr>
            </w:pPr>
            <w:r w:rsidRPr="0094706A">
              <w:rPr>
                <w:bCs/>
                <w:sz w:val="22"/>
                <w:szCs w:val="22"/>
                <w:lang w:val="en-GB"/>
              </w:rPr>
              <w:t>C</w:t>
            </w:r>
            <w:r w:rsidRPr="0094706A">
              <w:rPr>
                <w:bCs/>
                <w:sz w:val="22"/>
                <w:szCs w:val="22"/>
                <w:vertAlign w:val="subscript"/>
                <w:lang w:val="en-GB"/>
              </w:rPr>
              <w:t>min</w:t>
            </w:r>
            <w:r w:rsidRPr="0094706A">
              <w:rPr>
                <w:bCs/>
                <w:sz w:val="22"/>
                <w:szCs w:val="22"/>
                <w:lang w:val="en-GB"/>
              </w:rPr>
              <w:t>: ↔</w:t>
            </w:r>
          </w:p>
        </w:tc>
        <w:tc>
          <w:tcPr>
            <w:tcW w:w="1738" w:type="pct"/>
            <w:tcBorders>
              <w:top w:val="outset" w:sz="6" w:space="0" w:color="7B7B7B"/>
              <w:left w:val="outset" w:sz="6" w:space="0" w:color="7B7B7B"/>
              <w:bottom w:val="outset" w:sz="6" w:space="0" w:color="7B7B7B"/>
              <w:right w:val="outset" w:sz="6" w:space="0" w:color="7B7B7B"/>
            </w:tcBorders>
            <w:shd w:val="clear" w:color="auto" w:fill="FFFFFF"/>
            <w:hideMark/>
          </w:tcPr>
          <w:p w:rsidR="009859DC" w:rsidRPr="0094706A" w:rsidRDefault="005F64DF" w:rsidP="009859DC">
            <w:pPr>
              <w:tabs>
                <w:tab w:val="left" w:pos="540"/>
                <w:tab w:val="left" w:pos="569"/>
              </w:tabs>
              <w:rPr>
                <w:bCs/>
                <w:sz w:val="22"/>
                <w:szCs w:val="22"/>
                <w:lang w:val="en-GB"/>
              </w:rPr>
            </w:pPr>
            <w:r>
              <w:rPr>
                <w:bCs/>
                <w:sz w:val="22"/>
                <w:szCs w:val="22"/>
                <w:lang w:val="en-GB"/>
              </w:rPr>
              <w:t xml:space="preserve">Nije potrebno prilagođavanje </w:t>
            </w:r>
            <w:r w:rsidR="009859DC">
              <w:rPr>
                <w:bCs/>
                <w:sz w:val="22"/>
                <w:szCs w:val="22"/>
                <w:lang w:val="en-GB"/>
              </w:rPr>
              <w:t>doze.</w:t>
            </w:r>
          </w:p>
        </w:tc>
      </w:tr>
    </w:tbl>
    <w:p w:rsidR="0072020E" w:rsidRPr="00786071" w:rsidRDefault="0072020E" w:rsidP="00480FB1">
      <w:pPr>
        <w:tabs>
          <w:tab w:val="left" w:pos="540"/>
          <w:tab w:val="left" w:pos="569"/>
        </w:tabs>
        <w:rPr>
          <w:bCs/>
          <w:sz w:val="22"/>
          <w:szCs w:val="22"/>
        </w:rPr>
      </w:pPr>
    </w:p>
    <w:p w:rsidR="00264966" w:rsidRPr="00264966" w:rsidRDefault="00264966" w:rsidP="00A443AA">
      <w:pPr>
        <w:tabs>
          <w:tab w:val="left" w:pos="540"/>
          <w:tab w:val="left" w:pos="569"/>
        </w:tabs>
        <w:jc w:val="both"/>
        <w:rPr>
          <w:sz w:val="20"/>
          <w:szCs w:val="20"/>
        </w:rPr>
      </w:pPr>
      <w:r w:rsidRPr="00A443AA">
        <w:rPr>
          <w:sz w:val="20"/>
          <w:szCs w:val="20"/>
        </w:rPr>
        <w:t xml:space="preserve">1 </w:t>
      </w:r>
      <w:r w:rsidRPr="00264966">
        <w:rPr>
          <w:sz w:val="20"/>
          <w:szCs w:val="20"/>
        </w:rPr>
        <w:t>Podaci generisani</w:t>
      </w:r>
      <w:r w:rsidRPr="00A443AA">
        <w:rPr>
          <w:sz w:val="20"/>
          <w:szCs w:val="20"/>
        </w:rPr>
        <w:t xml:space="preserve"> prilikom istovremene primjene s</w:t>
      </w:r>
      <w:r>
        <w:rPr>
          <w:sz w:val="20"/>
          <w:szCs w:val="20"/>
        </w:rPr>
        <w:t>a</w:t>
      </w:r>
      <w:r w:rsidRPr="00A443AA">
        <w:rPr>
          <w:sz w:val="20"/>
          <w:szCs w:val="20"/>
        </w:rPr>
        <w:t xml:space="preserve"> ledipasvirom/sofosbuvirom. Primjena s</w:t>
      </w:r>
      <w:r>
        <w:rPr>
          <w:sz w:val="20"/>
          <w:szCs w:val="20"/>
        </w:rPr>
        <w:t>a</w:t>
      </w:r>
      <w:r w:rsidRPr="00A443AA">
        <w:rPr>
          <w:sz w:val="20"/>
          <w:szCs w:val="20"/>
        </w:rPr>
        <w:t xml:space="preserve"> vremenskim </w:t>
      </w:r>
      <w:r>
        <w:rPr>
          <w:sz w:val="20"/>
          <w:szCs w:val="20"/>
        </w:rPr>
        <w:t>razmakom</w:t>
      </w:r>
      <w:r w:rsidRPr="00A443AA">
        <w:rPr>
          <w:sz w:val="20"/>
          <w:szCs w:val="20"/>
        </w:rPr>
        <w:t xml:space="preserve"> (s</w:t>
      </w:r>
      <w:r>
        <w:rPr>
          <w:sz w:val="20"/>
          <w:szCs w:val="20"/>
        </w:rPr>
        <w:t>a</w:t>
      </w:r>
      <w:r w:rsidRPr="00A443AA">
        <w:rPr>
          <w:sz w:val="20"/>
          <w:szCs w:val="20"/>
        </w:rPr>
        <w:t xml:space="preserve"> 12 sati</w:t>
      </w:r>
      <w:r w:rsidRPr="00264966">
        <w:rPr>
          <w:sz w:val="20"/>
          <w:szCs w:val="20"/>
        </w:rPr>
        <w:t xml:space="preserve"> </w:t>
      </w:r>
      <w:r w:rsidRPr="00A443AA">
        <w:rPr>
          <w:sz w:val="20"/>
          <w:szCs w:val="20"/>
        </w:rPr>
        <w:t>razmaka) dala je slične rezultate.</w:t>
      </w:r>
      <w:r w:rsidRPr="00264966">
        <w:rPr>
          <w:sz w:val="20"/>
          <w:szCs w:val="20"/>
        </w:rPr>
        <w:t xml:space="preserve"> </w:t>
      </w:r>
    </w:p>
    <w:p w:rsidR="00264966" w:rsidRPr="00264966" w:rsidRDefault="00264966" w:rsidP="00A443AA">
      <w:pPr>
        <w:tabs>
          <w:tab w:val="left" w:pos="540"/>
          <w:tab w:val="left" w:pos="569"/>
        </w:tabs>
        <w:jc w:val="both"/>
        <w:rPr>
          <w:sz w:val="20"/>
          <w:szCs w:val="20"/>
        </w:rPr>
      </w:pPr>
      <w:r w:rsidRPr="00A443AA">
        <w:rPr>
          <w:sz w:val="20"/>
          <w:szCs w:val="20"/>
        </w:rPr>
        <w:t xml:space="preserve">2 </w:t>
      </w:r>
      <w:r w:rsidR="00B47C33">
        <w:rPr>
          <w:sz w:val="20"/>
          <w:szCs w:val="20"/>
        </w:rPr>
        <w:t xml:space="preserve"> </w:t>
      </w:r>
      <w:r w:rsidRPr="00A443AA">
        <w:rPr>
          <w:sz w:val="20"/>
          <w:szCs w:val="20"/>
        </w:rPr>
        <w:t>Glavni metabolit sofosbuvira u cirkulaciji.</w:t>
      </w:r>
      <w:r w:rsidRPr="00264966">
        <w:rPr>
          <w:sz w:val="20"/>
          <w:szCs w:val="20"/>
        </w:rPr>
        <w:t xml:space="preserve"> </w:t>
      </w:r>
    </w:p>
    <w:p w:rsidR="00264966" w:rsidRPr="00264966" w:rsidRDefault="00264966" w:rsidP="00A443AA">
      <w:pPr>
        <w:tabs>
          <w:tab w:val="left" w:pos="540"/>
          <w:tab w:val="left" w:pos="569"/>
        </w:tabs>
        <w:jc w:val="both"/>
        <w:rPr>
          <w:sz w:val="20"/>
          <w:szCs w:val="20"/>
        </w:rPr>
      </w:pPr>
      <w:r w:rsidRPr="00A443AA">
        <w:rPr>
          <w:sz w:val="20"/>
          <w:szCs w:val="20"/>
        </w:rPr>
        <w:t xml:space="preserve">3 Ispitivanje </w:t>
      </w:r>
      <w:r>
        <w:rPr>
          <w:sz w:val="20"/>
          <w:szCs w:val="20"/>
        </w:rPr>
        <w:t>s</w:t>
      </w:r>
      <w:r w:rsidRPr="00A443AA">
        <w:rPr>
          <w:sz w:val="20"/>
          <w:szCs w:val="20"/>
        </w:rPr>
        <w:t>provedeno s</w:t>
      </w:r>
      <w:r>
        <w:rPr>
          <w:sz w:val="20"/>
          <w:szCs w:val="20"/>
        </w:rPr>
        <w:t>a</w:t>
      </w:r>
      <w:r w:rsidRPr="00A443AA">
        <w:rPr>
          <w:sz w:val="20"/>
          <w:szCs w:val="20"/>
        </w:rPr>
        <w:t xml:space="preserve"> dodatnom dozom voksilaprevira od 100 mg kako bi se dosegle izloženosti voksilapreviru očekivane</w:t>
      </w:r>
      <w:r w:rsidRPr="00264966">
        <w:rPr>
          <w:sz w:val="20"/>
          <w:szCs w:val="20"/>
        </w:rPr>
        <w:t xml:space="preserve"> </w:t>
      </w:r>
      <w:r>
        <w:rPr>
          <w:sz w:val="20"/>
          <w:szCs w:val="20"/>
        </w:rPr>
        <w:t>kod pacijenata</w:t>
      </w:r>
      <w:r w:rsidRPr="00A443AA">
        <w:rPr>
          <w:sz w:val="20"/>
          <w:szCs w:val="20"/>
        </w:rPr>
        <w:t xml:space="preserve"> zaraženih HCV-om.</w:t>
      </w:r>
      <w:r w:rsidRPr="00264966">
        <w:rPr>
          <w:sz w:val="20"/>
          <w:szCs w:val="20"/>
        </w:rPr>
        <w:t xml:space="preserve"> </w:t>
      </w:r>
    </w:p>
    <w:p w:rsidR="00264966" w:rsidRPr="00A443AA" w:rsidRDefault="00264966" w:rsidP="00A443AA">
      <w:pPr>
        <w:tabs>
          <w:tab w:val="left" w:pos="540"/>
          <w:tab w:val="left" w:pos="569"/>
        </w:tabs>
        <w:jc w:val="both"/>
        <w:rPr>
          <w:b/>
          <w:bCs/>
          <w:i/>
          <w:sz w:val="20"/>
          <w:szCs w:val="20"/>
        </w:rPr>
      </w:pPr>
      <w:r w:rsidRPr="00A443AA">
        <w:rPr>
          <w:sz w:val="20"/>
          <w:szCs w:val="20"/>
        </w:rPr>
        <w:t xml:space="preserve">NP = nije </w:t>
      </w:r>
      <w:r w:rsidRPr="00A443AA">
        <w:rPr>
          <w:b/>
          <w:i/>
          <w:sz w:val="20"/>
          <w:szCs w:val="20"/>
        </w:rPr>
        <w:t>primjenjivo</w:t>
      </w:r>
    </w:p>
    <w:p w:rsidR="00375457" w:rsidRPr="00A443AA" w:rsidRDefault="00375457" w:rsidP="00A443AA">
      <w:pPr>
        <w:tabs>
          <w:tab w:val="left" w:pos="540"/>
          <w:tab w:val="left" w:pos="569"/>
        </w:tabs>
        <w:jc w:val="both"/>
        <w:rPr>
          <w:b/>
          <w:bCs/>
          <w:i/>
          <w:sz w:val="20"/>
          <w:szCs w:val="20"/>
        </w:rPr>
      </w:pPr>
    </w:p>
    <w:p w:rsidR="00375457" w:rsidRPr="00A443AA" w:rsidRDefault="00375457" w:rsidP="00A443AA">
      <w:pPr>
        <w:tabs>
          <w:tab w:val="left" w:pos="540"/>
          <w:tab w:val="left" w:pos="569"/>
        </w:tabs>
        <w:jc w:val="both"/>
        <w:rPr>
          <w:b/>
          <w:i/>
          <w:sz w:val="22"/>
          <w:szCs w:val="22"/>
        </w:rPr>
      </w:pPr>
      <w:r w:rsidRPr="00A443AA">
        <w:rPr>
          <w:b/>
          <w:i/>
          <w:sz w:val="22"/>
          <w:szCs w:val="22"/>
        </w:rPr>
        <w:t xml:space="preserve">Ispitivanja provedena s drugim ljekovima </w:t>
      </w:r>
    </w:p>
    <w:p w:rsidR="00375457" w:rsidRPr="00375457" w:rsidRDefault="00375457" w:rsidP="00A443AA">
      <w:pPr>
        <w:tabs>
          <w:tab w:val="left" w:pos="540"/>
          <w:tab w:val="left" w:pos="569"/>
        </w:tabs>
        <w:jc w:val="both"/>
        <w:rPr>
          <w:sz w:val="22"/>
          <w:szCs w:val="22"/>
        </w:rPr>
      </w:pPr>
      <w:r w:rsidRPr="00A443AA">
        <w:rPr>
          <w:sz w:val="22"/>
          <w:szCs w:val="22"/>
        </w:rPr>
        <w:t>Nema klinički značajnih farmakokinetičkih interakcija kada se tenofovir</w:t>
      </w:r>
      <w:r>
        <w:rPr>
          <w:sz w:val="22"/>
          <w:szCs w:val="22"/>
        </w:rPr>
        <w:t xml:space="preserve"> </w:t>
      </w:r>
      <w:r w:rsidRPr="00A443AA">
        <w:rPr>
          <w:sz w:val="22"/>
          <w:szCs w:val="22"/>
        </w:rPr>
        <w:t>dizoproksil primjenjuje</w:t>
      </w:r>
      <w:r w:rsidRPr="00A443AA">
        <w:rPr>
          <w:sz w:val="22"/>
          <w:szCs w:val="22"/>
        </w:rPr>
        <w:br/>
        <w:t>istovremeno s</w:t>
      </w:r>
      <w:r>
        <w:rPr>
          <w:sz w:val="22"/>
          <w:szCs w:val="22"/>
        </w:rPr>
        <w:t>a</w:t>
      </w:r>
      <w:r w:rsidRPr="00A443AA">
        <w:rPr>
          <w:sz w:val="22"/>
          <w:szCs w:val="22"/>
        </w:rPr>
        <w:t xml:space="preserve"> emtricitabinom, lamivudinom, indinavirom, efavirenzom, nelfinavirom, sakvinavirom</w:t>
      </w:r>
      <w:r w:rsidRPr="00A443AA">
        <w:rPr>
          <w:sz w:val="22"/>
          <w:szCs w:val="22"/>
        </w:rPr>
        <w:br/>
        <w:t>(pojačanim ritonavirom), metadonom, ribavirinom, rifampicinom, takrolimusom ili hormonskim</w:t>
      </w:r>
      <w:r w:rsidRPr="00A443AA">
        <w:rPr>
          <w:sz w:val="22"/>
          <w:szCs w:val="22"/>
        </w:rPr>
        <w:br/>
        <w:t>kontraceptivom norgestimatom/etinil estradiolom.</w:t>
      </w:r>
      <w:r w:rsidRPr="00375457">
        <w:rPr>
          <w:sz w:val="22"/>
          <w:szCs w:val="22"/>
        </w:rPr>
        <w:t xml:space="preserve"> </w:t>
      </w:r>
    </w:p>
    <w:p w:rsidR="00375457" w:rsidRPr="00375457" w:rsidRDefault="00375457" w:rsidP="00A443AA">
      <w:pPr>
        <w:tabs>
          <w:tab w:val="left" w:pos="540"/>
          <w:tab w:val="left" w:pos="569"/>
        </w:tabs>
        <w:jc w:val="both"/>
        <w:rPr>
          <w:b/>
          <w:bCs/>
          <w:sz w:val="22"/>
          <w:szCs w:val="22"/>
        </w:rPr>
      </w:pPr>
      <w:r w:rsidRPr="00A443AA">
        <w:rPr>
          <w:sz w:val="22"/>
          <w:szCs w:val="22"/>
        </w:rPr>
        <w:t>Tenofovir</w:t>
      </w:r>
      <w:r>
        <w:rPr>
          <w:sz w:val="22"/>
          <w:szCs w:val="22"/>
        </w:rPr>
        <w:t xml:space="preserve"> </w:t>
      </w:r>
      <w:r w:rsidRPr="00A443AA">
        <w:rPr>
          <w:sz w:val="22"/>
          <w:szCs w:val="22"/>
        </w:rPr>
        <w:t>dizoproksil se mora uzimati s</w:t>
      </w:r>
      <w:r>
        <w:rPr>
          <w:sz w:val="22"/>
          <w:szCs w:val="22"/>
        </w:rPr>
        <w:t>a</w:t>
      </w:r>
      <w:r w:rsidRPr="00A443AA">
        <w:rPr>
          <w:sz w:val="22"/>
          <w:szCs w:val="22"/>
        </w:rPr>
        <w:t xml:space="preserve"> hranom, jer hrana povećava bioraspoloživost tenofovira</w:t>
      </w:r>
      <w:r w:rsidRPr="00A443AA">
        <w:rPr>
          <w:sz w:val="22"/>
          <w:szCs w:val="22"/>
        </w:rPr>
        <w:br/>
        <w:t>(vidjeti dio 5.2).</w:t>
      </w:r>
    </w:p>
    <w:p w:rsidR="00264966" w:rsidRDefault="00264966" w:rsidP="00A443AA">
      <w:pPr>
        <w:tabs>
          <w:tab w:val="left" w:pos="540"/>
          <w:tab w:val="left" w:pos="569"/>
        </w:tabs>
        <w:jc w:val="both"/>
        <w:rPr>
          <w:b/>
          <w:bCs/>
          <w:sz w:val="22"/>
          <w:szCs w:val="22"/>
        </w:rPr>
      </w:pPr>
    </w:p>
    <w:p w:rsidR="0072020E" w:rsidRPr="00192010" w:rsidRDefault="0072020E" w:rsidP="00A443AA">
      <w:pPr>
        <w:tabs>
          <w:tab w:val="left" w:pos="540"/>
          <w:tab w:val="left" w:pos="569"/>
        </w:tabs>
        <w:jc w:val="both"/>
        <w:rPr>
          <w:b/>
          <w:sz w:val="22"/>
          <w:szCs w:val="22"/>
          <w:lang w:val="sr-Latn-CS"/>
        </w:rPr>
      </w:pPr>
      <w:r w:rsidRPr="00192010">
        <w:rPr>
          <w:b/>
          <w:bCs/>
          <w:sz w:val="22"/>
          <w:szCs w:val="22"/>
        </w:rPr>
        <w:t xml:space="preserve">4.6. </w:t>
      </w:r>
      <w:r w:rsidR="00480FB1" w:rsidRPr="00192010">
        <w:rPr>
          <w:b/>
          <w:bCs/>
          <w:sz w:val="22"/>
          <w:szCs w:val="22"/>
        </w:rPr>
        <w:tab/>
      </w:r>
      <w:r w:rsidR="006D20A5" w:rsidRPr="00192010">
        <w:rPr>
          <w:b/>
          <w:sz w:val="22"/>
          <w:szCs w:val="22"/>
          <w:lang w:val="sr-Latn-CS"/>
        </w:rPr>
        <w:t>Plodnost, trudnoća i dojenje</w:t>
      </w:r>
    </w:p>
    <w:p w:rsidR="002031B3" w:rsidRPr="00264966" w:rsidRDefault="002031B3" w:rsidP="00A443AA">
      <w:pPr>
        <w:tabs>
          <w:tab w:val="left" w:pos="540"/>
          <w:tab w:val="left" w:pos="569"/>
        </w:tabs>
        <w:jc w:val="both"/>
        <w:rPr>
          <w:sz w:val="22"/>
          <w:szCs w:val="22"/>
          <w:u w:val="single"/>
        </w:rPr>
      </w:pPr>
    </w:p>
    <w:p w:rsidR="000A32DE" w:rsidRPr="00192010" w:rsidRDefault="000A32DE" w:rsidP="00192010">
      <w:pPr>
        <w:tabs>
          <w:tab w:val="left" w:pos="284"/>
        </w:tabs>
        <w:jc w:val="both"/>
        <w:rPr>
          <w:sz w:val="22"/>
          <w:szCs w:val="22"/>
          <w:u w:val="single"/>
        </w:rPr>
      </w:pPr>
      <w:r w:rsidRPr="00192010">
        <w:rPr>
          <w:sz w:val="22"/>
          <w:szCs w:val="22"/>
          <w:u w:val="single"/>
        </w:rPr>
        <w:t>Trudnoća</w:t>
      </w:r>
    </w:p>
    <w:p w:rsidR="000A32DE" w:rsidRPr="00192010" w:rsidRDefault="000A32DE" w:rsidP="005002B3">
      <w:pPr>
        <w:widowControl w:val="0"/>
        <w:autoSpaceDE w:val="0"/>
        <w:autoSpaceDN w:val="0"/>
        <w:spacing w:before="2"/>
        <w:ind w:right="232"/>
        <w:jc w:val="both"/>
        <w:rPr>
          <w:sz w:val="22"/>
          <w:szCs w:val="22"/>
        </w:rPr>
      </w:pPr>
      <w:r w:rsidRPr="00192010">
        <w:rPr>
          <w:sz w:val="22"/>
          <w:szCs w:val="22"/>
        </w:rPr>
        <w:t>Veliki</w:t>
      </w:r>
      <w:r w:rsidRPr="00192010">
        <w:rPr>
          <w:spacing w:val="1"/>
          <w:sz w:val="22"/>
          <w:szCs w:val="22"/>
        </w:rPr>
        <w:t xml:space="preserve"> </w:t>
      </w:r>
      <w:r w:rsidRPr="00192010">
        <w:rPr>
          <w:sz w:val="22"/>
          <w:szCs w:val="22"/>
        </w:rPr>
        <w:t>broj</w:t>
      </w:r>
      <w:r w:rsidRPr="00192010">
        <w:rPr>
          <w:spacing w:val="1"/>
          <w:sz w:val="22"/>
          <w:szCs w:val="22"/>
        </w:rPr>
        <w:t xml:space="preserve"> </w:t>
      </w:r>
      <w:r w:rsidRPr="00192010">
        <w:rPr>
          <w:sz w:val="22"/>
          <w:szCs w:val="22"/>
        </w:rPr>
        <w:t xml:space="preserve">podataka kod trudnica (više od 1000 trudnoća) ne ukazuju na postojanje malformacija ili fetalnu/neonatalnu toksičnost povezanu sa upotrebom tenofovir dizoproksila. Ispitivanja na životinjama ne ukazuju na reproduktivnu toksičnost (vidjeti odjeljak 5.3). </w:t>
      </w:r>
    </w:p>
    <w:p w:rsidR="000A32DE" w:rsidRPr="00192010" w:rsidRDefault="000A32DE">
      <w:pPr>
        <w:widowControl w:val="0"/>
        <w:autoSpaceDE w:val="0"/>
        <w:autoSpaceDN w:val="0"/>
        <w:spacing w:before="2"/>
        <w:ind w:right="232"/>
        <w:jc w:val="both"/>
        <w:rPr>
          <w:sz w:val="22"/>
          <w:szCs w:val="22"/>
        </w:rPr>
      </w:pPr>
      <w:r w:rsidRPr="00192010">
        <w:rPr>
          <w:sz w:val="22"/>
          <w:szCs w:val="22"/>
        </w:rPr>
        <w:t>Upotreba tenofovir dizoproksila se može uzeti u</w:t>
      </w:r>
      <w:r w:rsidRPr="00192010">
        <w:rPr>
          <w:spacing w:val="1"/>
          <w:sz w:val="22"/>
          <w:szCs w:val="22"/>
        </w:rPr>
        <w:t xml:space="preserve"> </w:t>
      </w:r>
      <w:r w:rsidRPr="00192010">
        <w:rPr>
          <w:sz w:val="22"/>
          <w:szCs w:val="22"/>
        </w:rPr>
        <w:t>obzir</w:t>
      </w:r>
      <w:r w:rsidRPr="00192010">
        <w:rPr>
          <w:spacing w:val="-2"/>
          <w:sz w:val="22"/>
          <w:szCs w:val="22"/>
        </w:rPr>
        <w:t xml:space="preserve"> </w:t>
      </w:r>
      <w:r w:rsidRPr="00192010">
        <w:rPr>
          <w:sz w:val="22"/>
          <w:szCs w:val="22"/>
        </w:rPr>
        <w:t>u</w:t>
      </w:r>
      <w:r w:rsidRPr="00192010">
        <w:rPr>
          <w:spacing w:val="-1"/>
          <w:sz w:val="22"/>
          <w:szCs w:val="22"/>
        </w:rPr>
        <w:t xml:space="preserve"> </w:t>
      </w:r>
      <w:r w:rsidRPr="00192010">
        <w:rPr>
          <w:sz w:val="22"/>
          <w:szCs w:val="22"/>
        </w:rPr>
        <w:t>toku</w:t>
      </w:r>
      <w:r w:rsidRPr="00192010">
        <w:rPr>
          <w:spacing w:val="-1"/>
          <w:sz w:val="22"/>
          <w:szCs w:val="22"/>
        </w:rPr>
        <w:t xml:space="preserve"> </w:t>
      </w:r>
      <w:r w:rsidRPr="00192010">
        <w:rPr>
          <w:sz w:val="22"/>
          <w:szCs w:val="22"/>
        </w:rPr>
        <w:t>trudnoće,</w:t>
      </w:r>
      <w:r w:rsidRPr="00192010">
        <w:rPr>
          <w:spacing w:val="5"/>
          <w:sz w:val="22"/>
          <w:szCs w:val="22"/>
        </w:rPr>
        <w:t xml:space="preserve"> </w:t>
      </w:r>
      <w:r w:rsidRPr="00192010">
        <w:rPr>
          <w:sz w:val="22"/>
          <w:szCs w:val="22"/>
        </w:rPr>
        <w:t>ako</w:t>
      </w:r>
      <w:r w:rsidRPr="00192010">
        <w:rPr>
          <w:spacing w:val="-2"/>
          <w:sz w:val="22"/>
          <w:szCs w:val="22"/>
        </w:rPr>
        <w:t xml:space="preserve"> </w:t>
      </w:r>
      <w:r w:rsidRPr="00192010">
        <w:rPr>
          <w:sz w:val="22"/>
          <w:szCs w:val="22"/>
        </w:rPr>
        <w:t>je</w:t>
      </w:r>
      <w:r w:rsidRPr="00192010">
        <w:rPr>
          <w:spacing w:val="-2"/>
          <w:sz w:val="22"/>
          <w:szCs w:val="22"/>
        </w:rPr>
        <w:t xml:space="preserve"> </w:t>
      </w:r>
      <w:r w:rsidRPr="00192010">
        <w:rPr>
          <w:sz w:val="22"/>
          <w:szCs w:val="22"/>
        </w:rPr>
        <w:t>to</w:t>
      </w:r>
      <w:r w:rsidRPr="00192010">
        <w:rPr>
          <w:spacing w:val="-1"/>
          <w:sz w:val="22"/>
          <w:szCs w:val="22"/>
        </w:rPr>
        <w:t xml:space="preserve"> </w:t>
      </w:r>
      <w:r w:rsidRPr="00192010">
        <w:rPr>
          <w:sz w:val="22"/>
          <w:szCs w:val="22"/>
        </w:rPr>
        <w:t>potrebno.</w:t>
      </w:r>
    </w:p>
    <w:p w:rsidR="000A32DE" w:rsidRPr="00192010" w:rsidRDefault="000A32DE">
      <w:pPr>
        <w:widowControl w:val="0"/>
        <w:autoSpaceDE w:val="0"/>
        <w:autoSpaceDN w:val="0"/>
        <w:spacing w:before="65"/>
        <w:ind w:right="232"/>
        <w:jc w:val="both"/>
        <w:rPr>
          <w:sz w:val="22"/>
          <w:szCs w:val="22"/>
        </w:rPr>
      </w:pPr>
      <w:r w:rsidRPr="00192010">
        <w:rPr>
          <w:sz w:val="22"/>
          <w:szCs w:val="22"/>
        </w:rPr>
        <w:t>U literaturi, pokazalo se da izloženost tenofovir dizoproksilu u trećem trimestru trudnoće smanjuje rizik od</w:t>
      </w:r>
      <w:r w:rsidRPr="00192010">
        <w:rPr>
          <w:spacing w:val="1"/>
          <w:sz w:val="22"/>
          <w:szCs w:val="22"/>
        </w:rPr>
        <w:t xml:space="preserve"> </w:t>
      </w:r>
      <w:r w:rsidRPr="00192010">
        <w:rPr>
          <w:sz w:val="22"/>
          <w:szCs w:val="22"/>
        </w:rPr>
        <w:t>HBV transmisije sa majke na novorođenče ako se tenofovir dizoproksil daje majkama, zajedno sa hepatitis B</w:t>
      </w:r>
      <w:r w:rsidRPr="00192010">
        <w:rPr>
          <w:spacing w:val="1"/>
          <w:sz w:val="22"/>
          <w:szCs w:val="22"/>
        </w:rPr>
        <w:t xml:space="preserve"> </w:t>
      </w:r>
      <w:r w:rsidRPr="00192010">
        <w:rPr>
          <w:sz w:val="22"/>
          <w:szCs w:val="22"/>
        </w:rPr>
        <w:t>imunoglobulinom</w:t>
      </w:r>
      <w:r w:rsidRPr="00192010">
        <w:rPr>
          <w:spacing w:val="-2"/>
          <w:sz w:val="22"/>
          <w:szCs w:val="22"/>
        </w:rPr>
        <w:t xml:space="preserve"> </w:t>
      </w:r>
      <w:r w:rsidRPr="00192010">
        <w:rPr>
          <w:sz w:val="22"/>
          <w:szCs w:val="22"/>
        </w:rPr>
        <w:t>i</w:t>
      </w:r>
      <w:r w:rsidRPr="00192010">
        <w:rPr>
          <w:spacing w:val="-1"/>
          <w:sz w:val="22"/>
          <w:szCs w:val="22"/>
        </w:rPr>
        <w:t xml:space="preserve"> </w:t>
      </w:r>
      <w:r w:rsidRPr="00192010">
        <w:rPr>
          <w:sz w:val="22"/>
          <w:szCs w:val="22"/>
        </w:rPr>
        <w:t>vakcinom</w:t>
      </w:r>
      <w:r w:rsidRPr="00192010">
        <w:rPr>
          <w:spacing w:val="-2"/>
          <w:sz w:val="22"/>
          <w:szCs w:val="22"/>
        </w:rPr>
        <w:t xml:space="preserve"> </w:t>
      </w:r>
      <w:r w:rsidRPr="00192010">
        <w:rPr>
          <w:sz w:val="22"/>
          <w:szCs w:val="22"/>
        </w:rPr>
        <w:t>protiv</w:t>
      </w:r>
      <w:r w:rsidRPr="00192010">
        <w:rPr>
          <w:spacing w:val="-1"/>
          <w:sz w:val="22"/>
          <w:szCs w:val="22"/>
        </w:rPr>
        <w:t xml:space="preserve"> </w:t>
      </w:r>
      <w:r w:rsidRPr="00192010">
        <w:rPr>
          <w:sz w:val="22"/>
          <w:szCs w:val="22"/>
        </w:rPr>
        <w:t>hepatitisa</w:t>
      </w:r>
      <w:r w:rsidRPr="00192010">
        <w:rPr>
          <w:spacing w:val="-2"/>
          <w:sz w:val="22"/>
          <w:szCs w:val="22"/>
        </w:rPr>
        <w:t xml:space="preserve"> </w:t>
      </w:r>
      <w:r w:rsidRPr="00192010">
        <w:rPr>
          <w:sz w:val="22"/>
          <w:szCs w:val="22"/>
        </w:rPr>
        <w:t>B</w:t>
      </w:r>
      <w:r w:rsidRPr="00192010">
        <w:rPr>
          <w:spacing w:val="-1"/>
          <w:sz w:val="22"/>
          <w:szCs w:val="22"/>
        </w:rPr>
        <w:t xml:space="preserve"> </w:t>
      </w:r>
      <w:r w:rsidRPr="00192010">
        <w:rPr>
          <w:sz w:val="22"/>
          <w:szCs w:val="22"/>
        </w:rPr>
        <w:t>kod</w:t>
      </w:r>
      <w:r w:rsidRPr="00192010">
        <w:rPr>
          <w:spacing w:val="-1"/>
          <w:sz w:val="22"/>
          <w:szCs w:val="22"/>
        </w:rPr>
        <w:t xml:space="preserve"> </w:t>
      </w:r>
      <w:r w:rsidRPr="00192010">
        <w:rPr>
          <w:sz w:val="22"/>
          <w:szCs w:val="22"/>
        </w:rPr>
        <w:t>novorođenčadi.</w:t>
      </w:r>
    </w:p>
    <w:p w:rsidR="000A32DE" w:rsidRPr="00192010" w:rsidRDefault="000A32DE">
      <w:pPr>
        <w:widowControl w:val="0"/>
        <w:autoSpaceDE w:val="0"/>
        <w:autoSpaceDN w:val="0"/>
        <w:spacing w:before="7"/>
        <w:jc w:val="both"/>
        <w:rPr>
          <w:sz w:val="22"/>
          <w:szCs w:val="22"/>
          <w:highlight w:val="yellow"/>
        </w:rPr>
      </w:pPr>
    </w:p>
    <w:p w:rsidR="000A32DE" w:rsidRPr="0023449C" w:rsidRDefault="000A32DE">
      <w:pPr>
        <w:widowControl w:val="0"/>
        <w:autoSpaceDE w:val="0"/>
        <w:autoSpaceDN w:val="0"/>
        <w:ind w:right="231"/>
        <w:jc w:val="both"/>
        <w:rPr>
          <w:sz w:val="22"/>
          <w:szCs w:val="22"/>
        </w:rPr>
      </w:pPr>
      <w:r w:rsidRPr="00192010">
        <w:rPr>
          <w:sz w:val="22"/>
          <w:szCs w:val="22"/>
        </w:rPr>
        <w:t>U</w:t>
      </w:r>
      <w:r w:rsidRPr="00192010">
        <w:rPr>
          <w:spacing w:val="1"/>
          <w:sz w:val="22"/>
          <w:szCs w:val="22"/>
        </w:rPr>
        <w:t xml:space="preserve"> </w:t>
      </w:r>
      <w:r w:rsidRPr="00192010">
        <w:rPr>
          <w:sz w:val="22"/>
          <w:szCs w:val="22"/>
        </w:rPr>
        <w:t>tri</w:t>
      </w:r>
      <w:r w:rsidRPr="00192010">
        <w:rPr>
          <w:spacing w:val="1"/>
          <w:sz w:val="22"/>
          <w:szCs w:val="22"/>
        </w:rPr>
        <w:t xml:space="preserve"> </w:t>
      </w:r>
      <w:r w:rsidRPr="00192010">
        <w:rPr>
          <w:sz w:val="22"/>
          <w:szCs w:val="22"/>
        </w:rPr>
        <w:t>kontrolisane</w:t>
      </w:r>
      <w:r w:rsidRPr="00192010">
        <w:rPr>
          <w:spacing w:val="1"/>
          <w:sz w:val="22"/>
          <w:szCs w:val="22"/>
        </w:rPr>
        <w:t xml:space="preserve"> </w:t>
      </w:r>
      <w:r w:rsidRPr="00192010">
        <w:rPr>
          <w:sz w:val="22"/>
          <w:szCs w:val="22"/>
        </w:rPr>
        <w:t>kliničke</w:t>
      </w:r>
      <w:r w:rsidRPr="00192010">
        <w:rPr>
          <w:spacing w:val="1"/>
          <w:sz w:val="22"/>
          <w:szCs w:val="22"/>
        </w:rPr>
        <w:t xml:space="preserve"> studije</w:t>
      </w:r>
      <w:r w:rsidRPr="00192010">
        <w:rPr>
          <w:sz w:val="22"/>
          <w:szCs w:val="22"/>
        </w:rPr>
        <w:t>,</w:t>
      </w:r>
      <w:r w:rsidRPr="00192010">
        <w:rPr>
          <w:spacing w:val="1"/>
          <w:sz w:val="22"/>
          <w:szCs w:val="22"/>
        </w:rPr>
        <w:t xml:space="preserve"> </w:t>
      </w:r>
      <w:r w:rsidRPr="00192010">
        <w:rPr>
          <w:sz w:val="22"/>
          <w:szCs w:val="22"/>
        </w:rPr>
        <w:t>kod</w:t>
      </w:r>
      <w:r w:rsidRPr="00192010">
        <w:rPr>
          <w:spacing w:val="1"/>
          <w:sz w:val="22"/>
          <w:szCs w:val="22"/>
        </w:rPr>
        <w:t xml:space="preserve"> </w:t>
      </w:r>
      <w:r w:rsidRPr="00192010">
        <w:rPr>
          <w:sz w:val="22"/>
          <w:szCs w:val="22"/>
        </w:rPr>
        <w:t>ukupno</w:t>
      </w:r>
      <w:r w:rsidRPr="00192010">
        <w:rPr>
          <w:spacing w:val="1"/>
          <w:sz w:val="22"/>
          <w:szCs w:val="22"/>
        </w:rPr>
        <w:t xml:space="preserve"> </w:t>
      </w:r>
      <w:r w:rsidRPr="00192010">
        <w:rPr>
          <w:sz w:val="22"/>
          <w:szCs w:val="22"/>
        </w:rPr>
        <w:t>327</w:t>
      </w:r>
      <w:r w:rsidRPr="00192010">
        <w:rPr>
          <w:spacing w:val="1"/>
          <w:sz w:val="22"/>
          <w:szCs w:val="22"/>
        </w:rPr>
        <w:t xml:space="preserve"> </w:t>
      </w:r>
      <w:r w:rsidRPr="00192010">
        <w:rPr>
          <w:sz w:val="22"/>
          <w:szCs w:val="22"/>
        </w:rPr>
        <w:t>trudnica</w:t>
      </w:r>
      <w:r w:rsidRPr="00192010">
        <w:rPr>
          <w:spacing w:val="1"/>
          <w:sz w:val="22"/>
          <w:szCs w:val="22"/>
        </w:rPr>
        <w:t xml:space="preserve"> </w:t>
      </w:r>
      <w:r w:rsidRPr="00192010">
        <w:rPr>
          <w:sz w:val="22"/>
          <w:szCs w:val="22"/>
        </w:rPr>
        <w:t>sa</w:t>
      </w:r>
      <w:r w:rsidRPr="00192010">
        <w:rPr>
          <w:spacing w:val="1"/>
          <w:sz w:val="22"/>
          <w:szCs w:val="22"/>
        </w:rPr>
        <w:t xml:space="preserve"> </w:t>
      </w:r>
      <w:r w:rsidRPr="00192010">
        <w:rPr>
          <w:sz w:val="22"/>
          <w:szCs w:val="22"/>
        </w:rPr>
        <w:t>hroničnom</w:t>
      </w:r>
      <w:r w:rsidRPr="00192010">
        <w:rPr>
          <w:spacing w:val="1"/>
          <w:sz w:val="22"/>
          <w:szCs w:val="22"/>
        </w:rPr>
        <w:t xml:space="preserve"> </w:t>
      </w:r>
      <w:r w:rsidRPr="00192010">
        <w:rPr>
          <w:sz w:val="22"/>
          <w:szCs w:val="22"/>
        </w:rPr>
        <w:t>HBV</w:t>
      </w:r>
      <w:r w:rsidRPr="00192010">
        <w:rPr>
          <w:spacing w:val="1"/>
          <w:sz w:val="22"/>
          <w:szCs w:val="22"/>
        </w:rPr>
        <w:t xml:space="preserve"> </w:t>
      </w:r>
      <w:r w:rsidRPr="00192010">
        <w:rPr>
          <w:sz w:val="22"/>
          <w:szCs w:val="22"/>
        </w:rPr>
        <w:t>infekcijom,</w:t>
      </w:r>
      <w:r w:rsidRPr="00192010">
        <w:rPr>
          <w:spacing w:val="1"/>
          <w:sz w:val="22"/>
          <w:szCs w:val="22"/>
        </w:rPr>
        <w:t xml:space="preserve"> </w:t>
      </w:r>
      <w:r w:rsidRPr="00192010">
        <w:rPr>
          <w:sz w:val="22"/>
          <w:szCs w:val="22"/>
        </w:rPr>
        <w:t>tenofovir dizoproksil (245 mg) je primjenjivan jednom dnevno od 28. do 32. nedjelje gestacije do 1–2 mjeseca</w:t>
      </w:r>
      <w:r w:rsidRPr="00192010">
        <w:rPr>
          <w:spacing w:val="1"/>
          <w:sz w:val="22"/>
          <w:szCs w:val="22"/>
        </w:rPr>
        <w:t xml:space="preserve"> </w:t>
      </w:r>
      <w:r w:rsidRPr="00192010">
        <w:rPr>
          <w:sz w:val="22"/>
          <w:szCs w:val="22"/>
        </w:rPr>
        <w:t>postpartalno;</w:t>
      </w:r>
      <w:r w:rsidRPr="00192010">
        <w:rPr>
          <w:spacing w:val="1"/>
          <w:sz w:val="22"/>
          <w:szCs w:val="22"/>
        </w:rPr>
        <w:t xml:space="preserve"> </w:t>
      </w:r>
      <w:r w:rsidRPr="00192010">
        <w:rPr>
          <w:sz w:val="22"/>
          <w:szCs w:val="22"/>
        </w:rPr>
        <w:t>žene</w:t>
      </w:r>
      <w:r w:rsidRPr="00192010">
        <w:rPr>
          <w:spacing w:val="1"/>
          <w:sz w:val="22"/>
          <w:szCs w:val="22"/>
        </w:rPr>
        <w:t xml:space="preserve"> </w:t>
      </w:r>
      <w:r w:rsidRPr="00192010">
        <w:rPr>
          <w:sz w:val="22"/>
          <w:szCs w:val="22"/>
        </w:rPr>
        <w:t>i</w:t>
      </w:r>
      <w:r w:rsidRPr="00192010">
        <w:rPr>
          <w:spacing w:val="1"/>
          <w:sz w:val="22"/>
          <w:szCs w:val="22"/>
        </w:rPr>
        <w:t xml:space="preserve"> </w:t>
      </w:r>
      <w:r w:rsidRPr="00192010">
        <w:rPr>
          <w:sz w:val="22"/>
          <w:szCs w:val="22"/>
        </w:rPr>
        <w:t>njihova</w:t>
      </w:r>
      <w:r w:rsidRPr="00192010">
        <w:rPr>
          <w:spacing w:val="1"/>
          <w:sz w:val="22"/>
          <w:szCs w:val="22"/>
        </w:rPr>
        <w:t xml:space="preserve"> </w:t>
      </w:r>
      <w:r w:rsidRPr="00192010">
        <w:rPr>
          <w:sz w:val="22"/>
          <w:szCs w:val="22"/>
        </w:rPr>
        <w:t>odojčad</w:t>
      </w:r>
      <w:r w:rsidRPr="00192010">
        <w:rPr>
          <w:spacing w:val="1"/>
          <w:sz w:val="22"/>
          <w:szCs w:val="22"/>
        </w:rPr>
        <w:t xml:space="preserve"> </w:t>
      </w:r>
      <w:r w:rsidRPr="00192010">
        <w:rPr>
          <w:sz w:val="22"/>
          <w:szCs w:val="22"/>
        </w:rPr>
        <w:t>praćeni</w:t>
      </w:r>
      <w:r w:rsidRPr="00192010">
        <w:rPr>
          <w:spacing w:val="1"/>
          <w:sz w:val="22"/>
          <w:szCs w:val="22"/>
        </w:rPr>
        <w:t xml:space="preserve"> </w:t>
      </w:r>
      <w:r w:rsidRPr="00192010">
        <w:rPr>
          <w:sz w:val="22"/>
          <w:szCs w:val="22"/>
        </w:rPr>
        <w:t>su</w:t>
      </w:r>
      <w:r w:rsidRPr="00192010">
        <w:rPr>
          <w:spacing w:val="1"/>
          <w:sz w:val="22"/>
          <w:szCs w:val="22"/>
        </w:rPr>
        <w:t xml:space="preserve"> </w:t>
      </w:r>
      <w:r w:rsidRPr="00192010">
        <w:rPr>
          <w:sz w:val="22"/>
          <w:szCs w:val="22"/>
        </w:rPr>
        <w:t>do</w:t>
      </w:r>
      <w:r w:rsidRPr="00192010">
        <w:rPr>
          <w:spacing w:val="1"/>
          <w:sz w:val="22"/>
          <w:szCs w:val="22"/>
        </w:rPr>
        <w:t xml:space="preserve"> </w:t>
      </w:r>
      <w:r w:rsidRPr="00192010">
        <w:rPr>
          <w:sz w:val="22"/>
          <w:szCs w:val="22"/>
        </w:rPr>
        <w:t>12</w:t>
      </w:r>
      <w:r w:rsidRPr="00192010">
        <w:rPr>
          <w:spacing w:val="1"/>
          <w:sz w:val="22"/>
          <w:szCs w:val="22"/>
        </w:rPr>
        <w:t xml:space="preserve"> </w:t>
      </w:r>
      <w:r w:rsidRPr="00192010">
        <w:rPr>
          <w:sz w:val="22"/>
          <w:szCs w:val="22"/>
        </w:rPr>
        <w:t>mjeseci</w:t>
      </w:r>
      <w:r w:rsidRPr="00192010">
        <w:rPr>
          <w:spacing w:val="1"/>
          <w:sz w:val="22"/>
          <w:szCs w:val="22"/>
        </w:rPr>
        <w:t xml:space="preserve"> </w:t>
      </w:r>
      <w:r w:rsidRPr="00192010">
        <w:rPr>
          <w:sz w:val="22"/>
          <w:szCs w:val="22"/>
        </w:rPr>
        <w:t>nakon</w:t>
      </w:r>
      <w:r w:rsidRPr="00192010">
        <w:rPr>
          <w:spacing w:val="1"/>
          <w:sz w:val="22"/>
          <w:szCs w:val="22"/>
        </w:rPr>
        <w:t xml:space="preserve"> </w:t>
      </w:r>
      <w:r w:rsidRPr="00192010">
        <w:rPr>
          <w:sz w:val="22"/>
          <w:szCs w:val="22"/>
        </w:rPr>
        <w:t>porođaja.</w:t>
      </w:r>
      <w:r w:rsidRPr="00192010">
        <w:rPr>
          <w:spacing w:val="1"/>
          <w:sz w:val="22"/>
          <w:szCs w:val="22"/>
        </w:rPr>
        <w:t xml:space="preserve"> </w:t>
      </w:r>
      <w:r w:rsidRPr="00192010">
        <w:rPr>
          <w:sz w:val="22"/>
          <w:szCs w:val="22"/>
        </w:rPr>
        <w:t>Iz</w:t>
      </w:r>
      <w:r w:rsidRPr="00192010">
        <w:rPr>
          <w:spacing w:val="1"/>
          <w:sz w:val="22"/>
          <w:szCs w:val="22"/>
        </w:rPr>
        <w:t xml:space="preserve"> </w:t>
      </w:r>
      <w:r w:rsidRPr="00192010">
        <w:rPr>
          <w:sz w:val="22"/>
          <w:szCs w:val="22"/>
        </w:rPr>
        <w:t>ovih</w:t>
      </w:r>
      <w:r w:rsidRPr="00192010">
        <w:rPr>
          <w:spacing w:val="1"/>
          <w:sz w:val="22"/>
          <w:szCs w:val="22"/>
        </w:rPr>
        <w:t xml:space="preserve"> </w:t>
      </w:r>
      <w:r w:rsidRPr="00192010">
        <w:rPr>
          <w:sz w:val="22"/>
          <w:szCs w:val="22"/>
        </w:rPr>
        <w:t>podataka</w:t>
      </w:r>
      <w:r w:rsidRPr="00192010">
        <w:rPr>
          <w:spacing w:val="1"/>
          <w:sz w:val="22"/>
          <w:szCs w:val="22"/>
        </w:rPr>
        <w:t xml:space="preserve"> </w:t>
      </w:r>
      <w:r w:rsidRPr="00192010">
        <w:rPr>
          <w:sz w:val="22"/>
          <w:szCs w:val="22"/>
        </w:rPr>
        <w:t>ni</w:t>
      </w:r>
      <w:r w:rsidR="005002B3">
        <w:rPr>
          <w:sz w:val="22"/>
          <w:szCs w:val="22"/>
        </w:rPr>
        <w:t>je</w:t>
      </w:r>
      <w:r w:rsidRPr="005002B3">
        <w:rPr>
          <w:sz w:val="22"/>
          <w:szCs w:val="22"/>
        </w:rPr>
        <w:t xml:space="preserve">su </w:t>
      </w:r>
      <w:r w:rsidRPr="005002B3">
        <w:rPr>
          <w:spacing w:val="-52"/>
          <w:sz w:val="22"/>
          <w:szCs w:val="22"/>
        </w:rPr>
        <w:t xml:space="preserve"> </w:t>
      </w:r>
      <w:r w:rsidRPr="005002B3">
        <w:rPr>
          <w:sz w:val="22"/>
          <w:szCs w:val="22"/>
        </w:rPr>
        <w:t>zabilježeni</w:t>
      </w:r>
      <w:r w:rsidRPr="005002B3">
        <w:rPr>
          <w:spacing w:val="-2"/>
          <w:sz w:val="22"/>
          <w:szCs w:val="22"/>
        </w:rPr>
        <w:t xml:space="preserve"> </w:t>
      </w:r>
      <w:r w:rsidRPr="005002B3">
        <w:rPr>
          <w:sz w:val="22"/>
          <w:szCs w:val="22"/>
        </w:rPr>
        <w:t>nikakvi</w:t>
      </w:r>
      <w:r w:rsidRPr="0023449C">
        <w:rPr>
          <w:spacing w:val="-1"/>
          <w:sz w:val="22"/>
          <w:szCs w:val="22"/>
        </w:rPr>
        <w:t xml:space="preserve"> </w:t>
      </w:r>
      <w:r w:rsidRPr="0023449C">
        <w:rPr>
          <w:sz w:val="22"/>
          <w:szCs w:val="22"/>
        </w:rPr>
        <w:t>bezbjednosni</w:t>
      </w:r>
      <w:r w:rsidRPr="0023449C">
        <w:rPr>
          <w:spacing w:val="-1"/>
          <w:sz w:val="22"/>
          <w:szCs w:val="22"/>
        </w:rPr>
        <w:t xml:space="preserve"> </w:t>
      </w:r>
      <w:r w:rsidRPr="0023449C">
        <w:rPr>
          <w:sz w:val="22"/>
          <w:szCs w:val="22"/>
        </w:rPr>
        <w:t>signali.</w:t>
      </w:r>
    </w:p>
    <w:p w:rsidR="000A32DE" w:rsidRPr="00192010" w:rsidRDefault="000A32DE">
      <w:pPr>
        <w:tabs>
          <w:tab w:val="left" w:pos="284"/>
        </w:tabs>
        <w:jc w:val="both"/>
        <w:rPr>
          <w:sz w:val="22"/>
          <w:szCs w:val="22"/>
          <w:highlight w:val="yellow"/>
        </w:rPr>
      </w:pPr>
    </w:p>
    <w:p w:rsidR="005002B3" w:rsidRDefault="005002B3">
      <w:pPr>
        <w:tabs>
          <w:tab w:val="left" w:pos="284"/>
        </w:tabs>
        <w:jc w:val="both"/>
        <w:rPr>
          <w:sz w:val="22"/>
          <w:szCs w:val="22"/>
          <w:u w:val="single"/>
        </w:rPr>
      </w:pPr>
    </w:p>
    <w:p w:rsidR="000A32DE" w:rsidRPr="005002B3" w:rsidRDefault="000A32DE">
      <w:pPr>
        <w:tabs>
          <w:tab w:val="left" w:pos="284"/>
        </w:tabs>
        <w:jc w:val="both"/>
        <w:rPr>
          <w:sz w:val="22"/>
          <w:szCs w:val="22"/>
          <w:u w:val="single"/>
        </w:rPr>
      </w:pPr>
      <w:r w:rsidRPr="005002B3">
        <w:rPr>
          <w:sz w:val="22"/>
          <w:szCs w:val="22"/>
          <w:u w:val="single"/>
        </w:rPr>
        <w:t>Dojenje</w:t>
      </w:r>
    </w:p>
    <w:p w:rsidR="000A32DE" w:rsidRPr="00192010" w:rsidRDefault="000A32DE">
      <w:pPr>
        <w:widowControl w:val="0"/>
        <w:autoSpaceDE w:val="0"/>
        <w:autoSpaceDN w:val="0"/>
        <w:spacing w:before="3" w:line="237" w:lineRule="auto"/>
        <w:ind w:right="232"/>
        <w:jc w:val="both"/>
        <w:rPr>
          <w:sz w:val="22"/>
          <w:szCs w:val="22"/>
        </w:rPr>
      </w:pPr>
      <w:r w:rsidRPr="00192010">
        <w:rPr>
          <w:sz w:val="22"/>
          <w:szCs w:val="22"/>
        </w:rPr>
        <w:t>U</w:t>
      </w:r>
      <w:r w:rsidRPr="00192010">
        <w:rPr>
          <w:spacing w:val="1"/>
          <w:sz w:val="22"/>
          <w:szCs w:val="22"/>
        </w:rPr>
        <w:t xml:space="preserve"> </w:t>
      </w:r>
      <w:r w:rsidRPr="00192010">
        <w:rPr>
          <w:sz w:val="22"/>
          <w:szCs w:val="22"/>
        </w:rPr>
        <w:t>načelu,</w:t>
      </w:r>
      <w:r w:rsidRPr="00192010">
        <w:rPr>
          <w:spacing w:val="1"/>
          <w:sz w:val="22"/>
          <w:szCs w:val="22"/>
        </w:rPr>
        <w:t xml:space="preserve"> </w:t>
      </w:r>
      <w:r w:rsidRPr="00192010">
        <w:rPr>
          <w:sz w:val="22"/>
          <w:szCs w:val="22"/>
        </w:rPr>
        <w:t>majka</w:t>
      </w:r>
      <w:r w:rsidRPr="00192010">
        <w:rPr>
          <w:spacing w:val="1"/>
          <w:sz w:val="22"/>
          <w:szCs w:val="22"/>
        </w:rPr>
        <w:t xml:space="preserve"> </w:t>
      </w:r>
      <w:r w:rsidRPr="00192010">
        <w:rPr>
          <w:sz w:val="22"/>
          <w:szCs w:val="22"/>
        </w:rPr>
        <w:t>koja</w:t>
      </w:r>
      <w:r w:rsidRPr="00192010">
        <w:rPr>
          <w:spacing w:val="1"/>
          <w:sz w:val="22"/>
          <w:szCs w:val="22"/>
        </w:rPr>
        <w:t xml:space="preserve"> </w:t>
      </w:r>
      <w:r w:rsidRPr="00192010">
        <w:rPr>
          <w:sz w:val="22"/>
          <w:szCs w:val="22"/>
        </w:rPr>
        <w:t>boluje</w:t>
      </w:r>
      <w:r w:rsidRPr="00192010">
        <w:rPr>
          <w:spacing w:val="1"/>
          <w:sz w:val="22"/>
          <w:szCs w:val="22"/>
        </w:rPr>
        <w:t xml:space="preserve"> </w:t>
      </w:r>
      <w:r w:rsidRPr="00192010">
        <w:rPr>
          <w:sz w:val="22"/>
          <w:szCs w:val="22"/>
        </w:rPr>
        <w:t>od</w:t>
      </w:r>
      <w:r w:rsidRPr="00192010">
        <w:rPr>
          <w:spacing w:val="1"/>
          <w:sz w:val="22"/>
          <w:szCs w:val="22"/>
        </w:rPr>
        <w:t xml:space="preserve"> </w:t>
      </w:r>
      <w:r w:rsidRPr="00192010">
        <w:rPr>
          <w:sz w:val="22"/>
          <w:szCs w:val="22"/>
        </w:rPr>
        <w:t>hepatitisa</w:t>
      </w:r>
      <w:r w:rsidRPr="00192010">
        <w:rPr>
          <w:spacing w:val="1"/>
          <w:sz w:val="22"/>
          <w:szCs w:val="22"/>
        </w:rPr>
        <w:t xml:space="preserve"> </w:t>
      </w:r>
      <w:r w:rsidRPr="00192010">
        <w:rPr>
          <w:sz w:val="22"/>
          <w:szCs w:val="22"/>
        </w:rPr>
        <w:t>B</w:t>
      </w:r>
      <w:r w:rsidRPr="00192010">
        <w:rPr>
          <w:spacing w:val="1"/>
          <w:sz w:val="22"/>
          <w:szCs w:val="22"/>
        </w:rPr>
        <w:t xml:space="preserve"> </w:t>
      </w:r>
      <w:r w:rsidRPr="00192010">
        <w:rPr>
          <w:sz w:val="22"/>
          <w:szCs w:val="22"/>
        </w:rPr>
        <w:t>može</w:t>
      </w:r>
      <w:r w:rsidRPr="00192010">
        <w:rPr>
          <w:spacing w:val="1"/>
          <w:sz w:val="22"/>
          <w:szCs w:val="22"/>
        </w:rPr>
        <w:t xml:space="preserve"> </w:t>
      </w:r>
      <w:r w:rsidRPr="00192010">
        <w:rPr>
          <w:sz w:val="22"/>
          <w:szCs w:val="22"/>
        </w:rPr>
        <w:t>dojiti</w:t>
      </w:r>
      <w:r w:rsidRPr="00192010">
        <w:rPr>
          <w:spacing w:val="1"/>
          <w:sz w:val="22"/>
          <w:szCs w:val="22"/>
        </w:rPr>
        <w:t xml:space="preserve"> </w:t>
      </w:r>
      <w:r w:rsidRPr="00192010">
        <w:rPr>
          <w:sz w:val="22"/>
          <w:szCs w:val="22"/>
        </w:rPr>
        <w:t>svoje</w:t>
      </w:r>
      <w:r w:rsidRPr="00192010">
        <w:rPr>
          <w:spacing w:val="1"/>
          <w:sz w:val="22"/>
          <w:szCs w:val="22"/>
        </w:rPr>
        <w:t xml:space="preserve"> </w:t>
      </w:r>
      <w:r w:rsidRPr="00192010">
        <w:rPr>
          <w:sz w:val="22"/>
          <w:szCs w:val="22"/>
        </w:rPr>
        <w:t>odojče,</w:t>
      </w:r>
      <w:r w:rsidRPr="00192010">
        <w:rPr>
          <w:spacing w:val="1"/>
          <w:sz w:val="22"/>
          <w:szCs w:val="22"/>
        </w:rPr>
        <w:t xml:space="preserve"> </w:t>
      </w:r>
      <w:r w:rsidRPr="00192010">
        <w:rPr>
          <w:sz w:val="22"/>
          <w:szCs w:val="22"/>
        </w:rPr>
        <w:t>ukoliko</w:t>
      </w:r>
      <w:r w:rsidRPr="00192010">
        <w:rPr>
          <w:spacing w:val="1"/>
          <w:sz w:val="22"/>
          <w:szCs w:val="22"/>
        </w:rPr>
        <w:t xml:space="preserve"> </w:t>
      </w:r>
      <w:r w:rsidRPr="00192010">
        <w:rPr>
          <w:sz w:val="22"/>
          <w:szCs w:val="22"/>
        </w:rPr>
        <w:t>je</w:t>
      </w:r>
      <w:r w:rsidRPr="00192010">
        <w:rPr>
          <w:spacing w:val="1"/>
          <w:sz w:val="22"/>
          <w:szCs w:val="22"/>
        </w:rPr>
        <w:t xml:space="preserve"> </w:t>
      </w:r>
      <w:r w:rsidRPr="00192010">
        <w:rPr>
          <w:sz w:val="22"/>
          <w:szCs w:val="22"/>
        </w:rPr>
        <w:t>odojče</w:t>
      </w:r>
      <w:r w:rsidRPr="00192010">
        <w:rPr>
          <w:spacing w:val="55"/>
          <w:sz w:val="22"/>
          <w:szCs w:val="22"/>
        </w:rPr>
        <w:t xml:space="preserve"> </w:t>
      </w:r>
      <w:r w:rsidRPr="00192010">
        <w:rPr>
          <w:sz w:val="22"/>
          <w:szCs w:val="22"/>
        </w:rPr>
        <w:t>primilo</w:t>
      </w:r>
      <w:r w:rsidRPr="00192010">
        <w:rPr>
          <w:spacing w:val="1"/>
          <w:sz w:val="22"/>
          <w:szCs w:val="22"/>
        </w:rPr>
        <w:t xml:space="preserve"> </w:t>
      </w:r>
      <w:r w:rsidRPr="00192010">
        <w:rPr>
          <w:sz w:val="22"/>
          <w:szCs w:val="22"/>
        </w:rPr>
        <w:t>odgovarajuću</w:t>
      </w:r>
      <w:r w:rsidRPr="00192010">
        <w:rPr>
          <w:spacing w:val="-2"/>
          <w:sz w:val="22"/>
          <w:szCs w:val="22"/>
        </w:rPr>
        <w:t xml:space="preserve"> </w:t>
      </w:r>
      <w:r w:rsidRPr="00192010">
        <w:rPr>
          <w:sz w:val="22"/>
          <w:szCs w:val="22"/>
        </w:rPr>
        <w:t>terapiju</w:t>
      </w:r>
      <w:r w:rsidRPr="00192010">
        <w:rPr>
          <w:spacing w:val="-1"/>
          <w:sz w:val="22"/>
          <w:szCs w:val="22"/>
        </w:rPr>
        <w:t xml:space="preserve"> </w:t>
      </w:r>
      <w:r w:rsidRPr="00192010">
        <w:rPr>
          <w:sz w:val="22"/>
          <w:szCs w:val="22"/>
        </w:rPr>
        <w:t>za</w:t>
      </w:r>
      <w:r w:rsidRPr="00192010">
        <w:rPr>
          <w:spacing w:val="-2"/>
          <w:sz w:val="22"/>
          <w:szCs w:val="22"/>
        </w:rPr>
        <w:t xml:space="preserve"> </w:t>
      </w:r>
      <w:r w:rsidRPr="00192010">
        <w:rPr>
          <w:sz w:val="22"/>
          <w:szCs w:val="22"/>
        </w:rPr>
        <w:t>prevenciju</w:t>
      </w:r>
      <w:r w:rsidRPr="00192010">
        <w:rPr>
          <w:spacing w:val="-1"/>
          <w:sz w:val="22"/>
          <w:szCs w:val="22"/>
        </w:rPr>
        <w:t xml:space="preserve"> </w:t>
      </w:r>
      <w:r w:rsidRPr="00192010">
        <w:rPr>
          <w:sz w:val="22"/>
          <w:szCs w:val="22"/>
        </w:rPr>
        <w:t>prenosa</w:t>
      </w:r>
      <w:r w:rsidRPr="00192010">
        <w:rPr>
          <w:spacing w:val="-2"/>
          <w:sz w:val="22"/>
          <w:szCs w:val="22"/>
        </w:rPr>
        <w:t xml:space="preserve"> </w:t>
      </w:r>
      <w:r w:rsidRPr="00192010">
        <w:rPr>
          <w:sz w:val="22"/>
          <w:szCs w:val="22"/>
        </w:rPr>
        <w:t>hepatitisa</w:t>
      </w:r>
      <w:r w:rsidRPr="00192010">
        <w:rPr>
          <w:spacing w:val="-1"/>
          <w:sz w:val="22"/>
          <w:szCs w:val="22"/>
        </w:rPr>
        <w:t xml:space="preserve"> </w:t>
      </w:r>
      <w:r w:rsidRPr="00192010">
        <w:rPr>
          <w:sz w:val="22"/>
          <w:szCs w:val="22"/>
        </w:rPr>
        <w:t>B</w:t>
      </w:r>
      <w:r w:rsidRPr="00192010">
        <w:rPr>
          <w:spacing w:val="-2"/>
          <w:sz w:val="22"/>
          <w:szCs w:val="22"/>
        </w:rPr>
        <w:t xml:space="preserve"> </w:t>
      </w:r>
      <w:r w:rsidRPr="00192010">
        <w:rPr>
          <w:sz w:val="22"/>
          <w:szCs w:val="22"/>
        </w:rPr>
        <w:t>pri</w:t>
      </w:r>
      <w:r w:rsidRPr="00192010">
        <w:rPr>
          <w:spacing w:val="-1"/>
          <w:sz w:val="22"/>
          <w:szCs w:val="22"/>
        </w:rPr>
        <w:t xml:space="preserve"> </w:t>
      </w:r>
      <w:r w:rsidRPr="00192010">
        <w:rPr>
          <w:sz w:val="22"/>
          <w:szCs w:val="22"/>
        </w:rPr>
        <w:t>rođenju.</w:t>
      </w:r>
    </w:p>
    <w:p w:rsidR="000A32DE" w:rsidRPr="00192010" w:rsidRDefault="000A32DE">
      <w:pPr>
        <w:widowControl w:val="0"/>
        <w:autoSpaceDE w:val="0"/>
        <w:autoSpaceDN w:val="0"/>
        <w:spacing w:before="1"/>
        <w:ind w:right="231"/>
        <w:jc w:val="both"/>
        <w:rPr>
          <w:sz w:val="22"/>
          <w:szCs w:val="22"/>
        </w:rPr>
      </w:pPr>
      <w:r w:rsidRPr="00192010">
        <w:rPr>
          <w:sz w:val="22"/>
          <w:szCs w:val="22"/>
        </w:rPr>
        <w:t xml:space="preserve">Vrlo mala količina tenofovira izlučuje se u majčino </w:t>
      </w:r>
      <w:r w:rsidR="00B83CAB" w:rsidRPr="00192010">
        <w:rPr>
          <w:sz w:val="22"/>
          <w:szCs w:val="22"/>
        </w:rPr>
        <w:t>ml</w:t>
      </w:r>
      <w:r w:rsidRPr="00192010">
        <w:rPr>
          <w:sz w:val="22"/>
          <w:szCs w:val="22"/>
        </w:rPr>
        <w:t>ijeko, pa se izloženost odojčadi tenofoviru putem</w:t>
      </w:r>
      <w:r w:rsidRPr="00192010">
        <w:rPr>
          <w:spacing w:val="1"/>
          <w:sz w:val="22"/>
          <w:szCs w:val="22"/>
        </w:rPr>
        <w:t xml:space="preserve"> </w:t>
      </w:r>
      <w:r w:rsidRPr="00192010">
        <w:rPr>
          <w:sz w:val="22"/>
          <w:szCs w:val="22"/>
        </w:rPr>
        <w:t>majčinog</w:t>
      </w:r>
      <w:r w:rsidRPr="00192010">
        <w:rPr>
          <w:spacing w:val="1"/>
          <w:sz w:val="22"/>
          <w:szCs w:val="22"/>
        </w:rPr>
        <w:t xml:space="preserve"> </w:t>
      </w:r>
      <w:r w:rsidR="00B83CAB" w:rsidRPr="00192010">
        <w:rPr>
          <w:sz w:val="22"/>
          <w:szCs w:val="22"/>
        </w:rPr>
        <w:t>ml</w:t>
      </w:r>
      <w:r w:rsidR="00EF0263" w:rsidRPr="00192010">
        <w:rPr>
          <w:sz w:val="22"/>
          <w:szCs w:val="22"/>
        </w:rPr>
        <w:t>ij</w:t>
      </w:r>
      <w:r w:rsidRPr="00192010">
        <w:rPr>
          <w:sz w:val="22"/>
          <w:szCs w:val="22"/>
        </w:rPr>
        <w:t>eka</w:t>
      </w:r>
      <w:r w:rsidRPr="00192010">
        <w:rPr>
          <w:spacing w:val="1"/>
          <w:sz w:val="22"/>
          <w:szCs w:val="22"/>
        </w:rPr>
        <w:t xml:space="preserve"> </w:t>
      </w:r>
      <w:r w:rsidRPr="00192010">
        <w:rPr>
          <w:sz w:val="22"/>
          <w:szCs w:val="22"/>
        </w:rPr>
        <w:t>smatra</w:t>
      </w:r>
      <w:r w:rsidRPr="00192010">
        <w:rPr>
          <w:spacing w:val="1"/>
          <w:sz w:val="22"/>
          <w:szCs w:val="22"/>
        </w:rPr>
        <w:t xml:space="preserve"> </w:t>
      </w:r>
      <w:r w:rsidRPr="00192010">
        <w:rPr>
          <w:sz w:val="22"/>
          <w:szCs w:val="22"/>
        </w:rPr>
        <w:t>zanemarljivom.</w:t>
      </w:r>
      <w:r w:rsidRPr="00192010">
        <w:rPr>
          <w:spacing w:val="1"/>
          <w:sz w:val="22"/>
          <w:szCs w:val="22"/>
        </w:rPr>
        <w:t xml:space="preserve"> </w:t>
      </w:r>
      <w:r w:rsidRPr="00192010">
        <w:rPr>
          <w:sz w:val="22"/>
          <w:szCs w:val="22"/>
        </w:rPr>
        <w:t>Iako</w:t>
      </w:r>
      <w:r w:rsidRPr="00192010">
        <w:rPr>
          <w:spacing w:val="1"/>
          <w:sz w:val="22"/>
          <w:szCs w:val="22"/>
        </w:rPr>
        <w:t xml:space="preserve"> </w:t>
      </w:r>
      <w:r w:rsidRPr="00192010">
        <w:rPr>
          <w:sz w:val="22"/>
          <w:szCs w:val="22"/>
        </w:rPr>
        <w:t>su</w:t>
      </w:r>
      <w:r w:rsidRPr="00192010">
        <w:rPr>
          <w:spacing w:val="1"/>
          <w:sz w:val="22"/>
          <w:szCs w:val="22"/>
        </w:rPr>
        <w:t xml:space="preserve"> </w:t>
      </w:r>
      <w:r w:rsidRPr="00192010">
        <w:rPr>
          <w:sz w:val="22"/>
          <w:szCs w:val="22"/>
        </w:rPr>
        <w:t>dugoročni</w:t>
      </w:r>
      <w:r w:rsidRPr="00192010">
        <w:rPr>
          <w:spacing w:val="1"/>
          <w:sz w:val="22"/>
          <w:szCs w:val="22"/>
        </w:rPr>
        <w:t xml:space="preserve"> </w:t>
      </w:r>
      <w:r w:rsidRPr="00192010">
        <w:rPr>
          <w:sz w:val="22"/>
          <w:szCs w:val="22"/>
        </w:rPr>
        <w:t>podaci</w:t>
      </w:r>
      <w:r w:rsidRPr="00192010">
        <w:rPr>
          <w:spacing w:val="1"/>
          <w:sz w:val="22"/>
          <w:szCs w:val="22"/>
        </w:rPr>
        <w:t xml:space="preserve"> </w:t>
      </w:r>
      <w:r w:rsidRPr="00192010">
        <w:rPr>
          <w:sz w:val="22"/>
          <w:szCs w:val="22"/>
        </w:rPr>
        <w:t>ograničeni,</w:t>
      </w:r>
      <w:r w:rsidRPr="00192010">
        <w:rPr>
          <w:spacing w:val="1"/>
          <w:sz w:val="22"/>
          <w:szCs w:val="22"/>
        </w:rPr>
        <w:t xml:space="preserve"> </w:t>
      </w:r>
      <w:r w:rsidRPr="00192010">
        <w:rPr>
          <w:sz w:val="22"/>
          <w:szCs w:val="22"/>
        </w:rPr>
        <w:t>nije</w:t>
      </w:r>
      <w:r w:rsidRPr="00192010">
        <w:rPr>
          <w:spacing w:val="1"/>
          <w:sz w:val="22"/>
          <w:szCs w:val="22"/>
        </w:rPr>
        <w:t xml:space="preserve"> </w:t>
      </w:r>
      <w:r w:rsidRPr="00192010">
        <w:rPr>
          <w:sz w:val="22"/>
          <w:szCs w:val="22"/>
        </w:rPr>
        <w:t>zabilježena</w:t>
      </w:r>
      <w:r w:rsidRPr="00192010">
        <w:rPr>
          <w:spacing w:val="1"/>
          <w:sz w:val="22"/>
          <w:szCs w:val="22"/>
        </w:rPr>
        <w:t xml:space="preserve"> </w:t>
      </w:r>
      <w:r w:rsidRPr="00192010">
        <w:rPr>
          <w:sz w:val="22"/>
          <w:szCs w:val="22"/>
        </w:rPr>
        <w:t>nijedna</w:t>
      </w:r>
      <w:r w:rsidRPr="00192010">
        <w:rPr>
          <w:spacing w:val="1"/>
          <w:sz w:val="22"/>
          <w:szCs w:val="22"/>
        </w:rPr>
        <w:t xml:space="preserve"> </w:t>
      </w:r>
      <w:r w:rsidRPr="00192010">
        <w:rPr>
          <w:sz w:val="22"/>
          <w:szCs w:val="22"/>
        </w:rPr>
        <w:t>neželjena reakcija kod odojčadi, te stoga majke sa HBV infekcijom koje primaju tenofovir dizoproksil mogu</w:t>
      </w:r>
      <w:r w:rsidRPr="00192010">
        <w:rPr>
          <w:spacing w:val="1"/>
          <w:sz w:val="22"/>
          <w:szCs w:val="22"/>
        </w:rPr>
        <w:t xml:space="preserve"> </w:t>
      </w:r>
      <w:r w:rsidRPr="00192010">
        <w:rPr>
          <w:sz w:val="22"/>
          <w:szCs w:val="22"/>
        </w:rPr>
        <w:t>dojiti.</w:t>
      </w:r>
    </w:p>
    <w:p w:rsidR="000A32DE" w:rsidRPr="00192010" w:rsidRDefault="000A32DE">
      <w:pPr>
        <w:tabs>
          <w:tab w:val="left" w:pos="284"/>
        </w:tabs>
        <w:jc w:val="both"/>
        <w:rPr>
          <w:sz w:val="22"/>
          <w:szCs w:val="22"/>
        </w:rPr>
      </w:pPr>
    </w:p>
    <w:p w:rsidR="000A32DE" w:rsidRPr="00192010" w:rsidRDefault="000A32DE">
      <w:pPr>
        <w:tabs>
          <w:tab w:val="left" w:pos="284"/>
        </w:tabs>
        <w:jc w:val="both"/>
        <w:rPr>
          <w:sz w:val="22"/>
          <w:szCs w:val="22"/>
        </w:rPr>
      </w:pPr>
      <w:r w:rsidRPr="00192010">
        <w:rPr>
          <w:sz w:val="22"/>
          <w:szCs w:val="22"/>
        </w:rPr>
        <w:t>Kao opšte pravilo, preporučuje se da žene inficirane HIV-om i HBV-om ne doje svoju djecu kako bi se izbjegla vertikalna transmisija HIV-a i HBV-a na dijete.</w:t>
      </w:r>
    </w:p>
    <w:p w:rsidR="000A32DE" w:rsidRPr="00192010" w:rsidRDefault="000A32DE">
      <w:pPr>
        <w:tabs>
          <w:tab w:val="left" w:pos="284"/>
        </w:tabs>
        <w:jc w:val="both"/>
        <w:rPr>
          <w:sz w:val="22"/>
          <w:szCs w:val="22"/>
          <w:highlight w:val="yellow"/>
        </w:rPr>
      </w:pPr>
    </w:p>
    <w:p w:rsidR="000A32DE" w:rsidRPr="00192010" w:rsidRDefault="000A32DE">
      <w:pPr>
        <w:tabs>
          <w:tab w:val="left" w:pos="284"/>
        </w:tabs>
        <w:jc w:val="both"/>
        <w:rPr>
          <w:sz w:val="22"/>
          <w:szCs w:val="22"/>
          <w:u w:val="single"/>
        </w:rPr>
      </w:pPr>
      <w:r w:rsidRPr="00192010">
        <w:rPr>
          <w:sz w:val="22"/>
          <w:szCs w:val="22"/>
          <w:u w:val="single"/>
        </w:rPr>
        <w:t>Plodnost</w:t>
      </w:r>
    </w:p>
    <w:p w:rsidR="000A32DE" w:rsidRPr="00192010" w:rsidRDefault="000A32DE">
      <w:pPr>
        <w:tabs>
          <w:tab w:val="left" w:pos="284"/>
        </w:tabs>
        <w:jc w:val="both"/>
        <w:rPr>
          <w:sz w:val="22"/>
          <w:szCs w:val="22"/>
        </w:rPr>
      </w:pPr>
      <w:r w:rsidRPr="00192010">
        <w:rPr>
          <w:sz w:val="22"/>
          <w:szCs w:val="22"/>
        </w:rPr>
        <w:t>Postoje ograničeni klinički podaci o uticaju tenofovir dizoproksila na plodnost. Ispitivanja na životinjama ne ukazuju na štetne efekte na plodnost.</w:t>
      </w:r>
    </w:p>
    <w:p w:rsidR="00227BDB" w:rsidRPr="00192010" w:rsidRDefault="00227BDB" w:rsidP="00A443AA">
      <w:pPr>
        <w:tabs>
          <w:tab w:val="left" w:pos="540"/>
          <w:tab w:val="left" w:pos="569"/>
        </w:tabs>
        <w:ind w:left="540" w:hanging="540"/>
        <w:jc w:val="both"/>
        <w:rPr>
          <w:b/>
          <w:bCs/>
          <w:sz w:val="22"/>
          <w:szCs w:val="22"/>
        </w:rPr>
      </w:pPr>
    </w:p>
    <w:p w:rsidR="0072020E" w:rsidRPr="00192010" w:rsidRDefault="0072020E" w:rsidP="00A443AA">
      <w:pPr>
        <w:tabs>
          <w:tab w:val="left" w:pos="540"/>
          <w:tab w:val="left" w:pos="569"/>
        </w:tabs>
        <w:ind w:left="540" w:hanging="540"/>
        <w:jc w:val="both"/>
        <w:rPr>
          <w:b/>
          <w:bCs/>
          <w:sz w:val="22"/>
          <w:szCs w:val="22"/>
        </w:rPr>
      </w:pPr>
      <w:r w:rsidRPr="00192010">
        <w:rPr>
          <w:b/>
          <w:bCs/>
          <w:sz w:val="22"/>
          <w:szCs w:val="22"/>
        </w:rPr>
        <w:t xml:space="preserve">4.7. </w:t>
      </w:r>
      <w:r w:rsidR="00480FB1" w:rsidRPr="00192010">
        <w:rPr>
          <w:b/>
          <w:bCs/>
          <w:sz w:val="22"/>
          <w:szCs w:val="22"/>
        </w:rPr>
        <w:tab/>
      </w:r>
      <w:r w:rsidRPr="00192010">
        <w:rPr>
          <w:b/>
          <w:bCs/>
          <w:sz w:val="22"/>
          <w:szCs w:val="22"/>
        </w:rPr>
        <w:t xml:space="preserve">Uticaj na </w:t>
      </w:r>
      <w:r w:rsidR="002031B3" w:rsidRPr="00192010">
        <w:rPr>
          <w:b/>
          <w:bCs/>
          <w:sz w:val="22"/>
          <w:szCs w:val="22"/>
        </w:rPr>
        <w:t xml:space="preserve">sposobnost </w:t>
      </w:r>
      <w:r w:rsidR="00F34554" w:rsidRPr="00192010">
        <w:rPr>
          <w:b/>
          <w:bCs/>
          <w:sz w:val="22"/>
          <w:szCs w:val="22"/>
        </w:rPr>
        <w:t>upravljanja vozili</w:t>
      </w:r>
      <w:r w:rsidRPr="00192010">
        <w:rPr>
          <w:b/>
          <w:bCs/>
          <w:sz w:val="22"/>
          <w:szCs w:val="22"/>
        </w:rPr>
        <w:t>m</w:t>
      </w:r>
      <w:r w:rsidR="00F34554" w:rsidRPr="00192010">
        <w:rPr>
          <w:b/>
          <w:bCs/>
          <w:sz w:val="22"/>
          <w:szCs w:val="22"/>
        </w:rPr>
        <w:t>a</w:t>
      </w:r>
      <w:r w:rsidRPr="00192010">
        <w:rPr>
          <w:b/>
          <w:bCs/>
          <w:sz w:val="22"/>
          <w:szCs w:val="22"/>
        </w:rPr>
        <w:t xml:space="preserve"> i </w:t>
      </w:r>
      <w:r w:rsidR="000D3449" w:rsidRPr="00192010">
        <w:rPr>
          <w:b/>
          <w:bCs/>
          <w:sz w:val="22"/>
          <w:szCs w:val="22"/>
        </w:rPr>
        <w:t xml:space="preserve">rukovanje </w:t>
      </w:r>
      <w:r w:rsidRPr="00192010">
        <w:rPr>
          <w:b/>
          <w:bCs/>
          <w:sz w:val="22"/>
          <w:szCs w:val="22"/>
        </w:rPr>
        <w:t>mašinama</w:t>
      </w:r>
    </w:p>
    <w:p w:rsidR="000A32DE" w:rsidRPr="00192010" w:rsidRDefault="000A32DE" w:rsidP="00A443AA">
      <w:pPr>
        <w:tabs>
          <w:tab w:val="left" w:pos="540"/>
          <w:tab w:val="left" w:pos="569"/>
        </w:tabs>
        <w:ind w:left="540" w:hanging="540"/>
        <w:jc w:val="both"/>
        <w:rPr>
          <w:b/>
          <w:bCs/>
          <w:sz w:val="22"/>
          <w:szCs w:val="22"/>
        </w:rPr>
      </w:pPr>
    </w:p>
    <w:p w:rsidR="000A32DE" w:rsidRPr="00192010" w:rsidRDefault="000A32DE" w:rsidP="00192010">
      <w:pPr>
        <w:tabs>
          <w:tab w:val="left" w:pos="540"/>
          <w:tab w:val="left" w:pos="569"/>
        </w:tabs>
        <w:jc w:val="both"/>
        <w:rPr>
          <w:bCs/>
          <w:sz w:val="22"/>
          <w:szCs w:val="22"/>
        </w:rPr>
      </w:pPr>
      <w:r w:rsidRPr="00192010">
        <w:rPr>
          <w:bCs/>
          <w:sz w:val="22"/>
          <w:szCs w:val="22"/>
        </w:rPr>
        <w:t>Uticaj ovog lijeka na psihofizičke sposobnosti prilikom upravljanja vozilima i rukovanja mašinama nije ispitivan.</w:t>
      </w:r>
    </w:p>
    <w:p w:rsidR="000A32DE" w:rsidRPr="00192010" w:rsidRDefault="000A32DE" w:rsidP="00F434D9">
      <w:pPr>
        <w:tabs>
          <w:tab w:val="left" w:pos="540"/>
          <w:tab w:val="left" w:pos="569"/>
        </w:tabs>
        <w:jc w:val="both"/>
        <w:rPr>
          <w:bCs/>
          <w:sz w:val="22"/>
          <w:szCs w:val="22"/>
        </w:rPr>
      </w:pPr>
      <w:r w:rsidRPr="00192010">
        <w:rPr>
          <w:bCs/>
          <w:sz w:val="22"/>
          <w:szCs w:val="22"/>
        </w:rPr>
        <w:t>Ipak, pacijente treba obavijestiti da je tokom terapije tenofovir dizoproksilom prijavljivana vrtoglavica.</w:t>
      </w:r>
    </w:p>
    <w:p w:rsidR="0072020E" w:rsidRPr="00192010" w:rsidRDefault="0072020E" w:rsidP="00A443AA">
      <w:pPr>
        <w:tabs>
          <w:tab w:val="left" w:pos="540"/>
          <w:tab w:val="left" w:pos="569"/>
        </w:tabs>
        <w:jc w:val="both"/>
        <w:rPr>
          <w:b/>
          <w:bCs/>
          <w:sz w:val="22"/>
          <w:szCs w:val="22"/>
        </w:rPr>
      </w:pPr>
    </w:p>
    <w:p w:rsidR="0072020E" w:rsidRPr="00192010" w:rsidRDefault="0072020E" w:rsidP="00A443AA">
      <w:pPr>
        <w:tabs>
          <w:tab w:val="left" w:pos="540"/>
          <w:tab w:val="left" w:pos="569"/>
        </w:tabs>
        <w:jc w:val="both"/>
        <w:rPr>
          <w:b/>
          <w:bCs/>
          <w:sz w:val="22"/>
          <w:szCs w:val="22"/>
        </w:rPr>
      </w:pPr>
      <w:r w:rsidRPr="00192010">
        <w:rPr>
          <w:b/>
          <w:bCs/>
          <w:sz w:val="22"/>
          <w:szCs w:val="22"/>
        </w:rPr>
        <w:t xml:space="preserve">4.8. </w:t>
      </w:r>
      <w:r w:rsidR="00480FB1" w:rsidRPr="00192010">
        <w:rPr>
          <w:b/>
          <w:bCs/>
          <w:sz w:val="22"/>
          <w:szCs w:val="22"/>
        </w:rPr>
        <w:tab/>
      </w:r>
      <w:r w:rsidRPr="00192010">
        <w:rPr>
          <w:b/>
          <w:bCs/>
          <w:sz w:val="22"/>
          <w:szCs w:val="22"/>
        </w:rPr>
        <w:t>Neželjena dejstva</w:t>
      </w:r>
    </w:p>
    <w:p w:rsidR="004E70AD" w:rsidRPr="00192010" w:rsidRDefault="004E70AD" w:rsidP="00A443AA">
      <w:pPr>
        <w:tabs>
          <w:tab w:val="left" w:pos="540"/>
          <w:tab w:val="left" w:pos="569"/>
        </w:tabs>
        <w:jc w:val="both"/>
        <w:rPr>
          <w:b/>
          <w:bCs/>
          <w:sz w:val="22"/>
          <w:szCs w:val="22"/>
        </w:rPr>
      </w:pPr>
    </w:p>
    <w:p w:rsidR="006E4A93" w:rsidRPr="00192010" w:rsidRDefault="006E4A93" w:rsidP="00192010">
      <w:pPr>
        <w:tabs>
          <w:tab w:val="left" w:pos="540"/>
          <w:tab w:val="left" w:pos="569"/>
        </w:tabs>
        <w:jc w:val="both"/>
        <w:rPr>
          <w:bCs/>
          <w:sz w:val="22"/>
          <w:szCs w:val="22"/>
          <w:u w:val="single"/>
        </w:rPr>
      </w:pPr>
      <w:r w:rsidRPr="00192010">
        <w:rPr>
          <w:bCs/>
          <w:sz w:val="22"/>
          <w:szCs w:val="22"/>
          <w:u w:val="single"/>
        </w:rPr>
        <w:t>Sažetak bezbjednosnog profila</w:t>
      </w:r>
    </w:p>
    <w:p w:rsidR="006E4A93" w:rsidRPr="00192010" w:rsidRDefault="006E4A93" w:rsidP="00F434D9">
      <w:pPr>
        <w:tabs>
          <w:tab w:val="left" w:pos="540"/>
          <w:tab w:val="left" w:pos="569"/>
        </w:tabs>
        <w:jc w:val="both"/>
        <w:rPr>
          <w:bCs/>
          <w:i/>
          <w:sz w:val="22"/>
          <w:szCs w:val="22"/>
        </w:rPr>
      </w:pPr>
      <w:r w:rsidRPr="00192010">
        <w:rPr>
          <w:bCs/>
          <w:i/>
          <w:sz w:val="22"/>
          <w:szCs w:val="22"/>
        </w:rPr>
        <w:t>HIV-1 i hepatitis B</w:t>
      </w:r>
    </w:p>
    <w:p w:rsidR="006E4A93" w:rsidRPr="00192010" w:rsidRDefault="006E4A93">
      <w:pPr>
        <w:tabs>
          <w:tab w:val="left" w:pos="540"/>
          <w:tab w:val="left" w:pos="569"/>
        </w:tabs>
        <w:jc w:val="both"/>
        <w:rPr>
          <w:bCs/>
          <w:sz w:val="22"/>
          <w:szCs w:val="22"/>
          <w:lang w:val="hr-HR"/>
        </w:rPr>
      </w:pPr>
      <w:r w:rsidRPr="00192010">
        <w:rPr>
          <w:bCs/>
          <w:sz w:val="22"/>
          <w:szCs w:val="22"/>
        </w:rPr>
        <w:t xml:space="preserve">Kod pacijenata koji primaju tenofovir dizoproksil, prijavljivani su rijetki slučajevi oštećenja bubrežne funkcije, </w:t>
      </w:r>
      <w:r w:rsidRPr="00192010">
        <w:rPr>
          <w:bCs/>
          <w:sz w:val="22"/>
          <w:szCs w:val="22"/>
          <w:lang w:val="hr-HR"/>
        </w:rPr>
        <w:t>bubrežne insuficijencije i proksimalne renalne tubulopatije (uključujući Fankonijev sindrom), koji su nekad dovodili do abnormalnosti kostiju (rijetko izazivajući frakture). Praćenje bubrežne funkcije se preporučuje kod pacijenata koji se liječe tenofovir dizoproksilom (vidjeti odjeljak 4.4).</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i/>
          <w:sz w:val="22"/>
          <w:szCs w:val="22"/>
          <w:lang w:val="hr-HR"/>
        </w:rPr>
      </w:pPr>
      <w:r w:rsidRPr="00192010">
        <w:rPr>
          <w:bCs/>
          <w:i/>
          <w:sz w:val="22"/>
          <w:szCs w:val="22"/>
          <w:lang w:val="hr-HR"/>
        </w:rPr>
        <w:t>HIV-1</w:t>
      </w:r>
    </w:p>
    <w:p w:rsidR="006E4A93" w:rsidRPr="00192010" w:rsidRDefault="006E4A93">
      <w:pPr>
        <w:tabs>
          <w:tab w:val="left" w:pos="540"/>
          <w:tab w:val="left" w:pos="569"/>
        </w:tabs>
        <w:jc w:val="both"/>
        <w:rPr>
          <w:bCs/>
          <w:sz w:val="22"/>
          <w:szCs w:val="22"/>
          <w:lang w:val="hr-HR"/>
        </w:rPr>
      </w:pPr>
      <w:r w:rsidRPr="00192010">
        <w:rPr>
          <w:bCs/>
          <w:sz w:val="22"/>
          <w:szCs w:val="22"/>
          <w:lang w:val="hr-HR"/>
        </w:rPr>
        <w:t xml:space="preserve">Može se očekivati da će približno jedna trećina pacijenata imati neželjene reakcije nakon terapije tenofovir dizoproksilom u kombinaciji sa drugim antiretrovirusnim agensima. Ove reakcije su obično blagi ili umjereni gastrointestinalni događaji. Približno 1% odraslih pacijenata je terapija obustavljena zbog gastrointestinalnih </w:t>
      </w:r>
      <w:r w:rsidRPr="00192010">
        <w:rPr>
          <w:bCs/>
          <w:sz w:val="22"/>
          <w:szCs w:val="22"/>
        </w:rPr>
        <w:t>poremećaja</w:t>
      </w:r>
      <w:r w:rsidRPr="00192010">
        <w:rPr>
          <w:bCs/>
          <w:sz w:val="22"/>
          <w:szCs w:val="22"/>
          <w:lang w:val="hr-HR"/>
        </w:rPr>
        <w:t>.</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i/>
          <w:sz w:val="22"/>
          <w:szCs w:val="22"/>
          <w:lang w:val="hr-HR"/>
        </w:rPr>
      </w:pPr>
      <w:r w:rsidRPr="00192010">
        <w:rPr>
          <w:bCs/>
          <w:i/>
          <w:sz w:val="22"/>
          <w:szCs w:val="22"/>
          <w:lang w:val="hr-HR"/>
        </w:rPr>
        <w:t>Hepatitis B</w:t>
      </w:r>
    </w:p>
    <w:p w:rsidR="006E4A93" w:rsidRPr="00192010" w:rsidRDefault="006E4A93">
      <w:pPr>
        <w:tabs>
          <w:tab w:val="left" w:pos="540"/>
          <w:tab w:val="left" w:pos="569"/>
        </w:tabs>
        <w:jc w:val="both"/>
        <w:rPr>
          <w:bCs/>
          <w:sz w:val="22"/>
          <w:szCs w:val="22"/>
          <w:lang w:val="hr-HR"/>
        </w:rPr>
      </w:pPr>
      <w:r w:rsidRPr="00192010">
        <w:rPr>
          <w:bCs/>
          <w:sz w:val="22"/>
          <w:szCs w:val="22"/>
          <w:lang w:val="hr-HR"/>
        </w:rPr>
        <w:t>Kod približno jedne četvrtine pacijenata može se očekivati pojava neželjenih reakcija, većinom blagih, nakon liječenja tenofovir dizoproksilom. U kliničkim studijama na pacijentima inficiranim virusom hepatitisa B, najučestalija neželjena reakcija bila je mučnina (5,4%).</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sz w:val="22"/>
          <w:szCs w:val="22"/>
          <w:lang w:val="hr-HR"/>
        </w:rPr>
      </w:pPr>
      <w:r w:rsidRPr="00192010">
        <w:rPr>
          <w:bCs/>
          <w:sz w:val="22"/>
          <w:szCs w:val="22"/>
          <w:lang w:val="hr-HR"/>
        </w:rPr>
        <w:t>Akutna egzacerbacija hepatitisa je prijavljivana kod pacijenata na terapiji, kao i kod onih kod kojih je terapija obustavljena (vidjeti odjeljak 4.4).</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sz w:val="22"/>
          <w:szCs w:val="22"/>
          <w:u w:val="single"/>
          <w:lang w:val="hr-HR"/>
        </w:rPr>
      </w:pPr>
      <w:r w:rsidRPr="00192010">
        <w:rPr>
          <w:bCs/>
          <w:sz w:val="22"/>
          <w:szCs w:val="22"/>
          <w:u w:val="single"/>
          <w:lang w:val="hr-HR"/>
        </w:rPr>
        <w:t>Tabelarni prikaz neželjenih dejstava</w:t>
      </w:r>
    </w:p>
    <w:p w:rsidR="006E4A93" w:rsidRPr="00192010" w:rsidRDefault="006E4A93">
      <w:pPr>
        <w:tabs>
          <w:tab w:val="left" w:pos="540"/>
          <w:tab w:val="left" w:pos="569"/>
        </w:tabs>
        <w:jc w:val="both"/>
        <w:rPr>
          <w:bCs/>
          <w:sz w:val="22"/>
          <w:szCs w:val="22"/>
          <w:lang w:val="hr-HR"/>
        </w:rPr>
      </w:pPr>
      <w:r w:rsidRPr="00192010">
        <w:rPr>
          <w:bCs/>
          <w:sz w:val="22"/>
          <w:szCs w:val="22"/>
          <w:lang w:val="hr-HR"/>
        </w:rPr>
        <w:t>Procjena neželjenih reakcija na tenofovir dizoproksil je zasnovana na bezbjednosnim podacima iz kliničkih studija i iz postmarketinškog praćenja. Sve neželjene reakcije su prikazane u Tabeli 2.</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i/>
          <w:sz w:val="22"/>
          <w:szCs w:val="22"/>
          <w:lang w:val="sr-Latn-CS"/>
        </w:rPr>
      </w:pPr>
      <w:r w:rsidRPr="00192010">
        <w:rPr>
          <w:bCs/>
          <w:i/>
          <w:sz w:val="22"/>
          <w:szCs w:val="22"/>
          <w:lang w:val="sr-Latn-CS"/>
        </w:rPr>
        <w:t>Klinička ispitivanja HIV-1</w:t>
      </w:r>
    </w:p>
    <w:p w:rsidR="006E4A93" w:rsidRPr="00192010" w:rsidRDefault="006E4A93">
      <w:pPr>
        <w:tabs>
          <w:tab w:val="left" w:pos="540"/>
          <w:tab w:val="left" w:pos="569"/>
        </w:tabs>
        <w:jc w:val="both"/>
        <w:rPr>
          <w:bCs/>
          <w:sz w:val="22"/>
          <w:szCs w:val="22"/>
          <w:lang w:val="hr-HR"/>
        </w:rPr>
      </w:pPr>
      <w:r w:rsidRPr="00192010">
        <w:rPr>
          <w:bCs/>
          <w:sz w:val="22"/>
          <w:szCs w:val="22"/>
          <w:lang w:val="hr-HR"/>
        </w:rPr>
        <w:t>Procjena neželjenih reakcija iz podataka iz kliničkih ispitivanja je zasnovana na iskustvima iz dva ispitivanja sa 653 pacijenata koji su ranije primali antivirusnu terapiju  i koji su primali terapiju tenofovir dizoproksilom (n=443) ili placebo (n=210) u kombinaciji sa drugim antiretrovirusnim ljekovima tokom 24 nedjelje, i takođe iz dvostruko slijepog komparativnog kontrolisanog ispitivanja tokom koga je 600 pacijenata koji ranije ni</w:t>
      </w:r>
      <w:r w:rsidR="0023449C">
        <w:rPr>
          <w:bCs/>
          <w:sz w:val="22"/>
          <w:szCs w:val="22"/>
          <w:lang w:val="hr-HR"/>
        </w:rPr>
        <w:t>je</w:t>
      </w:r>
      <w:r w:rsidRPr="0023449C">
        <w:rPr>
          <w:bCs/>
          <w:sz w:val="22"/>
          <w:szCs w:val="22"/>
          <w:lang w:val="hr-HR"/>
        </w:rPr>
        <w:t>su primali terapiju primalo tenofovir dizoproksil u dozi od 245 mg (n=299) ili stavudin (n=301) u kombinaciji sa lamivudinom i efavirenzom tokom 144 ned</w:t>
      </w:r>
      <w:r w:rsidRPr="00192010">
        <w:rPr>
          <w:bCs/>
          <w:sz w:val="22"/>
          <w:szCs w:val="22"/>
          <w:lang w:val="hr-HR"/>
        </w:rPr>
        <w:t>jelje.</w:t>
      </w:r>
    </w:p>
    <w:p w:rsidR="006E4A93" w:rsidRPr="00192010" w:rsidRDefault="006E4A93">
      <w:pPr>
        <w:tabs>
          <w:tab w:val="left" w:pos="540"/>
          <w:tab w:val="left" w:pos="569"/>
        </w:tabs>
        <w:jc w:val="both"/>
        <w:rPr>
          <w:bCs/>
          <w:sz w:val="22"/>
          <w:szCs w:val="22"/>
          <w:lang w:val="hr-HR"/>
        </w:rPr>
      </w:pPr>
    </w:p>
    <w:p w:rsidR="0023449C" w:rsidRDefault="0023449C">
      <w:pPr>
        <w:tabs>
          <w:tab w:val="left" w:pos="540"/>
          <w:tab w:val="left" w:pos="569"/>
        </w:tabs>
        <w:jc w:val="both"/>
        <w:rPr>
          <w:bCs/>
          <w:i/>
          <w:sz w:val="22"/>
          <w:szCs w:val="22"/>
          <w:lang w:val="sr-Latn-CS"/>
        </w:rPr>
      </w:pPr>
    </w:p>
    <w:p w:rsidR="006E4A93" w:rsidRPr="0023449C" w:rsidRDefault="006E4A93">
      <w:pPr>
        <w:tabs>
          <w:tab w:val="left" w:pos="540"/>
          <w:tab w:val="left" w:pos="569"/>
        </w:tabs>
        <w:jc w:val="both"/>
        <w:rPr>
          <w:bCs/>
          <w:i/>
          <w:sz w:val="22"/>
          <w:szCs w:val="22"/>
          <w:lang w:val="hr-HR"/>
        </w:rPr>
      </w:pPr>
      <w:r w:rsidRPr="0023449C">
        <w:rPr>
          <w:bCs/>
          <w:i/>
          <w:sz w:val="22"/>
          <w:szCs w:val="22"/>
          <w:lang w:val="sr-Latn-CS"/>
        </w:rPr>
        <w:t>Klinička ispitivanja hepatitisa B</w:t>
      </w:r>
      <w:r w:rsidRPr="0023449C" w:rsidDel="000350E3">
        <w:rPr>
          <w:bCs/>
          <w:i/>
          <w:sz w:val="22"/>
          <w:szCs w:val="22"/>
          <w:lang w:val="hr-HR"/>
        </w:rPr>
        <w:t xml:space="preserve"> </w:t>
      </w:r>
    </w:p>
    <w:p w:rsidR="006E4A93" w:rsidRPr="0023449C" w:rsidRDefault="006E4A93">
      <w:pPr>
        <w:tabs>
          <w:tab w:val="left" w:pos="540"/>
          <w:tab w:val="left" w:pos="569"/>
        </w:tabs>
        <w:jc w:val="both"/>
        <w:rPr>
          <w:bCs/>
          <w:sz w:val="22"/>
          <w:szCs w:val="22"/>
          <w:lang w:val="hr-HR"/>
        </w:rPr>
      </w:pPr>
      <w:r w:rsidRPr="00140452">
        <w:rPr>
          <w:bCs/>
          <w:sz w:val="22"/>
          <w:szCs w:val="22"/>
          <w:lang w:val="hr-HR"/>
        </w:rPr>
        <w:t>Procj</w:t>
      </w:r>
      <w:r w:rsidRPr="00BF6D2A">
        <w:rPr>
          <w:bCs/>
          <w:sz w:val="22"/>
          <w:szCs w:val="22"/>
          <w:lang w:val="hr-HR"/>
        </w:rPr>
        <w:t>ena neželjenih reakcija iz podataka iz kliničkih studija prvenstveno se zasniva na i</w:t>
      </w:r>
      <w:r w:rsidRPr="00A81E6F">
        <w:rPr>
          <w:bCs/>
          <w:sz w:val="22"/>
          <w:szCs w:val="22"/>
          <w:lang w:val="hr-HR"/>
        </w:rPr>
        <w:t>skustvu iz dva dvostruko sl</w:t>
      </w:r>
      <w:r w:rsidRPr="00192010">
        <w:rPr>
          <w:bCs/>
          <w:sz w:val="22"/>
          <w:szCs w:val="22"/>
          <w:lang w:val="hr-HR"/>
        </w:rPr>
        <w:t>ijepa, uporedna kontrolisana ispitivanja u kojima je 641 odrasli pacijent sa hroničnim hepatitisom B i kompenzovanim oboljenjem jetre dobijao 245 mg tenofovir dizoproksila dnevno (n=426) ili 10 mg adefovir dipivoksila dnevno (n=215) tokom 48 nedjelja. Nakon produžetka terapije tokom 384 nedjelja, primijećene neželjene reakcije su odgovarale bezbjednosnom profilu tenofovir dizoproksila. Nakon inicijalnog pada od približno -4,9</w:t>
      </w:r>
      <w:r w:rsidR="00B83CAB" w:rsidRPr="00192010">
        <w:rPr>
          <w:bCs/>
          <w:sz w:val="22"/>
          <w:szCs w:val="22"/>
          <w:lang w:val="hr-HR"/>
        </w:rPr>
        <w:t>ml</w:t>
      </w:r>
      <w:r w:rsidRPr="00192010">
        <w:rPr>
          <w:bCs/>
          <w:sz w:val="22"/>
          <w:szCs w:val="22"/>
          <w:lang w:val="hr-HR"/>
        </w:rPr>
        <w:t>/min (</w:t>
      </w:r>
      <w:r w:rsidR="0023449C">
        <w:rPr>
          <w:bCs/>
          <w:sz w:val="22"/>
          <w:szCs w:val="22"/>
          <w:lang w:val="hr-HR"/>
        </w:rPr>
        <w:t>prema</w:t>
      </w:r>
      <w:r w:rsidR="0023449C" w:rsidRPr="0023449C">
        <w:rPr>
          <w:bCs/>
          <w:sz w:val="22"/>
          <w:szCs w:val="22"/>
          <w:lang w:val="hr-HR"/>
        </w:rPr>
        <w:t xml:space="preserve"> </w:t>
      </w:r>
      <w:r w:rsidRPr="0023449C">
        <w:rPr>
          <w:bCs/>
          <w:i/>
          <w:sz w:val="22"/>
          <w:szCs w:val="22"/>
          <w:lang w:val="hr-HR"/>
        </w:rPr>
        <w:t>Cockcroft-Gault</w:t>
      </w:r>
      <w:r w:rsidRPr="0023449C">
        <w:rPr>
          <w:bCs/>
          <w:sz w:val="22"/>
          <w:szCs w:val="22"/>
          <w:lang w:val="hr-HR"/>
        </w:rPr>
        <w:t xml:space="preserve"> jednačin</w:t>
      </w:r>
      <w:r w:rsidR="0023449C">
        <w:rPr>
          <w:bCs/>
          <w:sz w:val="22"/>
          <w:szCs w:val="22"/>
          <w:lang w:val="hr-HR"/>
        </w:rPr>
        <w:t>i</w:t>
      </w:r>
      <w:r w:rsidRPr="0023449C">
        <w:rPr>
          <w:bCs/>
          <w:sz w:val="22"/>
          <w:szCs w:val="22"/>
          <w:lang w:val="hr-HR"/>
        </w:rPr>
        <w:t>) ili -3,9</w:t>
      </w:r>
      <w:r w:rsidR="00B83CAB" w:rsidRPr="0023449C">
        <w:rPr>
          <w:bCs/>
          <w:sz w:val="22"/>
          <w:szCs w:val="22"/>
          <w:lang w:val="hr-HR"/>
        </w:rPr>
        <w:t>ml</w:t>
      </w:r>
      <w:r w:rsidRPr="0023449C">
        <w:rPr>
          <w:bCs/>
          <w:sz w:val="22"/>
          <w:szCs w:val="22"/>
          <w:lang w:val="hr-HR"/>
        </w:rPr>
        <w:t>/min/1,73m</w:t>
      </w:r>
      <w:r w:rsidRPr="0023449C">
        <w:rPr>
          <w:bCs/>
          <w:sz w:val="22"/>
          <w:szCs w:val="22"/>
          <w:vertAlign w:val="superscript"/>
          <w:lang w:val="hr-HR"/>
        </w:rPr>
        <w:t>2</w:t>
      </w:r>
      <w:r w:rsidRPr="0023449C">
        <w:rPr>
          <w:bCs/>
          <w:sz w:val="22"/>
          <w:szCs w:val="22"/>
          <w:lang w:val="hr-HR"/>
        </w:rPr>
        <w:t xml:space="preserve"> </w:t>
      </w:r>
      <w:r w:rsidR="0023449C">
        <w:rPr>
          <w:bCs/>
          <w:sz w:val="22"/>
          <w:szCs w:val="22"/>
          <w:lang w:val="hr-HR"/>
        </w:rPr>
        <w:t xml:space="preserve">prema </w:t>
      </w:r>
      <w:r w:rsidR="0023449C" w:rsidRPr="00107060">
        <w:rPr>
          <w:bCs/>
          <w:sz w:val="22"/>
          <w:szCs w:val="22"/>
          <w:lang w:val="hr-HR"/>
        </w:rPr>
        <w:t>MDRD</w:t>
      </w:r>
      <w:r w:rsidRPr="0023449C">
        <w:rPr>
          <w:bCs/>
          <w:sz w:val="22"/>
          <w:szCs w:val="22"/>
          <w:lang w:val="hr-HR"/>
        </w:rPr>
        <w:t xml:space="preserve"> jednačin</w:t>
      </w:r>
      <w:r w:rsidR="0023449C">
        <w:rPr>
          <w:bCs/>
          <w:sz w:val="22"/>
          <w:szCs w:val="22"/>
          <w:lang w:val="hr-HR"/>
        </w:rPr>
        <w:t>i</w:t>
      </w:r>
      <w:r w:rsidRPr="0023449C">
        <w:rPr>
          <w:bCs/>
          <w:sz w:val="22"/>
          <w:szCs w:val="22"/>
          <w:lang w:val="hr-HR"/>
        </w:rPr>
        <w:t xml:space="preserve"> (engl. </w:t>
      </w:r>
      <w:r w:rsidRPr="0023449C">
        <w:rPr>
          <w:bCs/>
          <w:i/>
          <w:sz w:val="22"/>
          <w:szCs w:val="22"/>
        </w:rPr>
        <w:t>modification of diet in renal disease</w:t>
      </w:r>
      <w:r w:rsidRPr="0023449C">
        <w:rPr>
          <w:bCs/>
          <w:sz w:val="22"/>
          <w:szCs w:val="22"/>
        </w:rPr>
        <w:t xml:space="preserve">, </w:t>
      </w:r>
      <w:r w:rsidRPr="0023449C">
        <w:rPr>
          <w:bCs/>
          <w:sz w:val="22"/>
          <w:szCs w:val="22"/>
          <w:lang w:val="hr-HR"/>
        </w:rPr>
        <w:t>MDRD) nakon prvih 4 nedjelje liječenja, stopa godišnjeg opadanja bubrežne funkcije od početne kod pacijenata liječenih tenofovir dizoproksilom bio je -1,41</w:t>
      </w:r>
      <w:r w:rsidR="00B83CAB" w:rsidRPr="0023449C">
        <w:rPr>
          <w:bCs/>
          <w:sz w:val="22"/>
          <w:szCs w:val="22"/>
          <w:lang w:val="hr-HR"/>
        </w:rPr>
        <w:t>ml</w:t>
      </w:r>
      <w:r w:rsidRPr="0023449C">
        <w:rPr>
          <w:bCs/>
          <w:sz w:val="22"/>
          <w:szCs w:val="22"/>
          <w:lang w:val="hr-HR"/>
        </w:rPr>
        <w:t>/min godišnje (</w:t>
      </w:r>
      <w:r w:rsidR="0023449C">
        <w:rPr>
          <w:bCs/>
          <w:sz w:val="22"/>
          <w:szCs w:val="22"/>
          <w:lang w:val="hr-HR"/>
        </w:rPr>
        <w:t xml:space="preserve">prema </w:t>
      </w:r>
      <w:r w:rsidRPr="0023449C">
        <w:rPr>
          <w:bCs/>
          <w:i/>
          <w:sz w:val="22"/>
          <w:szCs w:val="22"/>
          <w:lang w:val="hr-HR"/>
        </w:rPr>
        <w:t>Cockcroft-Gault</w:t>
      </w:r>
      <w:r w:rsidRPr="0023449C">
        <w:rPr>
          <w:bCs/>
          <w:sz w:val="22"/>
          <w:szCs w:val="22"/>
          <w:lang w:val="hr-HR"/>
        </w:rPr>
        <w:t xml:space="preserve"> jednačin</w:t>
      </w:r>
      <w:r w:rsidR="0023449C">
        <w:rPr>
          <w:bCs/>
          <w:sz w:val="22"/>
          <w:szCs w:val="22"/>
          <w:lang w:val="hr-HR"/>
        </w:rPr>
        <w:t>i</w:t>
      </w:r>
      <w:r w:rsidRPr="0023449C">
        <w:rPr>
          <w:bCs/>
          <w:sz w:val="22"/>
          <w:szCs w:val="22"/>
          <w:lang w:val="hr-HR"/>
        </w:rPr>
        <w:t>) i -0,74</w:t>
      </w:r>
      <w:r w:rsidR="00B83CAB" w:rsidRPr="0023449C">
        <w:rPr>
          <w:bCs/>
          <w:sz w:val="22"/>
          <w:szCs w:val="22"/>
          <w:lang w:val="hr-HR"/>
        </w:rPr>
        <w:t>ml</w:t>
      </w:r>
      <w:r w:rsidRPr="0023449C">
        <w:rPr>
          <w:bCs/>
          <w:sz w:val="22"/>
          <w:szCs w:val="22"/>
          <w:lang w:val="hr-HR"/>
        </w:rPr>
        <w:t>/min/1,73m</w:t>
      </w:r>
      <w:r w:rsidRPr="0023449C">
        <w:rPr>
          <w:bCs/>
          <w:sz w:val="22"/>
          <w:szCs w:val="22"/>
          <w:vertAlign w:val="superscript"/>
          <w:lang w:val="hr-HR"/>
        </w:rPr>
        <w:t>2</w:t>
      </w:r>
      <w:r w:rsidRPr="0023449C">
        <w:rPr>
          <w:bCs/>
          <w:sz w:val="22"/>
          <w:szCs w:val="22"/>
          <w:lang w:val="hr-HR"/>
        </w:rPr>
        <w:t xml:space="preserve"> godišnje (</w:t>
      </w:r>
      <w:r w:rsidR="0023449C">
        <w:rPr>
          <w:bCs/>
          <w:sz w:val="22"/>
          <w:szCs w:val="22"/>
          <w:lang w:val="hr-HR"/>
        </w:rPr>
        <w:t>prema</w:t>
      </w:r>
      <w:r w:rsidR="0023449C" w:rsidRPr="0023449C">
        <w:rPr>
          <w:bCs/>
          <w:sz w:val="22"/>
          <w:szCs w:val="22"/>
          <w:lang w:val="hr-HR"/>
        </w:rPr>
        <w:t xml:space="preserve"> </w:t>
      </w:r>
      <w:r w:rsidRPr="0023449C">
        <w:rPr>
          <w:bCs/>
          <w:sz w:val="22"/>
          <w:szCs w:val="22"/>
          <w:lang w:val="hr-HR"/>
        </w:rPr>
        <w:t>MDRD jednačin</w:t>
      </w:r>
      <w:r w:rsidR="0023449C">
        <w:rPr>
          <w:bCs/>
          <w:sz w:val="22"/>
          <w:szCs w:val="22"/>
          <w:lang w:val="hr-HR"/>
        </w:rPr>
        <w:t>i</w:t>
      </w:r>
      <w:r w:rsidRPr="0023449C">
        <w:rPr>
          <w:bCs/>
          <w:sz w:val="22"/>
          <w:szCs w:val="22"/>
          <w:lang w:val="hr-HR"/>
        </w:rPr>
        <w:t>).</w:t>
      </w:r>
    </w:p>
    <w:p w:rsidR="006E4A93" w:rsidRPr="00140452"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i/>
          <w:sz w:val="22"/>
          <w:szCs w:val="22"/>
          <w:lang w:val="hr-HR"/>
        </w:rPr>
      </w:pPr>
      <w:r w:rsidRPr="00192010">
        <w:rPr>
          <w:bCs/>
          <w:i/>
          <w:sz w:val="22"/>
          <w:szCs w:val="22"/>
          <w:lang w:val="hr-HR"/>
        </w:rPr>
        <w:t>Pacijenti sa dekompenzovanim oboljenjem jetre</w:t>
      </w:r>
    </w:p>
    <w:p w:rsidR="006E4A93" w:rsidRPr="00192010" w:rsidRDefault="006E4A93">
      <w:pPr>
        <w:tabs>
          <w:tab w:val="left" w:pos="540"/>
          <w:tab w:val="left" w:pos="569"/>
        </w:tabs>
        <w:jc w:val="both"/>
        <w:rPr>
          <w:bCs/>
          <w:sz w:val="22"/>
          <w:szCs w:val="22"/>
          <w:lang w:val="hr-HR"/>
        </w:rPr>
      </w:pPr>
      <w:r w:rsidRPr="00192010">
        <w:rPr>
          <w:bCs/>
          <w:sz w:val="22"/>
          <w:szCs w:val="22"/>
          <w:lang w:val="hr-HR"/>
        </w:rPr>
        <w:t>Bezbjednosni profil tenofovir dizoproksila kod pacijenata sa dekompenzovanim oboljenjem jetre je procijenjen na osnovu dvostruko slijepe studije sa aktivnom kontrolom (GS-US-173-0108), u kojoj su odrasli pacijenti primali tenofovir</w:t>
      </w:r>
      <w:r w:rsidR="00CC2066" w:rsidRPr="00192010">
        <w:rPr>
          <w:bCs/>
          <w:sz w:val="22"/>
          <w:szCs w:val="22"/>
          <w:lang w:val="hr-HR"/>
        </w:rPr>
        <w:t xml:space="preserve"> </w:t>
      </w:r>
      <w:r w:rsidRPr="00192010">
        <w:rPr>
          <w:bCs/>
          <w:sz w:val="22"/>
          <w:szCs w:val="22"/>
          <w:lang w:val="hr-HR"/>
        </w:rPr>
        <w:t>dizoproksil  (n=45) ili emtricitabin plus tenofovir</w:t>
      </w:r>
      <w:r w:rsidR="00CC2066" w:rsidRPr="00192010">
        <w:rPr>
          <w:bCs/>
          <w:sz w:val="22"/>
          <w:szCs w:val="22"/>
          <w:lang w:val="hr-HR"/>
        </w:rPr>
        <w:t xml:space="preserve"> </w:t>
      </w:r>
      <w:r w:rsidRPr="00192010">
        <w:rPr>
          <w:bCs/>
          <w:sz w:val="22"/>
          <w:szCs w:val="22"/>
          <w:lang w:val="hr-HR"/>
        </w:rPr>
        <w:t>dizoproksil (n=45) ili entekavir (n=22), tokom 48 ned</w:t>
      </w:r>
      <w:r w:rsidR="00CC2066" w:rsidRPr="00192010">
        <w:rPr>
          <w:bCs/>
          <w:sz w:val="22"/>
          <w:szCs w:val="22"/>
          <w:lang w:val="hr-HR"/>
        </w:rPr>
        <w:t>j</w:t>
      </w:r>
      <w:r w:rsidRPr="00192010">
        <w:rPr>
          <w:bCs/>
          <w:sz w:val="22"/>
          <w:szCs w:val="22"/>
          <w:lang w:val="hr-HR"/>
        </w:rPr>
        <w:t>elja.</w:t>
      </w:r>
    </w:p>
    <w:p w:rsidR="006E4A93" w:rsidRPr="00192010" w:rsidRDefault="006E4A93">
      <w:pPr>
        <w:tabs>
          <w:tab w:val="left" w:pos="540"/>
          <w:tab w:val="left" w:pos="569"/>
        </w:tabs>
        <w:jc w:val="both"/>
        <w:rPr>
          <w:bCs/>
          <w:sz w:val="22"/>
          <w:szCs w:val="22"/>
          <w:lang w:val="hr-HR"/>
        </w:rPr>
      </w:pPr>
    </w:p>
    <w:p w:rsidR="006E4A93" w:rsidRPr="0023449C" w:rsidRDefault="006E4A93">
      <w:pPr>
        <w:tabs>
          <w:tab w:val="left" w:pos="540"/>
          <w:tab w:val="left" w:pos="569"/>
        </w:tabs>
        <w:jc w:val="both"/>
        <w:rPr>
          <w:bCs/>
          <w:sz w:val="22"/>
          <w:szCs w:val="22"/>
        </w:rPr>
      </w:pPr>
      <w:r w:rsidRPr="00192010">
        <w:rPr>
          <w:bCs/>
          <w:sz w:val="22"/>
          <w:szCs w:val="22"/>
        </w:rPr>
        <w:t>U grupi koja je primala terapiju tenofovir</w:t>
      </w:r>
      <w:r w:rsidR="00CC2066" w:rsidRPr="00192010">
        <w:rPr>
          <w:bCs/>
          <w:sz w:val="22"/>
          <w:szCs w:val="22"/>
        </w:rPr>
        <w:t xml:space="preserve"> </w:t>
      </w:r>
      <w:r w:rsidRPr="00192010">
        <w:rPr>
          <w:bCs/>
          <w:sz w:val="22"/>
          <w:szCs w:val="22"/>
        </w:rPr>
        <w:t>dizoproksilom, 7% pacijenata prekinulo je l</w:t>
      </w:r>
      <w:r w:rsidR="00CC2066" w:rsidRPr="00192010">
        <w:rPr>
          <w:bCs/>
          <w:sz w:val="22"/>
          <w:szCs w:val="22"/>
        </w:rPr>
        <w:t>ij</w:t>
      </w:r>
      <w:r w:rsidRPr="00192010">
        <w:rPr>
          <w:bCs/>
          <w:sz w:val="22"/>
          <w:szCs w:val="22"/>
        </w:rPr>
        <w:t>ečenje zbog neželjenih događaja; 9% pacijenata iskusilo je potvrđeni porast kreatinina u serumu od ≥ 0,5 mg/d</w:t>
      </w:r>
      <w:r w:rsidR="0023449C">
        <w:rPr>
          <w:bCs/>
          <w:sz w:val="22"/>
          <w:szCs w:val="22"/>
        </w:rPr>
        <w:t>l</w:t>
      </w:r>
      <w:r w:rsidRPr="0023449C">
        <w:rPr>
          <w:bCs/>
          <w:sz w:val="22"/>
          <w:szCs w:val="22"/>
        </w:rPr>
        <w:t xml:space="preserve"> ili potvrđenu koncentraciju fosfata u serumu od &lt; 2 mg/d</w:t>
      </w:r>
      <w:r w:rsidR="0023449C">
        <w:rPr>
          <w:bCs/>
          <w:sz w:val="22"/>
          <w:szCs w:val="22"/>
        </w:rPr>
        <w:t>l</w:t>
      </w:r>
      <w:r w:rsidRPr="0023449C">
        <w:rPr>
          <w:bCs/>
          <w:sz w:val="22"/>
          <w:szCs w:val="22"/>
        </w:rPr>
        <w:t xml:space="preserve"> do 48. ned</w:t>
      </w:r>
      <w:r w:rsidR="00CC2066" w:rsidRPr="0023449C">
        <w:rPr>
          <w:bCs/>
          <w:sz w:val="22"/>
          <w:szCs w:val="22"/>
        </w:rPr>
        <w:t>j</w:t>
      </w:r>
      <w:r w:rsidRPr="0023449C">
        <w:rPr>
          <w:bCs/>
          <w:sz w:val="22"/>
          <w:szCs w:val="22"/>
        </w:rPr>
        <w:t>elje; nije bilo statistički značajnih razlika između grupe koja je primala k</w:t>
      </w:r>
      <w:r w:rsidRPr="00140452">
        <w:rPr>
          <w:bCs/>
          <w:sz w:val="22"/>
          <w:szCs w:val="22"/>
        </w:rPr>
        <w:t xml:space="preserve">ombinovanu terapiju </w:t>
      </w:r>
      <w:r w:rsidR="00CC2066" w:rsidRPr="00140452">
        <w:rPr>
          <w:bCs/>
          <w:sz w:val="22"/>
          <w:szCs w:val="22"/>
        </w:rPr>
        <w:t>koja je sadrža</w:t>
      </w:r>
      <w:r w:rsidRPr="00BF6D2A">
        <w:rPr>
          <w:bCs/>
          <w:sz w:val="22"/>
          <w:szCs w:val="22"/>
        </w:rPr>
        <w:t>la tenofovir i grupe koja je primala entekavir. Nakon 168 ned</w:t>
      </w:r>
      <w:r w:rsidR="00CC2066" w:rsidRPr="00192010">
        <w:rPr>
          <w:bCs/>
          <w:sz w:val="22"/>
          <w:szCs w:val="22"/>
        </w:rPr>
        <w:t>j</w:t>
      </w:r>
      <w:r w:rsidRPr="00192010">
        <w:rPr>
          <w:bCs/>
          <w:sz w:val="22"/>
          <w:szCs w:val="22"/>
        </w:rPr>
        <w:t>elja, 16% (7/45) pacijenata iz grupe l</w:t>
      </w:r>
      <w:r w:rsidR="00CC2066" w:rsidRPr="00192010">
        <w:rPr>
          <w:bCs/>
          <w:sz w:val="22"/>
          <w:szCs w:val="22"/>
        </w:rPr>
        <w:t>ij</w:t>
      </w:r>
      <w:r w:rsidRPr="00192010">
        <w:rPr>
          <w:bCs/>
          <w:sz w:val="22"/>
          <w:szCs w:val="22"/>
        </w:rPr>
        <w:t>ečene tenofovir</w:t>
      </w:r>
      <w:r w:rsidR="00CC2066" w:rsidRPr="00192010">
        <w:rPr>
          <w:bCs/>
          <w:sz w:val="22"/>
          <w:szCs w:val="22"/>
        </w:rPr>
        <w:t xml:space="preserve"> </w:t>
      </w:r>
      <w:r w:rsidRPr="00192010">
        <w:rPr>
          <w:bCs/>
          <w:sz w:val="22"/>
          <w:szCs w:val="22"/>
        </w:rPr>
        <w:t>dizoproksilom, 4% (2/45) pacijenata iz grupe l</w:t>
      </w:r>
      <w:r w:rsidR="00CC2066" w:rsidRPr="00192010">
        <w:rPr>
          <w:bCs/>
          <w:sz w:val="22"/>
          <w:szCs w:val="22"/>
        </w:rPr>
        <w:t>ij</w:t>
      </w:r>
      <w:r w:rsidRPr="00192010">
        <w:rPr>
          <w:bCs/>
          <w:sz w:val="22"/>
          <w:szCs w:val="22"/>
        </w:rPr>
        <w:t>ečene emtricitabinom u kombinaciji sa tenofovir</w:t>
      </w:r>
      <w:r w:rsidR="00CC2066" w:rsidRPr="00192010">
        <w:rPr>
          <w:bCs/>
          <w:sz w:val="22"/>
          <w:szCs w:val="22"/>
        </w:rPr>
        <w:t xml:space="preserve"> </w:t>
      </w:r>
      <w:r w:rsidRPr="00192010">
        <w:rPr>
          <w:bCs/>
          <w:sz w:val="22"/>
          <w:szCs w:val="22"/>
        </w:rPr>
        <w:t>dizoproksilom i 14% (3/22) pacijenata iz grupe l</w:t>
      </w:r>
      <w:r w:rsidR="00CC2066" w:rsidRPr="00192010">
        <w:rPr>
          <w:bCs/>
          <w:sz w:val="22"/>
          <w:szCs w:val="22"/>
        </w:rPr>
        <w:t>ij</w:t>
      </w:r>
      <w:r w:rsidRPr="00192010">
        <w:rPr>
          <w:bCs/>
          <w:sz w:val="22"/>
          <w:szCs w:val="22"/>
        </w:rPr>
        <w:t>ečene entekavirom doživ</w:t>
      </w:r>
      <w:r w:rsidR="00CC2066" w:rsidRPr="00192010">
        <w:rPr>
          <w:bCs/>
          <w:sz w:val="22"/>
          <w:szCs w:val="22"/>
        </w:rPr>
        <w:t>j</w:t>
      </w:r>
      <w:r w:rsidRPr="00192010">
        <w:rPr>
          <w:bCs/>
          <w:sz w:val="22"/>
          <w:szCs w:val="22"/>
        </w:rPr>
        <w:t>elo je prestanak tolerancije. Trinaest procenata (6/45) pacijenata iz grupe l</w:t>
      </w:r>
      <w:r w:rsidR="00CC2066" w:rsidRPr="00192010">
        <w:rPr>
          <w:bCs/>
          <w:sz w:val="22"/>
          <w:szCs w:val="22"/>
        </w:rPr>
        <w:t>ij</w:t>
      </w:r>
      <w:r w:rsidRPr="00192010">
        <w:rPr>
          <w:bCs/>
          <w:sz w:val="22"/>
          <w:szCs w:val="22"/>
        </w:rPr>
        <w:t>ečene tenofovir</w:t>
      </w:r>
      <w:r w:rsidR="00CC2066" w:rsidRPr="00192010">
        <w:rPr>
          <w:bCs/>
          <w:sz w:val="22"/>
          <w:szCs w:val="22"/>
        </w:rPr>
        <w:t xml:space="preserve"> </w:t>
      </w:r>
      <w:r w:rsidRPr="00192010">
        <w:rPr>
          <w:bCs/>
          <w:sz w:val="22"/>
          <w:szCs w:val="22"/>
        </w:rPr>
        <w:t>dizoproksilom, 13% (6/45) pacijenata iz grupe l</w:t>
      </w:r>
      <w:r w:rsidR="00CC2066" w:rsidRPr="00192010">
        <w:rPr>
          <w:bCs/>
          <w:sz w:val="22"/>
          <w:szCs w:val="22"/>
        </w:rPr>
        <w:t>ij</w:t>
      </w:r>
      <w:r w:rsidRPr="00192010">
        <w:rPr>
          <w:bCs/>
          <w:sz w:val="22"/>
          <w:szCs w:val="22"/>
        </w:rPr>
        <w:t>ečene emtricitabinom u kombinaciji sa tenofovir</w:t>
      </w:r>
      <w:r w:rsidR="00CC2066" w:rsidRPr="00192010">
        <w:rPr>
          <w:bCs/>
          <w:sz w:val="22"/>
          <w:szCs w:val="22"/>
        </w:rPr>
        <w:t xml:space="preserve"> </w:t>
      </w:r>
      <w:r w:rsidRPr="00192010">
        <w:rPr>
          <w:bCs/>
          <w:sz w:val="22"/>
          <w:szCs w:val="22"/>
        </w:rPr>
        <w:t>dizoproksilom i 9% (2/22) pacijenata iz grupe l</w:t>
      </w:r>
      <w:r w:rsidR="00CC2066" w:rsidRPr="00192010">
        <w:rPr>
          <w:bCs/>
          <w:sz w:val="22"/>
          <w:szCs w:val="22"/>
        </w:rPr>
        <w:t>ij</w:t>
      </w:r>
      <w:r w:rsidRPr="00192010">
        <w:rPr>
          <w:bCs/>
          <w:sz w:val="22"/>
          <w:szCs w:val="22"/>
        </w:rPr>
        <w:t>ečene entekavirom imalo je potvrđeno povećanje koncentracije kreatinina u serumu ≥ 0,5 mg/d</w:t>
      </w:r>
      <w:r w:rsidR="0023449C">
        <w:rPr>
          <w:bCs/>
          <w:sz w:val="22"/>
          <w:szCs w:val="22"/>
        </w:rPr>
        <w:t>l</w:t>
      </w:r>
      <w:r w:rsidRPr="0023449C">
        <w:rPr>
          <w:bCs/>
          <w:sz w:val="22"/>
          <w:szCs w:val="22"/>
        </w:rPr>
        <w:t xml:space="preserve"> ili potvrđenu koncentraciju fosfata u serumu od &lt; 2 mg/d</w:t>
      </w:r>
      <w:r w:rsidR="0023449C">
        <w:rPr>
          <w:bCs/>
          <w:sz w:val="22"/>
          <w:szCs w:val="22"/>
        </w:rPr>
        <w:t>l</w:t>
      </w:r>
      <w:r w:rsidRPr="0023449C">
        <w:rPr>
          <w:bCs/>
          <w:sz w:val="22"/>
          <w:szCs w:val="22"/>
        </w:rPr>
        <w:t>.</w:t>
      </w:r>
    </w:p>
    <w:p w:rsidR="006E4A93" w:rsidRPr="00140452"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sz w:val="22"/>
          <w:szCs w:val="22"/>
          <w:lang w:val="hr-HR"/>
        </w:rPr>
      </w:pPr>
      <w:r w:rsidRPr="00192010">
        <w:rPr>
          <w:bCs/>
          <w:sz w:val="22"/>
          <w:szCs w:val="22"/>
          <w:lang w:val="hr-HR"/>
        </w:rPr>
        <w:t>U 168. ned</w:t>
      </w:r>
      <w:r w:rsidR="00CC2066" w:rsidRPr="00192010">
        <w:rPr>
          <w:bCs/>
          <w:sz w:val="22"/>
          <w:szCs w:val="22"/>
          <w:lang w:val="hr-HR"/>
        </w:rPr>
        <w:t>j</w:t>
      </w:r>
      <w:r w:rsidRPr="00192010">
        <w:rPr>
          <w:bCs/>
          <w:sz w:val="22"/>
          <w:szCs w:val="22"/>
          <w:lang w:val="hr-HR"/>
        </w:rPr>
        <w:t>elji, učestalost smrtnih ishoda među pacijentima sa dekompenzovanim oboljenjem jetre je bila 13% (6/45) u grupi sa tenofovir</w:t>
      </w:r>
      <w:r w:rsidR="00CC2066" w:rsidRPr="00192010">
        <w:rPr>
          <w:bCs/>
          <w:sz w:val="22"/>
          <w:szCs w:val="22"/>
          <w:lang w:val="hr-HR"/>
        </w:rPr>
        <w:t xml:space="preserve"> </w:t>
      </w:r>
      <w:r w:rsidRPr="00192010">
        <w:rPr>
          <w:bCs/>
          <w:sz w:val="22"/>
          <w:szCs w:val="22"/>
          <w:lang w:val="hr-HR"/>
        </w:rPr>
        <w:t>dizoproksilom, 11% (5/45) u grupi sa emtricitabinom i tenofovir</w:t>
      </w:r>
      <w:r w:rsidR="00CC2066" w:rsidRPr="00192010">
        <w:rPr>
          <w:bCs/>
          <w:sz w:val="22"/>
          <w:szCs w:val="22"/>
          <w:lang w:val="hr-HR"/>
        </w:rPr>
        <w:t xml:space="preserve"> </w:t>
      </w:r>
      <w:r w:rsidRPr="00192010">
        <w:rPr>
          <w:bCs/>
          <w:sz w:val="22"/>
          <w:szCs w:val="22"/>
          <w:lang w:val="hr-HR"/>
        </w:rPr>
        <w:t>dizoproksilom i 14% (3/22) u grupi sa entakavirom. Učestalost hepatocelularnog karcinoma je bila 18% (8/45) u grupi sa tenofovir</w:t>
      </w:r>
      <w:r w:rsidR="00CC2066" w:rsidRPr="00192010">
        <w:rPr>
          <w:bCs/>
          <w:sz w:val="22"/>
          <w:szCs w:val="22"/>
          <w:lang w:val="hr-HR"/>
        </w:rPr>
        <w:t xml:space="preserve"> </w:t>
      </w:r>
      <w:r w:rsidRPr="00192010">
        <w:rPr>
          <w:bCs/>
          <w:sz w:val="22"/>
          <w:szCs w:val="22"/>
          <w:lang w:val="hr-HR"/>
        </w:rPr>
        <w:t>dizoproksilom, 7% (3/45) u grupi sa emtricitabinom i tenofovir</w:t>
      </w:r>
      <w:r w:rsidR="00CC2066" w:rsidRPr="00192010">
        <w:rPr>
          <w:bCs/>
          <w:sz w:val="22"/>
          <w:szCs w:val="22"/>
          <w:lang w:val="hr-HR"/>
        </w:rPr>
        <w:t xml:space="preserve"> </w:t>
      </w:r>
      <w:r w:rsidRPr="00192010">
        <w:rPr>
          <w:bCs/>
          <w:sz w:val="22"/>
          <w:szCs w:val="22"/>
          <w:lang w:val="hr-HR"/>
        </w:rPr>
        <w:t>dizoproksilom i 9% (2/22) u grupi sa entekavirom.</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sz w:val="22"/>
          <w:szCs w:val="22"/>
          <w:lang w:val="hr-HR"/>
        </w:rPr>
      </w:pPr>
      <w:r w:rsidRPr="00192010">
        <w:rPr>
          <w:bCs/>
          <w:sz w:val="22"/>
          <w:szCs w:val="22"/>
          <w:lang w:val="hr-HR"/>
        </w:rPr>
        <w:t>Pacijenti sa visokim CPT skorom na početku l</w:t>
      </w:r>
      <w:r w:rsidR="00CC2066" w:rsidRPr="00192010">
        <w:rPr>
          <w:bCs/>
          <w:sz w:val="22"/>
          <w:szCs w:val="22"/>
          <w:lang w:val="hr-HR"/>
        </w:rPr>
        <w:t>ij</w:t>
      </w:r>
      <w:r w:rsidRPr="00192010">
        <w:rPr>
          <w:bCs/>
          <w:sz w:val="22"/>
          <w:szCs w:val="22"/>
          <w:lang w:val="hr-HR"/>
        </w:rPr>
        <w:t>ečenja su bili u većem riziku od razvoja ozbiljnih neželjenih reakcija (vid</w:t>
      </w:r>
      <w:r w:rsidR="00CC2066" w:rsidRPr="00192010">
        <w:rPr>
          <w:bCs/>
          <w:sz w:val="22"/>
          <w:szCs w:val="22"/>
          <w:lang w:val="hr-HR"/>
        </w:rPr>
        <w:t>j</w:t>
      </w:r>
      <w:r w:rsidRPr="00192010">
        <w:rPr>
          <w:bCs/>
          <w:sz w:val="22"/>
          <w:szCs w:val="22"/>
          <w:lang w:val="hr-HR"/>
        </w:rPr>
        <w:t>eti od</w:t>
      </w:r>
      <w:r w:rsidR="00CC2066" w:rsidRPr="00192010">
        <w:rPr>
          <w:bCs/>
          <w:sz w:val="22"/>
          <w:szCs w:val="22"/>
          <w:lang w:val="hr-HR"/>
        </w:rPr>
        <w:t>j</w:t>
      </w:r>
      <w:r w:rsidRPr="00192010">
        <w:rPr>
          <w:bCs/>
          <w:sz w:val="22"/>
          <w:szCs w:val="22"/>
          <w:lang w:val="hr-HR"/>
        </w:rPr>
        <w:t>eljak 4.4).</w:t>
      </w:r>
    </w:p>
    <w:p w:rsidR="006E4A93" w:rsidRPr="00192010" w:rsidRDefault="006E4A93">
      <w:pPr>
        <w:tabs>
          <w:tab w:val="left" w:pos="540"/>
          <w:tab w:val="left" w:pos="569"/>
        </w:tabs>
        <w:jc w:val="both"/>
        <w:rPr>
          <w:bCs/>
          <w:sz w:val="22"/>
          <w:szCs w:val="22"/>
          <w:lang w:val="hr-HR"/>
        </w:rPr>
      </w:pPr>
    </w:p>
    <w:p w:rsidR="006E4A93" w:rsidRPr="00192010" w:rsidRDefault="006E4A93">
      <w:pPr>
        <w:tabs>
          <w:tab w:val="left" w:pos="540"/>
          <w:tab w:val="left" w:pos="569"/>
        </w:tabs>
        <w:jc w:val="both"/>
        <w:rPr>
          <w:bCs/>
          <w:i/>
          <w:sz w:val="22"/>
          <w:szCs w:val="22"/>
          <w:lang w:val="sr-Latn-CS"/>
        </w:rPr>
      </w:pPr>
      <w:r w:rsidRPr="00192010">
        <w:rPr>
          <w:bCs/>
          <w:i/>
          <w:sz w:val="22"/>
          <w:szCs w:val="22"/>
          <w:lang w:val="sr-Latn-CS"/>
        </w:rPr>
        <w:t>Pacijenti sa hroničnim hepatitisom B rezistentnim na lamivudin</w:t>
      </w:r>
    </w:p>
    <w:p w:rsidR="006E4A93" w:rsidRPr="00192010" w:rsidRDefault="006E4A93">
      <w:pPr>
        <w:tabs>
          <w:tab w:val="left" w:pos="540"/>
          <w:tab w:val="left" w:pos="569"/>
        </w:tabs>
        <w:jc w:val="both"/>
        <w:rPr>
          <w:bCs/>
          <w:sz w:val="22"/>
          <w:szCs w:val="22"/>
          <w:lang w:val="hr-HR"/>
        </w:rPr>
      </w:pPr>
      <w:r w:rsidRPr="00192010">
        <w:rPr>
          <w:bCs/>
          <w:sz w:val="22"/>
          <w:szCs w:val="22"/>
          <w:lang w:val="hr-HR"/>
        </w:rPr>
        <w:t>Ni</w:t>
      </w:r>
      <w:r w:rsidR="0023449C">
        <w:rPr>
          <w:bCs/>
          <w:sz w:val="22"/>
          <w:szCs w:val="22"/>
          <w:lang w:val="hr-HR"/>
        </w:rPr>
        <w:t>je</w:t>
      </w:r>
      <w:r w:rsidRPr="0023449C">
        <w:rPr>
          <w:bCs/>
          <w:sz w:val="22"/>
          <w:szCs w:val="22"/>
          <w:lang w:val="hr-HR"/>
        </w:rPr>
        <w:t>su zapažene nove neželjene reakcije na tenofovir</w:t>
      </w:r>
      <w:r w:rsidR="00CC2066" w:rsidRPr="0023449C">
        <w:rPr>
          <w:bCs/>
          <w:sz w:val="22"/>
          <w:szCs w:val="22"/>
          <w:lang w:val="hr-HR"/>
        </w:rPr>
        <w:t xml:space="preserve"> </w:t>
      </w:r>
      <w:r w:rsidRPr="0023449C">
        <w:rPr>
          <w:bCs/>
          <w:sz w:val="22"/>
          <w:szCs w:val="22"/>
          <w:lang w:val="hr-HR"/>
        </w:rPr>
        <w:t>dizoproksil u randomizovanoj, dvostruko sl</w:t>
      </w:r>
      <w:r w:rsidR="00CC2066" w:rsidRPr="0023449C">
        <w:rPr>
          <w:bCs/>
          <w:sz w:val="22"/>
          <w:szCs w:val="22"/>
          <w:lang w:val="hr-HR"/>
        </w:rPr>
        <w:t>ij</w:t>
      </w:r>
      <w:r w:rsidRPr="0023449C">
        <w:rPr>
          <w:bCs/>
          <w:sz w:val="22"/>
          <w:szCs w:val="22"/>
          <w:lang w:val="hr-HR"/>
        </w:rPr>
        <w:t>epoj studiji (GS-US-174-0121) u kojoj je 280 pacijenata rezistentnih na lamiv</w:t>
      </w:r>
      <w:r w:rsidRPr="00140452">
        <w:rPr>
          <w:bCs/>
          <w:sz w:val="22"/>
          <w:szCs w:val="22"/>
          <w:lang w:val="hr-HR"/>
        </w:rPr>
        <w:t>udin bilo l</w:t>
      </w:r>
      <w:r w:rsidR="00CC2066" w:rsidRPr="00BF6D2A">
        <w:rPr>
          <w:bCs/>
          <w:sz w:val="22"/>
          <w:szCs w:val="22"/>
          <w:lang w:val="hr-HR"/>
        </w:rPr>
        <w:t>ij</w:t>
      </w:r>
      <w:r w:rsidRPr="00A81E6F">
        <w:rPr>
          <w:bCs/>
          <w:sz w:val="22"/>
          <w:szCs w:val="22"/>
          <w:lang w:val="hr-HR"/>
        </w:rPr>
        <w:t>ečeno tenofovir</w:t>
      </w:r>
      <w:r w:rsidR="00CC2066" w:rsidRPr="00A81E6F">
        <w:rPr>
          <w:bCs/>
          <w:sz w:val="22"/>
          <w:szCs w:val="22"/>
          <w:lang w:val="hr-HR"/>
        </w:rPr>
        <w:t xml:space="preserve"> </w:t>
      </w:r>
      <w:r w:rsidRPr="00192010">
        <w:rPr>
          <w:bCs/>
          <w:sz w:val="22"/>
          <w:szCs w:val="22"/>
          <w:lang w:val="hr-HR"/>
        </w:rPr>
        <w:t>dizoproksilom (n=141) ili kombinacijom emtricitabin/tenofovir</w:t>
      </w:r>
      <w:r w:rsidR="00CC2066" w:rsidRPr="00192010">
        <w:rPr>
          <w:bCs/>
          <w:sz w:val="22"/>
          <w:szCs w:val="22"/>
          <w:lang w:val="hr-HR"/>
        </w:rPr>
        <w:t xml:space="preserve"> </w:t>
      </w:r>
      <w:r w:rsidRPr="00192010">
        <w:rPr>
          <w:bCs/>
          <w:sz w:val="22"/>
          <w:szCs w:val="22"/>
          <w:lang w:val="hr-HR"/>
        </w:rPr>
        <w:t>dizoproksil (n=139), tokom 240 ned</w:t>
      </w:r>
      <w:r w:rsidR="00CC2066" w:rsidRPr="00192010">
        <w:rPr>
          <w:bCs/>
          <w:sz w:val="22"/>
          <w:szCs w:val="22"/>
          <w:lang w:val="hr-HR"/>
        </w:rPr>
        <w:t>j</w:t>
      </w:r>
      <w:r w:rsidRPr="00192010">
        <w:rPr>
          <w:bCs/>
          <w:sz w:val="22"/>
          <w:szCs w:val="22"/>
          <w:lang w:val="hr-HR"/>
        </w:rPr>
        <w:t>elja.</w:t>
      </w:r>
    </w:p>
    <w:p w:rsidR="006E4A93" w:rsidRPr="00192010" w:rsidRDefault="006E4A93">
      <w:pPr>
        <w:tabs>
          <w:tab w:val="left" w:pos="540"/>
          <w:tab w:val="left" w:pos="569"/>
        </w:tabs>
        <w:jc w:val="both"/>
        <w:rPr>
          <w:bCs/>
          <w:sz w:val="22"/>
          <w:szCs w:val="22"/>
          <w:lang w:val="hr-HR"/>
        </w:rPr>
      </w:pPr>
    </w:p>
    <w:p w:rsidR="006E4A93" w:rsidRPr="00DA19E4" w:rsidRDefault="006E4A93">
      <w:pPr>
        <w:tabs>
          <w:tab w:val="left" w:pos="540"/>
          <w:tab w:val="left" w:pos="569"/>
        </w:tabs>
        <w:jc w:val="both"/>
        <w:rPr>
          <w:bCs/>
          <w:sz w:val="22"/>
          <w:szCs w:val="22"/>
          <w:lang w:val="hr-HR"/>
        </w:rPr>
      </w:pPr>
      <w:r w:rsidRPr="00192010">
        <w:rPr>
          <w:bCs/>
          <w:sz w:val="22"/>
          <w:szCs w:val="22"/>
          <w:lang w:val="hr-HR"/>
        </w:rPr>
        <w:t>Neželjen</w:t>
      </w:r>
      <w:r w:rsidR="00DA19E4">
        <w:rPr>
          <w:bCs/>
          <w:sz w:val="22"/>
          <w:szCs w:val="22"/>
          <w:lang w:val="hr-HR"/>
        </w:rPr>
        <w:t>a</w:t>
      </w:r>
      <w:r w:rsidRPr="00DA19E4">
        <w:rPr>
          <w:bCs/>
          <w:sz w:val="22"/>
          <w:szCs w:val="22"/>
          <w:lang w:val="hr-HR"/>
        </w:rPr>
        <w:t xml:space="preserve"> </w:t>
      </w:r>
      <w:r w:rsidR="00DA19E4">
        <w:rPr>
          <w:bCs/>
          <w:sz w:val="22"/>
          <w:szCs w:val="22"/>
          <w:lang w:val="hr-HR"/>
        </w:rPr>
        <w:t>dejstva</w:t>
      </w:r>
      <w:r w:rsidR="00DA19E4" w:rsidRPr="00DA19E4">
        <w:rPr>
          <w:bCs/>
          <w:sz w:val="22"/>
          <w:szCs w:val="22"/>
          <w:lang w:val="hr-HR"/>
        </w:rPr>
        <w:t xml:space="preserve"> </w:t>
      </w:r>
      <w:r w:rsidRPr="00DA19E4">
        <w:rPr>
          <w:bCs/>
          <w:sz w:val="22"/>
          <w:szCs w:val="22"/>
          <w:lang w:val="hr-HR"/>
        </w:rPr>
        <w:t>za koj</w:t>
      </w:r>
      <w:r w:rsidR="00DA19E4">
        <w:rPr>
          <w:bCs/>
          <w:sz w:val="22"/>
          <w:szCs w:val="22"/>
          <w:lang w:val="hr-HR"/>
        </w:rPr>
        <w:t>a</w:t>
      </w:r>
      <w:r w:rsidRPr="00DA19E4">
        <w:rPr>
          <w:bCs/>
          <w:sz w:val="22"/>
          <w:szCs w:val="22"/>
          <w:lang w:val="hr-HR"/>
        </w:rPr>
        <w:t xml:space="preserve"> se sumnja (ili je bar moguće) da su povezan</w:t>
      </w:r>
      <w:r w:rsidR="00DA19E4">
        <w:rPr>
          <w:bCs/>
          <w:sz w:val="22"/>
          <w:szCs w:val="22"/>
          <w:lang w:val="hr-HR"/>
        </w:rPr>
        <w:t>a</w:t>
      </w:r>
      <w:r w:rsidRPr="00DA19E4">
        <w:rPr>
          <w:bCs/>
          <w:sz w:val="22"/>
          <w:szCs w:val="22"/>
          <w:lang w:val="hr-HR"/>
        </w:rPr>
        <w:t xml:space="preserve"> sa terapijom su naveden</w:t>
      </w:r>
      <w:r w:rsidR="00DA19E4">
        <w:rPr>
          <w:bCs/>
          <w:sz w:val="22"/>
          <w:szCs w:val="22"/>
          <w:lang w:val="hr-HR"/>
        </w:rPr>
        <w:t>a</w:t>
      </w:r>
      <w:r w:rsidRPr="00DA19E4">
        <w:rPr>
          <w:bCs/>
          <w:sz w:val="22"/>
          <w:szCs w:val="22"/>
          <w:lang w:val="hr-HR"/>
        </w:rPr>
        <w:t xml:space="preserve"> u daljem tekstu po klasama sistema organa i učestalosti. U svakoj kategoriji učestalosti, redosl</w:t>
      </w:r>
      <w:r w:rsidR="0023449C">
        <w:rPr>
          <w:bCs/>
          <w:sz w:val="22"/>
          <w:szCs w:val="22"/>
          <w:lang w:val="hr-HR"/>
        </w:rPr>
        <w:t>j</w:t>
      </w:r>
      <w:r w:rsidRPr="0023449C">
        <w:rPr>
          <w:bCs/>
          <w:sz w:val="22"/>
          <w:szCs w:val="22"/>
          <w:lang w:val="hr-HR"/>
        </w:rPr>
        <w:t>ed neželjenih dejstva kreće se od najozbiljnijih do najblažih. Učestalost je definisana kao veoma često (≥ 1/10), često (≥ 1/100 do &lt; 1/10), povremeno (≥ 1/1000 do &lt; 1/100) ili r</w:t>
      </w:r>
      <w:r w:rsidR="00CC2066" w:rsidRPr="00DA19E4">
        <w:rPr>
          <w:bCs/>
          <w:sz w:val="22"/>
          <w:szCs w:val="22"/>
          <w:lang w:val="hr-HR"/>
        </w:rPr>
        <w:t>ij</w:t>
      </w:r>
      <w:r w:rsidRPr="00DA19E4">
        <w:rPr>
          <w:bCs/>
          <w:sz w:val="22"/>
          <w:szCs w:val="22"/>
          <w:lang w:val="hr-HR"/>
        </w:rPr>
        <w:t>etko (≥ 1/10000 do&lt; 1/1000).</w:t>
      </w:r>
    </w:p>
    <w:p w:rsidR="006E4A93" w:rsidRPr="00140452" w:rsidRDefault="006E4A93">
      <w:pPr>
        <w:tabs>
          <w:tab w:val="left" w:pos="540"/>
          <w:tab w:val="left" w:pos="569"/>
        </w:tabs>
        <w:jc w:val="both"/>
        <w:rPr>
          <w:bCs/>
          <w:sz w:val="22"/>
          <w:szCs w:val="22"/>
          <w:u w:val="single"/>
          <w:lang w:val="hr-HR"/>
        </w:rPr>
      </w:pPr>
    </w:p>
    <w:p w:rsidR="006E4A93" w:rsidRPr="006E4A93" w:rsidRDefault="006E4A93" w:rsidP="006E4A93">
      <w:pPr>
        <w:tabs>
          <w:tab w:val="left" w:pos="540"/>
          <w:tab w:val="left" w:pos="569"/>
        </w:tabs>
        <w:jc w:val="both"/>
        <w:rPr>
          <w:b/>
          <w:bCs/>
          <w:sz w:val="22"/>
          <w:szCs w:val="22"/>
        </w:rPr>
      </w:pPr>
      <w:r w:rsidRPr="006E4A93">
        <w:rPr>
          <w:b/>
          <w:bCs/>
          <w:sz w:val="22"/>
          <w:szCs w:val="22"/>
        </w:rPr>
        <w:t xml:space="preserve">Tabela 2. Tabelarni </w:t>
      </w:r>
      <w:r w:rsidR="00CC2066">
        <w:rPr>
          <w:b/>
          <w:bCs/>
          <w:sz w:val="22"/>
          <w:szCs w:val="22"/>
        </w:rPr>
        <w:t>prikaz</w:t>
      </w:r>
      <w:r w:rsidRPr="006E4A93">
        <w:rPr>
          <w:b/>
          <w:bCs/>
          <w:sz w:val="22"/>
          <w:szCs w:val="22"/>
        </w:rPr>
        <w:t xml:space="preserve"> neželjenih </w:t>
      </w:r>
      <w:r w:rsidR="00DA19E4">
        <w:rPr>
          <w:b/>
          <w:bCs/>
          <w:sz w:val="22"/>
          <w:szCs w:val="22"/>
        </w:rPr>
        <w:t>dejstava</w:t>
      </w:r>
      <w:r w:rsidRPr="006E4A93">
        <w:rPr>
          <w:b/>
          <w:bCs/>
          <w:sz w:val="22"/>
          <w:szCs w:val="22"/>
        </w:rPr>
        <w:t xml:space="preserve"> povezanih sa tenofovir</w:t>
      </w:r>
      <w:r w:rsidR="00CC2066">
        <w:rPr>
          <w:b/>
          <w:bCs/>
          <w:sz w:val="22"/>
          <w:szCs w:val="22"/>
        </w:rPr>
        <w:t xml:space="preserve"> </w:t>
      </w:r>
      <w:r w:rsidRPr="006E4A93">
        <w:rPr>
          <w:b/>
          <w:bCs/>
          <w:sz w:val="22"/>
          <w:szCs w:val="22"/>
        </w:rPr>
        <w:t>dizoproksilom na osnovu kliničkog ispitivanja i postmarketinškog iskustva</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721"/>
        <w:gridCol w:w="7336"/>
      </w:tblGrid>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sidRPr="008922D6">
              <w:rPr>
                <w:b/>
                <w:bCs/>
                <w:color w:val="000000"/>
                <w:sz w:val="22"/>
                <w:szCs w:val="22"/>
              </w:rPr>
              <w:t>Učestalost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b/>
                <w:bCs/>
                <w:color w:val="000000"/>
                <w:sz w:val="22"/>
                <w:szCs w:val="22"/>
              </w:rPr>
              <w:t>Tenofovir diz</w:t>
            </w:r>
            <w:r w:rsidRPr="008922D6">
              <w:rPr>
                <w:b/>
                <w:bCs/>
                <w:color w:val="000000"/>
                <w:sz w:val="22"/>
                <w:szCs w:val="22"/>
              </w:rPr>
              <w:t>oproksil</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i/>
                <w:iCs/>
                <w:color w:val="000000"/>
                <w:sz w:val="22"/>
                <w:szCs w:val="22"/>
              </w:rPr>
              <w:t>Poremećaji metabolizma i ishrane</w:t>
            </w:r>
            <w:r w:rsidRPr="008922D6">
              <w:rPr>
                <w:i/>
                <w:iCs/>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Veoma 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hipofosfat</w:t>
            </w:r>
            <w:r w:rsidRPr="008922D6">
              <w:rPr>
                <w:color w:val="000000"/>
                <w:sz w:val="22"/>
                <w:szCs w:val="22"/>
              </w:rPr>
              <w:t>emi</w:t>
            </w:r>
            <w:r>
              <w:rPr>
                <w:color w:val="000000"/>
                <w:sz w:val="22"/>
                <w:szCs w:val="22"/>
              </w:rPr>
              <w:t>j</w:t>
            </w:r>
            <w:r w:rsidRPr="008922D6">
              <w:rPr>
                <w:color w:val="000000"/>
                <w:sz w:val="22"/>
                <w:szCs w:val="22"/>
              </w:rPr>
              <w:t>a</w:t>
            </w:r>
            <w:r w:rsidRPr="008922D6">
              <w:rPr>
                <w:color w:val="000000"/>
                <w:sz w:val="22"/>
                <w:szCs w:val="22"/>
                <w:vertAlign w:val="superscript"/>
              </w:rPr>
              <w:t>1</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Povremeno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hipokalij</w:t>
            </w:r>
            <w:r w:rsidRPr="008922D6">
              <w:rPr>
                <w:color w:val="000000"/>
                <w:sz w:val="22"/>
                <w:szCs w:val="22"/>
              </w:rPr>
              <w:t>emi</w:t>
            </w:r>
            <w:r>
              <w:rPr>
                <w:color w:val="000000"/>
                <w:sz w:val="22"/>
                <w:szCs w:val="22"/>
              </w:rPr>
              <w:t>j</w:t>
            </w:r>
            <w:r w:rsidRPr="008922D6">
              <w:rPr>
                <w:color w:val="000000"/>
                <w:sz w:val="22"/>
                <w:szCs w:val="22"/>
              </w:rPr>
              <w:t>a</w:t>
            </w:r>
            <w:r w:rsidRPr="008922D6">
              <w:rPr>
                <w:color w:val="000000"/>
                <w:sz w:val="22"/>
                <w:szCs w:val="22"/>
                <w:vertAlign w:val="superscript"/>
              </w:rPr>
              <w:t>1</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Rijetko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B83CAB" w:rsidP="009D078F">
            <w:pPr>
              <w:pStyle w:val="NormalWeb"/>
              <w:spacing w:before="0" w:beforeAutospacing="0" w:after="0" w:afterAutospacing="0"/>
              <w:rPr>
                <w:color w:val="000000"/>
                <w:sz w:val="22"/>
                <w:szCs w:val="22"/>
              </w:rPr>
            </w:pPr>
            <w:r>
              <w:rPr>
                <w:color w:val="000000"/>
                <w:sz w:val="22"/>
                <w:szCs w:val="22"/>
              </w:rPr>
              <w:t>ml</w:t>
            </w:r>
            <w:r w:rsidR="00CC2066">
              <w:rPr>
                <w:color w:val="000000"/>
                <w:sz w:val="22"/>
                <w:szCs w:val="22"/>
              </w:rPr>
              <w:t>iječna acidoza</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i/>
                <w:iCs/>
                <w:color w:val="000000"/>
                <w:sz w:val="22"/>
                <w:szCs w:val="22"/>
              </w:rPr>
              <w:t>Poremećaji nervnog sistema</w:t>
            </w:r>
            <w:r w:rsidRPr="008922D6">
              <w:rPr>
                <w:i/>
                <w:iCs/>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Veoma 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vrtoglavica</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glavobolja</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sidRPr="008922D6">
              <w:rPr>
                <w:i/>
                <w:iCs/>
                <w:color w:val="000000"/>
                <w:sz w:val="22"/>
                <w:szCs w:val="22"/>
              </w:rPr>
              <w:t>Gastrointestinal</w:t>
            </w:r>
            <w:r>
              <w:rPr>
                <w:i/>
                <w:iCs/>
                <w:color w:val="000000"/>
                <w:sz w:val="22"/>
                <w:szCs w:val="22"/>
              </w:rPr>
              <w:t>ni poremećaji</w:t>
            </w:r>
            <w:r w:rsidRPr="008922D6">
              <w:rPr>
                <w:i/>
                <w:iCs/>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Veoma 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diareja, povraćanje, mučnina</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sidRPr="008922D6">
              <w:rPr>
                <w:color w:val="000000"/>
                <w:sz w:val="22"/>
                <w:szCs w:val="22"/>
              </w:rPr>
              <w:t>abdominal</w:t>
            </w:r>
            <w:r>
              <w:rPr>
                <w:color w:val="000000"/>
                <w:sz w:val="22"/>
                <w:szCs w:val="22"/>
              </w:rPr>
              <w:t>ni bol</w:t>
            </w:r>
            <w:r w:rsidRPr="008922D6">
              <w:rPr>
                <w:color w:val="000000"/>
                <w:sz w:val="22"/>
                <w:szCs w:val="22"/>
              </w:rPr>
              <w:t>, abdominal</w:t>
            </w:r>
            <w:r>
              <w:rPr>
                <w:color w:val="000000"/>
                <w:sz w:val="22"/>
                <w:szCs w:val="22"/>
              </w:rPr>
              <w:t>na distenzija, flatulencija</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Povremeno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pank</w:t>
            </w:r>
            <w:r w:rsidRPr="008922D6">
              <w:rPr>
                <w:color w:val="000000"/>
                <w:sz w:val="22"/>
                <w:szCs w:val="22"/>
              </w:rPr>
              <w:t>reatitis</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i/>
                <w:iCs/>
                <w:color w:val="000000"/>
                <w:sz w:val="22"/>
                <w:szCs w:val="22"/>
              </w:rPr>
              <w:t>Hepatobilijarni poremećaji</w:t>
            </w:r>
            <w:r w:rsidRPr="008922D6">
              <w:rPr>
                <w:i/>
                <w:iCs/>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povećane</w:t>
            </w:r>
            <w:r w:rsidRPr="008922D6">
              <w:rPr>
                <w:color w:val="000000"/>
                <w:sz w:val="22"/>
                <w:szCs w:val="22"/>
              </w:rPr>
              <w:t xml:space="preserve"> tran</w:t>
            </w:r>
            <w:r>
              <w:rPr>
                <w:color w:val="000000"/>
                <w:sz w:val="22"/>
                <w:szCs w:val="22"/>
              </w:rPr>
              <w:t>saminaze</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Rij</w:t>
            </w:r>
            <w:r w:rsidRPr="008922D6">
              <w:rPr>
                <w:color w:val="000000"/>
                <w:sz w:val="22"/>
                <w:szCs w:val="22"/>
              </w:rPr>
              <w:t>e</w:t>
            </w:r>
            <w:r>
              <w:rPr>
                <w:color w:val="000000"/>
                <w:sz w:val="22"/>
                <w:szCs w:val="22"/>
              </w:rPr>
              <w:t>tko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stenoza jetre</w:t>
            </w:r>
            <w:r w:rsidRPr="008922D6">
              <w:rPr>
                <w:color w:val="000000"/>
                <w:sz w:val="22"/>
                <w:szCs w:val="22"/>
              </w:rPr>
              <w:t>, hepatitis</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i/>
                <w:iCs/>
                <w:color w:val="000000"/>
                <w:sz w:val="22"/>
                <w:szCs w:val="22"/>
              </w:rPr>
              <w:t>Poremećaji kože i potkožnog tkiva</w:t>
            </w:r>
            <w:r w:rsidRPr="008922D6">
              <w:rPr>
                <w:i/>
                <w:iCs/>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Veoma 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osip</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Rijetko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angioedem</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sidRPr="00CC2066">
              <w:rPr>
                <w:i/>
                <w:iCs/>
                <w:color w:val="000000"/>
                <w:sz w:val="22"/>
                <w:szCs w:val="22"/>
                <w:lang w:val="en-US"/>
              </w:rPr>
              <w:t>Poremećaji mišićno-koštanog sistema i vezivnog tkiva:</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Povremeno:</w:t>
            </w:r>
          </w:p>
        </w:tc>
        <w:tc>
          <w:tcPr>
            <w:tcW w:w="4050" w:type="pct"/>
            <w:tcBorders>
              <w:top w:val="outset" w:sz="6" w:space="0" w:color="7B7B7B"/>
              <w:left w:val="outset" w:sz="6" w:space="0" w:color="7B7B7B"/>
              <w:bottom w:val="outset" w:sz="6" w:space="0" w:color="7B7B7B"/>
              <w:right w:val="outset" w:sz="6" w:space="0" w:color="7B7B7B"/>
            </w:tcBorders>
            <w:shd w:val="clear" w:color="auto" w:fill="FFFFFF"/>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rabdomioliza</w:t>
            </w:r>
            <w:r w:rsidRPr="008922D6">
              <w:rPr>
                <w:color w:val="000000"/>
                <w:sz w:val="22"/>
                <w:szCs w:val="22"/>
                <w:vertAlign w:val="superscript"/>
              </w:rPr>
              <w:t>1</w:t>
            </w:r>
            <w:r>
              <w:rPr>
                <w:color w:val="000000"/>
                <w:sz w:val="22"/>
                <w:szCs w:val="22"/>
              </w:rPr>
              <w:t>, mišićna slabost</w:t>
            </w:r>
            <w:r w:rsidRPr="008922D6">
              <w:rPr>
                <w:color w:val="000000"/>
                <w:sz w:val="22"/>
                <w:szCs w:val="22"/>
                <w:vertAlign w:val="superscript"/>
              </w:rPr>
              <w:t>1</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Rijetko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hideMark/>
          </w:tcPr>
          <w:p w:rsidR="00CC2066" w:rsidRPr="008922D6" w:rsidRDefault="00CC2066" w:rsidP="009D078F">
            <w:pPr>
              <w:pStyle w:val="NormalWeb"/>
              <w:spacing w:before="0" w:beforeAutospacing="0" w:after="0" w:afterAutospacing="0"/>
              <w:rPr>
                <w:color w:val="000000"/>
                <w:sz w:val="22"/>
                <w:szCs w:val="22"/>
              </w:rPr>
            </w:pPr>
            <w:r w:rsidRPr="008922D6">
              <w:rPr>
                <w:color w:val="000000"/>
                <w:sz w:val="22"/>
                <w:szCs w:val="22"/>
              </w:rPr>
              <w:t>osteomalaci</w:t>
            </w:r>
            <w:r>
              <w:rPr>
                <w:color w:val="000000"/>
                <w:sz w:val="22"/>
                <w:szCs w:val="22"/>
              </w:rPr>
              <w:t>j</w:t>
            </w:r>
            <w:r w:rsidRPr="008922D6">
              <w:rPr>
                <w:color w:val="000000"/>
                <w:sz w:val="22"/>
                <w:szCs w:val="22"/>
              </w:rPr>
              <w:t>a (</w:t>
            </w:r>
            <w:r w:rsidRPr="00765039">
              <w:rPr>
                <w:color w:val="000000"/>
                <w:sz w:val="22"/>
                <w:szCs w:val="22"/>
                <w:lang w:val="en-US"/>
              </w:rPr>
              <w:t>manifestovana kao bol u kostima i ner</w:t>
            </w:r>
            <w:r>
              <w:rPr>
                <w:color w:val="000000"/>
                <w:sz w:val="22"/>
                <w:szCs w:val="22"/>
                <w:lang w:val="en-US"/>
              </w:rPr>
              <w:t>ij</w:t>
            </w:r>
            <w:r w:rsidRPr="00765039">
              <w:rPr>
                <w:color w:val="000000"/>
                <w:sz w:val="22"/>
                <w:szCs w:val="22"/>
                <w:lang w:val="en-US"/>
              </w:rPr>
              <w:t xml:space="preserve">etko faktor koji </w:t>
            </w:r>
            <w:r>
              <w:rPr>
                <w:color w:val="000000"/>
                <w:sz w:val="22"/>
                <w:szCs w:val="22"/>
                <w:lang w:val="en-US"/>
              </w:rPr>
              <w:t>je doprini</w:t>
            </w:r>
            <w:r w:rsidRPr="00765039">
              <w:rPr>
                <w:color w:val="000000"/>
                <w:sz w:val="22"/>
                <w:szCs w:val="22"/>
                <w:lang w:val="en-US"/>
              </w:rPr>
              <w:t>o frakturama)</w:t>
            </w:r>
            <w:r w:rsidRPr="008922D6">
              <w:rPr>
                <w:color w:val="000000"/>
                <w:sz w:val="22"/>
                <w:szCs w:val="22"/>
              </w:rPr>
              <w:t>)</w:t>
            </w:r>
            <w:r w:rsidRPr="008922D6">
              <w:rPr>
                <w:color w:val="000000"/>
                <w:sz w:val="22"/>
                <w:szCs w:val="22"/>
                <w:vertAlign w:val="superscript"/>
              </w:rPr>
              <w:t>1, 2</w:t>
            </w:r>
            <w:r>
              <w:rPr>
                <w:color w:val="000000"/>
                <w:sz w:val="22"/>
                <w:szCs w:val="22"/>
              </w:rPr>
              <w:t>, miopatija</w:t>
            </w:r>
            <w:r w:rsidRPr="008922D6">
              <w:rPr>
                <w:color w:val="000000"/>
                <w:sz w:val="22"/>
                <w:szCs w:val="22"/>
                <w:vertAlign w:val="superscript"/>
              </w:rPr>
              <w:t>1</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i/>
                <w:iCs/>
                <w:color w:val="000000"/>
                <w:sz w:val="22"/>
                <w:szCs w:val="22"/>
              </w:rPr>
              <w:t>Poremećaji na nivou bubrega i urinarnog trakta</w:t>
            </w:r>
            <w:r w:rsidRPr="008922D6">
              <w:rPr>
                <w:i/>
                <w:iCs/>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Povremeno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povećane vrijednosti kreatinina, proks</w:t>
            </w:r>
            <w:r w:rsidRPr="008922D6">
              <w:rPr>
                <w:color w:val="000000"/>
                <w:sz w:val="22"/>
                <w:szCs w:val="22"/>
              </w:rPr>
              <w:t>imal</w:t>
            </w:r>
            <w:r>
              <w:rPr>
                <w:color w:val="000000"/>
                <w:sz w:val="22"/>
                <w:szCs w:val="22"/>
              </w:rPr>
              <w:t>na</w:t>
            </w:r>
            <w:r w:rsidRPr="008922D6">
              <w:rPr>
                <w:color w:val="000000"/>
                <w:sz w:val="22"/>
                <w:szCs w:val="22"/>
              </w:rPr>
              <w:t xml:space="preserve"> renal</w:t>
            </w:r>
            <w:r>
              <w:rPr>
                <w:color w:val="000000"/>
                <w:sz w:val="22"/>
                <w:szCs w:val="22"/>
              </w:rPr>
              <w:t xml:space="preserve">na tubulopatija (uključujući </w:t>
            </w:r>
            <w:r w:rsidRPr="00CC2066">
              <w:rPr>
                <w:i/>
                <w:color w:val="000000"/>
                <w:sz w:val="22"/>
                <w:szCs w:val="22"/>
              </w:rPr>
              <w:t>Fanconi</w:t>
            </w:r>
            <w:r>
              <w:rPr>
                <w:color w:val="000000"/>
                <w:sz w:val="22"/>
                <w:szCs w:val="22"/>
              </w:rPr>
              <w:t>-jev sindrom</w:t>
            </w:r>
            <w:r w:rsidRPr="008922D6">
              <w:rPr>
                <w:color w:val="000000"/>
                <w:sz w:val="22"/>
                <w:szCs w:val="22"/>
              </w:rPr>
              <w:t>)</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Rijetko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hideMark/>
          </w:tcPr>
          <w:p w:rsidR="00CC2066" w:rsidRPr="005D192E" w:rsidRDefault="00CC2066" w:rsidP="00CC2066">
            <w:pPr>
              <w:pStyle w:val="NormalWeb"/>
              <w:rPr>
                <w:color w:val="000000"/>
                <w:sz w:val="22"/>
                <w:szCs w:val="22"/>
                <w:lang w:val="en-US"/>
              </w:rPr>
            </w:pPr>
            <w:r>
              <w:rPr>
                <w:color w:val="000000"/>
                <w:sz w:val="22"/>
                <w:szCs w:val="22"/>
                <w:lang w:val="en-US"/>
              </w:rPr>
              <w:t>a</w:t>
            </w:r>
            <w:r w:rsidRPr="00CC2066">
              <w:rPr>
                <w:color w:val="000000"/>
                <w:sz w:val="22"/>
                <w:szCs w:val="22"/>
                <w:lang w:val="en-US"/>
              </w:rPr>
              <w:t>kutna bubrežna insuficijencija, burežna insuficijencija, akutna tubularna nekroza,  nefritis (uključujući akutni intersticijalni nefritis)</w:t>
            </w:r>
            <w:r w:rsidRPr="00CC2066">
              <w:rPr>
                <w:color w:val="000000"/>
                <w:sz w:val="22"/>
                <w:szCs w:val="22"/>
                <w:vertAlign w:val="superscript"/>
                <w:lang w:val="en-US"/>
              </w:rPr>
              <w:t>2</w:t>
            </w:r>
            <w:r w:rsidRPr="00CC2066">
              <w:rPr>
                <w:color w:val="000000"/>
                <w:sz w:val="22"/>
                <w:szCs w:val="22"/>
                <w:lang w:val="en-US"/>
              </w:rPr>
              <w:t>, nefrogeni dijabetes</w:t>
            </w:r>
            <w:r>
              <w:rPr>
                <w:color w:val="000000"/>
                <w:sz w:val="22"/>
                <w:szCs w:val="22"/>
                <w:lang w:val="en-US"/>
              </w:rPr>
              <w:t xml:space="preserve"> </w:t>
            </w:r>
            <w:r w:rsidRPr="00CC2066">
              <w:rPr>
                <w:color w:val="000000"/>
                <w:sz w:val="22"/>
                <w:szCs w:val="22"/>
                <w:lang w:val="en-US"/>
              </w:rPr>
              <w:t>insipidus</w:t>
            </w:r>
          </w:p>
        </w:tc>
      </w:tr>
      <w:tr w:rsidR="00CC2066" w:rsidRPr="008922D6" w:rsidTr="009D078F">
        <w:tc>
          <w:tcPr>
            <w:tcW w:w="5000" w:type="pct"/>
            <w:gridSpan w:val="2"/>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i/>
                <w:iCs/>
                <w:color w:val="000000"/>
                <w:sz w:val="22"/>
                <w:szCs w:val="22"/>
              </w:rPr>
              <w:t>Opšti poremećaji i reakcije na mjestu primjene:</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Veoma 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ast</w:t>
            </w:r>
            <w:r w:rsidRPr="008922D6">
              <w:rPr>
                <w:color w:val="000000"/>
                <w:sz w:val="22"/>
                <w:szCs w:val="22"/>
              </w:rPr>
              <w:t>eni</w:t>
            </w:r>
            <w:r>
              <w:rPr>
                <w:color w:val="000000"/>
                <w:sz w:val="22"/>
                <w:szCs w:val="22"/>
              </w:rPr>
              <w:t>j</w:t>
            </w:r>
            <w:r w:rsidRPr="008922D6">
              <w:rPr>
                <w:color w:val="000000"/>
                <w:sz w:val="22"/>
                <w:szCs w:val="22"/>
              </w:rPr>
              <w:t>a</w:t>
            </w:r>
          </w:p>
        </w:tc>
      </w:tr>
      <w:tr w:rsidR="00CC2066" w:rsidRPr="008922D6" w:rsidTr="009D078F">
        <w:tc>
          <w:tcPr>
            <w:tcW w:w="950" w:type="pct"/>
            <w:tcBorders>
              <w:top w:val="outset" w:sz="6" w:space="0" w:color="7B7B7B"/>
              <w:left w:val="outset" w:sz="6" w:space="0" w:color="7B7B7B"/>
              <w:bottom w:val="outset" w:sz="6" w:space="0" w:color="7B7B7B"/>
              <w:right w:val="outset" w:sz="6" w:space="0" w:color="7B7B7B"/>
            </w:tcBorders>
            <w:shd w:val="clear" w:color="auto" w:fill="FFFFFF"/>
            <w:vAlign w:val="center"/>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Često</w:t>
            </w:r>
            <w:r w:rsidRPr="008922D6">
              <w:rPr>
                <w:color w:val="000000"/>
                <w:sz w:val="22"/>
                <w:szCs w:val="22"/>
              </w:rPr>
              <w:t>:</w:t>
            </w:r>
          </w:p>
        </w:tc>
        <w:tc>
          <w:tcPr>
            <w:tcW w:w="4050" w:type="pct"/>
            <w:tcBorders>
              <w:top w:val="outset" w:sz="6" w:space="0" w:color="7B7B7B"/>
              <w:left w:val="outset" w:sz="6" w:space="0" w:color="7B7B7B"/>
              <w:bottom w:val="outset" w:sz="6" w:space="0" w:color="7B7B7B"/>
              <w:right w:val="outset" w:sz="6" w:space="0" w:color="7B7B7B"/>
            </w:tcBorders>
            <w:shd w:val="clear" w:color="auto" w:fill="FFFFFF"/>
            <w:hideMark/>
          </w:tcPr>
          <w:p w:rsidR="00CC2066" w:rsidRPr="008922D6" w:rsidRDefault="00CC2066" w:rsidP="009D078F">
            <w:pPr>
              <w:pStyle w:val="NormalWeb"/>
              <w:spacing w:before="0" w:beforeAutospacing="0" w:after="0" w:afterAutospacing="0"/>
              <w:rPr>
                <w:color w:val="000000"/>
                <w:sz w:val="22"/>
                <w:szCs w:val="22"/>
              </w:rPr>
            </w:pPr>
            <w:r>
              <w:rPr>
                <w:color w:val="000000"/>
                <w:sz w:val="22"/>
                <w:szCs w:val="22"/>
              </w:rPr>
              <w:t>zamor</w:t>
            </w:r>
          </w:p>
        </w:tc>
      </w:tr>
    </w:tbl>
    <w:p w:rsidR="00CC2066" w:rsidRPr="00CC2066" w:rsidRDefault="00CC2066" w:rsidP="00CC2066">
      <w:pPr>
        <w:tabs>
          <w:tab w:val="left" w:pos="540"/>
          <w:tab w:val="left" w:pos="569"/>
        </w:tabs>
        <w:jc w:val="both"/>
        <w:rPr>
          <w:bCs/>
          <w:sz w:val="20"/>
          <w:szCs w:val="22"/>
        </w:rPr>
      </w:pPr>
      <w:r w:rsidRPr="00CC2066">
        <w:rPr>
          <w:bCs/>
          <w:sz w:val="20"/>
          <w:szCs w:val="22"/>
          <w:vertAlign w:val="superscript"/>
        </w:rPr>
        <w:t>1</w:t>
      </w:r>
      <w:r w:rsidRPr="00CC2066">
        <w:rPr>
          <w:bCs/>
          <w:sz w:val="20"/>
          <w:szCs w:val="22"/>
        </w:rPr>
        <w:t xml:space="preserve"> Ov</w:t>
      </w:r>
      <w:r w:rsidR="00DA19E4">
        <w:rPr>
          <w:bCs/>
          <w:sz w:val="20"/>
          <w:szCs w:val="22"/>
        </w:rPr>
        <w:t>a</w:t>
      </w:r>
      <w:r w:rsidRPr="00CC2066">
        <w:rPr>
          <w:bCs/>
          <w:sz w:val="20"/>
          <w:szCs w:val="22"/>
        </w:rPr>
        <w:t xml:space="preserve"> neželjen</w:t>
      </w:r>
      <w:r w:rsidR="00DA19E4">
        <w:rPr>
          <w:bCs/>
          <w:sz w:val="20"/>
          <w:szCs w:val="22"/>
        </w:rPr>
        <w:t>a</w:t>
      </w:r>
      <w:r w:rsidRPr="00CC2066">
        <w:rPr>
          <w:bCs/>
          <w:sz w:val="20"/>
          <w:szCs w:val="22"/>
        </w:rPr>
        <w:t xml:space="preserve"> </w:t>
      </w:r>
      <w:r w:rsidR="00DA19E4">
        <w:rPr>
          <w:bCs/>
          <w:sz w:val="20"/>
          <w:szCs w:val="22"/>
        </w:rPr>
        <w:t>dejstva</w:t>
      </w:r>
      <w:r w:rsidR="00DA19E4" w:rsidRPr="00CC2066">
        <w:rPr>
          <w:bCs/>
          <w:sz w:val="20"/>
          <w:szCs w:val="22"/>
        </w:rPr>
        <w:t xml:space="preserve"> </w:t>
      </w:r>
      <w:r w:rsidRPr="00CC2066">
        <w:rPr>
          <w:bCs/>
          <w:sz w:val="20"/>
          <w:szCs w:val="22"/>
        </w:rPr>
        <w:t>mogu da se jave kao posljedica proksimalne renalne tubulopatije. Ne smatra se da su ov</w:t>
      </w:r>
      <w:r w:rsidR="00DA19E4">
        <w:rPr>
          <w:bCs/>
          <w:sz w:val="20"/>
          <w:szCs w:val="22"/>
        </w:rPr>
        <w:t>a</w:t>
      </w:r>
      <w:r w:rsidRPr="00CC2066">
        <w:rPr>
          <w:bCs/>
          <w:sz w:val="20"/>
          <w:szCs w:val="22"/>
        </w:rPr>
        <w:t xml:space="preserve"> </w:t>
      </w:r>
      <w:r w:rsidR="00DA19E4">
        <w:rPr>
          <w:bCs/>
          <w:sz w:val="20"/>
          <w:szCs w:val="22"/>
        </w:rPr>
        <w:t>dejstva</w:t>
      </w:r>
      <w:r w:rsidR="00DA19E4" w:rsidRPr="00CC2066">
        <w:rPr>
          <w:bCs/>
          <w:sz w:val="20"/>
          <w:szCs w:val="22"/>
        </w:rPr>
        <w:t xml:space="preserve"> </w:t>
      </w:r>
      <w:r w:rsidRPr="00CC2066">
        <w:rPr>
          <w:bCs/>
          <w:sz w:val="20"/>
          <w:szCs w:val="22"/>
        </w:rPr>
        <w:t>povezan</w:t>
      </w:r>
      <w:r w:rsidR="00DA19E4">
        <w:rPr>
          <w:bCs/>
          <w:sz w:val="20"/>
          <w:szCs w:val="22"/>
        </w:rPr>
        <w:t>a</w:t>
      </w:r>
      <w:r w:rsidRPr="00CC2066">
        <w:rPr>
          <w:bCs/>
          <w:sz w:val="20"/>
          <w:szCs w:val="22"/>
        </w:rPr>
        <w:t xml:space="preserve"> sa tenofovir</w:t>
      </w:r>
      <w:r>
        <w:rPr>
          <w:bCs/>
          <w:sz w:val="20"/>
          <w:szCs w:val="22"/>
        </w:rPr>
        <w:t xml:space="preserve"> </w:t>
      </w:r>
      <w:r w:rsidRPr="00CC2066">
        <w:rPr>
          <w:bCs/>
          <w:sz w:val="20"/>
          <w:szCs w:val="22"/>
        </w:rPr>
        <w:t>dizoproksil</w:t>
      </w:r>
      <w:r>
        <w:rPr>
          <w:bCs/>
          <w:sz w:val="20"/>
          <w:szCs w:val="22"/>
        </w:rPr>
        <w:t>om</w:t>
      </w:r>
      <w:r w:rsidRPr="00CC2066">
        <w:rPr>
          <w:bCs/>
          <w:sz w:val="20"/>
          <w:szCs w:val="22"/>
        </w:rPr>
        <w:t xml:space="preserve"> u odsustvu ovog oboljenja.</w:t>
      </w:r>
    </w:p>
    <w:p w:rsidR="00CC2066" w:rsidRPr="00CC2066" w:rsidRDefault="00CC2066" w:rsidP="00CC2066">
      <w:pPr>
        <w:tabs>
          <w:tab w:val="left" w:pos="540"/>
          <w:tab w:val="left" w:pos="569"/>
        </w:tabs>
        <w:jc w:val="both"/>
        <w:rPr>
          <w:bCs/>
          <w:sz w:val="20"/>
          <w:szCs w:val="22"/>
        </w:rPr>
      </w:pPr>
      <w:r w:rsidRPr="00CC2066">
        <w:rPr>
          <w:bCs/>
          <w:sz w:val="20"/>
          <w:szCs w:val="22"/>
          <w:vertAlign w:val="superscript"/>
        </w:rPr>
        <w:t>2</w:t>
      </w:r>
      <w:r w:rsidRPr="00CC2066">
        <w:rPr>
          <w:bCs/>
          <w:sz w:val="20"/>
          <w:szCs w:val="22"/>
        </w:rPr>
        <w:t xml:space="preserve"> Ov</w:t>
      </w:r>
      <w:r w:rsidR="00DA19E4">
        <w:rPr>
          <w:bCs/>
          <w:sz w:val="20"/>
          <w:szCs w:val="22"/>
        </w:rPr>
        <w:t>o</w:t>
      </w:r>
      <w:r w:rsidRPr="00CC2066">
        <w:rPr>
          <w:bCs/>
          <w:sz w:val="20"/>
          <w:szCs w:val="22"/>
        </w:rPr>
        <w:t xml:space="preserve"> neželjen</w:t>
      </w:r>
      <w:r w:rsidR="00DA19E4">
        <w:rPr>
          <w:bCs/>
          <w:sz w:val="20"/>
          <w:szCs w:val="22"/>
        </w:rPr>
        <w:t>o</w:t>
      </w:r>
      <w:r w:rsidRPr="00CC2066">
        <w:rPr>
          <w:bCs/>
          <w:sz w:val="20"/>
          <w:szCs w:val="22"/>
        </w:rPr>
        <w:t xml:space="preserve"> </w:t>
      </w:r>
      <w:r w:rsidR="00DA19E4">
        <w:rPr>
          <w:bCs/>
          <w:sz w:val="20"/>
          <w:szCs w:val="22"/>
        </w:rPr>
        <w:t>dejstvo</w:t>
      </w:r>
      <w:r w:rsidRPr="00CC2066">
        <w:rPr>
          <w:bCs/>
          <w:sz w:val="20"/>
          <w:szCs w:val="22"/>
        </w:rPr>
        <w:t xml:space="preserve"> je primjećen</w:t>
      </w:r>
      <w:r w:rsidR="00DA19E4">
        <w:rPr>
          <w:bCs/>
          <w:sz w:val="20"/>
          <w:szCs w:val="22"/>
        </w:rPr>
        <w:t>o</w:t>
      </w:r>
      <w:r w:rsidRPr="00CC2066">
        <w:rPr>
          <w:bCs/>
          <w:sz w:val="20"/>
          <w:szCs w:val="22"/>
        </w:rPr>
        <w:t xml:space="preserve"> tokom </w:t>
      </w:r>
      <w:r>
        <w:rPr>
          <w:bCs/>
          <w:sz w:val="20"/>
          <w:szCs w:val="22"/>
        </w:rPr>
        <w:t>post</w:t>
      </w:r>
      <w:r w:rsidRPr="00CC2066">
        <w:rPr>
          <w:bCs/>
          <w:sz w:val="20"/>
          <w:szCs w:val="22"/>
        </w:rPr>
        <w:t>marketinškog praćenja, ali ne i u sklopu randomizovanih kontrolisanih kliničkih studija ili tokom produženog programa pristupa tenofovir dizoproksil</w:t>
      </w:r>
      <w:r>
        <w:rPr>
          <w:bCs/>
          <w:sz w:val="20"/>
          <w:szCs w:val="22"/>
        </w:rPr>
        <w:t>a</w:t>
      </w:r>
      <w:r w:rsidRPr="00CC2066">
        <w:rPr>
          <w:bCs/>
          <w:sz w:val="20"/>
          <w:szCs w:val="22"/>
        </w:rPr>
        <w:t>. Ova kategorija učestalosti je procijenjena na osnovu statističkog preračunavanja zasnovanog na ukupnom broju pacijenata izloženih tenofovir dizoproksil</w:t>
      </w:r>
      <w:r>
        <w:rPr>
          <w:bCs/>
          <w:sz w:val="20"/>
          <w:szCs w:val="22"/>
        </w:rPr>
        <w:t xml:space="preserve">u </w:t>
      </w:r>
      <w:r w:rsidRPr="00CC2066">
        <w:rPr>
          <w:bCs/>
          <w:sz w:val="20"/>
          <w:szCs w:val="22"/>
        </w:rPr>
        <w:t>tokom randomizovanih kontrolisanih kliničkih studija i produženog programa pristupa (n=7319).</w:t>
      </w:r>
    </w:p>
    <w:p w:rsidR="006E4A93" w:rsidRDefault="006E4A93" w:rsidP="00480FB1">
      <w:pPr>
        <w:tabs>
          <w:tab w:val="left" w:pos="540"/>
          <w:tab w:val="left" w:pos="569"/>
        </w:tabs>
        <w:rPr>
          <w:b/>
          <w:bCs/>
          <w:sz w:val="22"/>
          <w:szCs w:val="22"/>
        </w:rPr>
      </w:pPr>
    </w:p>
    <w:p w:rsidR="009D078F" w:rsidRPr="00192010" w:rsidRDefault="009D078F" w:rsidP="00192010">
      <w:pPr>
        <w:tabs>
          <w:tab w:val="left" w:pos="540"/>
          <w:tab w:val="left" w:pos="569"/>
        </w:tabs>
        <w:jc w:val="both"/>
        <w:rPr>
          <w:bCs/>
          <w:sz w:val="22"/>
          <w:szCs w:val="22"/>
        </w:rPr>
      </w:pPr>
      <w:r w:rsidRPr="00192010">
        <w:rPr>
          <w:bCs/>
          <w:sz w:val="22"/>
          <w:szCs w:val="22"/>
          <w:u w:val="single"/>
        </w:rPr>
        <w:t>Opis odabranih neželjenih reakcija</w:t>
      </w:r>
    </w:p>
    <w:p w:rsidR="009D078F" w:rsidRPr="00192010" w:rsidRDefault="009D078F" w:rsidP="00192010">
      <w:pPr>
        <w:tabs>
          <w:tab w:val="left" w:pos="540"/>
          <w:tab w:val="left" w:pos="569"/>
        </w:tabs>
        <w:jc w:val="both"/>
        <w:rPr>
          <w:bCs/>
          <w:i/>
          <w:sz w:val="22"/>
          <w:szCs w:val="22"/>
        </w:rPr>
      </w:pPr>
      <w:r w:rsidRPr="00192010">
        <w:rPr>
          <w:bCs/>
          <w:i/>
          <w:sz w:val="22"/>
          <w:szCs w:val="22"/>
        </w:rPr>
        <w:t>HIV-1 i hepatitis B</w:t>
      </w:r>
    </w:p>
    <w:p w:rsidR="009D078F" w:rsidRPr="00192010" w:rsidRDefault="009D078F">
      <w:pPr>
        <w:tabs>
          <w:tab w:val="left" w:pos="540"/>
          <w:tab w:val="left" w:pos="569"/>
        </w:tabs>
        <w:jc w:val="both"/>
        <w:rPr>
          <w:bCs/>
          <w:i/>
          <w:sz w:val="22"/>
          <w:szCs w:val="22"/>
        </w:rPr>
      </w:pPr>
      <w:r w:rsidRPr="00192010">
        <w:rPr>
          <w:bCs/>
          <w:i/>
          <w:sz w:val="22"/>
          <w:szCs w:val="22"/>
        </w:rPr>
        <w:t>Oštećena funkcija bubrega</w:t>
      </w:r>
    </w:p>
    <w:p w:rsidR="009D078F" w:rsidRPr="00192010" w:rsidRDefault="009D078F">
      <w:pPr>
        <w:tabs>
          <w:tab w:val="left" w:pos="540"/>
          <w:tab w:val="left" w:pos="569"/>
        </w:tabs>
        <w:jc w:val="both"/>
        <w:rPr>
          <w:bCs/>
          <w:sz w:val="22"/>
          <w:szCs w:val="22"/>
        </w:rPr>
      </w:pPr>
      <w:r w:rsidRPr="00192010">
        <w:rPr>
          <w:bCs/>
          <w:sz w:val="22"/>
          <w:szCs w:val="22"/>
        </w:rPr>
        <w:t xml:space="preserve">Kako tenofovir može da izazove oštećenje bubrega, preporučuje se praćenje bubrežne funkcije (vidjeti odjeljke 4.4. i 4.8 </w:t>
      </w:r>
      <w:r w:rsidRPr="00192010">
        <w:rPr>
          <w:bCs/>
          <w:i/>
          <w:sz w:val="22"/>
          <w:szCs w:val="22"/>
        </w:rPr>
        <w:t>Sažetak bezbjednosnog profila</w:t>
      </w:r>
      <w:r w:rsidRPr="00192010">
        <w:rPr>
          <w:bCs/>
          <w:sz w:val="22"/>
          <w:szCs w:val="22"/>
        </w:rPr>
        <w:t>). Proksimalna renalna tubulopatija se, uopšteno, povlači i poboljšava nakon prekida terapije tenofovir dizoproksilom. Ipak, kod nekih pacijenata se smanjenje klirensa kreatinina ne povlači uprkos prekidu terapije. Pacijenti koji su pod rizikom od slabljenja bubrežne funkcije (poput pacijenata sa postojećim renalnim faktorima rizika, uznapredovalom HIV infekcijom ili onih koji istovremeno primaju nefrotoksične ljekove) su pod povećanim rizikom od nepotpunog oporavka bubrežne funkcije i pored prekida primjene tenofovir dizoproksila (vidjeti odjeljak 4.4).</w:t>
      </w:r>
    </w:p>
    <w:p w:rsidR="009D078F" w:rsidRPr="00192010" w:rsidRDefault="009D078F">
      <w:pPr>
        <w:tabs>
          <w:tab w:val="left" w:pos="540"/>
          <w:tab w:val="left" w:pos="569"/>
        </w:tabs>
        <w:jc w:val="both"/>
        <w:rPr>
          <w:bCs/>
          <w:sz w:val="22"/>
          <w:szCs w:val="22"/>
        </w:rPr>
      </w:pPr>
    </w:p>
    <w:p w:rsidR="009D078F" w:rsidRPr="00192010" w:rsidRDefault="009D078F">
      <w:pPr>
        <w:tabs>
          <w:tab w:val="left" w:pos="540"/>
          <w:tab w:val="left" w:pos="569"/>
        </w:tabs>
        <w:jc w:val="both"/>
        <w:rPr>
          <w:bCs/>
          <w:i/>
          <w:sz w:val="22"/>
          <w:szCs w:val="22"/>
        </w:rPr>
      </w:pPr>
      <w:r w:rsidRPr="00192010">
        <w:rPr>
          <w:bCs/>
          <w:i/>
          <w:sz w:val="22"/>
          <w:szCs w:val="22"/>
        </w:rPr>
        <w:t>Laktatna acidoza</w:t>
      </w:r>
    </w:p>
    <w:p w:rsidR="009D078F" w:rsidRPr="00192010" w:rsidRDefault="009D078F">
      <w:pPr>
        <w:tabs>
          <w:tab w:val="left" w:pos="540"/>
          <w:tab w:val="left" w:pos="569"/>
        </w:tabs>
        <w:jc w:val="both"/>
        <w:rPr>
          <w:bCs/>
          <w:sz w:val="22"/>
          <w:szCs w:val="22"/>
        </w:rPr>
      </w:pPr>
      <w:r w:rsidRPr="00192010">
        <w:rPr>
          <w:bCs/>
          <w:sz w:val="22"/>
          <w:szCs w:val="22"/>
        </w:rPr>
        <w:t>Prijavljeni su slučajevi laktatne acidoze sa tenofovir dizoproksilom primijenjenim samostalno ili u kombinaciji sa drugim antiretrovirusnim ljekovima. Pacijenti sa predisponirajućim faktorima kao što su pacijenti sa dekompenzovanim oštećenjem funkcije jetre ili pacijenti koji primaju istovremeno ljekove za koje je poznato da indukuju laktatnu acidozu, pod povećanim su rizikom od pojave teške laktatne acidoze tokom terapije tenofovir dizoproksilom, uključujući smrtni ishod.</w:t>
      </w:r>
    </w:p>
    <w:p w:rsidR="009D078F" w:rsidRPr="00192010" w:rsidRDefault="009D078F">
      <w:pPr>
        <w:tabs>
          <w:tab w:val="left" w:pos="540"/>
          <w:tab w:val="left" w:pos="569"/>
        </w:tabs>
        <w:jc w:val="both"/>
        <w:rPr>
          <w:bCs/>
          <w:sz w:val="22"/>
          <w:szCs w:val="22"/>
        </w:rPr>
      </w:pPr>
    </w:p>
    <w:p w:rsidR="009D078F" w:rsidRPr="00192010" w:rsidRDefault="009D078F">
      <w:pPr>
        <w:tabs>
          <w:tab w:val="left" w:pos="540"/>
          <w:tab w:val="left" w:pos="569"/>
        </w:tabs>
        <w:jc w:val="both"/>
        <w:rPr>
          <w:bCs/>
          <w:i/>
          <w:sz w:val="22"/>
          <w:szCs w:val="22"/>
        </w:rPr>
      </w:pPr>
      <w:r w:rsidRPr="00192010">
        <w:rPr>
          <w:bCs/>
          <w:i/>
          <w:sz w:val="22"/>
          <w:szCs w:val="22"/>
        </w:rPr>
        <w:t>HIV-1</w:t>
      </w:r>
    </w:p>
    <w:p w:rsidR="009D078F" w:rsidRPr="00192010" w:rsidRDefault="009D078F">
      <w:pPr>
        <w:tabs>
          <w:tab w:val="left" w:pos="540"/>
          <w:tab w:val="left" w:pos="569"/>
        </w:tabs>
        <w:jc w:val="both"/>
        <w:rPr>
          <w:bCs/>
          <w:i/>
          <w:sz w:val="22"/>
          <w:szCs w:val="22"/>
        </w:rPr>
      </w:pPr>
      <w:r w:rsidRPr="00192010">
        <w:rPr>
          <w:bCs/>
          <w:i/>
          <w:sz w:val="22"/>
          <w:szCs w:val="22"/>
        </w:rPr>
        <w:t>Metabolički parametri</w:t>
      </w:r>
    </w:p>
    <w:p w:rsidR="009D078F" w:rsidRPr="00192010" w:rsidRDefault="009D078F">
      <w:pPr>
        <w:tabs>
          <w:tab w:val="left" w:pos="540"/>
          <w:tab w:val="left" w:pos="569"/>
        </w:tabs>
        <w:jc w:val="both"/>
        <w:rPr>
          <w:bCs/>
          <w:sz w:val="22"/>
          <w:szCs w:val="22"/>
        </w:rPr>
      </w:pPr>
      <w:r w:rsidRPr="00192010">
        <w:rPr>
          <w:bCs/>
          <w:sz w:val="22"/>
          <w:szCs w:val="22"/>
        </w:rPr>
        <w:t>Tjelesna masa i vrijednosti lipida i glukoze u krvi se mogu povećati tokom antiretrovirusne terapije (vidjeti odjeljak 4.4).</w:t>
      </w:r>
    </w:p>
    <w:p w:rsidR="009D078F" w:rsidRPr="00192010" w:rsidRDefault="009D078F">
      <w:pPr>
        <w:tabs>
          <w:tab w:val="left" w:pos="540"/>
          <w:tab w:val="left" w:pos="569"/>
        </w:tabs>
        <w:jc w:val="both"/>
        <w:rPr>
          <w:bCs/>
          <w:sz w:val="22"/>
          <w:szCs w:val="22"/>
        </w:rPr>
      </w:pPr>
    </w:p>
    <w:p w:rsidR="009D078F" w:rsidRPr="00192010" w:rsidRDefault="009D078F">
      <w:pPr>
        <w:tabs>
          <w:tab w:val="left" w:pos="540"/>
          <w:tab w:val="left" w:pos="569"/>
        </w:tabs>
        <w:jc w:val="both"/>
        <w:rPr>
          <w:bCs/>
          <w:i/>
          <w:sz w:val="22"/>
          <w:szCs w:val="22"/>
        </w:rPr>
      </w:pPr>
      <w:r w:rsidRPr="00192010">
        <w:rPr>
          <w:bCs/>
          <w:i/>
          <w:sz w:val="22"/>
          <w:szCs w:val="22"/>
        </w:rPr>
        <w:t>Sindrom reaktivacije imunskog sistema</w:t>
      </w:r>
    </w:p>
    <w:p w:rsidR="009D078F" w:rsidRPr="00DA19E4" w:rsidRDefault="009D078F">
      <w:pPr>
        <w:tabs>
          <w:tab w:val="left" w:pos="540"/>
          <w:tab w:val="left" w:pos="569"/>
        </w:tabs>
        <w:jc w:val="both"/>
        <w:rPr>
          <w:bCs/>
          <w:sz w:val="22"/>
          <w:szCs w:val="22"/>
          <w:lang w:val="hr-HR"/>
        </w:rPr>
      </w:pPr>
      <w:r w:rsidRPr="00192010">
        <w:rPr>
          <w:bCs/>
          <w:sz w:val="22"/>
          <w:szCs w:val="22"/>
        </w:rPr>
        <w:t xml:space="preserve">Kod pacijenata inficiranih HIV-om sa teškom imunodeficijencijom u trenutku započinjanja kombinovane </w:t>
      </w:r>
      <w:r w:rsidRPr="00192010">
        <w:rPr>
          <w:bCs/>
          <w:sz w:val="22"/>
          <w:szCs w:val="22"/>
          <w:lang w:val="hr-HR"/>
        </w:rPr>
        <w:t>antiretrovirusne terapije (CART), može se javiti inflamatorna reakcija na asimptomatske ili rezidualne oportunističke infekcije. Prim</w:t>
      </w:r>
      <w:r w:rsidR="00D72684" w:rsidRPr="00192010">
        <w:rPr>
          <w:bCs/>
          <w:sz w:val="22"/>
          <w:szCs w:val="22"/>
          <w:lang w:val="hr-HR"/>
        </w:rPr>
        <w:t>ij</w:t>
      </w:r>
      <w:r w:rsidRPr="00192010">
        <w:rPr>
          <w:bCs/>
          <w:sz w:val="22"/>
          <w:szCs w:val="22"/>
          <w:lang w:val="hr-HR"/>
        </w:rPr>
        <w:t xml:space="preserve">ećeni su i autoimunski poremećaji (kao što je </w:t>
      </w:r>
      <w:r w:rsidRPr="00192010">
        <w:rPr>
          <w:bCs/>
          <w:i/>
          <w:sz w:val="22"/>
          <w:szCs w:val="22"/>
          <w:lang w:val="hr-HR"/>
        </w:rPr>
        <w:t>Graves</w:t>
      </w:r>
      <w:r w:rsidRPr="00192010">
        <w:rPr>
          <w:bCs/>
          <w:sz w:val="22"/>
          <w:szCs w:val="22"/>
          <w:lang w:val="hr-HR"/>
        </w:rPr>
        <w:t xml:space="preserve">-ova bolest </w:t>
      </w:r>
      <w:r w:rsidR="00D72684" w:rsidRPr="00192010">
        <w:rPr>
          <w:bCs/>
          <w:sz w:val="22"/>
          <w:szCs w:val="22"/>
        </w:rPr>
        <w:t xml:space="preserve"> i </w:t>
      </w:r>
      <w:r w:rsidRPr="00192010">
        <w:rPr>
          <w:bCs/>
          <w:sz w:val="22"/>
          <w:szCs w:val="22"/>
        </w:rPr>
        <w:t>autoimunski hepatitis</w:t>
      </w:r>
      <w:r w:rsidRPr="00192010">
        <w:rPr>
          <w:bCs/>
          <w:sz w:val="22"/>
          <w:szCs w:val="22"/>
          <w:lang w:val="hr-HR"/>
        </w:rPr>
        <w:t>); međutim, prijavljeno vr</w:t>
      </w:r>
      <w:r w:rsidR="00D72684" w:rsidRPr="00192010">
        <w:rPr>
          <w:bCs/>
          <w:sz w:val="22"/>
          <w:szCs w:val="22"/>
          <w:lang w:val="hr-HR"/>
        </w:rPr>
        <w:t>ij</w:t>
      </w:r>
      <w:r w:rsidRPr="00192010">
        <w:rPr>
          <w:bCs/>
          <w:sz w:val="22"/>
          <w:szCs w:val="22"/>
          <w:lang w:val="hr-HR"/>
        </w:rPr>
        <w:t>eme od početka prim</w:t>
      </w:r>
      <w:r w:rsidR="00D72684" w:rsidRPr="00192010">
        <w:rPr>
          <w:bCs/>
          <w:sz w:val="22"/>
          <w:szCs w:val="22"/>
          <w:lang w:val="hr-HR"/>
        </w:rPr>
        <w:t>j</w:t>
      </w:r>
      <w:r w:rsidRPr="00192010">
        <w:rPr>
          <w:bCs/>
          <w:sz w:val="22"/>
          <w:szCs w:val="22"/>
          <w:lang w:val="hr-HR"/>
        </w:rPr>
        <w:t>ene terapije do pojave poremećaja bilo je prom</w:t>
      </w:r>
      <w:r w:rsidR="00D72684" w:rsidRPr="00192010">
        <w:rPr>
          <w:bCs/>
          <w:sz w:val="22"/>
          <w:szCs w:val="22"/>
          <w:lang w:val="hr-HR"/>
        </w:rPr>
        <w:t>j</w:t>
      </w:r>
      <w:r w:rsidRPr="00192010">
        <w:rPr>
          <w:bCs/>
          <w:sz w:val="22"/>
          <w:szCs w:val="22"/>
          <w:lang w:val="hr-HR"/>
        </w:rPr>
        <w:t xml:space="preserve">enljivo i ovi događaji mogu se </w:t>
      </w:r>
      <w:r w:rsidR="00DA19E4">
        <w:rPr>
          <w:bCs/>
          <w:sz w:val="22"/>
          <w:szCs w:val="22"/>
          <w:lang w:val="hr-HR"/>
        </w:rPr>
        <w:t>pojaviti</w:t>
      </w:r>
      <w:r w:rsidRPr="00DA19E4">
        <w:rPr>
          <w:bCs/>
          <w:sz w:val="22"/>
          <w:szCs w:val="22"/>
          <w:lang w:val="hr-HR"/>
        </w:rPr>
        <w:t xml:space="preserve"> i mnogo m</w:t>
      </w:r>
      <w:r w:rsidR="00D72684" w:rsidRPr="00DA19E4">
        <w:rPr>
          <w:bCs/>
          <w:sz w:val="22"/>
          <w:szCs w:val="22"/>
          <w:lang w:val="hr-HR"/>
        </w:rPr>
        <w:t>j</w:t>
      </w:r>
      <w:r w:rsidRPr="00DA19E4">
        <w:rPr>
          <w:bCs/>
          <w:sz w:val="22"/>
          <w:szCs w:val="22"/>
          <w:lang w:val="hr-HR"/>
        </w:rPr>
        <w:t>eseci nakon iniciranja terapije (vidjeti odjeljak 4.4).</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i/>
          <w:sz w:val="22"/>
          <w:szCs w:val="22"/>
          <w:lang w:val="hr-HR"/>
        </w:rPr>
      </w:pPr>
      <w:r w:rsidRPr="00192010">
        <w:rPr>
          <w:bCs/>
          <w:i/>
          <w:sz w:val="22"/>
          <w:szCs w:val="22"/>
          <w:lang w:val="hr-HR"/>
        </w:rPr>
        <w:t>Osteonekroza</w:t>
      </w:r>
    </w:p>
    <w:p w:rsidR="009D078F" w:rsidRPr="00192010" w:rsidRDefault="009D078F">
      <w:pPr>
        <w:tabs>
          <w:tab w:val="left" w:pos="540"/>
          <w:tab w:val="left" w:pos="569"/>
        </w:tabs>
        <w:jc w:val="both"/>
        <w:rPr>
          <w:bCs/>
          <w:sz w:val="22"/>
          <w:szCs w:val="22"/>
          <w:lang w:val="hr-HR"/>
        </w:rPr>
      </w:pPr>
      <w:r w:rsidRPr="00192010">
        <w:rPr>
          <w:bCs/>
          <w:sz w:val="22"/>
          <w:szCs w:val="22"/>
          <w:lang w:val="hr-HR"/>
        </w:rPr>
        <w:t>Prijavljeni su slučajevi osteonekroze, pogotovo kod pacijenata sa opšte poznatim faktorima rizika, uznapredovalom HIV infekcijom ili dugoročnom izloženosti kombinovanoj antiretrovirusnoj terapiji (CART). Učestalost osteonekroze nije poznata (vidjeti odjeljak 4.4).</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i/>
          <w:sz w:val="22"/>
          <w:szCs w:val="22"/>
          <w:lang w:val="hr-HR"/>
        </w:rPr>
      </w:pPr>
      <w:r w:rsidRPr="00192010">
        <w:rPr>
          <w:bCs/>
          <w:i/>
          <w:sz w:val="22"/>
          <w:szCs w:val="22"/>
          <w:lang w:val="hr-HR"/>
        </w:rPr>
        <w:t>Hepatitis B</w:t>
      </w:r>
    </w:p>
    <w:p w:rsidR="009D078F" w:rsidRPr="00192010" w:rsidRDefault="009D078F">
      <w:pPr>
        <w:tabs>
          <w:tab w:val="left" w:pos="540"/>
          <w:tab w:val="left" w:pos="569"/>
        </w:tabs>
        <w:jc w:val="both"/>
        <w:rPr>
          <w:bCs/>
          <w:i/>
          <w:sz w:val="22"/>
          <w:szCs w:val="22"/>
          <w:lang w:val="hr-HR"/>
        </w:rPr>
      </w:pPr>
      <w:r w:rsidRPr="00192010">
        <w:rPr>
          <w:bCs/>
          <w:i/>
          <w:sz w:val="22"/>
          <w:szCs w:val="22"/>
          <w:lang w:val="hr-HR"/>
        </w:rPr>
        <w:t>Egzacerbacije hepatitisa tokom l</w:t>
      </w:r>
      <w:r w:rsidR="00D72684" w:rsidRPr="00192010">
        <w:rPr>
          <w:bCs/>
          <w:i/>
          <w:sz w:val="22"/>
          <w:szCs w:val="22"/>
          <w:lang w:val="hr-HR"/>
        </w:rPr>
        <w:t>ij</w:t>
      </w:r>
      <w:r w:rsidRPr="00192010">
        <w:rPr>
          <w:bCs/>
          <w:i/>
          <w:sz w:val="22"/>
          <w:szCs w:val="22"/>
          <w:lang w:val="hr-HR"/>
        </w:rPr>
        <w:t>ečenja</w:t>
      </w:r>
    </w:p>
    <w:p w:rsidR="009D078F" w:rsidRPr="00192010" w:rsidRDefault="009D078F">
      <w:pPr>
        <w:tabs>
          <w:tab w:val="left" w:pos="540"/>
          <w:tab w:val="left" w:pos="569"/>
        </w:tabs>
        <w:jc w:val="both"/>
        <w:rPr>
          <w:bCs/>
          <w:sz w:val="22"/>
          <w:szCs w:val="22"/>
          <w:lang w:val="hr-HR"/>
        </w:rPr>
      </w:pPr>
      <w:r w:rsidRPr="00192010">
        <w:rPr>
          <w:bCs/>
          <w:sz w:val="22"/>
          <w:szCs w:val="22"/>
        </w:rPr>
        <w:t>U studijama kod pacijenata koji ni</w:t>
      </w:r>
      <w:r w:rsidR="00DA19E4">
        <w:rPr>
          <w:bCs/>
          <w:sz w:val="22"/>
          <w:szCs w:val="22"/>
        </w:rPr>
        <w:t>je</w:t>
      </w:r>
      <w:r w:rsidRPr="00DA19E4">
        <w:rPr>
          <w:bCs/>
          <w:sz w:val="22"/>
          <w:szCs w:val="22"/>
        </w:rPr>
        <w:t>su pret</w:t>
      </w:r>
      <w:r w:rsidR="00D72684" w:rsidRPr="00DA19E4">
        <w:rPr>
          <w:bCs/>
          <w:sz w:val="22"/>
          <w:szCs w:val="22"/>
        </w:rPr>
        <w:t>hodno dobijali nukleozide zabilje</w:t>
      </w:r>
      <w:r w:rsidRPr="00DA19E4">
        <w:rPr>
          <w:bCs/>
          <w:sz w:val="22"/>
          <w:szCs w:val="22"/>
        </w:rPr>
        <w:t>ženo je povećanje vr</w:t>
      </w:r>
      <w:r w:rsidR="00D72684" w:rsidRPr="00192010">
        <w:rPr>
          <w:bCs/>
          <w:sz w:val="22"/>
          <w:szCs w:val="22"/>
        </w:rPr>
        <w:t>ij</w:t>
      </w:r>
      <w:r w:rsidRPr="00192010">
        <w:rPr>
          <w:bCs/>
          <w:sz w:val="22"/>
          <w:szCs w:val="22"/>
        </w:rPr>
        <w:t>ednosti ALT tokom l</w:t>
      </w:r>
      <w:r w:rsidR="00D72684" w:rsidRPr="00192010">
        <w:rPr>
          <w:bCs/>
          <w:sz w:val="22"/>
          <w:szCs w:val="22"/>
        </w:rPr>
        <w:t>ij</w:t>
      </w:r>
      <w:r w:rsidRPr="00192010">
        <w:rPr>
          <w:bCs/>
          <w:sz w:val="22"/>
          <w:szCs w:val="22"/>
        </w:rPr>
        <w:t>ečenja &gt; 10 puta od granice referentnih vr</w:t>
      </w:r>
      <w:r w:rsidR="00D72684" w:rsidRPr="00192010">
        <w:rPr>
          <w:bCs/>
          <w:sz w:val="22"/>
          <w:szCs w:val="22"/>
        </w:rPr>
        <w:t>ij</w:t>
      </w:r>
      <w:r w:rsidRPr="00192010">
        <w:rPr>
          <w:bCs/>
          <w:sz w:val="22"/>
          <w:szCs w:val="22"/>
        </w:rPr>
        <w:t>edosti i &gt; 2 puta od vr</w:t>
      </w:r>
      <w:r w:rsidR="00D72684" w:rsidRPr="00192010">
        <w:rPr>
          <w:bCs/>
          <w:sz w:val="22"/>
          <w:szCs w:val="22"/>
        </w:rPr>
        <w:t>ij</w:t>
      </w:r>
      <w:r w:rsidRPr="00192010">
        <w:rPr>
          <w:bCs/>
          <w:sz w:val="22"/>
          <w:szCs w:val="22"/>
        </w:rPr>
        <w:t>ednosti na početku l</w:t>
      </w:r>
      <w:r w:rsidR="00D72684" w:rsidRPr="00192010">
        <w:rPr>
          <w:bCs/>
          <w:sz w:val="22"/>
          <w:szCs w:val="22"/>
        </w:rPr>
        <w:t>ij</w:t>
      </w:r>
      <w:r w:rsidRPr="00192010">
        <w:rPr>
          <w:bCs/>
          <w:sz w:val="22"/>
          <w:szCs w:val="22"/>
        </w:rPr>
        <w:t>ečenja, kod 2,6% pacijenata koji su dobijali tenofovir</w:t>
      </w:r>
      <w:r w:rsidR="00D72684" w:rsidRPr="00192010">
        <w:rPr>
          <w:bCs/>
          <w:sz w:val="22"/>
          <w:szCs w:val="22"/>
        </w:rPr>
        <w:t xml:space="preserve"> </w:t>
      </w:r>
      <w:r w:rsidRPr="00192010">
        <w:rPr>
          <w:bCs/>
          <w:sz w:val="22"/>
          <w:szCs w:val="22"/>
        </w:rPr>
        <w:t>dizoproksil. Medijana vremena do pojave povećanja vr</w:t>
      </w:r>
      <w:r w:rsidR="00D72684" w:rsidRPr="00192010">
        <w:rPr>
          <w:bCs/>
          <w:sz w:val="22"/>
          <w:szCs w:val="22"/>
        </w:rPr>
        <w:t>ij</w:t>
      </w:r>
      <w:r w:rsidRPr="00192010">
        <w:rPr>
          <w:bCs/>
          <w:sz w:val="22"/>
          <w:szCs w:val="22"/>
        </w:rPr>
        <w:t>ednosti ALT bila je 8 ned</w:t>
      </w:r>
      <w:r w:rsidR="00D72684" w:rsidRPr="00192010">
        <w:rPr>
          <w:bCs/>
          <w:sz w:val="22"/>
          <w:szCs w:val="22"/>
        </w:rPr>
        <w:t>j</w:t>
      </w:r>
      <w:r w:rsidRPr="00192010">
        <w:rPr>
          <w:bCs/>
          <w:sz w:val="22"/>
          <w:szCs w:val="22"/>
        </w:rPr>
        <w:t>elja, a povlačila se tokom nastavka terapije i u većini slučajeva, bila je povezana sa smanjenjem broja virusa za ≥ 2 log</w:t>
      </w:r>
      <w:r w:rsidRPr="00192010">
        <w:rPr>
          <w:bCs/>
          <w:sz w:val="22"/>
          <w:szCs w:val="22"/>
          <w:vertAlign w:val="subscript"/>
        </w:rPr>
        <w:t>10</w:t>
      </w:r>
      <w:r w:rsidRPr="00192010">
        <w:rPr>
          <w:bCs/>
          <w:sz w:val="22"/>
          <w:szCs w:val="22"/>
        </w:rPr>
        <w:t xml:space="preserve"> kopija/</w:t>
      </w:r>
      <w:r w:rsidR="00B83CAB" w:rsidRPr="00192010">
        <w:rPr>
          <w:bCs/>
          <w:sz w:val="22"/>
          <w:szCs w:val="22"/>
        </w:rPr>
        <w:t>ml</w:t>
      </w:r>
      <w:r w:rsidRPr="00192010">
        <w:rPr>
          <w:bCs/>
          <w:sz w:val="22"/>
          <w:szCs w:val="22"/>
        </w:rPr>
        <w:t xml:space="preserve"> koja je prethodila povećanju vr</w:t>
      </w:r>
      <w:r w:rsidR="00D72684" w:rsidRPr="00192010">
        <w:rPr>
          <w:bCs/>
          <w:sz w:val="22"/>
          <w:szCs w:val="22"/>
        </w:rPr>
        <w:t>ij</w:t>
      </w:r>
      <w:r w:rsidRPr="00192010">
        <w:rPr>
          <w:bCs/>
          <w:sz w:val="22"/>
          <w:szCs w:val="22"/>
        </w:rPr>
        <w:t>ednos</w:t>
      </w:r>
      <w:r w:rsidR="00D72684" w:rsidRPr="00192010">
        <w:rPr>
          <w:bCs/>
          <w:sz w:val="22"/>
          <w:szCs w:val="22"/>
        </w:rPr>
        <w:t xml:space="preserve">ti ALT ili se podudara sa njim. </w:t>
      </w:r>
      <w:r w:rsidRPr="00192010">
        <w:rPr>
          <w:bCs/>
          <w:sz w:val="22"/>
          <w:szCs w:val="22"/>
          <w:lang w:val="hr-HR"/>
        </w:rPr>
        <w:t>Tokom terapije se preporučuje periodično praćenje funkcije jetre (vidjeti odjeljak 4.4).</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i/>
          <w:sz w:val="22"/>
          <w:szCs w:val="22"/>
          <w:lang w:val="hr-HR"/>
        </w:rPr>
      </w:pPr>
      <w:r w:rsidRPr="00192010">
        <w:rPr>
          <w:bCs/>
          <w:i/>
          <w:sz w:val="22"/>
          <w:szCs w:val="22"/>
          <w:lang w:val="hr-HR"/>
        </w:rPr>
        <w:t>Egzacerbacije hepatitisa nakon prekida terapije</w:t>
      </w:r>
    </w:p>
    <w:p w:rsidR="009D078F" w:rsidRPr="00192010" w:rsidRDefault="009D078F">
      <w:pPr>
        <w:tabs>
          <w:tab w:val="left" w:pos="540"/>
          <w:tab w:val="left" w:pos="569"/>
        </w:tabs>
        <w:jc w:val="both"/>
        <w:rPr>
          <w:bCs/>
          <w:sz w:val="22"/>
          <w:szCs w:val="22"/>
          <w:lang w:val="hr-HR"/>
        </w:rPr>
      </w:pPr>
      <w:r w:rsidRPr="00192010">
        <w:rPr>
          <w:bCs/>
          <w:sz w:val="22"/>
          <w:szCs w:val="22"/>
          <w:lang w:val="hr-HR"/>
        </w:rPr>
        <w:t>Postoje klinički i laboratorijski podaci o egzacerbaciji hepatitisa do koje je došlo nakon prekida terapije HBV kod HBV inficiranih pacijenata (vidjeti odjeljak 4.4).</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sz w:val="22"/>
          <w:szCs w:val="22"/>
          <w:u w:val="single"/>
          <w:lang w:val="hr-HR"/>
        </w:rPr>
      </w:pPr>
      <w:r w:rsidRPr="00192010">
        <w:rPr>
          <w:bCs/>
          <w:sz w:val="22"/>
          <w:szCs w:val="22"/>
          <w:u w:val="single"/>
          <w:lang w:val="hr-HR"/>
        </w:rPr>
        <w:t>Pedijatrijska populacija</w:t>
      </w:r>
    </w:p>
    <w:p w:rsidR="009D078F" w:rsidRPr="00192010" w:rsidRDefault="009D078F">
      <w:pPr>
        <w:tabs>
          <w:tab w:val="left" w:pos="540"/>
          <w:tab w:val="left" w:pos="569"/>
        </w:tabs>
        <w:jc w:val="both"/>
        <w:rPr>
          <w:bCs/>
          <w:i/>
          <w:sz w:val="22"/>
          <w:szCs w:val="22"/>
          <w:lang w:val="hr-HR"/>
        </w:rPr>
      </w:pPr>
      <w:r w:rsidRPr="00192010">
        <w:rPr>
          <w:bCs/>
          <w:i/>
          <w:sz w:val="22"/>
          <w:szCs w:val="22"/>
          <w:lang w:val="hr-HR"/>
        </w:rPr>
        <w:t>HIV-1</w:t>
      </w:r>
    </w:p>
    <w:p w:rsidR="009D078F" w:rsidRPr="00192010" w:rsidRDefault="009D078F">
      <w:pPr>
        <w:tabs>
          <w:tab w:val="left" w:pos="540"/>
          <w:tab w:val="left" w:pos="569"/>
        </w:tabs>
        <w:jc w:val="both"/>
        <w:rPr>
          <w:bCs/>
          <w:sz w:val="22"/>
          <w:szCs w:val="22"/>
          <w:lang w:val="hr-HR"/>
        </w:rPr>
      </w:pPr>
      <w:r w:rsidRPr="00192010">
        <w:rPr>
          <w:bCs/>
          <w:sz w:val="22"/>
          <w:szCs w:val="22"/>
          <w:lang w:val="hr-HR"/>
        </w:rPr>
        <w:t>Proc</w:t>
      </w:r>
      <w:r w:rsidR="00D72684" w:rsidRPr="00192010">
        <w:rPr>
          <w:bCs/>
          <w:sz w:val="22"/>
          <w:szCs w:val="22"/>
          <w:lang w:val="hr-HR"/>
        </w:rPr>
        <w:t>j</w:t>
      </w:r>
      <w:r w:rsidRPr="00192010">
        <w:rPr>
          <w:bCs/>
          <w:sz w:val="22"/>
          <w:szCs w:val="22"/>
          <w:lang w:val="hr-HR"/>
        </w:rPr>
        <w:t>ena neželjenih reakcija se zasniva na dv</w:t>
      </w:r>
      <w:r w:rsidR="00D72684" w:rsidRPr="00192010">
        <w:rPr>
          <w:bCs/>
          <w:sz w:val="22"/>
          <w:szCs w:val="22"/>
          <w:lang w:val="hr-HR"/>
        </w:rPr>
        <w:t>ij</w:t>
      </w:r>
      <w:r w:rsidRPr="00192010">
        <w:rPr>
          <w:bCs/>
          <w:sz w:val="22"/>
          <w:szCs w:val="22"/>
          <w:lang w:val="hr-HR"/>
        </w:rPr>
        <w:t>e randomizovane studije (GS-US-104-0321 i GS-US-104-0352) kod 184 HIV-1 pozitivna pedijatrijska pacijenta (uzrasta od 2 do manje od 18 godina), koja su primala tenofovir</w:t>
      </w:r>
      <w:r w:rsidR="00D72684" w:rsidRPr="00192010">
        <w:rPr>
          <w:bCs/>
          <w:sz w:val="22"/>
          <w:szCs w:val="22"/>
          <w:lang w:val="hr-HR"/>
        </w:rPr>
        <w:t xml:space="preserve"> </w:t>
      </w:r>
      <w:r w:rsidRPr="00192010">
        <w:rPr>
          <w:bCs/>
          <w:sz w:val="22"/>
          <w:szCs w:val="22"/>
          <w:lang w:val="hr-HR"/>
        </w:rPr>
        <w:t>dizoproksil (n=93) ili placebo/aktivni komparator (n=91) u kombinaciji sa drugim antiretrovirusinim l</w:t>
      </w:r>
      <w:r w:rsidR="00D72684" w:rsidRPr="00192010">
        <w:rPr>
          <w:bCs/>
          <w:sz w:val="22"/>
          <w:szCs w:val="22"/>
          <w:lang w:val="hr-HR"/>
        </w:rPr>
        <w:t>j</w:t>
      </w:r>
      <w:r w:rsidRPr="00192010">
        <w:rPr>
          <w:bCs/>
          <w:sz w:val="22"/>
          <w:szCs w:val="22"/>
          <w:lang w:val="hr-HR"/>
        </w:rPr>
        <w:t>ekovima tokom 48 ned</w:t>
      </w:r>
      <w:r w:rsidR="00D72684" w:rsidRPr="00192010">
        <w:rPr>
          <w:bCs/>
          <w:sz w:val="22"/>
          <w:szCs w:val="22"/>
          <w:lang w:val="hr-HR"/>
        </w:rPr>
        <w:t>j</w:t>
      </w:r>
      <w:r w:rsidRPr="00192010">
        <w:rPr>
          <w:bCs/>
          <w:sz w:val="22"/>
          <w:szCs w:val="22"/>
          <w:lang w:val="hr-HR"/>
        </w:rPr>
        <w:t>elja (vidjeti odjeljak 5.1). Neželjene reakcije na tenofovir</w:t>
      </w:r>
      <w:r w:rsidR="00D72684" w:rsidRPr="00192010">
        <w:rPr>
          <w:bCs/>
          <w:sz w:val="22"/>
          <w:szCs w:val="22"/>
          <w:lang w:val="hr-HR"/>
        </w:rPr>
        <w:t xml:space="preserve"> </w:t>
      </w:r>
      <w:r w:rsidRPr="00192010">
        <w:rPr>
          <w:bCs/>
          <w:sz w:val="22"/>
          <w:szCs w:val="22"/>
          <w:lang w:val="hr-HR"/>
        </w:rPr>
        <w:t>dizoproksil kod pedijatrijskih pacijenata su odgovar</w:t>
      </w:r>
      <w:r w:rsidR="00D72684" w:rsidRPr="00192010">
        <w:rPr>
          <w:bCs/>
          <w:sz w:val="22"/>
          <w:szCs w:val="22"/>
          <w:lang w:val="hr-HR"/>
        </w:rPr>
        <w:t>ale neželjenim reakcijama zabilje</w:t>
      </w:r>
      <w:r w:rsidRPr="00192010">
        <w:rPr>
          <w:bCs/>
          <w:sz w:val="22"/>
          <w:szCs w:val="22"/>
          <w:lang w:val="hr-HR"/>
        </w:rPr>
        <w:t>ženim u kliničkim studijama tenofovir</w:t>
      </w:r>
      <w:r w:rsidR="00D72684" w:rsidRPr="00192010">
        <w:rPr>
          <w:bCs/>
          <w:sz w:val="22"/>
          <w:szCs w:val="22"/>
          <w:lang w:val="hr-HR"/>
        </w:rPr>
        <w:t xml:space="preserve"> </w:t>
      </w:r>
      <w:r w:rsidRPr="00192010">
        <w:rPr>
          <w:bCs/>
          <w:sz w:val="22"/>
          <w:szCs w:val="22"/>
          <w:lang w:val="hr-HR"/>
        </w:rPr>
        <w:t xml:space="preserve">dizoproksila kod odraslih (vidjeti odjeljke 4.8. </w:t>
      </w:r>
      <w:r w:rsidRPr="00192010">
        <w:rPr>
          <w:bCs/>
          <w:i/>
          <w:sz w:val="22"/>
          <w:szCs w:val="22"/>
          <w:lang w:val="hr-HR"/>
        </w:rPr>
        <w:t xml:space="preserve">Tabelarni </w:t>
      </w:r>
      <w:r w:rsidR="00D72684" w:rsidRPr="00192010">
        <w:rPr>
          <w:bCs/>
          <w:i/>
          <w:sz w:val="22"/>
          <w:szCs w:val="22"/>
          <w:lang w:val="hr-HR"/>
        </w:rPr>
        <w:t>prikaz</w:t>
      </w:r>
      <w:r w:rsidRPr="00192010">
        <w:rPr>
          <w:bCs/>
          <w:i/>
          <w:sz w:val="22"/>
          <w:szCs w:val="22"/>
          <w:lang w:val="hr-HR"/>
        </w:rPr>
        <w:t xml:space="preserve"> neželjenih reakcija</w:t>
      </w:r>
      <w:r w:rsidRPr="00192010">
        <w:rPr>
          <w:bCs/>
          <w:sz w:val="22"/>
          <w:szCs w:val="22"/>
          <w:lang w:val="hr-HR"/>
        </w:rPr>
        <w:t xml:space="preserve"> i 5.1).</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sz w:val="22"/>
          <w:szCs w:val="22"/>
          <w:lang w:val="hr-HR"/>
        </w:rPr>
      </w:pPr>
      <w:r w:rsidRPr="00192010">
        <w:rPr>
          <w:bCs/>
          <w:sz w:val="22"/>
          <w:szCs w:val="22"/>
          <w:lang w:val="hr-HR"/>
        </w:rPr>
        <w:t xml:space="preserve">Smanjenja BMD (engl. </w:t>
      </w:r>
      <w:r w:rsidRPr="00192010">
        <w:rPr>
          <w:bCs/>
          <w:i/>
          <w:sz w:val="22"/>
          <w:szCs w:val="22"/>
          <w:lang w:val="hr-HR"/>
        </w:rPr>
        <w:t xml:space="preserve">bone mineral density, </w:t>
      </w:r>
      <w:r w:rsidRPr="00192010">
        <w:rPr>
          <w:bCs/>
          <w:sz w:val="22"/>
          <w:szCs w:val="22"/>
          <w:lang w:val="hr-HR"/>
        </w:rPr>
        <w:t>BMD) su takođe prijavljivana kod pedijatrijskih pacijenata. Među HIV-1 inficiranim adolescentima l</w:t>
      </w:r>
      <w:r w:rsidR="00D72684" w:rsidRPr="00192010">
        <w:rPr>
          <w:bCs/>
          <w:sz w:val="22"/>
          <w:szCs w:val="22"/>
          <w:lang w:val="hr-HR"/>
        </w:rPr>
        <w:t>ij</w:t>
      </w:r>
      <w:r w:rsidRPr="00192010">
        <w:rPr>
          <w:bCs/>
          <w:sz w:val="22"/>
          <w:szCs w:val="22"/>
          <w:lang w:val="hr-HR"/>
        </w:rPr>
        <w:t>ečenim tenofovir</w:t>
      </w:r>
      <w:r w:rsidR="00D72684" w:rsidRPr="00192010">
        <w:rPr>
          <w:bCs/>
          <w:sz w:val="22"/>
          <w:szCs w:val="22"/>
          <w:lang w:val="hr-HR"/>
        </w:rPr>
        <w:t xml:space="preserve"> </w:t>
      </w:r>
      <w:r w:rsidRPr="00192010">
        <w:rPr>
          <w:bCs/>
          <w:sz w:val="22"/>
          <w:szCs w:val="22"/>
          <w:lang w:val="hr-HR"/>
        </w:rPr>
        <w:t>dizoproksilom , BMD Z-skorovi su bili manji nego kod pacijenata koji su primali placebo. Među HIV-1 inficiranom d</w:t>
      </w:r>
      <w:r w:rsidR="00D72684" w:rsidRPr="00192010">
        <w:rPr>
          <w:bCs/>
          <w:sz w:val="22"/>
          <w:szCs w:val="22"/>
          <w:lang w:val="hr-HR"/>
        </w:rPr>
        <w:t>j</w:t>
      </w:r>
      <w:r w:rsidRPr="00192010">
        <w:rPr>
          <w:bCs/>
          <w:sz w:val="22"/>
          <w:szCs w:val="22"/>
          <w:lang w:val="hr-HR"/>
        </w:rPr>
        <w:t>ecom, prevedenom na terapiju tenofovir</w:t>
      </w:r>
      <w:r w:rsidR="00D72684" w:rsidRPr="00192010">
        <w:rPr>
          <w:bCs/>
          <w:sz w:val="22"/>
          <w:szCs w:val="22"/>
          <w:lang w:val="hr-HR"/>
        </w:rPr>
        <w:t xml:space="preserve"> </w:t>
      </w:r>
      <w:r w:rsidRPr="00192010">
        <w:rPr>
          <w:bCs/>
          <w:sz w:val="22"/>
          <w:szCs w:val="22"/>
          <w:lang w:val="hr-HR"/>
        </w:rPr>
        <w:t>dizoproksilom, BMD, Z-skorovi su bili manji nego kod d</w:t>
      </w:r>
      <w:r w:rsidR="00D72684" w:rsidRPr="00192010">
        <w:rPr>
          <w:bCs/>
          <w:sz w:val="22"/>
          <w:szCs w:val="22"/>
          <w:lang w:val="hr-HR"/>
        </w:rPr>
        <w:t>j</w:t>
      </w:r>
      <w:r w:rsidRPr="00192010">
        <w:rPr>
          <w:bCs/>
          <w:sz w:val="22"/>
          <w:szCs w:val="22"/>
          <w:lang w:val="hr-HR"/>
        </w:rPr>
        <w:t>ece koja su ostala na režimima koji su sa</w:t>
      </w:r>
      <w:r w:rsidR="00D72684" w:rsidRPr="00192010">
        <w:rPr>
          <w:bCs/>
          <w:sz w:val="22"/>
          <w:szCs w:val="22"/>
          <w:lang w:val="hr-HR"/>
        </w:rPr>
        <w:t>drža</w:t>
      </w:r>
      <w:r w:rsidRPr="00192010">
        <w:rPr>
          <w:bCs/>
          <w:sz w:val="22"/>
          <w:szCs w:val="22"/>
          <w:lang w:val="hr-HR"/>
        </w:rPr>
        <w:t>li  stavudin ili zidovudin (vidjeti odjeljke 4.4 i 5.1).</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sz w:val="22"/>
          <w:szCs w:val="22"/>
        </w:rPr>
      </w:pPr>
      <w:r w:rsidRPr="00192010">
        <w:rPr>
          <w:bCs/>
          <w:sz w:val="22"/>
          <w:szCs w:val="22"/>
          <w:lang w:val="hr-HR"/>
        </w:rPr>
        <w:t xml:space="preserve">U studiji GS-US-104-0352 , 8 od 89 </w:t>
      </w:r>
      <w:r w:rsidRPr="00192010">
        <w:rPr>
          <w:bCs/>
          <w:sz w:val="22"/>
          <w:szCs w:val="22"/>
        </w:rPr>
        <w:t>pedijatrijskih pacijenata (9,0%)</w:t>
      </w:r>
      <w:r w:rsidRPr="00192010">
        <w:rPr>
          <w:bCs/>
          <w:sz w:val="22"/>
          <w:szCs w:val="22"/>
          <w:lang w:val="hr-HR"/>
        </w:rPr>
        <w:t xml:space="preserve"> koji su primali tenofovir</w:t>
      </w:r>
      <w:r w:rsidR="00D72684" w:rsidRPr="00192010">
        <w:rPr>
          <w:bCs/>
          <w:sz w:val="22"/>
          <w:szCs w:val="22"/>
          <w:lang w:val="hr-HR"/>
        </w:rPr>
        <w:t xml:space="preserve"> </w:t>
      </w:r>
      <w:r w:rsidRPr="00192010">
        <w:rPr>
          <w:bCs/>
          <w:sz w:val="22"/>
          <w:szCs w:val="22"/>
          <w:lang w:val="hr-HR"/>
        </w:rPr>
        <w:t>dizoproksil (srednje vr</w:t>
      </w:r>
      <w:r w:rsidR="00D72684" w:rsidRPr="00192010">
        <w:rPr>
          <w:bCs/>
          <w:sz w:val="22"/>
          <w:szCs w:val="22"/>
          <w:lang w:val="hr-HR"/>
        </w:rPr>
        <w:t>ij</w:t>
      </w:r>
      <w:r w:rsidRPr="00192010">
        <w:rPr>
          <w:bCs/>
          <w:sz w:val="22"/>
          <w:szCs w:val="22"/>
          <w:lang w:val="hr-HR"/>
        </w:rPr>
        <w:t>eme izlaganja 331 ned</w:t>
      </w:r>
      <w:r w:rsidR="00D72684" w:rsidRPr="00192010">
        <w:rPr>
          <w:bCs/>
          <w:sz w:val="22"/>
          <w:szCs w:val="22"/>
          <w:lang w:val="hr-HR"/>
        </w:rPr>
        <w:t>j</w:t>
      </w:r>
      <w:r w:rsidRPr="00192010">
        <w:rPr>
          <w:bCs/>
          <w:sz w:val="22"/>
          <w:szCs w:val="22"/>
          <w:lang w:val="hr-HR"/>
        </w:rPr>
        <w:t xml:space="preserve">elja), su isključena iz studije zbog neželjenih </w:t>
      </w:r>
      <w:r w:rsidRPr="00192010">
        <w:rPr>
          <w:bCs/>
          <w:sz w:val="22"/>
          <w:szCs w:val="22"/>
        </w:rPr>
        <w:t>događaja sa bubrezima. Pet ispitanika (5,6%) imalo je laboratorijske nalaze koji odgovaraju proksimalnoj bubrežnoj tubulopatiji od kojih je 4 prekinulo terapiju tenofovir</w:t>
      </w:r>
      <w:r w:rsidR="00D72684" w:rsidRPr="00192010">
        <w:rPr>
          <w:bCs/>
          <w:sz w:val="22"/>
          <w:szCs w:val="22"/>
        </w:rPr>
        <w:t xml:space="preserve"> </w:t>
      </w:r>
      <w:r w:rsidRPr="00192010">
        <w:rPr>
          <w:bCs/>
          <w:sz w:val="22"/>
          <w:szCs w:val="22"/>
        </w:rPr>
        <w:t>dizoproksilom. Sedam pacijenata je imalo proc</w:t>
      </w:r>
      <w:r w:rsidR="00D72684" w:rsidRPr="00192010">
        <w:rPr>
          <w:bCs/>
          <w:sz w:val="22"/>
          <w:szCs w:val="22"/>
        </w:rPr>
        <w:t>ij</w:t>
      </w:r>
      <w:r w:rsidRPr="00192010">
        <w:rPr>
          <w:bCs/>
          <w:sz w:val="22"/>
          <w:szCs w:val="22"/>
        </w:rPr>
        <w:t xml:space="preserve">enjenu brzinu glomerularne filtracije (GFR) između 70 i 90 </w:t>
      </w:r>
      <w:r w:rsidR="00B83CAB" w:rsidRPr="00192010">
        <w:rPr>
          <w:bCs/>
          <w:sz w:val="22"/>
          <w:szCs w:val="22"/>
        </w:rPr>
        <w:t>ml</w:t>
      </w:r>
      <w:r w:rsidRPr="00192010">
        <w:rPr>
          <w:bCs/>
          <w:sz w:val="22"/>
          <w:szCs w:val="22"/>
        </w:rPr>
        <w:t>/min/1,73 m</w:t>
      </w:r>
      <w:r w:rsidRPr="00192010">
        <w:rPr>
          <w:bCs/>
          <w:sz w:val="22"/>
          <w:szCs w:val="22"/>
          <w:vertAlign w:val="superscript"/>
        </w:rPr>
        <w:t>2</w:t>
      </w:r>
      <w:r w:rsidRPr="00192010">
        <w:rPr>
          <w:bCs/>
          <w:sz w:val="22"/>
          <w:szCs w:val="22"/>
        </w:rPr>
        <w:t>. Među njima, 3 pacijenta su imala klinički značajno smanjenje proc</w:t>
      </w:r>
      <w:r w:rsidR="00D72684" w:rsidRPr="00192010">
        <w:rPr>
          <w:bCs/>
          <w:sz w:val="22"/>
          <w:szCs w:val="22"/>
        </w:rPr>
        <w:t>ij</w:t>
      </w:r>
      <w:r w:rsidRPr="00192010">
        <w:rPr>
          <w:bCs/>
          <w:sz w:val="22"/>
          <w:szCs w:val="22"/>
        </w:rPr>
        <w:t>enjene GFR koje se poboljšalo nakon prestanka prim</w:t>
      </w:r>
      <w:r w:rsidR="00D72684" w:rsidRPr="00192010">
        <w:rPr>
          <w:bCs/>
          <w:sz w:val="22"/>
          <w:szCs w:val="22"/>
        </w:rPr>
        <w:t>j</w:t>
      </w:r>
      <w:r w:rsidRPr="00192010">
        <w:rPr>
          <w:bCs/>
          <w:sz w:val="22"/>
          <w:szCs w:val="22"/>
        </w:rPr>
        <w:t>ene tenofovir</w:t>
      </w:r>
      <w:r w:rsidR="00D72684" w:rsidRPr="00192010">
        <w:rPr>
          <w:bCs/>
          <w:sz w:val="22"/>
          <w:szCs w:val="22"/>
        </w:rPr>
        <w:t xml:space="preserve"> </w:t>
      </w:r>
      <w:r w:rsidRPr="00192010">
        <w:rPr>
          <w:bCs/>
          <w:sz w:val="22"/>
          <w:szCs w:val="22"/>
        </w:rPr>
        <w:t>dizoproksila.</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i/>
          <w:sz w:val="22"/>
          <w:szCs w:val="22"/>
          <w:lang w:val="hr-HR"/>
        </w:rPr>
      </w:pPr>
      <w:r w:rsidRPr="00192010">
        <w:rPr>
          <w:bCs/>
          <w:i/>
          <w:sz w:val="22"/>
          <w:szCs w:val="22"/>
          <w:lang w:val="hr-HR"/>
        </w:rPr>
        <w:t>Hronični hepatitis B</w:t>
      </w:r>
    </w:p>
    <w:p w:rsidR="009D078F" w:rsidRPr="00192010" w:rsidRDefault="009D078F">
      <w:pPr>
        <w:tabs>
          <w:tab w:val="left" w:pos="540"/>
          <w:tab w:val="left" w:pos="569"/>
        </w:tabs>
        <w:jc w:val="both"/>
        <w:rPr>
          <w:bCs/>
          <w:sz w:val="22"/>
          <w:szCs w:val="22"/>
        </w:rPr>
      </w:pPr>
      <w:r w:rsidRPr="00192010">
        <w:rPr>
          <w:bCs/>
          <w:sz w:val="22"/>
          <w:szCs w:val="22"/>
          <w:lang w:val="hr-HR"/>
        </w:rPr>
        <w:t>Proc</w:t>
      </w:r>
      <w:r w:rsidR="00D72684" w:rsidRPr="00192010">
        <w:rPr>
          <w:bCs/>
          <w:sz w:val="22"/>
          <w:szCs w:val="22"/>
          <w:lang w:val="hr-HR"/>
        </w:rPr>
        <w:t>j</w:t>
      </w:r>
      <w:r w:rsidRPr="00192010">
        <w:rPr>
          <w:bCs/>
          <w:sz w:val="22"/>
          <w:szCs w:val="22"/>
          <w:lang w:val="hr-HR"/>
        </w:rPr>
        <w:t>ena neželjenih reakcija se zasniva na jednoj randomizovanoj studiji (GS-US-174-0115), kod 106 adolescenata (</w:t>
      </w:r>
      <w:r w:rsidRPr="00192010">
        <w:rPr>
          <w:bCs/>
          <w:sz w:val="22"/>
          <w:szCs w:val="22"/>
        </w:rPr>
        <w:t>uzrasta 12 do &lt; 18 godina</w:t>
      </w:r>
      <w:r w:rsidRPr="00192010">
        <w:rPr>
          <w:bCs/>
          <w:sz w:val="22"/>
          <w:szCs w:val="22"/>
          <w:lang w:val="hr-HR"/>
        </w:rPr>
        <w:t>) sa hroničnim hepatitisom B koji su primali tenofovir</w:t>
      </w:r>
      <w:r w:rsidR="00D72684" w:rsidRPr="00192010">
        <w:rPr>
          <w:bCs/>
          <w:sz w:val="22"/>
          <w:szCs w:val="22"/>
          <w:lang w:val="hr-HR"/>
        </w:rPr>
        <w:t xml:space="preserve"> </w:t>
      </w:r>
      <w:r w:rsidRPr="00192010">
        <w:rPr>
          <w:bCs/>
          <w:sz w:val="22"/>
          <w:szCs w:val="22"/>
          <w:lang w:val="hr-HR"/>
        </w:rPr>
        <w:t>dizoproksil  u dozi od 245 mg (n=52) ili placebo (n=54) tokom 72 ned</w:t>
      </w:r>
      <w:r w:rsidR="00D72684" w:rsidRPr="00192010">
        <w:rPr>
          <w:bCs/>
          <w:sz w:val="22"/>
          <w:szCs w:val="22"/>
          <w:lang w:val="hr-HR"/>
        </w:rPr>
        <w:t>j</w:t>
      </w:r>
      <w:r w:rsidRPr="00192010">
        <w:rPr>
          <w:bCs/>
          <w:sz w:val="22"/>
          <w:szCs w:val="22"/>
          <w:lang w:val="hr-HR"/>
        </w:rPr>
        <w:t xml:space="preserve">elje </w:t>
      </w:r>
      <w:r w:rsidRPr="00192010">
        <w:rPr>
          <w:bCs/>
          <w:sz w:val="22"/>
          <w:szCs w:val="22"/>
        </w:rPr>
        <w:t>i randomizovanoj studiji (studija GS-US-174-0144) kod 89 pacijenata sa hroničnim hepatitisom B (uzrasta 2 do &lt; 12 godina) koji su primali tenofovir</w:t>
      </w:r>
      <w:r w:rsidR="00D72684" w:rsidRPr="00192010">
        <w:rPr>
          <w:bCs/>
          <w:sz w:val="22"/>
          <w:szCs w:val="22"/>
        </w:rPr>
        <w:t xml:space="preserve"> </w:t>
      </w:r>
      <w:r w:rsidRPr="00192010">
        <w:rPr>
          <w:bCs/>
          <w:sz w:val="22"/>
          <w:szCs w:val="22"/>
        </w:rPr>
        <w:t>dizoproksil (n = 60) ili placebo (n = 29) tokom 48 ned</w:t>
      </w:r>
      <w:r w:rsidR="00D72684" w:rsidRPr="00192010">
        <w:rPr>
          <w:bCs/>
          <w:sz w:val="22"/>
          <w:szCs w:val="22"/>
        </w:rPr>
        <w:t>j</w:t>
      </w:r>
      <w:r w:rsidRPr="00192010">
        <w:rPr>
          <w:bCs/>
          <w:sz w:val="22"/>
          <w:szCs w:val="22"/>
        </w:rPr>
        <w:t>elja. Neželjene reakcije zapažene kod pedijatrijskih pacijenata koji su primali terapiju tenofovir</w:t>
      </w:r>
      <w:r w:rsidR="00D72684" w:rsidRPr="00192010">
        <w:rPr>
          <w:bCs/>
          <w:sz w:val="22"/>
          <w:szCs w:val="22"/>
        </w:rPr>
        <w:t xml:space="preserve"> </w:t>
      </w:r>
      <w:r w:rsidRPr="00192010">
        <w:rPr>
          <w:bCs/>
          <w:sz w:val="22"/>
          <w:szCs w:val="22"/>
        </w:rPr>
        <w:t>dizoproksilom su bile u skladu sa onim prim</w:t>
      </w:r>
      <w:r w:rsidR="00D72684" w:rsidRPr="00192010">
        <w:rPr>
          <w:bCs/>
          <w:sz w:val="22"/>
          <w:szCs w:val="22"/>
        </w:rPr>
        <w:t>ij</w:t>
      </w:r>
      <w:r w:rsidRPr="00192010">
        <w:rPr>
          <w:bCs/>
          <w:sz w:val="22"/>
          <w:szCs w:val="22"/>
        </w:rPr>
        <w:t>ećenim tokom kliničkih ispitivanja tenofovir</w:t>
      </w:r>
      <w:r w:rsidR="00D72684" w:rsidRPr="00192010">
        <w:rPr>
          <w:bCs/>
          <w:sz w:val="22"/>
          <w:szCs w:val="22"/>
        </w:rPr>
        <w:t xml:space="preserve"> </w:t>
      </w:r>
      <w:r w:rsidRPr="00192010">
        <w:rPr>
          <w:bCs/>
          <w:sz w:val="22"/>
          <w:szCs w:val="22"/>
        </w:rPr>
        <w:t xml:space="preserve">dizoproksila kod odraslih pacijenata (vidjeti odjeljak 4.8 </w:t>
      </w:r>
      <w:r w:rsidRPr="00192010">
        <w:rPr>
          <w:bCs/>
          <w:i/>
          <w:sz w:val="22"/>
          <w:szCs w:val="22"/>
        </w:rPr>
        <w:t xml:space="preserve">Tabelarni </w:t>
      </w:r>
      <w:r w:rsidR="00D72684" w:rsidRPr="00192010">
        <w:rPr>
          <w:bCs/>
          <w:i/>
          <w:sz w:val="22"/>
          <w:szCs w:val="22"/>
        </w:rPr>
        <w:t>prikaz</w:t>
      </w:r>
      <w:r w:rsidRPr="00192010">
        <w:rPr>
          <w:bCs/>
          <w:i/>
          <w:sz w:val="22"/>
          <w:szCs w:val="22"/>
        </w:rPr>
        <w:t xml:space="preserve"> neželjenih reakcija </w:t>
      </w:r>
      <w:r w:rsidRPr="00192010">
        <w:rPr>
          <w:bCs/>
          <w:sz w:val="22"/>
          <w:szCs w:val="22"/>
        </w:rPr>
        <w:t>i 5.1).</w:t>
      </w:r>
    </w:p>
    <w:p w:rsidR="009D078F" w:rsidRPr="00192010" w:rsidRDefault="009D078F">
      <w:pPr>
        <w:tabs>
          <w:tab w:val="left" w:pos="540"/>
          <w:tab w:val="left" w:pos="569"/>
        </w:tabs>
        <w:jc w:val="both"/>
        <w:rPr>
          <w:bCs/>
          <w:sz w:val="22"/>
          <w:szCs w:val="22"/>
          <w:u w:val="single"/>
          <w:lang w:val="hr-HR"/>
        </w:rPr>
      </w:pPr>
    </w:p>
    <w:p w:rsidR="009D078F" w:rsidRPr="00192010" w:rsidRDefault="009D078F">
      <w:pPr>
        <w:tabs>
          <w:tab w:val="left" w:pos="540"/>
          <w:tab w:val="left" w:pos="569"/>
        </w:tabs>
        <w:jc w:val="both"/>
        <w:rPr>
          <w:bCs/>
          <w:sz w:val="22"/>
          <w:szCs w:val="22"/>
        </w:rPr>
      </w:pPr>
      <w:r w:rsidRPr="00192010">
        <w:rPr>
          <w:bCs/>
          <w:sz w:val="22"/>
          <w:szCs w:val="22"/>
        </w:rPr>
        <w:t>Smanjenje BMD-a je prim</w:t>
      </w:r>
      <w:r w:rsidR="00D72684" w:rsidRPr="00192010">
        <w:rPr>
          <w:bCs/>
          <w:sz w:val="22"/>
          <w:szCs w:val="22"/>
        </w:rPr>
        <w:t>ij</w:t>
      </w:r>
      <w:r w:rsidRPr="00192010">
        <w:rPr>
          <w:bCs/>
          <w:sz w:val="22"/>
          <w:szCs w:val="22"/>
        </w:rPr>
        <w:t>ećeno kod pedijatrijskih pacijenata uzrasta 2 do &lt; 18 godina sa HBV infekcijom. Z-skor BMD-a kod pacijenta koji su primali terapiju tenofovir</w:t>
      </w:r>
      <w:r w:rsidR="00D72684" w:rsidRPr="00192010">
        <w:rPr>
          <w:bCs/>
          <w:sz w:val="22"/>
          <w:szCs w:val="22"/>
        </w:rPr>
        <w:t xml:space="preserve"> </w:t>
      </w:r>
      <w:r w:rsidRPr="00192010">
        <w:rPr>
          <w:bCs/>
          <w:sz w:val="22"/>
          <w:szCs w:val="22"/>
        </w:rPr>
        <w:t>dizoproksilom je bio manji nego kod pacijenata koji su primali placebo (vidjeti odjeljke 4.4 i 5.1).</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sz w:val="22"/>
          <w:szCs w:val="22"/>
          <w:u w:val="single"/>
          <w:lang w:val="hr-HR"/>
        </w:rPr>
      </w:pPr>
      <w:r w:rsidRPr="00192010">
        <w:rPr>
          <w:bCs/>
          <w:sz w:val="22"/>
          <w:szCs w:val="22"/>
          <w:u w:val="single"/>
          <w:lang w:val="hr-HR"/>
        </w:rPr>
        <w:t>Druge posebne populacije</w:t>
      </w:r>
    </w:p>
    <w:p w:rsidR="009D078F" w:rsidRPr="00192010" w:rsidRDefault="009D078F">
      <w:pPr>
        <w:tabs>
          <w:tab w:val="left" w:pos="540"/>
          <w:tab w:val="left" w:pos="569"/>
        </w:tabs>
        <w:jc w:val="both"/>
        <w:rPr>
          <w:bCs/>
          <w:i/>
          <w:sz w:val="22"/>
          <w:szCs w:val="22"/>
          <w:lang w:val="hr-HR"/>
        </w:rPr>
      </w:pPr>
      <w:r w:rsidRPr="00192010">
        <w:rPr>
          <w:bCs/>
          <w:i/>
          <w:sz w:val="22"/>
          <w:szCs w:val="22"/>
          <w:lang w:val="hr-HR"/>
        </w:rPr>
        <w:t>Stariji pacijenti</w:t>
      </w:r>
    </w:p>
    <w:p w:rsidR="009D078F" w:rsidRPr="00192010" w:rsidRDefault="009D078F">
      <w:pPr>
        <w:tabs>
          <w:tab w:val="left" w:pos="540"/>
          <w:tab w:val="left" w:pos="569"/>
        </w:tabs>
        <w:jc w:val="both"/>
        <w:rPr>
          <w:bCs/>
          <w:sz w:val="22"/>
          <w:szCs w:val="22"/>
          <w:lang w:val="hr-HR"/>
        </w:rPr>
      </w:pPr>
      <w:r w:rsidRPr="00192010">
        <w:rPr>
          <w:bCs/>
          <w:sz w:val="22"/>
          <w:szCs w:val="22"/>
          <w:lang w:val="hr-HR"/>
        </w:rPr>
        <w:t>Tenofovir</w:t>
      </w:r>
      <w:r w:rsidR="00D72684" w:rsidRPr="00192010">
        <w:rPr>
          <w:bCs/>
          <w:sz w:val="22"/>
          <w:szCs w:val="22"/>
          <w:lang w:val="hr-HR"/>
        </w:rPr>
        <w:t xml:space="preserve"> </w:t>
      </w:r>
      <w:r w:rsidRPr="00192010">
        <w:rPr>
          <w:bCs/>
          <w:sz w:val="22"/>
          <w:szCs w:val="22"/>
          <w:lang w:val="hr-HR"/>
        </w:rPr>
        <w:t xml:space="preserve">dizoproksil nije ispitivan kod pacijenata starijih od 65 godina. </w:t>
      </w:r>
      <w:r w:rsidRPr="00192010">
        <w:rPr>
          <w:bCs/>
          <w:sz w:val="22"/>
          <w:szCs w:val="22"/>
        </w:rPr>
        <w:t>Velika je v</w:t>
      </w:r>
      <w:r w:rsidR="00D72684" w:rsidRPr="00192010">
        <w:rPr>
          <w:bCs/>
          <w:sz w:val="22"/>
          <w:szCs w:val="22"/>
        </w:rPr>
        <w:t>j</w:t>
      </w:r>
      <w:r w:rsidRPr="00192010">
        <w:rPr>
          <w:bCs/>
          <w:sz w:val="22"/>
          <w:szCs w:val="22"/>
        </w:rPr>
        <w:t>erovatnoća da će stariji pacijenti imati smanjenu funkciju bubrega, pa stoga treba biti oprezan prilikom l</w:t>
      </w:r>
      <w:r w:rsidR="00D72684" w:rsidRPr="00192010">
        <w:rPr>
          <w:bCs/>
          <w:sz w:val="22"/>
          <w:szCs w:val="22"/>
        </w:rPr>
        <w:t>ij</w:t>
      </w:r>
      <w:r w:rsidRPr="00192010">
        <w:rPr>
          <w:bCs/>
          <w:sz w:val="22"/>
          <w:szCs w:val="22"/>
        </w:rPr>
        <w:t>ečenja starijih pacijenata tenofovir</w:t>
      </w:r>
      <w:r w:rsidR="00D72684" w:rsidRPr="00192010">
        <w:rPr>
          <w:bCs/>
          <w:sz w:val="22"/>
          <w:szCs w:val="22"/>
        </w:rPr>
        <w:t xml:space="preserve"> </w:t>
      </w:r>
      <w:r w:rsidRPr="00192010">
        <w:rPr>
          <w:bCs/>
          <w:sz w:val="22"/>
          <w:szCs w:val="22"/>
        </w:rPr>
        <w:t>dizoproksilom</w:t>
      </w:r>
      <w:r w:rsidRPr="00192010">
        <w:rPr>
          <w:bCs/>
          <w:sz w:val="22"/>
          <w:szCs w:val="22"/>
          <w:lang w:val="hr-HR"/>
        </w:rPr>
        <w:t xml:space="preserve"> (vidjeti odjeljak 4.4).</w:t>
      </w:r>
    </w:p>
    <w:p w:rsidR="009D078F" w:rsidRPr="00192010" w:rsidRDefault="009D078F">
      <w:pPr>
        <w:tabs>
          <w:tab w:val="left" w:pos="540"/>
          <w:tab w:val="left" w:pos="569"/>
        </w:tabs>
        <w:jc w:val="both"/>
        <w:rPr>
          <w:bCs/>
          <w:sz w:val="22"/>
          <w:szCs w:val="22"/>
          <w:lang w:val="hr-HR"/>
        </w:rPr>
      </w:pPr>
    </w:p>
    <w:p w:rsidR="009D078F" w:rsidRPr="00192010" w:rsidRDefault="009D078F">
      <w:pPr>
        <w:tabs>
          <w:tab w:val="left" w:pos="540"/>
          <w:tab w:val="left" w:pos="569"/>
        </w:tabs>
        <w:jc w:val="both"/>
        <w:rPr>
          <w:bCs/>
          <w:i/>
          <w:sz w:val="22"/>
          <w:szCs w:val="22"/>
          <w:lang w:val="hr-HR"/>
        </w:rPr>
      </w:pPr>
      <w:r w:rsidRPr="00192010">
        <w:rPr>
          <w:bCs/>
          <w:i/>
          <w:sz w:val="22"/>
          <w:szCs w:val="22"/>
          <w:lang w:val="hr-HR"/>
        </w:rPr>
        <w:t>Pacijenti sa oštećenjem funkcije bubrega</w:t>
      </w:r>
    </w:p>
    <w:p w:rsidR="009D078F" w:rsidRPr="00192010" w:rsidRDefault="009D078F">
      <w:pPr>
        <w:tabs>
          <w:tab w:val="left" w:pos="540"/>
          <w:tab w:val="left" w:pos="569"/>
        </w:tabs>
        <w:jc w:val="both"/>
        <w:rPr>
          <w:bCs/>
          <w:sz w:val="22"/>
          <w:szCs w:val="22"/>
          <w:lang w:val="hr-HR"/>
        </w:rPr>
      </w:pPr>
      <w:r w:rsidRPr="00192010">
        <w:rPr>
          <w:bCs/>
          <w:sz w:val="22"/>
          <w:szCs w:val="22"/>
          <w:lang w:val="hr-HR"/>
        </w:rPr>
        <w:t>S obzirom na to da tenofovir</w:t>
      </w:r>
      <w:r w:rsidR="00D72684" w:rsidRPr="00192010">
        <w:rPr>
          <w:bCs/>
          <w:sz w:val="22"/>
          <w:szCs w:val="22"/>
          <w:lang w:val="hr-HR"/>
        </w:rPr>
        <w:t xml:space="preserve"> </w:t>
      </w:r>
      <w:r w:rsidRPr="00192010">
        <w:rPr>
          <w:bCs/>
          <w:sz w:val="22"/>
          <w:szCs w:val="22"/>
          <w:lang w:val="hr-HR"/>
        </w:rPr>
        <w:t>dizoproksil pokazuje renalnu toksičnost, preporučuje se pažljivo praćenje i proc</w:t>
      </w:r>
      <w:r w:rsidR="00D72684" w:rsidRPr="00192010">
        <w:rPr>
          <w:bCs/>
          <w:sz w:val="22"/>
          <w:szCs w:val="22"/>
          <w:lang w:val="hr-HR"/>
        </w:rPr>
        <w:t>j</w:t>
      </w:r>
      <w:r w:rsidRPr="00192010">
        <w:rPr>
          <w:bCs/>
          <w:sz w:val="22"/>
          <w:szCs w:val="22"/>
          <w:lang w:val="hr-HR"/>
        </w:rPr>
        <w:t xml:space="preserve">ena bubrežne funkcije kod odraslih pacijenata sa oštećenjem </w:t>
      </w:r>
      <w:r w:rsidRPr="00192010">
        <w:rPr>
          <w:bCs/>
          <w:sz w:val="22"/>
          <w:szCs w:val="22"/>
        </w:rPr>
        <w:t xml:space="preserve">funkcije bubrega </w:t>
      </w:r>
      <w:r w:rsidRPr="00192010">
        <w:rPr>
          <w:bCs/>
          <w:sz w:val="22"/>
          <w:szCs w:val="22"/>
          <w:lang w:val="hr-HR"/>
        </w:rPr>
        <w:t>(vidjeti odjeljke 4.2, 4.4, i 5.2). Upotreba tenofovir</w:t>
      </w:r>
      <w:r w:rsidR="00D72684" w:rsidRPr="00192010">
        <w:rPr>
          <w:bCs/>
          <w:sz w:val="22"/>
          <w:szCs w:val="22"/>
          <w:lang w:val="hr-HR"/>
        </w:rPr>
        <w:t xml:space="preserve"> </w:t>
      </w:r>
      <w:r w:rsidRPr="00192010">
        <w:rPr>
          <w:bCs/>
          <w:sz w:val="22"/>
          <w:szCs w:val="22"/>
          <w:lang w:val="hr-HR"/>
        </w:rPr>
        <w:t>dizoproksila se ne preporučuje kod pedijatrijskih pacijenata sa oštećenom funkcijom bubrega (vidjeti od</w:t>
      </w:r>
      <w:r w:rsidR="00D72684" w:rsidRPr="00192010">
        <w:rPr>
          <w:bCs/>
          <w:sz w:val="22"/>
          <w:szCs w:val="22"/>
          <w:lang w:val="hr-HR"/>
        </w:rPr>
        <w:t>je</w:t>
      </w:r>
      <w:r w:rsidRPr="00192010">
        <w:rPr>
          <w:bCs/>
          <w:sz w:val="22"/>
          <w:szCs w:val="22"/>
          <w:lang w:val="hr-HR"/>
        </w:rPr>
        <w:t>ljke 4.2. i 4.4).</w:t>
      </w:r>
    </w:p>
    <w:p w:rsidR="009D078F" w:rsidRPr="00192010" w:rsidRDefault="009D078F" w:rsidP="00A443AA">
      <w:pPr>
        <w:tabs>
          <w:tab w:val="left" w:pos="540"/>
          <w:tab w:val="left" w:pos="569"/>
        </w:tabs>
        <w:jc w:val="both"/>
        <w:rPr>
          <w:b/>
          <w:bCs/>
          <w:sz w:val="22"/>
          <w:szCs w:val="22"/>
        </w:rPr>
      </w:pPr>
    </w:p>
    <w:p w:rsidR="005A23D2" w:rsidRPr="00192010" w:rsidRDefault="005A23D2" w:rsidP="00A443AA">
      <w:pPr>
        <w:spacing w:after="200" w:line="276" w:lineRule="auto"/>
        <w:jc w:val="both"/>
        <w:rPr>
          <w:rFonts w:eastAsia="Calibri"/>
          <w:sz w:val="22"/>
          <w:szCs w:val="22"/>
          <w:u w:val="single"/>
          <w:lang w:val="sr-Latn-RS"/>
        </w:rPr>
      </w:pPr>
      <w:r w:rsidRPr="00192010">
        <w:rPr>
          <w:rFonts w:eastAsia="Calibri"/>
          <w:sz w:val="22"/>
          <w:szCs w:val="22"/>
          <w:u w:val="single"/>
          <w:lang w:val="sr-Latn-RS"/>
        </w:rPr>
        <w:t>Prijavljivanje sumnji na neželjena dejstva</w:t>
      </w:r>
    </w:p>
    <w:p w:rsidR="005A23D2" w:rsidRPr="00192010" w:rsidRDefault="005A23D2" w:rsidP="00192010">
      <w:pPr>
        <w:spacing w:after="200"/>
        <w:jc w:val="both"/>
        <w:rPr>
          <w:rFonts w:eastAsia="Calibri"/>
          <w:sz w:val="22"/>
          <w:szCs w:val="22"/>
          <w:lang w:val="sr-Latn-RS"/>
        </w:rPr>
      </w:pPr>
      <w:r w:rsidRPr="00192010">
        <w:rPr>
          <w:rFonts w:eastAsia="Calibri"/>
          <w:sz w:val="22"/>
          <w:szCs w:val="22"/>
          <w:lang w:val="sr-Latn-RS"/>
        </w:rPr>
        <w:t>Prijavljivanje neželjenih dejstava nakon dobijanja dozvole je od velikog značaja jer obezbjeđuje kont</w:t>
      </w:r>
      <w:r w:rsidR="00EA5765" w:rsidRPr="00192010">
        <w:rPr>
          <w:rFonts w:eastAsia="Calibri"/>
          <w:sz w:val="22"/>
          <w:szCs w:val="22"/>
          <w:lang w:val="sr-Latn-RS"/>
        </w:rPr>
        <w:t>inuirano praćenje odnosa korist</w:t>
      </w:r>
      <w:r w:rsidRPr="00192010">
        <w:rPr>
          <w:rFonts w:eastAsia="Calibri"/>
          <w:sz w:val="22"/>
          <w:szCs w:val="22"/>
          <w:lang w:val="sr-Latn-RS"/>
        </w:rPr>
        <w:t>/rizik primjene lijeka. Zdravstveni radnici treba da prijave svaku sumnju na neželjeno</w:t>
      </w:r>
      <w:r w:rsidR="009B062A" w:rsidRPr="00192010">
        <w:rPr>
          <w:rFonts w:eastAsia="Calibri"/>
          <w:sz w:val="22"/>
          <w:szCs w:val="22"/>
          <w:lang w:val="sr-Latn-RS"/>
        </w:rPr>
        <w:t xml:space="preserve"> </w:t>
      </w:r>
      <w:r w:rsidRPr="00192010">
        <w:rPr>
          <w:rFonts w:eastAsia="Calibri"/>
          <w:sz w:val="22"/>
          <w:szCs w:val="22"/>
          <w:lang w:val="sr-Latn-RS"/>
        </w:rPr>
        <w:t xml:space="preserve">dejstvo ovog lijeka </w:t>
      </w:r>
      <w:r w:rsidR="004E70AD" w:rsidRPr="00192010">
        <w:rPr>
          <w:rFonts w:eastAsia="Calibri"/>
          <w:sz w:val="22"/>
          <w:szCs w:val="22"/>
          <w:lang w:val="sr-Latn-RS"/>
        </w:rPr>
        <w:t>Institutu</w:t>
      </w:r>
      <w:r w:rsidRPr="00192010">
        <w:rPr>
          <w:rFonts w:eastAsia="Calibri"/>
          <w:sz w:val="22"/>
          <w:szCs w:val="22"/>
          <w:lang w:val="sr-Latn-RS"/>
        </w:rPr>
        <w:t xml:space="preserve"> za ljekove i medicinska sredstva</w:t>
      </w:r>
      <w:r w:rsidR="004E70AD" w:rsidRPr="00192010">
        <w:rPr>
          <w:rFonts w:eastAsia="Calibri"/>
          <w:sz w:val="22"/>
          <w:szCs w:val="22"/>
          <w:lang w:val="sr-Latn-RS"/>
        </w:rPr>
        <w:t xml:space="preserve"> </w:t>
      </w:r>
      <w:r w:rsidRPr="00192010">
        <w:rPr>
          <w:rFonts w:eastAsia="Calibri"/>
          <w:sz w:val="22"/>
          <w:szCs w:val="22"/>
          <w:lang w:val="sr-Latn-RS"/>
        </w:rPr>
        <w:t>(</w:t>
      </w:r>
      <w:r w:rsidR="004E70AD" w:rsidRPr="00192010">
        <w:rPr>
          <w:rFonts w:eastAsia="Calibri"/>
          <w:sz w:val="22"/>
          <w:szCs w:val="22"/>
          <w:lang w:val="sr-Latn-RS"/>
        </w:rPr>
        <w:t>CInMED</w:t>
      </w:r>
      <w:r w:rsidRPr="00192010">
        <w:rPr>
          <w:rFonts w:eastAsia="Calibri"/>
          <w:sz w:val="22"/>
          <w:szCs w:val="22"/>
          <w:lang w:val="sr-Latn-RS"/>
        </w:rPr>
        <w:t>):</w:t>
      </w:r>
    </w:p>
    <w:p w:rsidR="005A23D2" w:rsidRPr="00192010" w:rsidRDefault="004E70AD">
      <w:pPr>
        <w:pStyle w:val="NoSpacing"/>
        <w:jc w:val="both"/>
        <w:rPr>
          <w:rFonts w:eastAsia="Calibri"/>
          <w:sz w:val="22"/>
          <w:szCs w:val="22"/>
          <w:lang w:val="sr-Latn-RS"/>
        </w:rPr>
      </w:pPr>
      <w:r w:rsidRPr="00192010">
        <w:rPr>
          <w:rFonts w:eastAsia="Calibri"/>
          <w:sz w:val="22"/>
          <w:szCs w:val="22"/>
          <w:lang w:val="sr-Latn-RS"/>
        </w:rPr>
        <w:t xml:space="preserve">Institut </w:t>
      </w:r>
      <w:r w:rsidR="005A23D2" w:rsidRPr="00192010">
        <w:rPr>
          <w:rFonts w:eastAsia="Calibri"/>
          <w:sz w:val="22"/>
          <w:szCs w:val="22"/>
          <w:lang w:val="sr-Latn-RS"/>
        </w:rPr>
        <w:t xml:space="preserve">za ljekove i medicinska sredstva </w:t>
      </w:r>
    </w:p>
    <w:p w:rsidR="005A23D2" w:rsidRPr="00192010" w:rsidRDefault="005A23D2">
      <w:pPr>
        <w:pStyle w:val="NoSpacing"/>
        <w:jc w:val="both"/>
        <w:rPr>
          <w:rFonts w:eastAsia="Calibri"/>
          <w:sz w:val="22"/>
          <w:szCs w:val="22"/>
          <w:lang w:val="sr-Latn-RS"/>
        </w:rPr>
      </w:pPr>
      <w:r w:rsidRPr="00192010">
        <w:rPr>
          <w:rFonts w:eastAsia="Calibri"/>
          <w:sz w:val="22"/>
          <w:szCs w:val="22"/>
          <w:lang w:val="sr-Latn-RS"/>
        </w:rPr>
        <w:t>Odjeljenje za farmakovigilancu</w:t>
      </w:r>
    </w:p>
    <w:p w:rsidR="00EA5765" w:rsidRPr="00192010" w:rsidRDefault="005A23D2">
      <w:pPr>
        <w:pStyle w:val="NoSpacing"/>
        <w:jc w:val="both"/>
        <w:rPr>
          <w:rFonts w:eastAsia="Calibri"/>
          <w:sz w:val="22"/>
          <w:szCs w:val="22"/>
          <w:lang w:val="sr-Latn-RS"/>
        </w:rPr>
      </w:pPr>
      <w:r w:rsidRPr="00192010">
        <w:rPr>
          <w:rFonts w:eastAsia="Calibri"/>
          <w:sz w:val="22"/>
          <w:szCs w:val="22"/>
          <w:lang w:val="sr-Latn-RS"/>
        </w:rPr>
        <w:t>Bulevar Ivana Crnojevića 64a, 81000 Podgorica</w:t>
      </w:r>
    </w:p>
    <w:p w:rsidR="00EA5765" w:rsidRPr="00192010" w:rsidRDefault="00EA5765" w:rsidP="00A443AA">
      <w:pPr>
        <w:pStyle w:val="NoSpacing"/>
        <w:jc w:val="both"/>
        <w:rPr>
          <w:rFonts w:eastAsia="Calibri"/>
          <w:sz w:val="22"/>
          <w:szCs w:val="22"/>
          <w:lang w:val="sr-Latn-RS"/>
        </w:rPr>
      </w:pPr>
    </w:p>
    <w:p w:rsidR="005A23D2" w:rsidRPr="00192010" w:rsidRDefault="005A23D2" w:rsidP="00192010">
      <w:pPr>
        <w:pStyle w:val="NoSpacing"/>
        <w:jc w:val="both"/>
        <w:rPr>
          <w:rFonts w:eastAsia="Calibri"/>
          <w:sz w:val="22"/>
          <w:szCs w:val="22"/>
          <w:lang w:val="sr-Latn-RS"/>
        </w:rPr>
      </w:pPr>
      <w:r w:rsidRPr="00192010">
        <w:rPr>
          <w:rFonts w:eastAsia="Calibri"/>
          <w:sz w:val="22"/>
          <w:szCs w:val="22"/>
          <w:lang w:val="sr-Latn-RS"/>
        </w:rPr>
        <w:t>tel: +382 (0) 20 310 280</w:t>
      </w:r>
    </w:p>
    <w:p w:rsidR="00EA5765" w:rsidRPr="00192010" w:rsidRDefault="005A23D2">
      <w:pPr>
        <w:pStyle w:val="NoSpacing"/>
        <w:jc w:val="both"/>
        <w:rPr>
          <w:rFonts w:eastAsia="Calibri"/>
          <w:sz w:val="22"/>
          <w:szCs w:val="22"/>
          <w:lang w:val="sr-Latn-RS"/>
        </w:rPr>
      </w:pPr>
      <w:r w:rsidRPr="00192010">
        <w:rPr>
          <w:rFonts w:eastAsia="Calibri"/>
          <w:sz w:val="22"/>
          <w:szCs w:val="22"/>
          <w:lang w:val="sr-Latn-RS"/>
        </w:rPr>
        <w:t>fax:</w:t>
      </w:r>
      <w:r w:rsidR="00EA5765" w:rsidRPr="00192010">
        <w:rPr>
          <w:rFonts w:eastAsia="Calibri"/>
          <w:sz w:val="22"/>
          <w:szCs w:val="22"/>
          <w:lang w:val="sr-Latn-RS"/>
        </w:rPr>
        <w:t xml:space="preserve"> </w:t>
      </w:r>
      <w:r w:rsidRPr="00192010">
        <w:rPr>
          <w:rFonts w:eastAsia="Calibri"/>
          <w:sz w:val="22"/>
          <w:szCs w:val="22"/>
          <w:lang w:val="sr-Latn-RS"/>
        </w:rPr>
        <w:t>+382 (0) 20 310 581</w:t>
      </w:r>
    </w:p>
    <w:p w:rsidR="005A23D2" w:rsidRPr="00192010" w:rsidRDefault="009D7E40">
      <w:pPr>
        <w:pStyle w:val="NoSpacing"/>
        <w:jc w:val="both"/>
        <w:rPr>
          <w:rFonts w:eastAsia="Calibri"/>
          <w:sz w:val="22"/>
          <w:szCs w:val="22"/>
          <w:lang w:val="sr-Latn-RS"/>
        </w:rPr>
      </w:pPr>
      <w:hyperlink r:id="rId8" w:history="1">
        <w:r w:rsidR="004E70AD" w:rsidRPr="00192010">
          <w:rPr>
            <w:rStyle w:val="Hyperlink"/>
            <w:rFonts w:eastAsia="Calibri"/>
            <w:sz w:val="22"/>
            <w:szCs w:val="22"/>
            <w:lang w:val="sr-Latn-RS"/>
          </w:rPr>
          <w:t>www.cinmed.me</w:t>
        </w:r>
      </w:hyperlink>
    </w:p>
    <w:p w:rsidR="00EA5765" w:rsidRPr="00192010" w:rsidRDefault="009D7E40">
      <w:pPr>
        <w:pStyle w:val="NoSpacing"/>
        <w:jc w:val="both"/>
        <w:rPr>
          <w:rFonts w:eastAsia="Calibri"/>
          <w:color w:val="0000FF"/>
          <w:sz w:val="22"/>
          <w:szCs w:val="22"/>
          <w:u w:val="single"/>
          <w:lang w:val="sr-Latn-RS"/>
        </w:rPr>
      </w:pPr>
      <w:hyperlink r:id="rId9" w:history="1">
        <w:r w:rsidR="004E70AD" w:rsidRPr="00192010">
          <w:rPr>
            <w:rStyle w:val="Hyperlink"/>
            <w:rFonts w:eastAsia="Calibri"/>
            <w:sz w:val="22"/>
            <w:szCs w:val="22"/>
            <w:lang w:val="sr-Latn-RS"/>
          </w:rPr>
          <w:t>nezeljenadejstva@cinmed.me</w:t>
        </w:r>
      </w:hyperlink>
    </w:p>
    <w:p w:rsidR="005A23D2" w:rsidRPr="00192010" w:rsidRDefault="005A23D2">
      <w:pPr>
        <w:pStyle w:val="NoSpacing"/>
        <w:jc w:val="both"/>
        <w:rPr>
          <w:rFonts w:eastAsia="Calibri"/>
          <w:sz w:val="22"/>
          <w:szCs w:val="22"/>
          <w:lang w:val="sr-Latn-RS"/>
        </w:rPr>
      </w:pPr>
      <w:r w:rsidRPr="00192010">
        <w:rPr>
          <w:rFonts w:eastAsia="Calibri"/>
          <w:sz w:val="22"/>
          <w:szCs w:val="22"/>
          <w:lang w:val="sr-Latn-RS"/>
        </w:rPr>
        <w:t>putem IS zdravstvene zaštite</w:t>
      </w:r>
    </w:p>
    <w:p w:rsidR="00836B35" w:rsidRPr="00192010" w:rsidRDefault="00836B35" w:rsidP="00A443AA">
      <w:pPr>
        <w:tabs>
          <w:tab w:val="left" w:pos="540"/>
          <w:tab w:val="left" w:pos="569"/>
        </w:tabs>
        <w:jc w:val="both"/>
        <w:rPr>
          <w:b/>
          <w:bCs/>
          <w:sz w:val="22"/>
          <w:szCs w:val="22"/>
        </w:rPr>
      </w:pPr>
    </w:p>
    <w:p w:rsidR="00CD6F02" w:rsidRPr="00192010" w:rsidRDefault="0072020E" w:rsidP="00A443AA">
      <w:pPr>
        <w:tabs>
          <w:tab w:val="left" w:pos="540"/>
          <w:tab w:val="left" w:pos="569"/>
        </w:tabs>
        <w:jc w:val="both"/>
        <w:rPr>
          <w:b/>
          <w:bCs/>
          <w:sz w:val="22"/>
          <w:szCs w:val="22"/>
        </w:rPr>
      </w:pPr>
      <w:r w:rsidRPr="00192010">
        <w:rPr>
          <w:b/>
          <w:bCs/>
          <w:sz w:val="22"/>
          <w:szCs w:val="22"/>
        </w:rPr>
        <w:t xml:space="preserve">4.9. </w:t>
      </w:r>
      <w:r w:rsidR="00480FB1" w:rsidRPr="00192010">
        <w:rPr>
          <w:b/>
          <w:bCs/>
          <w:sz w:val="22"/>
          <w:szCs w:val="22"/>
        </w:rPr>
        <w:tab/>
      </w:r>
      <w:r w:rsidRPr="00192010">
        <w:rPr>
          <w:b/>
          <w:bCs/>
          <w:sz w:val="22"/>
          <w:szCs w:val="22"/>
        </w:rPr>
        <w:t>Predoziranje</w:t>
      </w:r>
      <w:r w:rsidR="002846DB" w:rsidRPr="00192010">
        <w:rPr>
          <w:b/>
          <w:bCs/>
          <w:sz w:val="22"/>
          <w:szCs w:val="22"/>
        </w:rPr>
        <w:t xml:space="preserve"> </w:t>
      </w:r>
    </w:p>
    <w:p w:rsidR="00D72684" w:rsidRPr="00192010" w:rsidRDefault="00D72684" w:rsidP="00A443AA">
      <w:pPr>
        <w:tabs>
          <w:tab w:val="left" w:pos="540"/>
          <w:tab w:val="left" w:pos="569"/>
        </w:tabs>
        <w:jc w:val="both"/>
        <w:rPr>
          <w:b/>
          <w:bCs/>
          <w:sz w:val="22"/>
          <w:szCs w:val="22"/>
        </w:rPr>
      </w:pPr>
    </w:p>
    <w:p w:rsidR="00D72684" w:rsidRPr="00192010" w:rsidRDefault="00D72684" w:rsidP="00192010">
      <w:pPr>
        <w:tabs>
          <w:tab w:val="left" w:pos="540"/>
          <w:tab w:val="left" w:pos="569"/>
        </w:tabs>
        <w:jc w:val="both"/>
        <w:rPr>
          <w:bCs/>
          <w:i/>
          <w:sz w:val="22"/>
          <w:szCs w:val="22"/>
        </w:rPr>
      </w:pPr>
      <w:r w:rsidRPr="00192010">
        <w:rPr>
          <w:bCs/>
          <w:i/>
          <w:sz w:val="22"/>
          <w:szCs w:val="22"/>
        </w:rPr>
        <w:t>Simptomi</w:t>
      </w:r>
    </w:p>
    <w:p w:rsidR="00D72684" w:rsidRPr="00192010" w:rsidRDefault="00D72684" w:rsidP="00375457">
      <w:pPr>
        <w:tabs>
          <w:tab w:val="left" w:pos="540"/>
          <w:tab w:val="left" w:pos="569"/>
        </w:tabs>
        <w:jc w:val="both"/>
        <w:rPr>
          <w:bCs/>
          <w:sz w:val="22"/>
          <w:szCs w:val="22"/>
        </w:rPr>
      </w:pPr>
      <w:r w:rsidRPr="00192010">
        <w:rPr>
          <w:bCs/>
          <w:sz w:val="22"/>
          <w:szCs w:val="22"/>
        </w:rPr>
        <w:t>Ukoliko dođe do predoziranja, pacijent se mora pratiti radi otkrivanja znakova toksičnosti (vidjeti odjeljke 4.8 i 5.3.) i ukoliko je neophodno, mora se primijeniti standardna suportivna terapija.</w:t>
      </w:r>
    </w:p>
    <w:p w:rsidR="00D72684" w:rsidRPr="00192010" w:rsidRDefault="00D72684">
      <w:pPr>
        <w:tabs>
          <w:tab w:val="left" w:pos="540"/>
          <w:tab w:val="left" w:pos="569"/>
        </w:tabs>
        <w:jc w:val="both"/>
        <w:rPr>
          <w:bCs/>
          <w:sz w:val="22"/>
          <w:szCs w:val="22"/>
        </w:rPr>
      </w:pPr>
    </w:p>
    <w:p w:rsidR="00D72684" w:rsidRPr="00192010" w:rsidRDefault="00D72684">
      <w:pPr>
        <w:tabs>
          <w:tab w:val="left" w:pos="540"/>
          <w:tab w:val="left" w:pos="569"/>
        </w:tabs>
        <w:jc w:val="both"/>
        <w:rPr>
          <w:bCs/>
          <w:i/>
          <w:sz w:val="22"/>
          <w:szCs w:val="22"/>
        </w:rPr>
      </w:pPr>
      <w:r w:rsidRPr="00192010">
        <w:rPr>
          <w:bCs/>
          <w:i/>
          <w:sz w:val="22"/>
          <w:szCs w:val="22"/>
        </w:rPr>
        <w:t>Terapija</w:t>
      </w:r>
    </w:p>
    <w:p w:rsidR="00D72684" w:rsidRPr="00192010" w:rsidRDefault="00D72684">
      <w:pPr>
        <w:tabs>
          <w:tab w:val="left" w:pos="540"/>
          <w:tab w:val="left" w:pos="569"/>
        </w:tabs>
        <w:jc w:val="both"/>
        <w:rPr>
          <w:bCs/>
          <w:sz w:val="22"/>
          <w:szCs w:val="22"/>
        </w:rPr>
      </w:pPr>
      <w:r w:rsidRPr="00192010">
        <w:rPr>
          <w:bCs/>
          <w:sz w:val="22"/>
          <w:szCs w:val="22"/>
        </w:rPr>
        <w:t xml:space="preserve">Tenofovir može da se eliminiše hemodijalizom, a srednji klirens dijalize za tenofovir je 134 </w:t>
      </w:r>
      <w:r w:rsidR="00B83CAB" w:rsidRPr="00192010">
        <w:rPr>
          <w:bCs/>
          <w:sz w:val="22"/>
          <w:szCs w:val="22"/>
        </w:rPr>
        <w:t>ml</w:t>
      </w:r>
      <w:r w:rsidRPr="00192010">
        <w:rPr>
          <w:bCs/>
          <w:sz w:val="22"/>
          <w:szCs w:val="22"/>
        </w:rPr>
        <w:t>/min. Nije poznato da li tenofovir može da se eliminiše peritonealnom dijalizom.</w:t>
      </w:r>
    </w:p>
    <w:p w:rsidR="00227BDB" w:rsidRPr="00192010" w:rsidRDefault="00227BDB" w:rsidP="00A443AA">
      <w:pPr>
        <w:tabs>
          <w:tab w:val="left" w:pos="540"/>
          <w:tab w:val="left" w:pos="569"/>
        </w:tabs>
        <w:jc w:val="both"/>
        <w:rPr>
          <w:b/>
          <w:bCs/>
          <w:sz w:val="22"/>
          <w:szCs w:val="22"/>
        </w:rPr>
      </w:pPr>
    </w:p>
    <w:p w:rsidR="008366A4" w:rsidRDefault="008366A4" w:rsidP="00A443AA">
      <w:pPr>
        <w:tabs>
          <w:tab w:val="left" w:pos="540"/>
          <w:tab w:val="left" w:pos="569"/>
        </w:tabs>
        <w:jc w:val="both"/>
        <w:rPr>
          <w:b/>
          <w:bCs/>
          <w:sz w:val="22"/>
          <w:szCs w:val="22"/>
        </w:rPr>
      </w:pPr>
    </w:p>
    <w:p w:rsidR="008366A4" w:rsidRDefault="008366A4" w:rsidP="00A443AA">
      <w:pPr>
        <w:tabs>
          <w:tab w:val="left" w:pos="540"/>
          <w:tab w:val="left" w:pos="569"/>
        </w:tabs>
        <w:jc w:val="both"/>
        <w:rPr>
          <w:b/>
          <w:bCs/>
          <w:sz w:val="22"/>
          <w:szCs w:val="22"/>
        </w:rPr>
      </w:pPr>
    </w:p>
    <w:p w:rsidR="0072020E" w:rsidRPr="00192010" w:rsidRDefault="0072020E" w:rsidP="00A443AA">
      <w:pPr>
        <w:tabs>
          <w:tab w:val="left" w:pos="540"/>
          <w:tab w:val="left" w:pos="569"/>
        </w:tabs>
        <w:jc w:val="both"/>
        <w:rPr>
          <w:b/>
          <w:bCs/>
          <w:sz w:val="22"/>
          <w:szCs w:val="22"/>
        </w:rPr>
      </w:pPr>
      <w:r w:rsidRPr="008366A4">
        <w:rPr>
          <w:b/>
          <w:bCs/>
          <w:sz w:val="22"/>
          <w:szCs w:val="22"/>
        </w:rPr>
        <w:t xml:space="preserve">5. </w:t>
      </w:r>
      <w:r w:rsidR="00480FB1" w:rsidRPr="00192010">
        <w:rPr>
          <w:b/>
          <w:bCs/>
          <w:sz w:val="22"/>
          <w:szCs w:val="22"/>
        </w:rPr>
        <w:tab/>
      </w:r>
      <w:r w:rsidRPr="00192010">
        <w:rPr>
          <w:b/>
          <w:bCs/>
          <w:sz w:val="22"/>
          <w:szCs w:val="22"/>
        </w:rPr>
        <w:t>FARMAKOLOŠK</w:t>
      </w:r>
      <w:r w:rsidR="000D425A" w:rsidRPr="00192010">
        <w:rPr>
          <w:b/>
          <w:bCs/>
          <w:sz w:val="22"/>
          <w:szCs w:val="22"/>
        </w:rPr>
        <w:t>I</w:t>
      </w:r>
      <w:r w:rsidRPr="00192010">
        <w:rPr>
          <w:b/>
          <w:bCs/>
          <w:sz w:val="22"/>
          <w:szCs w:val="22"/>
        </w:rPr>
        <w:t xml:space="preserve"> PODACI</w:t>
      </w:r>
    </w:p>
    <w:p w:rsidR="0072020E" w:rsidRPr="00192010" w:rsidRDefault="0072020E" w:rsidP="00A443AA">
      <w:pPr>
        <w:tabs>
          <w:tab w:val="left" w:pos="540"/>
          <w:tab w:val="left" w:pos="569"/>
        </w:tabs>
        <w:jc w:val="both"/>
        <w:rPr>
          <w:b/>
          <w:bCs/>
          <w:sz w:val="22"/>
          <w:szCs w:val="22"/>
        </w:rPr>
      </w:pPr>
    </w:p>
    <w:p w:rsidR="0072020E" w:rsidRPr="00192010" w:rsidRDefault="0072020E" w:rsidP="00A443AA">
      <w:pPr>
        <w:tabs>
          <w:tab w:val="left" w:pos="540"/>
          <w:tab w:val="left" w:pos="569"/>
        </w:tabs>
        <w:jc w:val="both"/>
        <w:rPr>
          <w:b/>
          <w:bCs/>
          <w:sz w:val="22"/>
          <w:szCs w:val="22"/>
        </w:rPr>
      </w:pPr>
      <w:r w:rsidRPr="00192010">
        <w:rPr>
          <w:b/>
          <w:bCs/>
          <w:sz w:val="22"/>
          <w:szCs w:val="22"/>
        </w:rPr>
        <w:t xml:space="preserve">5.1. </w:t>
      </w:r>
      <w:r w:rsidR="00480FB1" w:rsidRPr="00192010">
        <w:rPr>
          <w:b/>
          <w:bCs/>
          <w:sz w:val="22"/>
          <w:szCs w:val="22"/>
        </w:rPr>
        <w:tab/>
      </w:r>
      <w:r w:rsidRPr="00192010">
        <w:rPr>
          <w:b/>
          <w:bCs/>
          <w:sz w:val="22"/>
          <w:szCs w:val="22"/>
        </w:rPr>
        <w:t>Farmakodinamski podaci</w:t>
      </w:r>
      <w:r w:rsidR="003A7059" w:rsidRPr="00192010">
        <w:rPr>
          <w:b/>
          <w:bCs/>
          <w:sz w:val="22"/>
          <w:szCs w:val="22"/>
        </w:rPr>
        <w:t xml:space="preserve"> </w:t>
      </w:r>
    </w:p>
    <w:p w:rsidR="00F45F77" w:rsidRPr="00192010" w:rsidRDefault="00F45F77" w:rsidP="00A443AA">
      <w:pPr>
        <w:tabs>
          <w:tab w:val="left" w:pos="540"/>
          <w:tab w:val="left" w:pos="569"/>
        </w:tabs>
        <w:jc w:val="both"/>
        <w:rPr>
          <w:b/>
          <w:bCs/>
          <w:sz w:val="22"/>
          <w:szCs w:val="22"/>
        </w:rPr>
      </w:pPr>
    </w:p>
    <w:p w:rsidR="0072020E" w:rsidRPr="00192010" w:rsidRDefault="0072020E" w:rsidP="00192010">
      <w:pPr>
        <w:tabs>
          <w:tab w:val="left" w:pos="540"/>
          <w:tab w:val="left" w:pos="569"/>
        </w:tabs>
        <w:jc w:val="both"/>
        <w:rPr>
          <w:bCs/>
          <w:sz w:val="22"/>
          <w:szCs w:val="22"/>
        </w:rPr>
      </w:pPr>
      <w:r w:rsidRPr="00192010">
        <w:rPr>
          <w:bCs/>
          <w:sz w:val="22"/>
          <w:szCs w:val="22"/>
        </w:rPr>
        <w:t>Farmakoterapijska grupa:</w:t>
      </w:r>
      <w:r w:rsidR="00D72684" w:rsidRPr="00A443AA">
        <w:rPr>
          <w:sz w:val="22"/>
          <w:szCs w:val="22"/>
        </w:rPr>
        <w:t xml:space="preserve"> </w:t>
      </w:r>
      <w:r w:rsidR="00D72684" w:rsidRPr="00192010">
        <w:rPr>
          <w:bCs/>
          <w:sz w:val="22"/>
          <w:szCs w:val="22"/>
        </w:rPr>
        <w:t>Antivirusni ljekovi za sistemsku primj</w:t>
      </w:r>
      <w:r w:rsidR="00D72684" w:rsidRPr="00E84177">
        <w:rPr>
          <w:bCs/>
          <w:sz w:val="22"/>
          <w:szCs w:val="22"/>
        </w:rPr>
        <w:t>enu; nukleotidni i nukleozidni inhibitori reverzne  transkri</w:t>
      </w:r>
      <w:r w:rsidR="00D72684" w:rsidRPr="00192010">
        <w:rPr>
          <w:bCs/>
          <w:sz w:val="22"/>
          <w:szCs w:val="22"/>
        </w:rPr>
        <w:t>ptaze</w:t>
      </w:r>
    </w:p>
    <w:p w:rsidR="0072020E" w:rsidRPr="00192010" w:rsidRDefault="0072020E" w:rsidP="00A443AA">
      <w:pPr>
        <w:tabs>
          <w:tab w:val="left" w:pos="540"/>
          <w:tab w:val="left" w:pos="569"/>
        </w:tabs>
        <w:jc w:val="both"/>
        <w:rPr>
          <w:bCs/>
          <w:sz w:val="22"/>
          <w:szCs w:val="22"/>
        </w:rPr>
      </w:pPr>
    </w:p>
    <w:p w:rsidR="0072020E" w:rsidRPr="00192010" w:rsidRDefault="0072020E" w:rsidP="00A443AA">
      <w:pPr>
        <w:tabs>
          <w:tab w:val="left" w:pos="540"/>
          <w:tab w:val="left" w:pos="569"/>
        </w:tabs>
        <w:jc w:val="both"/>
        <w:rPr>
          <w:bCs/>
          <w:sz w:val="22"/>
          <w:szCs w:val="22"/>
        </w:rPr>
      </w:pPr>
      <w:r w:rsidRPr="00192010">
        <w:rPr>
          <w:bCs/>
          <w:sz w:val="22"/>
          <w:szCs w:val="22"/>
        </w:rPr>
        <w:t>ATC kod:</w:t>
      </w:r>
      <w:r w:rsidR="00D72684" w:rsidRPr="00192010">
        <w:rPr>
          <w:bCs/>
          <w:sz w:val="22"/>
          <w:szCs w:val="22"/>
        </w:rPr>
        <w:t xml:space="preserve"> J05AF07</w:t>
      </w:r>
    </w:p>
    <w:p w:rsidR="00D72684" w:rsidRPr="00192010" w:rsidRDefault="00D72684" w:rsidP="00A443AA">
      <w:pPr>
        <w:tabs>
          <w:tab w:val="left" w:pos="540"/>
          <w:tab w:val="left" w:pos="569"/>
        </w:tabs>
        <w:jc w:val="both"/>
        <w:rPr>
          <w:bCs/>
          <w:sz w:val="22"/>
          <w:szCs w:val="22"/>
        </w:rPr>
      </w:pPr>
    </w:p>
    <w:p w:rsidR="009D05CE" w:rsidRPr="00192010" w:rsidRDefault="009D05CE" w:rsidP="00192010">
      <w:pPr>
        <w:tabs>
          <w:tab w:val="left" w:pos="540"/>
          <w:tab w:val="left" w:pos="569"/>
        </w:tabs>
        <w:jc w:val="both"/>
        <w:rPr>
          <w:bCs/>
          <w:sz w:val="22"/>
          <w:szCs w:val="22"/>
          <w:u w:val="single"/>
        </w:rPr>
      </w:pPr>
      <w:r w:rsidRPr="00192010">
        <w:rPr>
          <w:bCs/>
          <w:sz w:val="22"/>
          <w:szCs w:val="22"/>
          <w:u w:val="single"/>
        </w:rPr>
        <w:t>Mehanizam dejstva i farmakodinamski efekti</w:t>
      </w:r>
    </w:p>
    <w:p w:rsidR="009D05CE" w:rsidRPr="00192010" w:rsidRDefault="009D05CE" w:rsidP="00264966">
      <w:pPr>
        <w:tabs>
          <w:tab w:val="left" w:pos="540"/>
          <w:tab w:val="left" w:pos="569"/>
        </w:tabs>
        <w:jc w:val="both"/>
        <w:rPr>
          <w:bCs/>
          <w:sz w:val="22"/>
          <w:szCs w:val="22"/>
        </w:rPr>
      </w:pPr>
      <w:r w:rsidRPr="00192010">
        <w:rPr>
          <w:bCs/>
          <w:sz w:val="22"/>
          <w:szCs w:val="22"/>
        </w:rPr>
        <w:t xml:space="preserve">Tenofovir dizoproksil sukcinat je so prolijeka tenofovir dizoproksila. Tenofovir dizoproksil se resorbuje i konvertuje u aktivnu supstancu tenofovir, koja je analog nukleozid monofosfata (nukleotida). Tenofovir se potom konvertuje u aktivni metabolit, tenofovir difosfat, obligatni završni član lanca, pomoću konstitutivno eksprimiranih ćelijskih enzima. Tenofovir difosfat ima intracelularno poluvrijeme eliminacije od 10 </w:t>
      </w:r>
      <w:r w:rsidR="00D45C75">
        <w:rPr>
          <w:bCs/>
          <w:sz w:val="22"/>
          <w:szCs w:val="22"/>
        </w:rPr>
        <w:t>sati</w:t>
      </w:r>
      <w:r w:rsidR="00D45C75" w:rsidRPr="00D45C75">
        <w:rPr>
          <w:bCs/>
          <w:sz w:val="22"/>
          <w:szCs w:val="22"/>
        </w:rPr>
        <w:t xml:space="preserve"> </w:t>
      </w:r>
      <w:r w:rsidRPr="00D45C75">
        <w:rPr>
          <w:bCs/>
          <w:sz w:val="22"/>
          <w:szCs w:val="22"/>
        </w:rPr>
        <w:t xml:space="preserve">u aktiviranim mononukleinskim ćelijama periferne krvi (PBMC) i 50 sati u mononuklearnim </w:t>
      </w:r>
      <w:r w:rsidRPr="00192010">
        <w:rPr>
          <w:bCs/>
          <w:sz w:val="22"/>
          <w:szCs w:val="22"/>
        </w:rPr>
        <w:t>ćelijama periferne krvi (PBMC) koje su u stanju mirovanja. Tenofovir difosfat inhibira HIV-1 reverznu transkriptazu i HBV polimerazu direktnom kompeticijom za vezivanje sa prirodnim deoksiribonukleotidnim supstratom i, nakon inkorporacije u DNK, putem terminacije lanca DNK. Tenofovir difosfat je slab inhibitor ćelijskih polimeraza α, β i γ. Pri koncentracijama do 300 mikromola/</w:t>
      </w:r>
      <w:r w:rsidR="00D45C75">
        <w:rPr>
          <w:bCs/>
          <w:sz w:val="22"/>
          <w:szCs w:val="22"/>
        </w:rPr>
        <w:t>l</w:t>
      </w:r>
      <w:r w:rsidRPr="00D45C75">
        <w:rPr>
          <w:bCs/>
          <w:sz w:val="22"/>
          <w:szCs w:val="22"/>
        </w:rPr>
        <w:t>, tenofovir takođe nije pokazao uticaj na sintezu mitohon</w:t>
      </w:r>
      <w:r w:rsidRPr="00192010">
        <w:rPr>
          <w:bCs/>
          <w:sz w:val="22"/>
          <w:szCs w:val="22"/>
        </w:rPr>
        <w:t xml:space="preserve">drijalne DNK, niti na produkciju </w:t>
      </w:r>
      <w:r w:rsidR="00B83CAB" w:rsidRPr="00192010">
        <w:rPr>
          <w:bCs/>
          <w:sz w:val="22"/>
          <w:szCs w:val="22"/>
        </w:rPr>
        <w:t>ml</w:t>
      </w:r>
      <w:r w:rsidRPr="00192010">
        <w:rPr>
          <w:bCs/>
          <w:sz w:val="22"/>
          <w:szCs w:val="22"/>
        </w:rPr>
        <w:t xml:space="preserve">iječne kisjeline, prilikom </w:t>
      </w:r>
      <w:r w:rsidRPr="00192010">
        <w:rPr>
          <w:bCs/>
          <w:i/>
          <w:sz w:val="22"/>
          <w:szCs w:val="22"/>
        </w:rPr>
        <w:t>in vitro</w:t>
      </w:r>
      <w:r w:rsidRPr="00192010">
        <w:rPr>
          <w:bCs/>
          <w:sz w:val="22"/>
          <w:szCs w:val="22"/>
        </w:rPr>
        <w:t xml:space="preserve"> ispitivanja.</w:t>
      </w:r>
    </w:p>
    <w:p w:rsidR="009D05CE" w:rsidRPr="00192010" w:rsidRDefault="009D05CE">
      <w:pPr>
        <w:tabs>
          <w:tab w:val="left" w:pos="540"/>
          <w:tab w:val="left" w:pos="569"/>
        </w:tabs>
        <w:jc w:val="both"/>
        <w:rPr>
          <w:bCs/>
          <w:sz w:val="22"/>
          <w:szCs w:val="22"/>
        </w:rPr>
      </w:pPr>
    </w:p>
    <w:p w:rsidR="009D05CE" w:rsidRPr="00192010" w:rsidRDefault="009D05CE">
      <w:pPr>
        <w:tabs>
          <w:tab w:val="left" w:pos="540"/>
          <w:tab w:val="left" w:pos="569"/>
        </w:tabs>
        <w:jc w:val="both"/>
        <w:rPr>
          <w:bCs/>
          <w:i/>
          <w:sz w:val="22"/>
          <w:szCs w:val="22"/>
        </w:rPr>
      </w:pPr>
      <w:r w:rsidRPr="00192010">
        <w:rPr>
          <w:bCs/>
          <w:i/>
          <w:sz w:val="22"/>
          <w:szCs w:val="22"/>
        </w:rPr>
        <w:t>Podaci koji se odnose na HIV</w:t>
      </w:r>
    </w:p>
    <w:p w:rsidR="009D05CE" w:rsidRPr="00D45C75" w:rsidRDefault="009D05CE">
      <w:pPr>
        <w:tabs>
          <w:tab w:val="left" w:pos="540"/>
          <w:tab w:val="left" w:pos="569"/>
        </w:tabs>
        <w:jc w:val="both"/>
        <w:rPr>
          <w:bCs/>
          <w:sz w:val="22"/>
          <w:szCs w:val="22"/>
        </w:rPr>
      </w:pPr>
      <w:r w:rsidRPr="00192010">
        <w:rPr>
          <w:bCs/>
          <w:i/>
          <w:sz w:val="22"/>
          <w:szCs w:val="22"/>
        </w:rPr>
        <w:t>In vitro</w:t>
      </w:r>
      <w:r w:rsidRPr="00192010">
        <w:rPr>
          <w:bCs/>
          <w:sz w:val="22"/>
          <w:szCs w:val="22"/>
        </w:rPr>
        <w:t xml:space="preserve"> </w:t>
      </w:r>
      <w:r w:rsidRPr="00192010">
        <w:rPr>
          <w:bCs/>
          <w:i/>
          <w:sz w:val="22"/>
          <w:szCs w:val="22"/>
        </w:rPr>
        <w:t>HIV antivirusna aktivnost</w:t>
      </w:r>
      <w:r w:rsidRPr="00192010">
        <w:rPr>
          <w:bCs/>
          <w:sz w:val="22"/>
          <w:szCs w:val="22"/>
        </w:rPr>
        <w:t>: Koncentracija tenofovira koja je potrebna za 50% inhibiciju (EC</w:t>
      </w:r>
      <w:r w:rsidRPr="00192010">
        <w:rPr>
          <w:bCs/>
          <w:sz w:val="22"/>
          <w:szCs w:val="22"/>
          <w:vertAlign w:val="subscript"/>
        </w:rPr>
        <w:t>50</w:t>
      </w:r>
      <w:r w:rsidRPr="00192010">
        <w:rPr>
          <w:bCs/>
          <w:sz w:val="22"/>
          <w:szCs w:val="22"/>
        </w:rPr>
        <w:t>) divljeg laboratorijskog soja HIV-1</w:t>
      </w:r>
      <w:r w:rsidRPr="00192010">
        <w:rPr>
          <w:bCs/>
          <w:sz w:val="22"/>
          <w:szCs w:val="22"/>
          <w:vertAlign w:val="subscript"/>
        </w:rPr>
        <w:t>IIIB</w:t>
      </w:r>
      <w:r w:rsidRPr="00192010">
        <w:rPr>
          <w:bCs/>
          <w:sz w:val="22"/>
          <w:szCs w:val="22"/>
        </w:rPr>
        <w:t xml:space="preserve"> je 1-6 mikromola/</w:t>
      </w:r>
      <w:r w:rsidR="00D45C75">
        <w:rPr>
          <w:bCs/>
          <w:sz w:val="22"/>
          <w:szCs w:val="22"/>
        </w:rPr>
        <w:t>l</w:t>
      </w:r>
      <w:r w:rsidRPr="00D45C75">
        <w:rPr>
          <w:bCs/>
          <w:sz w:val="22"/>
          <w:szCs w:val="22"/>
        </w:rPr>
        <w:t xml:space="preserve"> u linijama limfoidnih ćelija i 1,1 mikromola/</w:t>
      </w:r>
      <w:r w:rsidR="00D45C75">
        <w:rPr>
          <w:bCs/>
          <w:sz w:val="22"/>
          <w:szCs w:val="22"/>
        </w:rPr>
        <w:t>l</w:t>
      </w:r>
      <w:r w:rsidRPr="00D45C75">
        <w:rPr>
          <w:bCs/>
          <w:sz w:val="22"/>
          <w:szCs w:val="22"/>
        </w:rPr>
        <w:t xml:space="preserve"> protiv izolata primarnog HIV-1 podtipa B u PBMC ćelijama. Tenofovir je takođe aktivan protiv HIV-1 podtipova A, C, D, E, F, G, i O, kao i protiv HIV</w:t>
      </w:r>
      <w:r w:rsidRPr="00D45C75">
        <w:rPr>
          <w:bCs/>
          <w:sz w:val="22"/>
          <w:szCs w:val="22"/>
          <w:vertAlign w:val="subscript"/>
        </w:rPr>
        <w:t>BaL</w:t>
      </w:r>
      <w:r w:rsidRPr="00D45C75">
        <w:rPr>
          <w:bCs/>
          <w:sz w:val="22"/>
          <w:szCs w:val="22"/>
        </w:rPr>
        <w:t xml:space="preserve"> u primarnim monocitima/makrofagima. Tenofovir pokazuje </w:t>
      </w:r>
      <w:r w:rsidRPr="00192010">
        <w:rPr>
          <w:bCs/>
          <w:i/>
          <w:sz w:val="22"/>
          <w:szCs w:val="22"/>
        </w:rPr>
        <w:t>in vitro</w:t>
      </w:r>
      <w:r w:rsidRPr="00192010">
        <w:rPr>
          <w:bCs/>
          <w:sz w:val="22"/>
          <w:szCs w:val="22"/>
        </w:rPr>
        <w:t xml:space="preserve"> aktivnost protiv HIV-2, sa EC</w:t>
      </w:r>
      <w:r w:rsidRPr="00192010">
        <w:rPr>
          <w:bCs/>
          <w:sz w:val="22"/>
          <w:szCs w:val="22"/>
          <w:vertAlign w:val="subscript"/>
        </w:rPr>
        <w:t>50</w:t>
      </w:r>
      <w:r w:rsidRPr="00192010">
        <w:rPr>
          <w:bCs/>
          <w:sz w:val="22"/>
          <w:szCs w:val="22"/>
        </w:rPr>
        <w:t xml:space="preserve"> od 4,9 mikromola/</w:t>
      </w:r>
      <w:r w:rsidR="00D45C75">
        <w:rPr>
          <w:bCs/>
          <w:sz w:val="22"/>
          <w:szCs w:val="22"/>
        </w:rPr>
        <w:t>l</w:t>
      </w:r>
      <w:r w:rsidRPr="00D45C75">
        <w:rPr>
          <w:bCs/>
          <w:sz w:val="22"/>
          <w:szCs w:val="22"/>
        </w:rPr>
        <w:t xml:space="preserve"> u MT-4 ćelijama.</w:t>
      </w:r>
    </w:p>
    <w:p w:rsidR="009D05CE" w:rsidRPr="00192010" w:rsidRDefault="009D05CE">
      <w:pPr>
        <w:tabs>
          <w:tab w:val="left" w:pos="540"/>
          <w:tab w:val="left" w:pos="569"/>
        </w:tabs>
        <w:jc w:val="both"/>
        <w:rPr>
          <w:bCs/>
          <w:sz w:val="22"/>
          <w:szCs w:val="22"/>
        </w:rPr>
      </w:pPr>
    </w:p>
    <w:p w:rsidR="009D05CE" w:rsidRPr="00192010" w:rsidRDefault="009D05CE">
      <w:pPr>
        <w:tabs>
          <w:tab w:val="left" w:pos="540"/>
          <w:tab w:val="left" w:pos="569"/>
        </w:tabs>
        <w:jc w:val="both"/>
        <w:rPr>
          <w:bCs/>
          <w:sz w:val="22"/>
          <w:szCs w:val="22"/>
        </w:rPr>
      </w:pPr>
      <w:r w:rsidRPr="00192010">
        <w:rPr>
          <w:bCs/>
          <w:i/>
          <w:sz w:val="22"/>
          <w:szCs w:val="22"/>
        </w:rPr>
        <w:t xml:space="preserve">Rezistencija: </w:t>
      </w:r>
      <w:r w:rsidRPr="00192010">
        <w:rPr>
          <w:bCs/>
          <w:sz w:val="22"/>
          <w:szCs w:val="22"/>
        </w:rPr>
        <w:t>U</w:t>
      </w:r>
      <w:r w:rsidRPr="00192010">
        <w:rPr>
          <w:bCs/>
          <w:i/>
          <w:sz w:val="22"/>
          <w:szCs w:val="22"/>
        </w:rPr>
        <w:t xml:space="preserve"> In vitro</w:t>
      </w:r>
      <w:r w:rsidRPr="00192010">
        <w:rPr>
          <w:bCs/>
          <w:sz w:val="22"/>
          <w:szCs w:val="22"/>
        </w:rPr>
        <w:t xml:space="preserve"> uslovima i kod pojedinih pacijenata su izolovani sojevi HIV-1 sa smanjenom osjetljivošću na tenofovir i K65R mutacijom u reverznoj transkriptazi (vid</w:t>
      </w:r>
      <w:r w:rsidR="002012C0" w:rsidRPr="00192010">
        <w:rPr>
          <w:bCs/>
          <w:sz w:val="22"/>
          <w:szCs w:val="22"/>
        </w:rPr>
        <w:t>j</w:t>
      </w:r>
      <w:r w:rsidRPr="00192010">
        <w:rPr>
          <w:bCs/>
          <w:sz w:val="22"/>
          <w:szCs w:val="22"/>
        </w:rPr>
        <w:t xml:space="preserve">eti </w:t>
      </w:r>
      <w:r w:rsidRPr="00192010">
        <w:rPr>
          <w:bCs/>
          <w:i/>
          <w:sz w:val="22"/>
          <w:szCs w:val="22"/>
        </w:rPr>
        <w:t>Klinička efikasnost i bezbjednost)</w:t>
      </w:r>
      <w:r w:rsidRPr="00192010">
        <w:rPr>
          <w:bCs/>
          <w:sz w:val="22"/>
          <w:szCs w:val="22"/>
        </w:rPr>
        <w:t>. Tenofovir dizoproksil treba izbjegavati kod pacijenata koji su ranije uzimali antiretrovirusnu terapiju čiji sojevi sadrže K65R mutaciju (vidjeti odjeljak 4.4).</w:t>
      </w:r>
    </w:p>
    <w:p w:rsidR="009D05CE" w:rsidRPr="00192010" w:rsidRDefault="009D05CE">
      <w:pPr>
        <w:tabs>
          <w:tab w:val="left" w:pos="540"/>
          <w:tab w:val="left" w:pos="569"/>
        </w:tabs>
        <w:jc w:val="both"/>
        <w:rPr>
          <w:bCs/>
          <w:sz w:val="22"/>
          <w:szCs w:val="22"/>
        </w:rPr>
      </w:pPr>
      <w:r w:rsidRPr="00192010">
        <w:rPr>
          <w:bCs/>
          <w:sz w:val="22"/>
          <w:szCs w:val="22"/>
        </w:rPr>
        <w:t>Takođe, tenofovirom je selektovana K70E supstitucija u HIV-1 reverznoj transkriptazi što rezultira blagim smanjenjem osjetljivosti na tenofovir.</w:t>
      </w:r>
    </w:p>
    <w:p w:rsidR="009D05CE" w:rsidRPr="00192010" w:rsidRDefault="009D05CE">
      <w:pPr>
        <w:tabs>
          <w:tab w:val="left" w:pos="540"/>
          <w:tab w:val="left" w:pos="569"/>
        </w:tabs>
        <w:jc w:val="both"/>
        <w:rPr>
          <w:bCs/>
          <w:sz w:val="22"/>
          <w:szCs w:val="22"/>
        </w:rPr>
      </w:pPr>
    </w:p>
    <w:p w:rsidR="009D05CE" w:rsidRPr="00192010" w:rsidRDefault="009D05CE">
      <w:pPr>
        <w:tabs>
          <w:tab w:val="left" w:pos="540"/>
          <w:tab w:val="left" w:pos="569"/>
        </w:tabs>
        <w:jc w:val="both"/>
        <w:rPr>
          <w:bCs/>
          <w:sz w:val="22"/>
          <w:szCs w:val="22"/>
        </w:rPr>
      </w:pPr>
      <w:r w:rsidRPr="00192010">
        <w:rPr>
          <w:bCs/>
          <w:sz w:val="22"/>
          <w:szCs w:val="22"/>
        </w:rPr>
        <w:t>Kliničkim ispitivanjima sa pacijentima koji su imali ranija terapijska iskustva ocjenjivana je anti-HIV aktivnost tenofovir dizoproksila u dozi od 245 mg protiv sojeva HIV-1 sa rezistencijom na inhibitore nukleozida. Rezultati ukazuju na to da su pacijenti čiji HIV je izrazio 3 ili više mutacija povezanih sa anologom timidina (TAM), koje su obuhvatale ili M41L ili L210W mutaciju reverzne transkriptaze, imali umanjeni odgovor na terapiju tenofovir dizoproksilom u dozi od 245 mg.</w:t>
      </w:r>
    </w:p>
    <w:p w:rsidR="00D72684" w:rsidRPr="00192010" w:rsidRDefault="00D72684" w:rsidP="00A443AA">
      <w:pPr>
        <w:tabs>
          <w:tab w:val="left" w:pos="540"/>
          <w:tab w:val="left" w:pos="569"/>
        </w:tabs>
        <w:jc w:val="both"/>
        <w:rPr>
          <w:bCs/>
          <w:sz w:val="22"/>
          <w:szCs w:val="22"/>
        </w:rPr>
      </w:pPr>
    </w:p>
    <w:p w:rsidR="00A545E4" w:rsidRPr="00192010" w:rsidRDefault="00A545E4" w:rsidP="00192010">
      <w:pPr>
        <w:tabs>
          <w:tab w:val="left" w:pos="540"/>
          <w:tab w:val="left" w:pos="569"/>
        </w:tabs>
        <w:jc w:val="both"/>
        <w:rPr>
          <w:bCs/>
          <w:sz w:val="22"/>
          <w:szCs w:val="22"/>
          <w:u w:val="single"/>
        </w:rPr>
      </w:pPr>
      <w:r w:rsidRPr="00192010">
        <w:rPr>
          <w:bCs/>
          <w:sz w:val="22"/>
          <w:szCs w:val="22"/>
          <w:u w:val="single"/>
        </w:rPr>
        <w:t>Klinička efikasnost i bezbjednost</w:t>
      </w:r>
    </w:p>
    <w:p w:rsidR="00A545E4" w:rsidRPr="00D45C75" w:rsidRDefault="00A545E4">
      <w:pPr>
        <w:tabs>
          <w:tab w:val="left" w:pos="540"/>
          <w:tab w:val="left" w:pos="569"/>
        </w:tabs>
        <w:jc w:val="both"/>
        <w:rPr>
          <w:bCs/>
          <w:sz w:val="22"/>
          <w:szCs w:val="22"/>
        </w:rPr>
      </w:pPr>
      <w:r w:rsidRPr="00192010">
        <w:rPr>
          <w:bCs/>
          <w:sz w:val="22"/>
          <w:szCs w:val="22"/>
        </w:rPr>
        <w:t>Efekti tenofovir dizoproksila kod odraslih osoba inficiranih HIV-1, koje su imale ranijeg iskustva sa terapijom i onih koje ni</w:t>
      </w:r>
      <w:r w:rsidR="00D45C75">
        <w:rPr>
          <w:bCs/>
          <w:sz w:val="22"/>
          <w:szCs w:val="22"/>
        </w:rPr>
        <w:t>je</w:t>
      </w:r>
      <w:r w:rsidRPr="00D45C75">
        <w:rPr>
          <w:bCs/>
          <w:sz w:val="22"/>
          <w:szCs w:val="22"/>
        </w:rPr>
        <w:t>su, su demonstrirani tokom studija koje su trajale 48 nedjelja (kod ranije liječenih pacijenata), odnosno 144 nedjelje (kod pacijenata koji ni</w:t>
      </w:r>
      <w:r w:rsidR="00D45C75">
        <w:rPr>
          <w:bCs/>
          <w:sz w:val="22"/>
          <w:szCs w:val="22"/>
        </w:rPr>
        <w:t>je</w:t>
      </w:r>
      <w:r w:rsidRPr="00D45C75">
        <w:rPr>
          <w:bCs/>
          <w:sz w:val="22"/>
          <w:szCs w:val="22"/>
        </w:rPr>
        <w:t>su ranije liječeni).</w:t>
      </w:r>
    </w:p>
    <w:p w:rsidR="00A545E4" w:rsidRPr="00192010" w:rsidRDefault="00A545E4">
      <w:pPr>
        <w:tabs>
          <w:tab w:val="left" w:pos="540"/>
          <w:tab w:val="left" w:pos="569"/>
        </w:tabs>
        <w:jc w:val="both"/>
        <w:rPr>
          <w:bCs/>
          <w:sz w:val="22"/>
          <w:szCs w:val="22"/>
        </w:rPr>
      </w:pPr>
    </w:p>
    <w:p w:rsidR="00A545E4" w:rsidRPr="00192010" w:rsidRDefault="00A545E4">
      <w:pPr>
        <w:tabs>
          <w:tab w:val="left" w:pos="540"/>
          <w:tab w:val="left" w:pos="569"/>
        </w:tabs>
        <w:jc w:val="both"/>
        <w:rPr>
          <w:bCs/>
          <w:sz w:val="22"/>
          <w:szCs w:val="22"/>
        </w:rPr>
      </w:pPr>
      <w:r w:rsidRPr="00192010">
        <w:rPr>
          <w:bCs/>
          <w:sz w:val="22"/>
          <w:szCs w:val="22"/>
        </w:rPr>
        <w:t>U okviru ispitivanja GS-99-907, 550 odraslih pacijenata koji su ranije liječeni, tokom 24 nedjelje primalo je placebo, odnosno tenofovir dizoproksil u dozi od 245 mg. Srednji početni broj CD4 ćelija je bio 427 ćelija/mm</w:t>
      </w:r>
      <w:r w:rsidRPr="00192010">
        <w:rPr>
          <w:bCs/>
          <w:sz w:val="22"/>
          <w:szCs w:val="22"/>
          <w:vertAlign w:val="superscript"/>
        </w:rPr>
        <w:t>3</w:t>
      </w:r>
      <w:r w:rsidRPr="00192010">
        <w:rPr>
          <w:bCs/>
          <w:sz w:val="22"/>
          <w:szCs w:val="22"/>
        </w:rPr>
        <w:t>, srednja početna količina HIV-1 RNK u plazmi je bila 3,4 log</w:t>
      </w:r>
      <w:r w:rsidRPr="00192010">
        <w:rPr>
          <w:bCs/>
          <w:sz w:val="22"/>
          <w:szCs w:val="22"/>
          <w:vertAlign w:val="subscript"/>
        </w:rPr>
        <w:t>10</w:t>
      </w:r>
      <w:r w:rsidRPr="00192010">
        <w:rPr>
          <w:bCs/>
          <w:sz w:val="22"/>
          <w:szCs w:val="22"/>
        </w:rPr>
        <w:t xml:space="preserve"> kopija/</w:t>
      </w:r>
      <w:r w:rsidR="00B83CAB" w:rsidRPr="00192010">
        <w:rPr>
          <w:bCs/>
          <w:sz w:val="22"/>
          <w:szCs w:val="22"/>
        </w:rPr>
        <w:t>ml</w:t>
      </w:r>
      <w:r w:rsidRPr="00192010">
        <w:rPr>
          <w:bCs/>
          <w:sz w:val="22"/>
          <w:szCs w:val="22"/>
        </w:rPr>
        <w:t xml:space="preserve"> (78% pacijenata je imalo viremiju &lt; 5000 kopija/</w:t>
      </w:r>
      <w:r w:rsidR="00B83CAB" w:rsidRPr="00192010">
        <w:rPr>
          <w:bCs/>
          <w:sz w:val="22"/>
          <w:szCs w:val="22"/>
        </w:rPr>
        <w:t>ml</w:t>
      </w:r>
      <w:r w:rsidRPr="00192010">
        <w:rPr>
          <w:bCs/>
          <w:sz w:val="22"/>
          <w:szCs w:val="22"/>
        </w:rPr>
        <w:t>), dok je srednje trajanje ranijeg liječenja HIV bilo 5,4 godina. Početna genotipska analiza HIV izolata od 253 pacijenata je pokazala da je 94% pacijenata imalo mutacije rezistencije HIV-1 povezane sa inhibitorima nukleozidne reverzne transkriptaze, 58% je imalo mutacije povezane sa inhibitorima proteaze, dok je 48% imalo mutacije povezane sa nenukleozidnim inhibitorima reverzne transkriptaze.</w:t>
      </w:r>
    </w:p>
    <w:p w:rsidR="00A545E4" w:rsidRPr="00192010" w:rsidRDefault="00A545E4">
      <w:pPr>
        <w:tabs>
          <w:tab w:val="left" w:pos="540"/>
          <w:tab w:val="left" w:pos="569"/>
        </w:tabs>
        <w:jc w:val="both"/>
        <w:rPr>
          <w:bCs/>
          <w:sz w:val="22"/>
          <w:szCs w:val="22"/>
        </w:rPr>
      </w:pPr>
    </w:p>
    <w:p w:rsidR="00A545E4" w:rsidRPr="00192010" w:rsidRDefault="00A545E4">
      <w:pPr>
        <w:tabs>
          <w:tab w:val="left" w:pos="540"/>
          <w:tab w:val="left" w:pos="569"/>
        </w:tabs>
        <w:jc w:val="both"/>
        <w:rPr>
          <w:bCs/>
          <w:sz w:val="22"/>
          <w:szCs w:val="22"/>
        </w:rPr>
      </w:pPr>
      <w:r w:rsidRPr="00192010">
        <w:rPr>
          <w:bCs/>
          <w:sz w:val="22"/>
          <w:szCs w:val="22"/>
        </w:rPr>
        <w:t xml:space="preserve">U 24. nedjelji, vremenski ponderisana </w:t>
      </w:r>
      <w:r w:rsidR="00D45C75">
        <w:rPr>
          <w:bCs/>
          <w:sz w:val="22"/>
          <w:szCs w:val="22"/>
        </w:rPr>
        <w:t xml:space="preserve">prosječna </w:t>
      </w:r>
      <w:r w:rsidRPr="00D45C75">
        <w:rPr>
          <w:bCs/>
          <w:sz w:val="22"/>
          <w:szCs w:val="22"/>
        </w:rPr>
        <w:t>promjena od početne vrijednosti log</w:t>
      </w:r>
      <w:r w:rsidRPr="00D45C75">
        <w:rPr>
          <w:bCs/>
          <w:sz w:val="22"/>
          <w:szCs w:val="22"/>
          <w:vertAlign w:val="subscript"/>
        </w:rPr>
        <w:t>10</w:t>
      </w:r>
      <w:r w:rsidRPr="00D45C75">
        <w:rPr>
          <w:bCs/>
          <w:sz w:val="22"/>
          <w:szCs w:val="22"/>
        </w:rPr>
        <w:t xml:space="preserve"> nivoa HIV-1 RNK u plazmi (DAVG</w:t>
      </w:r>
      <w:r w:rsidRPr="00D45C75">
        <w:rPr>
          <w:bCs/>
          <w:sz w:val="22"/>
          <w:szCs w:val="22"/>
          <w:vertAlign w:val="subscript"/>
        </w:rPr>
        <w:t>24</w:t>
      </w:r>
      <w:r w:rsidRPr="00D45C75">
        <w:rPr>
          <w:bCs/>
          <w:sz w:val="22"/>
          <w:szCs w:val="22"/>
        </w:rPr>
        <w:t>) bila je -0,03 log</w:t>
      </w:r>
      <w:r w:rsidRPr="00D45C75">
        <w:rPr>
          <w:bCs/>
          <w:sz w:val="22"/>
          <w:szCs w:val="22"/>
          <w:vertAlign w:val="subscript"/>
        </w:rPr>
        <w:t>10</w:t>
      </w:r>
      <w:r w:rsidRPr="00D45C75">
        <w:rPr>
          <w:bCs/>
          <w:sz w:val="22"/>
          <w:szCs w:val="22"/>
        </w:rPr>
        <w:t xml:space="preserve"> kopija/</w:t>
      </w:r>
      <w:r w:rsidR="00B83CAB" w:rsidRPr="00D45C75">
        <w:rPr>
          <w:bCs/>
          <w:sz w:val="22"/>
          <w:szCs w:val="22"/>
        </w:rPr>
        <w:t>ml</w:t>
      </w:r>
      <w:r w:rsidRPr="00D45C75">
        <w:rPr>
          <w:bCs/>
          <w:sz w:val="22"/>
          <w:szCs w:val="22"/>
        </w:rPr>
        <w:t xml:space="preserve"> i -0,61 log</w:t>
      </w:r>
      <w:r w:rsidRPr="00D45C75">
        <w:rPr>
          <w:bCs/>
          <w:sz w:val="22"/>
          <w:szCs w:val="22"/>
          <w:vertAlign w:val="subscript"/>
        </w:rPr>
        <w:t>10</w:t>
      </w:r>
      <w:r w:rsidRPr="00D45C75">
        <w:rPr>
          <w:bCs/>
          <w:sz w:val="22"/>
          <w:szCs w:val="22"/>
        </w:rPr>
        <w:t xml:space="preserve"> kopija/</w:t>
      </w:r>
      <w:r w:rsidR="00B83CAB" w:rsidRPr="00D45C75">
        <w:rPr>
          <w:bCs/>
          <w:sz w:val="22"/>
          <w:szCs w:val="22"/>
        </w:rPr>
        <w:t>ml</w:t>
      </w:r>
      <w:r w:rsidRPr="00D45C75">
        <w:rPr>
          <w:bCs/>
          <w:sz w:val="22"/>
          <w:szCs w:val="22"/>
        </w:rPr>
        <w:t xml:space="preserve"> za ispitanike koji su primali placebo, odnosno tenofovir</w:t>
      </w:r>
      <w:r w:rsidRPr="00192010">
        <w:rPr>
          <w:bCs/>
          <w:sz w:val="22"/>
          <w:szCs w:val="22"/>
        </w:rPr>
        <w:t xml:space="preserve"> dizoproksil u dozi od 245 mg (p &lt; 0,0001). Primijećena je statistički značajna razlika u korist tenofovir dizoproksila u dozi od 245 mg u vremenski ponderisanoj </w:t>
      </w:r>
      <w:r w:rsidR="00D45C75">
        <w:rPr>
          <w:bCs/>
          <w:sz w:val="22"/>
          <w:szCs w:val="22"/>
        </w:rPr>
        <w:t>prosječnoj</w:t>
      </w:r>
      <w:r w:rsidR="00D45C75" w:rsidRPr="00D45C75">
        <w:rPr>
          <w:bCs/>
          <w:sz w:val="22"/>
          <w:szCs w:val="22"/>
        </w:rPr>
        <w:t xml:space="preserve"> </w:t>
      </w:r>
      <w:r w:rsidRPr="00D45C75">
        <w:rPr>
          <w:bCs/>
          <w:sz w:val="22"/>
          <w:szCs w:val="22"/>
        </w:rPr>
        <w:t>promjeni u odnosu na početnu u 24. nedjelji (DAVG</w:t>
      </w:r>
      <w:r w:rsidRPr="00D45C75">
        <w:rPr>
          <w:bCs/>
          <w:sz w:val="22"/>
          <w:szCs w:val="22"/>
          <w:vertAlign w:val="subscript"/>
        </w:rPr>
        <w:t>24</w:t>
      </w:r>
      <w:r w:rsidRPr="00D45C75">
        <w:rPr>
          <w:bCs/>
          <w:sz w:val="22"/>
          <w:szCs w:val="22"/>
        </w:rPr>
        <w:t>), za broj CD4 ćelija (+13 ćelija/mm</w:t>
      </w:r>
      <w:r w:rsidRPr="00D45C75">
        <w:rPr>
          <w:bCs/>
          <w:sz w:val="22"/>
          <w:szCs w:val="22"/>
          <w:vertAlign w:val="superscript"/>
        </w:rPr>
        <w:t>3</w:t>
      </w:r>
      <w:r w:rsidRPr="00D45C75">
        <w:rPr>
          <w:bCs/>
          <w:sz w:val="22"/>
          <w:szCs w:val="22"/>
        </w:rPr>
        <w:t xml:space="preserve"> za tenofovir </w:t>
      </w:r>
      <w:r w:rsidRPr="00192010">
        <w:rPr>
          <w:bCs/>
          <w:sz w:val="22"/>
          <w:szCs w:val="22"/>
        </w:rPr>
        <w:t>dizoproksil u dozi od 245 mg odnosu na -11 ćelija/mm</w:t>
      </w:r>
      <w:r w:rsidRPr="00192010">
        <w:rPr>
          <w:bCs/>
          <w:sz w:val="22"/>
          <w:szCs w:val="22"/>
          <w:vertAlign w:val="superscript"/>
        </w:rPr>
        <w:t>3</w:t>
      </w:r>
      <w:r w:rsidRPr="00192010">
        <w:rPr>
          <w:bCs/>
          <w:sz w:val="22"/>
          <w:szCs w:val="22"/>
        </w:rPr>
        <w:t xml:space="preserve"> za placebo, p-vrijednost = 0,0008).</w:t>
      </w:r>
    </w:p>
    <w:p w:rsidR="00A545E4" w:rsidRPr="00192010" w:rsidRDefault="00A545E4">
      <w:pPr>
        <w:tabs>
          <w:tab w:val="left" w:pos="540"/>
          <w:tab w:val="left" w:pos="569"/>
        </w:tabs>
        <w:jc w:val="both"/>
        <w:rPr>
          <w:bCs/>
          <w:sz w:val="22"/>
          <w:szCs w:val="22"/>
        </w:rPr>
      </w:pPr>
      <w:r w:rsidRPr="00192010">
        <w:rPr>
          <w:bCs/>
          <w:sz w:val="22"/>
          <w:szCs w:val="22"/>
        </w:rPr>
        <w:t>Antivirusni odgovor na tenofovir dizoproksil je trajao tokom 48 nedjelja (DAVG</w:t>
      </w:r>
      <w:r w:rsidRPr="00192010">
        <w:rPr>
          <w:bCs/>
          <w:sz w:val="22"/>
          <w:szCs w:val="22"/>
          <w:vertAlign w:val="subscript"/>
        </w:rPr>
        <w:t>48</w:t>
      </w:r>
      <w:r w:rsidRPr="00192010">
        <w:rPr>
          <w:bCs/>
          <w:sz w:val="22"/>
          <w:szCs w:val="22"/>
        </w:rPr>
        <w:t xml:space="preserve"> je bio -0,57 log</w:t>
      </w:r>
      <w:r w:rsidRPr="00192010">
        <w:rPr>
          <w:bCs/>
          <w:sz w:val="22"/>
          <w:szCs w:val="22"/>
          <w:vertAlign w:val="subscript"/>
        </w:rPr>
        <w:t>10</w:t>
      </w:r>
      <w:r w:rsidRPr="00192010">
        <w:rPr>
          <w:bCs/>
          <w:sz w:val="22"/>
          <w:szCs w:val="22"/>
        </w:rPr>
        <w:t xml:space="preserve"> kopija/</w:t>
      </w:r>
      <w:r w:rsidR="00B83CAB" w:rsidRPr="00192010">
        <w:rPr>
          <w:bCs/>
          <w:sz w:val="22"/>
          <w:szCs w:val="22"/>
        </w:rPr>
        <w:t>ml</w:t>
      </w:r>
      <w:r w:rsidRPr="00192010">
        <w:rPr>
          <w:bCs/>
          <w:sz w:val="22"/>
          <w:szCs w:val="22"/>
        </w:rPr>
        <w:t>, udio pacijenata sa HIV-1 RNK ispod 400 ili 50 kopija/</w:t>
      </w:r>
      <w:r w:rsidR="00B83CAB" w:rsidRPr="00192010">
        <w:rPr>
          <w:bCs/>
          <w:sz w:val="22"/>
          <w:szCs w:val="22"/>
        </w:rPr>
        <w:t>ml</w:t>
      </w:r>
      <w:r w:rsidRPr="00192010">
        <w:rPr>
          <w:bCs/>
          <w:sz w:val="22"/>
          <w:szCs w:val="22"/>
        </w:rPr>
        <w:t xml:space="preserve"> bio je 41% i 18% respektivno). Osam (2%) pacijenata liječenih tenofovir dizoproksilom u dozi od 245 mg je razvilo K65R mutaciju u okviru prvih 48 nedjelja.</w:t>
      </w:r>
    </w:p>
    <w:p w:rsidR="00A545E4" w:rsidRPr="00192010" w:rsidRDefault="00A545E4">
      <w:pPr>
        <w:tabs>
          <w:tab w:val="left" w:pos="540"/>
          <w:tab w:val="left" w:pos="569"/>
        </w:tabs>
        <w:jc w:val="both"/>
        <w:rPr>
          <w:bCs/>
          <w:sz w:val="22"/>
          <w:szCs w:val="22"/>
        </w:rPr>
      </w:pPr>
    </w:p>
    <w:p w:rsidR="00A545E4" w:rsidRPr="00D45C75" w:rsidRDefault="00A545E4">
      <w:pPr>
        <w:tabs>
          <w:tab w:val="left" w:pos="540"/>
          <w:tab w:val="left" w:pos="569"/>
        </w:tabs>
        <w:jc w:val="both"/>
        <w:rPr>
          <w:bCs/>
          <w:sz w:val="22"/>
          <w:szCs w:val="22"/>
        </w:rPr>
      </w:pPr>
      <w:r w:rsidRPr="00192010">
        <w:rPr>
          <w:bCs/>
          <w:sz w:val="22"/>
          <w:szCs w:val="22"/>
        </w:rPr>
        <w:t>Tokom dvostruko slijepe aktivne kontrolisane faze ispitivanja GS-99-903 trajanja 144 nedjelje, procjenjivana je efikasnost i bezbjednost tenofovir dizoproksila u dozi od 245 mg u odnosu na stavudin kada je korišćen u kombinaciji sa lamivudinom i efavirenzom kod pacijenata inficiranih HIV-1 koji ranije ni</w:t>
      </w:r>
      <w:r w:rsidR="00D45C75">
        <w:rPr>
          <w:bCs/>
          <w:sz w:val="22"/>
          <w:szCs w:val="22"/>
        </w:rPr>
        <w:t>je</w:t>
      </w:r>
      <w:r w:rsidRPr="00D45C75">
        <w:rPr>
          <w:bCs/>
          <w:sz w:val="22"/>
          <w:szCs w:val="22"/>
        </w:rPr>
        <w:t>su primali antiretrovirusnu terapiju. Srednj</w:t>
      </w:r>
      <w:r w:rsidR="00D45C75">
        <w:rPr>
          <w:bCs/>
          <w:sz w:val="22"/>
          <w:szCs w:val="22"/>
        </w:rPr>
        <w:t>a</w:t>
      </w:r>
      <w:r w:rsidRPr="00D45C75">
        <w:rPr>
          <w:bCs/>
          <w:sz w:val="22"/>
          <w:szCs w:val="22"/>
        </w:rPr>
        <w:t xml:space="preserve"> početn</w:t>
      </w:r>
      <w:r w:rsidR="00D45C75">
        <w:rPr>
          <w:bCs/>
          <w:sz w:val="22"/>
          <w:szCs w:val="22"/>
        </w:rPr>
        <w:t>a</w:t>
      </w:r>
      <w:r w:rsidRPr="00D45C75">
        <w:rPr>
          <w:bCs/>
          <w:sz w:val="22"/>
          <w:szCs w:val="22"/>
        </w:rPr>
        <w:t xml:space="preserve"> </w:t>
      </w:r>
      <w:r w:rsidR="00D45C75">
        <w:rPr>
          <w:bCs/>
          <w:sz w:val="22"/>
          <w:szCs w:val="22"/>
        </w:rPr>
        <w:t>vrijednost broja</w:t>
      </w:r>
      <w:r w:rsidR="00D45C75" w:rsidRPr="00D45C75">
        <w:rPr>
          <w:bCs/>
          <w:sz w:val="22"/>
          <w:szCs w:val="22"/>
        </w:rPr>
        <w:t xml:space="preserve"> </w:t>
      </w:r>
      <w:r w:rsidRPr="00D45C75">
        <w:rPr>
          <w:bCs/>
          <w:sz w:val="22"/>
          <w:szCs w:val="22"/>
        </w:rPr>
        <w:t>CD4 ćelija je bi</w:t>
      </w:r>
      <w:r w:rsidR="00D45C75">
        <w:rPr>
          <w:bCs/>
          <w:sz w:val="22"/>
          <w:szCs w:val="22"/>
        </w:rPr>
        <w:t>la</w:t>
      </w:r>
      <w:r w:rsidRPr="00D45C75">
        <w:rPr>
          <w:bCs/>
          <w:sz w:val="22"/>
          <w:szCs w:val="22"/>
        </w:rPr>
        <w:t xml:space="preserve"> 279 ćelija/mm</w:t>
      </w:r>
      <w:r w:rsidRPr="00D45C75">
        <w:rPr>
          <w:bCs/>
          <w:sz w:val="22"/>
          <w:szCs w:val="22"/>
          <w:vertAlign w:val="superscript"/>
        </w:rPr>
        <w:t>3</w:t>
      </w:r>
      <w:r w:rsidRPr="00D45C75">
        <w:rPr>
          <w:bCs/>
          <w:sz w:val="22"/>
          <w:szCs w:val="22"/>
        </w:rPr>
        <w:t xml:space="preserve">, srednja početna </w:t>
      </w:r>
      <w:r w:rsidR="00D45C75">
        <w:rPr>
          <w:bCs/>
          <w:sz w:val="22"/>
          <w:szCs w:val="22"/>
        </w:rPr>
        <w:t>vrijednost koncentracije</w:t>
      </w:r>
      <w:r w:rsidR="00D45C75" w:rsidRPr="00D45C75">
        <w:rPr>
          <w:bCs/>
          <w:sz w:val="22"/>
          <w:szCs w:val="22"/>
        </w:rPr>
        <w:t xml:space="preserve"> </w:t>
      </w:r>
      <w:r w:rsidRPr="00D45C75">
        <w:rPr>
          <w:bCs/>
          <w:sz w:val="22"/>
          <w:szCs w:val="22"/>
        </w:rPr>
        <w:t>HIV-1 RNK u plazmi je bila 4,91 log</w:t>
      </w:r>
      <w:r w:rsidRPr="00D45C75">
        <w:rPr>
          <w:bCs/>
          <w:sz w:val="22"/>
          <w:szCs w:val="22"/>
          <w:vertAlign w:val="subscript"/>
        </w:rPr>
        <w:t>10</w:t>
      </w:r>
      <w:r w:rsidRPr="00D45C75">
        <w:rPr>
          <w:bCs/>
          <w:sz w:val="22"/>
          <w:szCs w:val="22"/>
        </w:rPr>
        <w:t xml:space="preserve"> kopija/</w:t>
      </w:r>
      <w:r w:rsidR="00B83CAB" w:rsidRPr="00D45C75">
        <w:rPr>
          <w:bCs/>
          <w:sz w:val="22"/>
          <w:szCs w:val="22"/>
        </w:rPr>
        <w:t>ml</w:t>
      </w:r>
      <w:r w:rsidRPr="00D45C75">
        <w:rPr>
          <w:bCs/>
          <w:sz w:val="22"/>
          <w:szCs w:val="22"/>
        </w:rPr>
        <w:t xml:space="preserve">, 19% pacijenata je imalo simptomatsku HIV-1 infekciju a 18% je imalo AIDS. Pacijenti su bili stratifikovani na osnovu početne </w:t>
      </w:r>
      <w:r w:rsidR="00D45C75">
        <w:rPr>
          <w:bCs/>
          <w:sz w:val="22"/>
          <w:szCs w:val="22"/>
        </w:rPr>
        <w:t>vrijednosti</w:t>
      </w:r>
      <w:r w:rsidR="00D45C75" w:rsidRPr="00D45C75">
        <w:rPr>
          <w:bCs/>
          <w:sz w:val="22"/>
          <w:szCs w:val="22"/>
        </w:rPr>
        <w:t xml:space="preserve"> </w:t>
      </w:r>
      <w:r w:rsidRPr="00D45C75">
        <w:rPr>
          <w:bCs/>
          <w:sz w:val="22"/>
          <w:szCs w:val="22"/>
        </w:rPr>
        <w:t>HIV-1 RNK i broja CD4 ćelija. 43% pacijenata je imalo početni broj virusa &gt;100000 kopija/</w:t>
      </w:r>
      <w:r w:rsidR="00B83CAB" w:rsidRPr="00D45C75">
        <w:rPr>
          <w:bCs/>
          <w:sz w:val="22"/>
          <w:szCs w:val="22"/>
        </w:rPr>
        <w:t>ml</w:t>
      </w:r>
      <w:r w:rsidRPr="00D45C75">
        <w:rPr>
          <w:bCs/>
          <w:sz w:val="22"/>
          <w:szCs w:val="22"/>
        </w:rPr>
        <w:t xml:space="preserve"> i 39% je imalo broj CD4 ćelija &lt;200 ćelija/</w:t>
      </w:r>
      <w:r w:rsidR="00B83CAB" w:rsidRPr="00D45C75">
        <w:rPr>
          <w:bCs/>
          <w:sz w:val="22"/>
          <w:szCs w:val="22"/>
        </w:rPr>
        <w:t>ml</w:t>
      </w:r>
      <w:r w:rsidRPr="00D45C75">
        <w:rPr>
          <w:bCs/>
          <w:sz w:val="22"/>
          <w:szCs w:val="22"/>
        </w:rPr>
        <w:t>.</w:t>
      </w:r>
    </w:p>
    <w:p w:rsidR="00A545E4" w:rsidRPr="00192010" w:rsidRDefault="00A545E4">
      <w:pPr>
        <w:tabs>
          <w:tab w:val="left" w:pos="540"/>
          <w:tab w:val="left" w:pos="569"/>
        </w:tabs>
        <w:jc w:val="both"/>
        <w:rPr>
          <w:bCs/>
          <w:sz w:val="22"/>
          <w:szCs w:val="22"/>
        </w:rPr>
      </w:pPr>
    </w:p>
    <w:p w:rsidR="00A545E4" w:rsidRPr="00192010" w:rsidRDefault="00A545E4">
      <w:pPr>
        <w:tabs>
          <w:tab w:val="left" w:pos="540"/>
          <w:tab w:val="left" w:pos="569"/>
        </w:tabs>
        <w:jc w:val="both"/>
        <w:rPr>
          <w:bCs/>
          <w:sz w:val="22"/>
          <w:szCs w:val="22"/>
        </w:rPr>
      </w:pPr>
      <w:r w:rsidRPr="00192010">
        <w:rPr>
          <w:bCs/>
          <w:sz w:val="22"/>
          <w:szCs w:val="22"/>
        </w:rPr>
        <w:t>Na osnovu analize</w:t>
      </w:r>
      <w:r w:rsidR="00111552">
        <w:rPr>
          <w:bCs/>
          <w:sz w:val="22"/>
          <w:szCs w:val="22"/>
        </w:rPr>
        <w:t xml:space="preserve"> pacijenata</w:t>
      </w:r>
      <w:r w:rsidRPr="00111552">
        <w:rPr>
          <w:bCs/>
          <w:sz w:val="22"/>
          <w:szCs w:val="22"/>
        </w:rPr>
        <w:t xml:space="preserve"> sa namjerom liječenja (engl. </w:t>
      </w:r>
      <w:r w:rsidRPr="00111552">
        <w:rPr>
          <w:bCs/>
          <w:i/>
          <w:sz w:val="22"/>
          <w:szCs w:val="22"/>
        </w:rPr>
        <w:t>intent to treat</w:t>
      </w:r>
      <w:r w:rsidRPr="00111552">
        <w:rPr>
          <w:bCs/>
          <w:sz w:val="22"/>
          <w:szCs w:val="22"/>
        </w:rPr>
        <w:t>) (izostanak podataka i prelazak na antiretrovirusnu terapiju (ART) se smatrao neuspjehom), udio pacijenata sa HIV-1 RNK ispod 400 kopija/</w:t>
      </w:r>
      <w:r w:rsidR="00B83CAB" w:rsidRPr="00192010">
        <w:rPr>
          <w:bCs/>
          <w:sz w:val="22"/>
          <w:szCs w:val="22"/>
        </w:rPr>
        <w:t>ml</w:t>
      </w:r>
      <w:r w:rsidRPr="00192010">
        <w:rPr>
          <w:bCs/>
          <w:sz w:val="22"/>
          <w:szCs w:val="22"/>
        </w:rPr>
        <w:t xml:space="preserve"> i 50 kopija/</w:t>
      </w:r>
      <w:r w:rsidR="00B83CAB" w:rsidRPr="00192010">
        <w:rPr>
          <w:bCs/>
          <w:sz w:val="22"/>
          <w:szCs w:val="22"/>
        </w:rPr>
        <w:t>ml</w:t>
      </w:r>
      <w:r w:rsidRPr="00192010">
        <w:rPr>
          <w:bCs/>
          <w:sz w:val="22"/>
          <w:szCs w:val="22"/>
        </w:rPr>
        <w:t xml:space="preserve"> 48 nedjelje terapije bio je 80% odnosno 76% u grupi liječenoj tenofovir dizoproksilom u dozi od 245 mg u poređenju sa 84% i 80% u grupi liječenoj stavudinom. </w:t>
      </w:r>
      <w:r w:rsidRPr="00192010">
        <w:rPr>
          <w:bCs/>
          <w:sz w:val="22"/>
          <w:szCs w:val="22"/>
          <w:lang w:val="sr-Latn-CS"/>
        </w:rPr>
        <w:t>U 144. nedjelji</w:t>
      </w:r>
      <w:r w:rsidRPr="00192010">
        <w:rPr>
          <w:bCs/>
          <w:sz w:val="22"/>
          <w:szCs w:val="22"/>
        </w:rPr>
        <w:t>, udio pacijenata sa HIV-1 RNK ispod 400 kopija/</w:t>
      </w:r>
      <w:r w:rsidR="00B83CAB" w:rsidRPr="00192010">
        <w:rPr>
          <w:bCs/>
          <w:sz w:val="22"/>
          <w:szCs w:val="22"/>
        </w:rPr>
        <w:t>ml</w:t>
      </w:r>
      <w:r w:rsidRPr="00192010">
        <w:rPr>
          <w:bCs/>
          <w:sz w:val="22"/>
          <w:szCs w:val="22"/>
        </w:rPr>
        <w:t xml:space="preserve"> i 50 kopija/</w:t>
      </w:r>
      <w:r w:rsidR="00B83CAB" w:rsidRPr="00192010">
        <w:rPr>
          <w:bCs/>
          <w:sz w:val="22"/>
          <w:szCs w:val="22"/>
        </w:rPr>
        <w:t>ml</w:t>
      </w:r>
      <w:r w:rsidRPr="00192010">
        <w:rPr>
          <w:bCs/>
          <w:sz w:val="22"/>
          <w:szCs w:val="22"/>
        </w:rPr>
        <w:t xml:space="preserve"> bio je 71% odnosno 68% u grupi liječenoj tenofovir dizoproksilom u dozi od 245 mg, u poređenju sa 64% i 63% u grupi liječenoj stavudinom.</w:t>
      </w:r>
    </w:p>
    <w:p w:rsidR="00A545E4" w:rsidRPr="00192010" w:rsidRDefault="00A545E4">
      <w:pPr>
        <w:tabs>
          <w:tab w:val="left" w:pos="540"/>
          <w:tab w:val="left" w:pos="569"/>
        </w:tabs>
        <w:jc w:val="both"/>
        <w:rPr>
          <w:bCs/>
          <w:sz w:val="22"/>
          <w:szCs w:val="22"/>
        </w:rPr>
      </w:pPr>
    </w:p>
    <w:p w:rsidR="00A545E4" w:rsidRPr="00111552" w:rsidRDefault="00A545E4">
      <w:pPr>
        <w:tabs>
          <w:tab w:val="left" w:pos="540"/>
          <w:tab w:val="left" w:pos="569"/>
        </w:tabs>
        <w:jc w:val="both"/>
        <w:rPr>
          <w:bCs/>
          <w:sz w:val="22"/>
          <w:szCs w:val="22"/>
        </w:rPr>
      </w:pPr>
      <w:r w:rsidRPr="00192010">
        <w:rPr>
          <w:bCs/>
          <w:sz w:val="22"/>
          <w:szCs w:val="22"/>
        </w:rPr>
        <w:t>Srednja promjena od početne vrijednosti HIV-1 RNK i broja CD4 ćelija nedjelje 48 bila je slična u obje terapijske grupe (- 3,09 i -3,09 log</w:t>
      </w:r>
      <w:r w:rsidRPr="00192010">
        <w:rPr>
          <w:bCs/>
          <w:sz w:val="22"/>
          <w:szCs w:val="22"/>
          <w:vertAlign w:val="subscript"/>
        </w:rPr>
        <w:t>10</w:t>
      </w:r>
      <w:r w:rsidRPr="00192010">
        <w:rPr>
          <w:bCs/>
          <w:sz w:val="22"/>
          <w:szCs w:val="22"/>
        </w:rPr>
        <w:t xml:space="preserve"> kopija/</w:t>
      </w:r>
      <w:r w:rsidR="00B83CAB" w:rsidRPr="00192010">
        <w:rPr>
          <w:bCs/>
          <w:sz w:val="22"/>
          <w:szCs w:val="22"/>
        </w:rPr>
        <w:t>ml</w:t>
      </w:r>
      <w:r w:rsidRPr="00192010">
        <w:rPr>
          <w:bCs/>
          <w:sz w:val="22"/>
          <w:szCs w:val="22"/>
        </w:rPr>
        <w:t>; +169 i 167 ćelija/mm</w:t>
      </w:r>
      <w:r w:rsidRPr="00192010">
        <w:rPr>
          <w:bCs/>
          <w:sz w:val="22"/>
          <w:szCs w:val="22"/>
          <w:vertAlign w:val="superscript"/>
        </w:rPr>
        <w:t>3</w:t>
      </w:r>
      <w:r w:rsidRPr="00192010">
        <w:rPr>
          <w:bCs/>
          <w:sz w:val="22"/>
          <w:szCs w:val="22"/>
        </w:rPr>
        <w:t xml:space="preserve"> u grupi koja je primala tenofovir dizoproksil u dozi od 245 mg i grupi koja je primala stavudin, respektivno). </w:t>
      </w:r>
      <w:r w:rsidRPr="00192010">
        <w:rPr>
          <w:bCs/>
          <w:sz w:val="22"/>
          <w:szCs w:val="22"/>
          <w:lang w:val="sr-Latn-CS"/>
        </w:rPr>
        <w:t>U 144. nedjelji terapije</w:t>
      </w:r>
      <w:r w:rsidRPr="00192010">
        <w:rPr>
          <w:bCs/>
          <w:sz w:val="22"/>
          <w:szCs w:val="22"/>
        </w:rPr>
        <w:t>, srednja promjena u odnosu na početne vrijednosti i dalje je ostala slična u obje terapijske grupe (-3,07 i -3,03 log</w:t>
      </w:r>
      <w:r w:rsidRPr="00192010">
        <w:rPr>
          <w:bCs/>
          <w:sz w:val="22"/>
          <w:szCs w:val="22"/>
          <w:vertAlign w:val="subscript"/>
        </w:rPr>
        <w:t>10</w:t>
      </w:r>
      <w:r w:rsidRPr="00192010">
        <w:rPr>
          <w:bCs/>
          <w:sz w:val="22"/>
          <w:szCs w:val="22"/>
        </w:rPr>
        <w:t xml:space="preserve"> kopija/</w:t>
      </w:r>
      <w:r w:rsidR="00B83CAB" w:rsidRPr="00192010">
        <w:rPr>
          <w:bCs/>
          <w:sz w:val="22"/>
          <w:szCs w:val="22"/>
        </w:rPr>
        <w:t>ml</w:t>
      </w:r>
      <w:r w:rsidRPr="00192010">
        <w:rPr>
          <w:bCs/>
          <w:sz w:val="22"/>
          <w:szCs w:val="22"/>
        </w:rPr>
        <w:t>; +263 i +283 ćelija/mm</w:t>
      </w:r>
      <w:r w:rsidRPr="00192010">
        <w:rPr>
          <w:bCs/>
          <w:sz w:val="22"/>
          <w:szCs w:val="22"/>
          <w:vertAlign w:val="superscript"/>
        </w:rPr>
        <w:t>3</w:t>
      </w:r>
      <w:r w:rsidRPr="00192010">
        <w:rPr>
          <w:bCs/>
          <w:sz w:val="22"/>
          <w:szCs w:val="22"/>
        </w:rPr>
        <w:t xml:space="preserve"> u grupi koja je primala tenofovir dizoproksil u dozi od 245 mg odnosno u grupi koja je primala stavudin). </w:t>
      </w:r>
      <w:r w:rsidR="00111552">
        <w:rPr>
          <w:bCs/>
          <w:sz w:val="22"/>
          <w:szCs w:val="22"/>
        </w:rPr>
        <w:t>Konzistentan</w:t>
      </w:r>
      <w:r w:rsidR="00111552" w:rsidRPr="00111552">
        <w:rPr>
          <w:bCs/>
          <w:sz w:val="22"/>
          <w:szCs w:val="22"/>
        </w:rPr>
        <w:t xml:space="preserve"> </w:t>
      </w:r>
      <w:r w:rsidRPr="00111552">
        <w:rPr>
          <w:bCs/>
          <w:sz w:val="22"/>
          <w:szCs w:val="22"/>
        </w:rPr>
        <w:t>odgovor na terapiju tenofovir dizoproksilom u dozi od 245 mg primijećen je bez obzira na početne vrijednosti HIV-1 RNK i broja CD4 ćelija.</w:t>
      </w:r>
    </w:p>
    <w:p w:rsidR="00A545E4" w:rsidRPr="00192010" w:rsidRDefault="00A545E4">
      <w:pPr>
        <w:tabs>
          <w:tab w:val="left" w:pos="540"/>
          <w:tab w:val="left" w:pos="569"/>
        </w:tabs>
        <w:jc w:val="both"/>
        <w:rPr>
          <w:bCs/>
          <w:sz w:val="22"/>
          <w:szCs w:val="22"/>
        </w:rPr>
      </w:pPr>
    </w:p>
    <w:p w:rsidR="00A545E4" w:rsidRPr="00192010" w:rsidRDefault="00A545E4">
      <w:pPr>
        <w:tabs>
          <w:tab w:val="left" w:pos="540"/>
          <w:tab w:val="left" w:pos="569"/>
        </w:tabs>
        <w:jc w:val="both"/>
        <w:rPr>
          <w:bCs/>
          <w:sz w:val="22"/>
          <w:szCs w:val="22"/>
        </w:rPr>
      </w:pPr>
      <w:r w:rsidRPr="00192010">
        <w:rPr>
          <w:bCs/>
          <w:sz w:val="22"/>
          <w:szCs w:val="22"/>
        </w:rPr>
        <w:t>Mutacija K65R se javila u nešto višem procentu pacijenata iz grupe liječene tenofovir dizoproksilom nego u grupi koja je služila kao aktivna kontrola (2,7% naspram 0,7%). Rezistencija na efavirenz ili lamivudin je ili prethodila ili koincidirala sa razvojem K65R u svim slučajevima. Osam pacijenata je imalo HIV koji je eksprimirao K65R u grupi koja je primala tenofovir dizoproksil u dozi od 245 mg, 7 od ovih se javilo tokom prvih 48 nedjelja terapije, a posljednji u 96 nedjelji. Do 144. nedjelje, nije primijećeno dalje razvijanje K65R. Jedan pacijent iz grupe sa tenofovir dizoproksilom je razvio K70E substituciju u virusu. Na osnovu genotipske i fenotipske analize, nije bilo dokaza za druge puteve rezistencije na tenofovir.</w:t>
      </w:r>
    </w:p>
    <w:p w:rsidR="00A545E4" w:rsidRPr="00192010" w:rsidRDefault="00A545E4">
      <w:pPr>
        <w:tabs>
          <w:tab w:val="left" w:pos="540"/>
          <w:tab w:val="left" w:pos="569"/>
        </w:tabs>
        <w:jc w:val="both"/>
        <w:rPr>
          <w:bCs/>
          <w:sz w:val="22"/>
          <w:szCs w:val="22"/>
        </w:rPr>
      </w:pPr>
    </w:p>
    <w:p w:rsidR="00A545E4" w:rsidRPr="00192010" w:rsidRDefault="00A545E4">
      <w:pPr>
        <w:tabs>
          <w:tab w:val="left" w:pos="540"/>
          <w:tab w:val="left" w:pos="569"/>
        </w:tabs>
        <w:jc w:val="both"/>
        <w:rPr>
          <w:bCs/>
          <w:i/>
          <w:sz w:val="22"/>
          <w:szCs w:val="22"/>
        </w:rPr>
      </w:pPr>
      <w:r w:rsidRPr="00192010">
        <w:rPr>
          <w:bCs/>
          <w:i/>
          <w:sz w:val="22"/>
          <w:szCs w:val="22"/>
        </w:rPr>
        <w:t>Podaci koji se odnose na HBV</w:t>
      </w:r>
    </w:p>
    <w:p w:rsidR="00A545E4" w:rsidRPr="00111552" w:rsidRDefault="00A545E4">
      <w:pPr>
        <w:tabs>
          <w:tab w:val="left" w:pos="540"/>
          <w:tab w:val="left" w:pos="569"/>
        </w:tabs>
        <w:jc w:val="both"/>
        <w:rPr>
          <w:bCs/>
          <w:sz w:val="22"/>
          <w:szCs w:val="22"/>
        </w:rPr>
      </w:pPr>
      <w:r w:rsidRPr="00192010">
        <w:rPr>
          <w:bCs/>
          <w:i/>
          <w:sz w:val="22"/>
          <w:szCs w:val="22"/>
        </w:rPr>
        <w:t>HBV antivirusna aktivnost in vitro:</w:t>
      </w:r>
      <w:r w:rsidRPr="00192010">
        <w:rPr>
          <w:bCs/>
          <w:sz w:val="22"/>
          <w:szCs w:val="22"/>
        </w:rPr>
        <w:t xml:space="preserve"> </w:t>
      </w:r>
      <w:r w:rsidRPr="00192010">
        <w:rPr>
          <w:bCs/>
          <w:i/>
          <w:sz w:val="22"/>
          <w:szCs w:val="22"/>
        </w:rPr>
        <w:t>In vitro</w:t>
      </w:r>
      <w:r w:rsidRPr="00192010">
        <w:rPr>
          <w:bCs/>
          <w:sz w:val="22"/>
          <w:szCs w:val="22"/>
        </w:rPr>
        <w:t xml:space="preserve"> antivirusna aktivnost tenofovira protiv HBV-a ocjenjivana je na liniji ćelija HepG2.2.15. Vrijednosti EC</w:t>
      </w:r>
      <w:r w:rsidRPr="00192010">
        <w:rPr>
          <w:bCs/>
          <w:sz w:val="22"/>
          <w:szCs w:val="22"/>
          <w:vertAlign w:val="subscript"/>
        </w:rPr>
        <w:t>50</w:t>
      </w:r>
      <w:r w:rsidRPr="00192010">
        <w:rPr>
          <w:bCs/>
          <w:sz w:val="22"/>
          <w:szCs w:val="22"/>
        </w:rPr>
        <w:t xml:space="preserve"> za tenofovir bile su u opsegu od 0,14 do 1,5 mikromola/</w:t>
      </w:r>
      <w:r w:rsidR="00111552">
        <w:rPr>
          <w:bCs/>
          <w:sz w:val="22"/>
          <w:szCs w:val="22"/>
        </w:rPr>
        <w:t>l</w:t>
      </w:r>
      <w:r w:rsidRPr="00111552">
        <w:rPr>
          <w:bCs/>
          <w:sz w:val="22"/>
          <w:szCs w:val="22"/>
        </w:rPr>
        <w:t>, sa vrijednostima CC</w:t>
      </w:r>
      <w:r w:rsidRPr="00111552">
        <w:rPr>
          <w:bCs/>
          <w:sz w:val="22"/>
          <w:szCs w:val="22"/>
          <w:vertAlign w:val="subscript"/>
        </w:rPr>
        <w:t>50</w:t>
      </w:r>
      <w:r w:rsidRPr="00111552">
        <w:rPr>
          <w:bCs/>
          <w:sz w:val="22"/>
          <w:szCs w:val="22"/>
        </w:rPr>
        <w:t xml:space="preserve"> (50% citotoksične koncentracije) &gt; 100 mikromola/</w:t>
      </w:r>
      <w:r w:rsidR="00111552">
        <w:rPr>
          <w:bCs/>
          <w:sz w:val="22"/>
          <w:szCs w:val="22"/>
        </w:rPr>
        <w:t>l</w:t>
      </w:r>
      <w:r w:rsidRPr="00111552">
        <w:rPr>
          <w:bCs/>
          <w:sz w:val="22"/>
          <w:szCs w:val="22"/>
        </w:rPr>
        <w:t>.</w:t>
      </w:r>
    </w:p>
    <w:p w:rsidR="00A545E4" w:rsidRPr="00192010" w:rsidRDefault="00A545E4">
      <w:pPr>
        <w:tabs>
          <w:tab w:val="left" w:pos="540"/>
          <w:tab w:val="left" w:pos="569"/>
        </w:tabs>
        <w:jc w:val="both"/>
        <w:rPr>
          <w:bCs/>
          <w:sz w:val="22"/>
          <w:szCs w:val="22"/>
        </w:rPr>
      </w:pPr>
    </w:p>
    <w:p w:rsidR="00A545E4" w:rsidRPr="00192010" w:rsidRDefault="00A545E4">
      <w:pPr>
        <w:tabs>
          <w:tab w:val="left" w:pos="540"/>
          <w:tab w:val="left" w:pos="569"/>
        </w:tabs>
        <w:jc w:val="both"/>
        <w:rPr>
          <w:bCs/>
          <w:sz w:val="22"/>
          <w:szCs w:val="22"/>
        </w:rPr>
      </w:pPr>
      <w:r w:rsidRPr="00192010">
        <w:rPr>
          <w:bCs/>
          <w:i/>
          <w:sz w:val="22"/>
          <w:szCs w:val="22"/>
        </w:rPr>
        <w:t>Rezistencija</w:t>
      </w:r>
      <w:r w:rsidRPr="00192010">
        <w:rPr>
          <w:bCs/>
          <w:sz w:val="22"/>
          <w:szCs w:val="22"/>
        </w:rPr>
        <w:t>: Ni</w:t>
      </w:r>
      <w:r w:rsidR="00111552">
        <w:rPr>
          <w:bCs/>
          <w:sz w:val="22"/>
          <w:szCs w:val="22"/>
        </w:rPr>
        <w:t>je</w:t>
      </w:r>
      <w:r w:rsidRPr="00111552">
        <w:rPr>
          <w:bCs/>
          <w:sz w:val="22"/>
          <w:szCs w:val="22"/>
        </w:rPr>
        <w:t xml:space="preserve">su otkrivene mutacije HBV-a povezane sa tenofovir dizoproksil rezistencijom (vidjeti </w:t>
      </w:r>
      <w:r w:rsidRPr="00192010">
        <w:rPr>
          <w:bCs/>
          <w:i/>
          <w:sz w:val="22"/>
          <w:szCs w:val="22"/>
        </w:rPr>
        <w:t>Klinička efikasnost i bezbjednost</w:t>
      </w:r>
      <w:r w:rsidRPr="00192010">
        <w:rPr>
          <w:bCs/>
          <w:sz w:val="22"/>
          <w:szCs w:val="22"/>
        </w:rPr>
        <w:t xml:space="preserve">). U ispitivanjima ćelija, sojevi HBV-a koji pokazuju mutacije rtV173L, rtL180M, i rtM204I/V koje su povezane sa rezistencijom na lamivudin i telbivudin pokazali su se od 0,7 do 3,4 puta osjetljviji na tenofovir od </w:t>
      </w:r>
      <w:r w:rsidRPr="00192010">
        <w:rPr>
          <w:bCs/>
          <w:i/>
          <w:sz w:val="22"/>
          <w:szCs w:val="22"/>
        </w:rPr>
        <w:t>wild-type</w:t>
      </w:r>
      <w:r w:rsidRPr="00192010">
        <w:rPr>
          <w:bCs/>
          <w:sz w:val="22"/>
          <w:szCs w:val="22"/>
        </w:rPr>
        <w:t xml:space="preserve"> virusa. Sojevi HBV-a koji pokazuju mutacije rtL180M, rtT184G, rtS202G/I, rtM204V i rtM250V koje su povezane sa rezistencijom na entekavir pokazali su se od 0,6 do 6,9 puta osjetljviji na tenofovir od </w:t>
      </w:r>
      <w:r w:rsidRPr="00192010">
        <w:rPr>
          <w:bCs/>
          <w:i/>
          <w:sz w:val="22"/>
          <w:szCs w:val="22"/>
        </w:rPr>
        <w:t>wild-type</w:t>
      </w:r>
      <w:r w:rsidRPr="00192010">
        <w:rPr>
          <w:bCs/>
          <w:sz w:val="22"/>
          <w:szCs w:val="22"/>
          <w:lang w:val="sr-Latn-CS"/>
        </w:rPr>
        <w:t xml:space="preserve"> </w:t>
      </w:r>
      <w:r w:rsidRPr="00192010">
        <w:rPr>
          <w:bCs/>
          <w:sz w:val="22"/>
          <w:szCs w:val="22"/>
        </w:rPr>
        <w:t xml:space="preserve">virusa. Sojevi HBV virusa koji eksprimiraju mutacije rtA181V i rtN236T povezane sa rezistencijom na adefovir pokazali su se osjetljiviji na tenofovir u opsegu od 2,9 do 10 puta više od </w:t>
      </w:r>
      <w:r w:rsidRPr="00192010">
        <w:rPr>
          <w:bCs/>
          <w:i/>
          <w:sz w:val="22"/>
          <w:szCs w:val="22"/>
        </w:rPr>
        <w:t>wild-type</w:t>
      </w:r>
      <w:r w:rsidRPr="00192010">
        <w:rPr>
          <w:bCs/>
          <w:sz w:val="22"/>
          <w:szCs w:val="22"/>
          <w:lang w:val="sr-Latn-CS"/>
        </w:rPr>
        <w:t xml:space="preserve"> </w:t>
      </w:r>
      <w:r w:rsidRPr="00192010">
        <w:rPr>
          <w:bCs/>
          <w:sz w:val="22"/>
          <w:szCs w:val="22"/>
        </w:rPr>
        <w:t>virusa. Virusi koji sadrže mutaciju rtA181T ostali su osjetljivi na tenofovir sa vrijednostima EC</w:t>
      </w:r>
      <w:r w:rsidRPr="00192010">
        <w:rPr>
          <w:bCs/>
          <w:sz w:val="22"/>
          <w:szCs w:val="22"/>
          <w:vertAlign w:val="subscript"/>
        </w:rPr>
        <w:t>50</w:t>
      </w:r>
      <w:r w:rsidRPr="00192010">
        <w:rPr>
          <w:bCs/>
          <w:sz w:val="22"/>
          <w:szCs w:val="22"/>
        </w:rPr>
        <w:t xml:space="preserve"> 1,5 puta većim od onih </w:t>
      </w:r>
      <w:r w:rsidRPr="00192010">
        <w:rPr>
          <w:bCs/>
          <w:i/>
          <w:sz w:val="22"/>
          <w:szCs w:val="22"/>
        </w:rPr>
        <w:t>wild-type</w:t>
      </w:r>
      <w:r w:rsidRPr="00192010">
        <w:rPr>
          <w:bCs/>
          <w:sz w:val="22"/>
          <w:szCs w:val="22"/>
          <w:lang w:val="sr-Latn-CS"/>
        </w:rPr>
        <w:t xml:space="preserve"> </w:t>
      </w:r>
      <w:r w:rsidRPr="00192010">
        <w:rPr>
          <w:bCs/>
          <w:sz w:val="22"/>
          <w:szCs w:val="22"/>
        </w:rPr>
        <w:t xml:space="preserve">virusa. </w:t>
      </w:r>
    </w:p>
    <w:p w:rsidR="00680049" w:rsidRPr="00192010" w:rsidRDefault="00680049" w:rsidP="00A443AA">
      <w:pPr>
        <w:tabs>
          <w:tab w:val="left" w:pos="540"/>
          <w:tab w:val="left" w:pos="569"/>
        </w:tabs>
        <w:jc w:val="both"/>
        <w:rPr>
          <w:bCs/>
          <w:i/>
          <w:sz w:val="22"/>
          <w:szCs w:val="22"/>
          <w:u w:val="single"/>
        </w:rPr>
      </w:pPr>
    </w:p>
    <w:p w:rsidR="00680049" w:rsidRPr="00192010" w:rsidRDefault="00680049" w:rsidP="00192010">
      <w:pPr>
        <w:tabs>
          <w:tab w:val="left" w:pos="540"/>
          <w:tab w:val="left" w:pos="569"/>
        </w:tabs>
        <w:jc w:val="both"/>
        <w:rPr>
          <w:bCs/>
          <w:i/>
          <w:sz w:val="22"/>
          <w:szCs w:val="22"/>
          <w:u w:val="single"/>
        </w:rPr>
      </w:pPr>
      <w:r w:rsidRPr="00192010">
        <w:rPr>
          <w:bCs/>
          <w:i/>
          <w:sz w:val="22"/>
          <w:szCs w:val="22"/>
          <w:u w:val="single"/>
        </w:rPr>
        <w:t>Klinička efikasnost i bezbjednost</w:t>
      </w:r>
    </w:p>
    <w:p w:rsidR="00680049" w:rsidRPr="00111552" w:rsidRDefault="00680049" w:rsidP="00111552">
      <w:pPr>
        <w:tabs>
          <w:tab w:val="left" w:pos="540"/>
          <w:tab w:val="left" w:pos="569"/>
        </w:tabs>
        <w:jc w:val="both"/>
        <w:rPr>
          <w:bCs/>
          <w:sz w:val="22"/>
          <w:szCs w:val="22"/>
        </w:rPr>
      </w:pPr>
      <w:r w:rsidRPr="00192010">
        <w:rPr>
          <w:bCs/>
          <w:sz w:val="22"/>
          <w:szCs w:val="22"/>
        </w:rPr>
        <w:t>Demonstracija koristi tenofovir dizoproksila kod pacijenata sa kompenzovanim i dekompenzovanim oboljenjem jetre zasniva se na histološkim, virusološkim, biohemijskim i serološkim odgovorima odraslih pacijenata koji boluju od HBeAg pozitivnog i HBeAg negativnog hroničnog hepatitis B. Liječeni pacijenti uključivali su one koji prethodno ni</w:t>
      </w:r>
      <w:r w:rsidR="00111552">
        <w:rPr>
          <w:bCs/>
          <w:sz w:val="22"/>
          <w:szCs w:val="22"/>
        </w:rPr>
        <w:t>je</w:t>
      </w:r>
      <w:r w:rsidRPr="00111552">
        <w:rPr>
          <w:bCs/>
          <w:sz w:val="22"/>
          <w:szCs w:val="22"/>
        </w:rPr>
        <w:t>su bili liječeni, one koji su bili liječeni lamivudinom, one koji su bili l</w:t>
      </w:r>
      <w:r w:rsidRPr="00192010">
        <w:rPr>
          <w:bCs/>
          <w:sz w:val="22"/>
          <w:szCs w:val="22"/>
        </w:rPr>
        <w:t xml:space="preserve">iječeni adefovir dipivoksilom i pacijente sa mutacijama rezistencije na lamivudin i/ili adefovir dipivoksil na početku liječenja. Korist je, takođe, pokazana na </w:t>
      </w:r>
      <w:r w:rsidR="00111552">
        <w:rPr>
          <w:bCs/>
          <w:sz w:val="22"/>
          <w:szCs w:val="22"/>
        </w:rPr>
        <w:t xml:space="preserve">osnovu </w:t>
      </w:r>
      <w:r w:rsidRPr="00111552">
        <w:rPr>
          <w:bCs/>
          <w:sz w:val="22"/>
          <w:szCs w:val="22"/>
        </w:rPr>
        <w:t>histoloških odgovora kod pacijenata sa kompenzovanom bolešću jetre.</w:t>
      </w:r>
    </w:p>
    <w:p w:rsidR="00680049" w:rsidRPr="00192010" w:rsidRDefault="00680049">
      <w:pPr>
        <w:tabs>
          <w:tab w:val="left" w:pos="540"/>
          <w:tab w:val="left" w:pos="569"/>
        </w:tabs>
        <w:jc w:val="both"/>
        <w:rPr>
          <w:bCs/>
          <w:sz w:val="22"/>
          <w:szCs w:val="22"/>
        </w:rPr>
      </w:pPr>
    </w:p>
    <w:p w:rsidR="00680049" w:rsidRPr="00192010" w:rsidRDefault="00680049">
      <w:pPr>
        <w:tabs>
          <w:tab w:val="left" w:pos="540"/>
          <w:tab w:val="left" w:pos="569"/>
        </w:tabs>
        <w:jc w:val="both"/>
        <w:rPr>
          <w:bCs/>
          <w:i/>
          <w:sz w:val="22"/>
          <w:szCs w:val="22"/>
        </w:rPr>
      </w:pPr>
      <w:r w:rsidRPr="00192010">
        <w:rPr>
          <w:bCs/>
          <w:i/>
          <w:sz w:val="22"/>
          <w:szCs w:val="22"/>
        </w:rPr>
        <w:t>Iskustva kod pacijenata sa kompenzovanim oboljenjem jetre tokom 48 nedjelja (ispitivanja GS-US- 174-0102 i GS-US-174-0103):</w:t>
      </w:r>
    </w:p>
    <w:p w:rsidR="00680049" w:rsidRPr="00192010" w:rsidRDefault="00680049">
      <w:pPr>
        <w:tabs>
          <w:tab w:val="left" w:pos="540"/>
          <w:tab w:val="left" w:pos="569"/>
        </w:tabs>
        <w:jc w:val="both"/>
        <w:rPr>
          <w:bCs/>
          <w:sz w:val="22"/>
          <w:szCs w:val="22"/>
        </w:rPr>
      </w:pPr>
      <w:r w:rsidRPr="00192010">
        <w:rPr>
          <w:bCs/>
          <w:sz w:val="22"/>
          <w:szCs w:val="22"/>
        </w:rPr>
        <w:t>Rezultati dobijeni tokom dva randomizovana, dvostruko slijepa ispitivanja faze III u trajanju od 48 nedjelja u kojima se upoređivao tenofovir dizoproksil sa adefovir dipivoksilom kod pacijenata sa kompenzovanim oboljenjem jetre prikazani su u Tabeli 3. Isptivanje GS-US-174-0103 sprovodeno na 266 (randomizovanih i liječenih) pacijenata pozitivnih na HBeAb, dok je studija GS-US-174-0102 sprovedena na 375 (randomizovanih i liječenih) pacijenata negativnih na HBeAg i pozitivnih na HBeAb.</w:t>
      </w:r>
    </w:p>
    <w:p w:rsidR="00680049" w:rsidRPr="00192010" w:rsidRDefault="00680049">
      <w:pPr>
        <w:tabs>
          <w:tab w:val="left" w:pos="540"/>
          <w:tab w:val="left" w:pos="569"/>
        </w:tabs>
        <w:jc w:val="both"/>
        <w:rPr>
          <w:bCs/>
          <w:sz w:val="22"/>
          <w:szCs w:val="22"/>
        </w:rPr>
      </w:pPr>
    </w:p>
    <w:p w:rsidR="00680049" w:rsidRPr="00680049" w:rsidRDefault="00680049">
      <w:pPr>
        <w:tabs>
          <w:tab w:val="left" w:pos="540"/>
          <w:tab w:val="left" w:pos="569"/>
        </w:tabs>
        <w:jc w:val="both"/>
        <w:rPr>
          <w:bCs/>
          <w:sz w:val="22"/>
          <w:szCs w:val="22"/>
        </w:rPr>
      </w:pPr>
      <w:r w:rsidRPr="00192010">
        <w:rPr>
          <w:bCs/>
          <w:sz w:val="22"/>
          <w:szCs w:val="22"/>
        </w:rPr>
        <w:t>U oba ispitivanja, tenofovir dizoproksil pokazao se značajno superiornijim u odnosu na adefovir dipivoksil, u odnosu na primarni parametar praćenja efikasnosti - potpuni odgovor na terapiju (definisan kao vrijednost HBV DNK &lt; 400 kopija/</w:t>
      </w:r>
      <w:r w:rsidR="00B83CAB" w:rsidRPr="00192010">
        <w:rPr>
          <w:bCs/>
          <w:sz w:val="22"/>
          <w:szCs w:val="22"/>
        </w:rPr>
        <w:t>ml</w:t>
      </w:r>
      <w:r w:rsidRPr="00192010">
        <w:rPr>
          <w:bCs/>
          <w:sz w:val="22"/>
          <w:szCs w:val="22"/>
        </w:rPr>
        <w:t xml:space="preserve"> i kao poboljšanje </w:t>
      </w:r>
      <w:r w:rsidR="00111552">
        <w:rPr>
          <w:bCs/>
          <w:sz w:val="22"/>
          <w:szCs w:val="22"/>
        </w:rPr>
        <w:t xml:space="preserve">rezultata na </w:t>
      </w:r>
      <w:r w:rsidRPr="00111552">
        <w:rPr>
          <w:bCs/>
          <w:i/>
          <w:sz w:val="22"/>
          <w:szCs w:val="22"/>
        </w:rPr>
        <w:t>Knodell</w:t>
      </w:r>
      <w:r w:rsidRPr="00111552">
        <w:rPr>
          <w:bCs/>
          <w:sz w:val="22"/>
          <w:szCs w:val="22"/>
        </w:rPr>
        <w:t>-ov</w:t>
      </w:r>
      <w:r w:rsidR="00111552">
        <w:rPr>
          <w:bCs/>
          <w:sz w:val="22"/>
          <w:szCs w:val="22"/>
        </w:rPr>
        <w:t>oj</w:t>
      </w:r>
      <w:r w:rsidRPr="00111552">
        <w:rPr>
          <w:bCs/>
          <w:sz w:val="22"/>
          <w:szCs w:val="22"/>
        </w:rPr>
        <w:t xml:space="preserve"> </w:t>
      </w:r>
      <w:r w:rsidR="00111552">
        <w:rPr>
          <w:bCs/>
          <w:sz w:val="22"/>
          <w:szCs w:val="22"/>
        </w:rPr>
        <w:t xml:space="preserve">skali </w:t>
      </w:r>
      <w:r w:rsidRPr="00111552">
        <w:rPr>
          <w:bCs/>
          <w:sz w:val="22"/>
          <w:szCs w:val="22"/>
        </w:rPr>
        <w:t>nekroinflamatorne</w:t>
      </w:r>
      <w:r w:rsidR="00111552">
        <w:rPr>
          <w:bCs/>
          <w:sz w:val="22"/>
          <w:szCs w:val="22"/>
        </w:rPr>
        <w:t xml:space="preserve"> aktivnosti</w:t>
      </w:r>
      <w:r w:rsidRPr="00111552">
        <w:rPr>
          <w:bCs/>
          <w:sz w:val="22"/>
          <w:szCs w:val="22"/>
        </w:rPr>
        <w:t xml:space="preserve"> od najmanje 2 poena bez pogoršanja </w:t>
      </w:r>
      <w:r w:rsidR="00111552">
        <w:rPr>
          <w:bCs/>
          <w:sz w:val="22"/>
          <w:szCs w:val="22"/>
        </w:rPr>
        <w:t xml:space="preserve">na </w:t>
      </w:r>
      <w:r w:rsidRPr="00111552">
        <w:rPr>
          <w:bCs/>
          <w:i/>
          <w:sz w:val="22"/>
          <w:szCs w:val="22"/>
        </w:rPr>
        <w:t>Knodell-</w:t>
      </w:r>
      <w:r w:rsidRPr="00111552">
        <w:rPr>
          <w:bCs/>
          <w:sz w:val="22"/>
          <w:szCs w:val="22"/>
        </w:rPr>
        <w:t>ov</w:t>
      </w:r>
      <w:r w:rsidR="00111552">
        <w:rPr>
          <w:bCs/>
          <w:sz w:val="22"/>
          <w:szCs w:val="22"/>
        </w:rPr>
        <w:t>oj skali</w:t>
      </w:r>
      <w:r w:rsidRPr="00111552">
        <w:rPr>
          <w:bCs/>
          <w:sz w:val="22"/>
          <w:szCs w:val="22"/>
        </w:rPr>
        <w:t xml:space="preserve"> fibroze). Terapija sa 245 mg tenofovir dizoproksila, takođe je bila povezana sa značajno većim udjelom pacijenata sa vrijednostima HBV DNK &lt; 400 kopija/</w:t>
      </w:r>
      <w:r w:rsidR="00B83CAB" w:rsidRPr="00111552">
        <w:rPr>
          <w:bCs/>
          <w:sz w:val="22"/>
          <w:szCs w:val="22"/>
        </w:rPr>
        <w:t>ml</w:t>
      </w:r>
      <w:r w:rsidRPr="00111552">
        <w:rPr>
          <w:bCs/>
          <w:sz w:val="22"/>
          <w:szCs w:val="22"/>
        </w:rPr>
        <w:t>, u poređenju sa liječenjem sa 10 mg adefovir dipivoksila. Obje terapije imale su slične</w:t>
      </w:r>
      <w:r w:rsidRPr="00680049">
        <w:rPr>
          <w:bCs/>
          <w:sz w:val="22"/>
          <w:szCs w:val="22"/>
        </w:rPr>
        <w:t xml:space="preserve"> rezultate u odnosu na histološki odgovor (definisan kao poboljšanje </w:t>
      </w:r>
      <w:r w:rsidRPr="00680049">
        <w:rPr>
          <w:bCs/>
          <w:i/>
          <w:sz w:val="22"/>
          <w:szCs w:val="22"/>
        </w:rPr>
        <w:t>Knodell</w:t>
      </w:r>
      <w:r w:rsidRPr="00680049">
        <w:rPr>
          <w:bCs/>
          <w:sz w:val="22"/>
          <w:szCs w:val="22"/>
        </w:rPr>
        <w:t xml:space="preserve">-ove nekroinflamatorne skale od najmanje 2 poena bez pogoršanja </w:t>
      </w:r>
      <w:r w:rsidRPr="00680049">
        <w:rPr>
          <w:bCs/>
          <w:i/>
          <w:sz w:val="22"/>
          <w:szCs w:val="22"/>
        </w:rPr>
        <w:t>Knodell</w:t>
      </w:r>
      <w:r w:rsidRPr="00680049">
        <w:rPr>
          <w:bCs/>
          <w:sz w:val="22"/>
          <w:szCs w:val="22"/>
        </w:rPr>
        <w:t>-ove fibroze) u 48. ned</w:t>
      </w:r>
      <w:r>
        <w:rPr>
          <w:bCs/>
          <w:sz w:val="22"/>
          <w:szCs w:val="22"/>
        </w:rPr>
        <w:t>j</w:t>
      </w:r>
      <w:r w:rsidRPr="00680049">
        <w:rPr>
          <w:bCs/>
          <w:sz w:val="22"/>
          <w:szCs w:val="22"/>
        </w:rPr>
        <w:t>elji (vid</w:t>
      </w:r>
      <w:r>
        <w:rPr>
          <w:bCs/>
          <w:sz w:val="22"/>
          <w:szCs w:val="22"/>
        </w:rPr>
        <w:t>j</w:t>
      </w:r>
      <w:r w:rsidRPr="00680049">
        <w:rPr>
          <w:bCs/>
          <w:sz w:val="22"/>
          <w:szCs w:val="22"/>
        </w:rPr>
        <w:t>eti Tabelu 3).</w:t>
      </w:r>
    </w:p>
    <w:p w:rsidR="00680049" w:rsidRPr="00680049" w:rsidRDefault="00680049" w:rsidP="00680049">
      <w:pPr>
        <w:tabs>
          <w:tab w:val="left" w:pos="540"/>
          <w:tab w:val="left" w:pos="569"/>
        </w:tabs>
        <w:jc w:val="both"/>
        <w:rPr>
          <w:bCs/>
          <w:sz w:val="22"/>
          <w:szCs w:val="22"/>
        </w:rPr>
      </w:pPr>
      <w:r w:rsidRPr="00680049">
        <w:rPr>
          <w:bCs/>
          <w:sz w:val="22"/>
          <w:szCs w:val="22"/>
        </w:rPr>
        <w:t xml:space="preserve"> </w:t>
      </w:r>
    </w:p>
    <w:p w:rsidR="00680049" w:rsidRDefault="00680049" w:rsidP="00680049">
      <w:pPr>
        <w:tabs>
          <w:tab w:val="left" w:pos="540"/>
          <w:tab w:val="left" w:pos="569"/>
        </w:tabs>
        <w:jc w:val="both"/>
        <w:rPr>
          <w:bCs/>
          <w:sz w:val="22"/>
          <w:szCs w:val="22"/>
        </w:rPr>
      </w:pPr>
      <w:r w:rsidRPr="00680049">
        <w:rPr>
          <w:bCs/>
          <w:sz w:val="22"/>
          <w:szCs w:val="22"/>
        </w:rPr>
        <w:t>U ispi</w:t>
      </w:r>
      <w:r>
        <w:rPr>
          <w:bCs/>
          <w:sz w:val="22"/>
          <w:szCs w:val="22"/>
        </w:rPr>
        <w:t>tivanju GS-US-174-0103, mnogo</w:t>
      </w:r>
      <w:r w:rsidRPr="00680049">
        <w:rPr>
          <w:bCs/>
          <w:sz w:val="22"/>
          <w:szCs w:val="22"/>
        </w:rPr>
        <w:t xml:space="preserve"> veći procenat pacijenata u grupi koja je primala tenofovir</w:t>
      </w:r>
      <w:r>
        <w:rPr>
          <w:bCs/>
          <w:sz w:val="22"/>
          <w:szCs w:val="22"/>
        </w:rPr>
        <w:t xml:space="preserve"> </w:t>
      </w:r>
      <w:r w:rsidRPr="00680049">
        <w:rPr>
          <w:bCs/>
          <w:sz w:val="22"/>
          <w:szCs w:val="22"/>
        </w:rPr>
        <w:t>dizoproksil u odnosu na grupu pacijenata koja je primala adefovir</w:t>
      </w:r>
      <w:r>
        <w:rPr>
          <w:bCs/>
          <w:sz w:val="22"/>
          <w:szCs w:val="22"/>
        </w:rPr>
        <w:t xml:space="preserve"> </w:t>
      </w:r>
      <w:r w:rsidRPr="00680049">
        <w:rPr>
          <w:bCs/>
          <w:sz w:val="22"/>
          <w:szCs w:val="22"/>
        </w:rPr>
        <w:t xml:space="preserve">dipivoksil, imao je </w:t>
      </w:r>
      <w:r w:rsidRPr="00680049">
        <w:rPr>
          <w:bCs/>
          <w:sz w:val="22"/>
          <w:szCs w:val="22"/>
          <w:lang w:val="sr-Latn-CS"/>
        </w:rPr>
        <w:t>normalizovanu vr</w:t>
      </w:r>
      <w:r>
        <w:rPr>
          <w:bCs/>
          <w:sz w:val="22"/>
          <w:szCs w:val="22"/>
          <w:lang w:val="sr-Latn-CS"/>
        </w:rPr>
        <w:t>ij</w:t>
      </w:r>
      <w:r w:rsidRPr="00680049">
        <w:rPr>
          <w:bCs/>
          <w:sz w:val="22"/>
          <w:szCs w:val="22"/>
          <w:lang w:val="sr-Latn-CS"/>
        </w:rPr>
        <w:t>ednost</w:t>
      </w:r>
      <w:r w:rsidRPr="00680049">
        <w:rPr>
          <w:bCs/>
          <w:sz w:val="22"/>
          <w:szCs w:val="22"/>
        </w:rPr>
        <w:t xml:space="preserve"> ALT-a i eliminacija HbsAg je postignuta u 48</w:t>
      </w:r>
      <w:r w:rsidR="00544BFD">
        <w:rPr>
          <w:bCs/>
          <w:sz w:val="22"/>
          <w:szCs w:val="22"/>
        </w:rPr>
        <w:t>.</w:t>
      </w:r>
      <w:r w:rsidRPr="00680049">
        <w:rPr>
          <w:bCs/>
          <w:sz w:val="22"/>
          <w:szCs w:val="22"/>
        </w:rPr>
        <w:t xml:space="preserve"> ned</w:t>
      </w:r>
      <w:r>
        <w:rPr>
          <w:bCs/>
          <w:sz w:val="22"/>
          <w:szCs w:val="22"/>
        </w:rPr>
        <w:t>j</w:t>
      </w:r>
      <w:r w:rsidRPr="00680049">
        <w:rPr>
          <w:bCs/>
          <w:sz w:val="22"/>
          <w:szCs w:val="22"/>
        </w:rPr>
        <w:t>elji (vid</w:t>
      </w:r>
      <w:r>
        <w:rPr>
          <w:bCs/>
          <w:sz w:val="22"/>
          <w:szCs w:val="22"/>
        </w:rPr>
        <w:t>j</w:t>
      </w:r>
      <w:r w:rsidRPr="00680049">
        <w:rPr>
          <w:bCs/>
          <w:sz w:val="22"/>
          <w:szCs w:val="22"/>
        </w:rPr>
        <w:t>eti Tabelu 3).</w:t>
      </w:r>
    </w:p>
    <w:p w:rsidR="00680049" w:rsidRPr="00680049" w:rsidRDefault="00680049" w:rsidP="00680049">
      <w:pPr>
        <w:tabs>
          <w:tab w:val="left" w:pos="540"/>
          <w:tab w:val="left" w:pos="569"/>
        </w:tabs>
        <w:jc w:val="both"/>
        <w:rPr>
          <w:bCs/>
          <w:sz w:val="22"/>
          <w:szCs w:val="22"/>
        </w:rPr>
      </w:pPr>
    </w:p>
    <w:p w:rsidR="00680049" w:rsidRDefault="00680049" w:rsidP="00680049">
      <w:pPr>
        <w:tabs>
          <w:tab w:val="left" w:pos="540"/>
          <w:tab w:val="left" w:pos="569"/>
        </w:tabs>
        <w:jc w:val="both"/>
        <w:rPr>
          <w:b/>
          <w:bCs/>
          <w:sz w:val="22"/>
          <w:szCs w:val="22"/>
        </w:rPr>
      </w:pPr>
      <w:r w:rsidRPr="00680049">
        <w:rPr>
          <w:b/>
          <w:bCs/>
          <w:sz w:val="22"/>
          <w:szCs w:val="22"/>
        </w:rPr>
        <w:t xml:space="preserve">Tabela 3: Parametri efikasnosti kod kompenzovanih HbeAg pozitivnih i HbeAg negativnih pacijenata u 48. </w:t>
      </w:r>
      <w:r w:rsidR="00544BFD">
        <w:rPr>
          <w:b/>
          <w:bCs/>
          <w:sz w:val="22"/>
          <w:szCs w:val="22"/>
        </w:rPr>
        <w:t>n</w:t>
      </w:r>
      <w:r w:rsidRPr="00680049">
        <w:rPr>
          <w:b/>
          <w:bCs/>
          <w:sz w:val="22"/>
          <w:szCs w:val="22"/>
        </w:rPr>
        <w:t>edjelji</w:t>
      </w:r>
    </w:p>
    <w:p w:rsidR="00544BFD" w:rsidRPr="00680049" w:rsidRDefault="00544BFD" w:rsidP="00680049">
      <w:pPr>
        <w:tabs>
          <w:tab w:val="left" w:pos="540"/>
          <w:tab w:val="left" w:pos="569"/>
        </w:tabs>
        <w:jc w:val="both"/>
        <w:rPr>
          <w:b/>
          <w:bCs/>
          <w:sz w:val="22"/>
          <w:szCs w:val="22"/>
        </w:rPr>
      </w:pPr>
    </w:p>
    <w:tbl>
      <w:tblPr>
        <w:tblW w:w="5002"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2395"/>
        <w:gridCol w:w="1689"/>
        <w:gridCol w:w="1691"/>
        <w:gridCol w:w="1689"/>
        <w:gridCol w:w="1597"/>
      </w:tblGrid>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p>
        </w:tc>
        <w:tc>
          <w:tcPr>
            <w:tcW w:w="1865"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680049" w:rsidRDefault="00680049" w:rsidP="00680049">
            <w:pPr>
              <w:tabs>
                <w:tab w:val="left" w:pos="540"/>
                <w:tab w:val="left" w:pos="569"/>
              </w:tabs>
              <w:jc w:val="center"/>
              <w:rPr>
                <w:b/>
                <w:bCs/>
                <w:sz w:val="22"/>
                <w:szCs w:val="22"/>
                <w:lang w:val="en-GB"/>
              </w:rPr>
            </w:pPr>
            <w:r>
              <w:rPr>
                <w:b/>
                <w:bCs/>
                <w:sz w:val="22"/>
                <w:szCs w:val="22"/>
                <w:lang w:val="en-GB"/>
              </w:rPr>
              <w:t xml:space="preserve">Studija 174-0102 </w:t>
            </w:r>
          </w:p>
          <w:p w:rsidR="00680049" w:rsidRPr="00DC7C02" w:rsidRDefault="00680049" w:rsidP="00680049">
            <w:pPr>
              <w:tabs>
                <w:tab w:val="left" w:pos="540"/>
                <w:tab w:val="left" w:pos="569"/>
              </w:tabs>
              <w:jc w:val="center"/>
              <w:rPr>
                <w:bCs/>
                <w:sz w:val="22"/>
                <w:szCs w:val="22"/>
                <w:lang w:val="en-GB"/>
              </w:rPr>
            </w:pPr>
            <w:r>
              <w:rPr>
                <w:b/>
                <w:bCs/>
                <w:sz w:val="22"/>
                <w:szCs w:val="22"/>
                <w:lang w:val="en-GB"/>
              </w:rPr>
              <w:t>(HBeAg negativni</w:t>
            </w:r>
            <w:r w:rsidRPr="00DC7C02">
              <w:rPr>
                <w:b/>
                <w:bCs/>
                <w:sz w:val="22"/>
                <w:szCs w:val="22"/>
                <w:lang w:val="en-GB"/>
              </w:rPr>
              <w:t>)</w:t>
            </w:r>
          </w:p>
        </w:tc>
        <w:tc>
          <w:tcPr>
            <w:tcW w:w="1813"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680049" w:rsidRDefault="00680049" w:rsidP="00680049">
            <w:pPr>
              <w:tabs>
                <w:tab w:val="left" w:pos="540"/>
                <w:tab w:val="left" w:pos="569"/>
              </w:tabs>
              <w:jc w:val="center"/>
              <w:rPr>
                <w:b/>
                <w:bCs/>
                <w:sz w:val="22"/>
                <w:szCs w:val="22"/>
                <w:lang w:val="en-GB"/>
              </w:rPr>
            </w:pPr>
            <w:r>
              <w:rPr>
                <w:b/>
                <w:bCs/>
                <w:sz w:val="22"/>
                <w:szCs w:val="22"/>
                <w:lang w:val="en-GB"/>
              </w:rPr>
              <w:t xml:space="preserve">Studija 174-0103 </w:t>
            </w:r>
          </w:p>
          <w:p w:rsidR="00680049" w:rsidRPr="00DC7C02" w:rsidRDefault="00680049" w:rsidP="00680049">
            <w:pPr>
              <w:tabs>
                <w:tab w:val="left" w:pos="540"/>
                <w:tab w:val="left" w:pos="569"/>
              </w:tabs>
              <w:jc w:val="center"/>
              <w:rPr>
                <w:bCs/>
                <w:sz w:val="22"/>
                <w:szCs w:val="22"/>
                <w:lang w:val="en-GB"/>
              </w:rPr>
            </w:pPr>
            <w:r>
              <w:rPr>
                <w:b/>
                <w:bCs/>
                <w:sz w:val="22"/>
                <w:szCs w:val="22"/>
                <w:lang w:val="en-GB"/>
              </w:rPr>
              <w:t>(HBeAg pozitivni</w:t>
            </w:r>
            <w:r w:rsidRPr="00DC7C02">
              <w:rPr>
                <w:b/>
                <w:bCs/>
                <w:sz w:val="22"/>
                <w:szCs w:val="22"/>
                <w:lang w:val="en-GB"/>
              </w:rPr>
              <w:t>)</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sidRPr="00DC7C02">
              <w:rPr>
                <w:bCs/>
                <w:sz w:val="22"/>
                <w:szCs w:val="22"/>
                <w:lang w:val="en-GB"/>
              </w:rPr>
              <w:t>Parameter</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Default="00680049" w:rsidP="00680049">
            <w:pPr>
              <w:tabs>
                <w:tab w:val="left" w:pos="540"/>
                <w:tab w:val="left" w:pos="569"/>
              </w:tabs>
              <w:ind w:right="-54"/>
              <w:rPr>
                <w:bCs/>
                <w:sz w:val="22"/>
                <w:szCs w:val="22"/>
                <w:lang w:val="en-GB"/>
              </w:rPr>
            </w:pPr>
            <w:r>
              <w:rPr>
                <w:bCs/>
                <w:sz w:val="22"/>
                <w:szCs w:val="22"/>
                <w:lang w:val="en-GB"/>
              </w:rPr>
              <w:t xml:space="preserve">Tenofovir dizoproksil </w:t>
            </w:r>
          </w:p>
          <w:p w:rsidR="00680049" w:rsidRPr="00DC7C02" w:rsidRDefault="00680049" w:rsidP="00680049">
            <w:pPr>
              <w:tabs>
                <w:tab w:val="left" w:pos="540"/>
                <w:tab w:val="left" w:pos="569"/>
              </w:tabs>
              <w:ind w:right="-54"/>
              <w:rPr>
                <w:bCs/>
                <w:sz w:val="22"/>
                <w:szCs w:val="22"/>
                <w:lang w:val="en-GB"/>
              </w:rPr>
            </w:pPr>
            <w:r>
              <w:rPr>
                <w:bCs/>
                <w:sz w:val="22"/>
                <w:szCs w:val="22"/>
                <w:lang w:val="en-GB"/>
              </w:rPr>
              <w:t>245</w:t>
            </w:r>
            <w:r w:rsidRPr="00DC7C02">
              <w:rPr>
                <w:bCs/>
                <w:sz w:val="22"/>
                <w:szCs w:val="22"/>
                <w:lang w:val="en-GB"/>
              </w:rPr>
              <w:t>mg</w:t>
            </w:r>
          </w:p>
          <w:p w:rsidR="00680049" w:rsidRPr="00DC7C02" w:rsidRDefault="00680049" w:rsidP="0074527F">
            <w:pPr>
              <w:tabs>
                <w:tab w:val="left" w:pos="540"/>
                <w:tab w:val="left" w:pos="569"/>
              </w:tabs>
              <w:rPr>
                <w:bCs/>
                <w:sz w:val="22"/>
                <w:szCs w:val="22"/>
                <w:lang w:val="en-GB"/>
              </w:rPr>
            </w:pPr>
            <w:r w:rsidRPr="00DC7C02">
              <w:rPr>
                <w:bCs/>
                <w:sz w:val="22"/>
                <w:szCs w:val="22"/>
                <w:lang w:val="en-GB"/>
              </w:rPr>
              <w:t>n = 250</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Cs/>
                <w:sz w:val="22"/>
                <w:szCs w:val="22"/>
                <w:lang w:val="en-GB"/>
              </w:rPr>
              <w:t>Adefovir dipivoks</w:t>
            </w:r>
            <w:r w:rsidRPr="00DC7C02">
              <w:rPr>
                <w:bCs/>
                <w:sz w:val="22"/>
                <w:szCs w:val="22"/>
                <w:lang w:val="en-GB"/>
              </w:rPr>
              <w:t>il 10 mg</w:t>
            </w:r>
          </w:p>
          <w:p w:rsidR="00680049" w:rsidRDefault="00680049" w:rsidP="0074527F">
            <w:pPr>
              <w:tabs>
                <w:tab w:val="left" w:pos="540"/>
                <w:tab w:val="left" w:pos="569"/>
              </w:tabs>
              <w:rPr>
                <w:bCs/>
                <w:sz w:val="22"/>
                <w:szCs w:val="22"/>
                <w:lang w:val="en-GB"/>
              </w:rPr>
            </w:pPr>
          </w:p>
          <w:p w:rsidR="00680049" w:rsidRPr="00DC7C02" w:rsidRDefault="00680049" w:rsidP="0074527F">
            <w:pPr>
              <w:tabs>
                <w:tab w:val="left" w:pos="540"/>
                <w:tab w:val="left" w:pos="569"/>
              </w:tabs>
              <w:rPr>
                <w:bCs/>
                <w:sz w:val="22"/>
                <w:szCs w:val="22"/>
                <w:lang w:val="en-GB"/>
              </w:rPr>
            </w:pPr>
            <w:r w:rsidRPr="00DC7C02">
              <w:rPr>
                <w:bCs/>
                <w:sz w:val="22"/>
                <w:szCs w:val="22"/>
                <w:lang w:val="en-GB"/>
              </w:rPr>
              <w:t>n = 125</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Cs/>
                <w:sz w:val="22"/>
                <w:szCs w:val="22"/>
                <w:lang w:val="en-GB"/>
              </w:rPr>
              <w:t>Tenofovir dizoproksil 245</w:t>
            </w:r>
            <w:r w:rsidRPr="00DC7C02">
              <w:rPr>
                <w:bCs/>
                <w:sz w:val="22"/>
                <w:szCs w:val="22"/>
                <w:lang w:val="en-GB"/>
              </w:rPr>
              <w:t>mg</w:t>
            </w:r>
          </w:p>
          <w:p w:rsidR="00680049" w:rsidRPr="00DC7C02" w:rsidRDefault="00680049" w:rsidP="0074527F">
            <w:pPr>
              <w:tabs>
                <w:tab w:val="left" w:pos="540"/>
                <w:tab w:val="left" w:pos="569"/>
              </w:tabs>
              <w:rPr>
                <w:bCs/>
                <w:sz w:val="22"/>
                <w:szCs w:val="22"/>
                <w:lang w:val="en-GB"/>
              </w:rPr>
            </w:pPr>
            <w:r w:rsidRPr="00DC7C02">
              <w:rPr>
                <w:bCs/>
                <w:sz w:val="22"/>
                <w:szCs w:val="22"/>
                <w:lang w:val="en-GB"/>
              </w:rPr>
              <w:t>n = 176</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Cs/>
                <w:sz w:val="22"/>
                <w:szCs w:val="22"/>
                <w:lang w:val="en-GB"/>
              </w:rPr>
              <w:t>Adefovir dipivoks</w:t>
            </w:r>
            <w:r w:rsidRPr="00DC7C02">
              <w:rPr>
                <w:bCs/>
                <w:sz w:val="22"/>
                <w:szCs w:val="22"/>
                <w:lang w:val="en-GB"/>
              </w:rPr>
              <w:t>il 10 mg</w:t>
            </w:r>
          </w:p>
          <w:p w:rsidR="00680049" w:rsidRDefault="00680049" w:rsidP="0074527F">
            <w:pPr>
              <w:tabs>
                <w:tab w:val="left" w:pos="540"/>
                <w:tab w:val="left" w:pos="569"/>
              </w:tabs>
              <w:rPr>
                <w:bCs/>
                <w:sz w:val="22"/>
                <w:szCs w:val="22"/>
                <w:lang w:val="en-GB"/>
              </w:rPr>
            </w:pPr>
          </w:p>
          <w:p w:rsidR="00680049" w:rsidRPr="00DC7C02" w:rsidRDefault="00680049" w:rsidP="0074527F">
            <w:pPr>
              <w:tabs>
                <w:tab w:val="left" w:pos="540"/>
                <w:tab w:val="left" w:pos="569"/>
              </w:tabs>
              <w:rPr>
                <w:bCs/>
                <w:sz w:val="22"/>
                <w:szCs w:val="22"/>
                <w:lang w:val="en-GB"/>
              </w:rPr>
            </w:pPr>
            <w:r w:rsidRPr="00DC7C02">
              <w:rPr>
                <w:bCs/>
                <w:sz w:val="22"/>
                <w:szCs w:val="22"/>
                <w:lang w:val="en-GB"/>
              </w:rPr>
              <w:t>n = 90</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
                <w:bCs/>
                <w:sz w:val="22"/>
                <w:szCs w:val="22"/>
                <w:lang w:val="en-GB"/>
              </w:rPr>
              <w:t>Kompletan odgovor</w:t>
            </w:r>
            <w:r w:rsidRPr="00DC7C02">
              <w:rPr>
                <w:bCs/>
                <w:sz w:val="22"/>
                <w:szCs w:val="22"/>
                <w:lang w:val="en-GB"/>
              </w:rPr>
              <w:t xml:space="preserve"> (%)</w:t>
            </w:r>
            <w:r w:rsidRPr="00DC7C02">
              <w:rPr>
                <w:bCs/>
                <w:sz w:val="22"/>
                <w:szCs w:val="22"/>
                <w:vertAlign w:val="superscript"/>
                <w:lang w:val="en-GB"/>
              </w:rPr>
              <w:t>a</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71*</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49</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67*</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12</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sidRPr="00DC7C02">
              <w:rPr>
                <w:b/>
                <w:bCs/>
                <w:sz w:val="22"/>
                <w:szCs w:val="22"/>
                <w:lang w:val="en-GB"/>
              </w:rPr>
              <w:t>Histolog</w:t>
            </w:r>
            <w:r>
              <w:rPr>
                <w:b/>
                <w:bCs/>
                <w:sz w:val="22"/>
                <w:szCs w:val="22"/>
                <w:lang w:val="en-GB"/>
              </w:rPr>
              <w:t>ija</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Cs/>
                <w:sz w:val="22"/>
                <w:szCs w:val="22"/>
                <w:lang w:val="en-GB"/>
              </w:rPr>
              <w:t xml:space="preserve">Histološki odgovor </w:t>
            </w:r>
            <w:r w:rsidRPr="00DC7C02">
              <w:rPr>
                <w:bCs/>
                <w:sz w:val="22"/>
                <w:szCs w:val="22"/>
                <w:lang w:val="en-GB"/>
              </w:rPr>
              <w:t>(%)</w:t>
            </w:r>
            <w:r w:rsidRPr="00DC7C02">
              <w:rPr>
                <w:bCs/>
                <w:sz w:val="22"/>
                <w:szCs w:val="22"/>
                <w:vertAlign w:val="superscript"/>
                <w:lang w:val="en-GB"/>
              </w:rPr>
              <w:t>b</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72</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69</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74</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68</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
                <w:bCs/>
                <w:sz w:val="22"/>
                <w:szCs w:val="22"/>
                <w:lang w:val="en-GB"/>
              </w:rPr>
              <w:t>Srednje</w:t>
            </w:r>
            <w:r w:rsidRPr="00DC7C02">
              <w:rPr>
                <w:bCs/>
                <w:sz w:val="22"/>
                <w:szCs w:val="22"/>
                <w:lang w:val="en-GB"/>
              </w:rPr>
              <w:t> </w:t>
            </w:r>
            <w:r>
              <w:rPr>
                <w:b/>
                <w:bCs/>
                <w:sz w:val="22"/>
                <w:szCs w:val="22"/>
                <w:lang w:val="en-GB"/>
              </w:rPr>
              <w:t>HBV DNK smanjenje u odnosu na početne vrijednosti</w:t>
            </w:r>
            <w:r w:rsidRPr="00DC7C02">
              <w:rPr>
                <w:bCs/>
                <w:sz w:val="22"/>
                <w:szCs w:val="22"/>
                <w:vertAlign w:val="superscript"/>
                <w:lang w:val="en-GB"/>
              </w:rPr>
              <w:t>c</w:t>
            </w:r>
          </w:p>
          <w:p w:rsidR="00680049" w:rsidRPr="00DC7C02" w:rsidRDefault="00680049" w:rsidP="0074527F">
            <w:pPr>
              <w:tabs>
                <w:tab w:val="left" w:pos="540"/>
                <w:tab w:val="left" w:pos="569"/>
              </w:tabs>
              <w:rPr>
                <w:bCs/>
                <w:sz w:val="22"/>
                <w:szCs w:val="22"/>
                <w:lang w:val="en-GB"/>
              </w:rPr>
            </w:pPr>
            <w:r w:rsidRPr="00DC7C02">
              <w:rPr>
                <w:bCs/>
                <w:sz w:val="22"/>
                <w:szCs w:val="22"/>
                <w:lang w:val="en-GB"/>
              </w:rPr>
              <w:t>(log</w:t>
            </w:r>
            <w:r w:rsidRPr="00DC7C02">
              <w:rPr>
                <w:bCs/>
                <w:sz w:val="22"/>
                <w:szCs w:val="22"/>
                <w:vertAlign w:val="subscript"/>
                <w:lang w:val="en-GB"/>
              </w:rPr>
              <w:t>10</w:t>
            </w:r>
            <w:r>
              <w:rPr>
                <w:bCs/>
                <w:sz w:val="22"/>
                <w:szCs w:val="22"/>
                <w:lang w:val="en-GB"/>
              </w:rPr>
              <w:t> kopija</w:t>
            </w:r>
            <w:r w:rsidRPr="00DC7C02">
              <w:rPr>
                <w:bCs/>
                <w:sz w:val="22"/>
                <w:szCs w:val="22"/>
                <w:lang w:val="en-GB"/>
              </w:rPr>
              <w:t>/</w:t>
            </w:r>
            <w:r w:rsidR="00B83CAB">
              <w:rPr>
                <w:bCs/>
                <w:sz w:val="22"/>
                <w:szCs w:val="22"/>
                <w:lang w:val="en-GB"/>
              </w:rPr>
              <w:t>ml</w:t>
            </w:r>
            <w:r w:rsidRPr="00DC7C02">
              <w:rPr>
                <w:bCs/>
                <w:sz w:val="22"/>
                <w:szCs w:val="22"/>
                <w:lang w:val="en-GB"/>
              </w:rPr>
              <w:t>)</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-4.7*</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-4.0</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-6.4*</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-3.7</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
                <w:bCs/>
                <w:sz w:val="22"/>
                <w:szCs w:val="22"/>
                <w:lang w:val="en-GB"/>
              </w:rPr>
              <w:t>HBV DNK</w:t>
            </w:r>
            <w:r w:rsidRPr="00DC7C02">
              <w:rPr>
                <w:b/>
                <w:bCs/>
                <w:sz w:val="22"/>
                <w:szCs w:val="22"/>
                <w:lang w:val="en-GB"/>
              </w:rPr>
              <w:t> </w:t>
            </w:r>
            <w:r w:rsidRPr="00DC7C02">
              <w:rPr>
                <w:bCs/>
                <w:sz w:val="22"/>
                <w:szCs w:val="22"/>
                <w:lang w:val="en-GB"/>
              </w:rPr>
              <w:t>(%)</w:t>
            </w:r>
          </w:p>
          <w:p w:rsidR="00680049" w:rsidRPr="00DC7C02" w:rsidRDefault="00680049" w:rsidP="0074527F">
            <w:pPr>
              <w:tabs>
                <w:tab w:val="left" w:pos="540"/>
                <w:tab w:val="left" w:pos="569"/>
              </w:tabs>
              <w:rPr>
                <w:bCs/>
                <w:sz w:val="22"/>
                <w:szCs w:val="22"/>
                <w:lang w:val="en-GB"/>
              </w:rPr>
            </w:pPr>
            <w:r>
              <w:rPr>
                <w:bCs/>
                <w:sz w:val="22"/>
                <w:szCs w:val="22"/>
                <w:lang w:val="en-GB"/>
              </w:rPr>
              <w:t>&lt; 400 kopija</w:t>
            </w:r>
            <w:r w:rsidRPr="00DC7C02">
              <w:rPr>
                <w:bCs/>
                <w:sz w:val="22"/>
                <w:szCs w:val="22"/>
                <w:lang w:val="en-GB"/>
              </w:rPr>
              <w:t>/</w:t>
            </w:r>
            <w:r w:rsidR="00B83CAB">
              <w:rPr>
                <w:bCs/>
                <w:sz w:val="22"/>
                <w:szCs w:val="22"/>
                <w:lang w:val="en-GB"/>
              </w:rPr>
              <w:t>ml</w:t>
            </w:r>
            <w:r w:rsidRPr="00DC7C02">
              <w:rPr>
                <w:bCs/>
                <w:sz w:val="22"/>
                <w:szCs w:val="22"/>
                <w:lang w:val="en-GB"/>
              </w:rPr>
              <w:t xml:space="preserve"> (&lt; 69 IU/</w:t>
            </w:r>
            <w:r w:rsidR="00B83CAB">
              <w:rPr>
                <w:bCs/>
                <w:sz w:val="22"/>
                <w:szCs w:val="22"/>
                <w:lang w:val="en-GB"/>
              </w:rPr>
              <w:t>ml</w:t>
            </w:r>
            <w:r w:rsidRPr="00DC7C02">
              <w:rPr>
                <w:bCs/>
                <w:sz w:val="22"/>
                <w:szCs w:val="22"/>
                <w:lang w:val="en-GB"/>
              </w:rPr>
              <w:t>)</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93*</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63</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76*</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13</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sidRPr="00DC7C02">
              <w:rPr>
                <w:b/>
                <w:bCs/>
                <w:sz w:val="22"/>
                <w:szCs w:val="22"/>
                <w:lang w:val="en-GB"/>
              </w:rPr>
              <w:t>ALT </w:t>
            </w:r>
            <w:r w:rsidRPr="00DC7C02">
              <w:rPr>
                <w:bCs/>
                <w:sz w:val="22"/>
                <w:szCs w:val="22"/>
                <w:lang w:val="en-GB"/>
              </w:rPr>
              <w:t>(%)</w:t>
            </w:r>
          </w:p>
          <w:p w:rsidR="00680049" w:rsidRPr="00DC7C02" w:rsidRDefault="00680049" w:rsidP="0074527F">
            <w:pPr>
              <w:tabs>
                <w:tab w:val="left" w:pos="540"/>
                <w:tab w:val="left" w:pos="569"/>
              </w:tabs>
              <w:rPr>
                <w:bCs/>
                <w:sz w:val="22"/>
                <w:szCs w:val="22"/>
                <w:lang w:val="en-GB"/>
              </w:rPr>
            </w:pPr>
            <w:r>
              <w:rPr>
                <w:bCs/>
                <w:sz w:val="22"/>
                <w:szCs w:val="22"/>
                <w:lang w:val="en-GB"/>
              </w:rPr>
              <w:t>Normalizovani</w:t>
            </w:r>
            <w:r w:rsidRPr="00DC7C02">
              <w:rPr>
                <w:bCs/>
                <w:sz w:val="22"/>
                <w:szCs w:val="22"/>
                <w:lang w:val="en-GB"/>
              </w:rPr>
              <w:t xml:space="preserve"> ALT</w:t>
            </w:r>
            <w:r w:rsidRPr="00DC7C02">
              <w:rPr>
                <w:bCs/>
                <w:sz w:val="22"/>
                <w:szCs w:val="22"/>
                <w:vertAlign w:val="superscript"/>
                <w:lang w:val="en-GB"/>
              </w:rPr>
              <w:t>d</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76</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77</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68*</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54</w:t>
            </w:r>
          </w:p>
        </w:tc>
      </w:tr>
      <w:tr w:rsidR="00680049" w:rsidRPr="00DC7C02" w:rsidTr="00680049">
        <w:tc>
          <w:tcPr>
            <w:tcW w:w="132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74527F">
            <w:pPr>
              <w:tabs>
                <w:tab w:val="left" w:pos="540"/>
                <w:tab w:val="left" w:pos="569"/>
              </w:tabs>
              <w:rPr>
                <w:bCs/>
                <w:sz w:val="22"/>
                <w:szCs w:val="22"/>
                <w:lang w:val="en-GB"/>
              </w:rPr>
            </w:pPr>
            <w:r>
              <w:rPr>
                <w:b/>
                <w:bCs/>
                <w:sz w:val="22"/>
                <w:szCs w:val="22"/>
                <w:lang w:val="en-GB"/>
              </w:rPr>
              <w:t>Serologija</w:t>
            </w:r>
            <w:r w:rsidRPr="00DC7C02">
              <w:rPr>
                <w:b/>
                <w:bCs/>
                <w:sz w:val="22"/>
                <w:szCs w:val="22"/>
                <w:lang w:val="en-GB"/>
              </w:rPr>
              <w:t> </w:t>
            </w:r>
            <w:r w:rsidRPr="00DC7C02">
              <w:rPr>
                <w:bCs/>
                <w:sz w:val="22"/>
                <w:szCs w:val="22"/>
                <w:lang w:val="en-GB"/>
              </w:rPr>
              <w:t>(%)</w:t>
            </w:r>
          </w:p>
          <w:p w:rsidR="00680049" w:rsidRPr="00DC7C02" w:rsidRDefault="00680049" w:rsidP="0074527F">
            <w:pPr>
              <w:tabs>
                <w:tab w:val="left" w:pos="540"/>
                <w:tab w:val="left" w:pos="569"/>
              </w:tabs>
              <w:rPr>
                <w:bCs/>
                <w:sz w:val="22"/>
                <w:szCs w:val="22"/>
                <w:lang w:val="en-GB"/>
              </w:rPr>
            </w:pPr>
            <w:r>
              <w:rPr>
                <w:bCs/>
                <w:sz w:val="22"/>
                <w:szCs w:val="22"/>
                <w:lang w:val="en-GB"/>
              </w:rPr>
              <w:t>HBeAg eliminacija/serokonverzija</w:t>
            </w:r>
          </w:p>
          <w:p w:rsidR="00680049" w:rsidRPr="00DC7C02" w:rsidRDefault="00680049" w:rsidP="0074527F">
            <w:pPr>
              <w:tabs>
                <w:tab w:val="left" w:pos="540"/>
                <w:tab w:val="left" w:pos="569"/>
              </w:tabs>
              <w:rPr>
                <w:bCs/>
                <w:sz w:val="22"/>
                <w:szCs w:val="22"/>
                <w:lang w:val="en-GB"/>
              </w:rPr>
            </w:pPr>
            <w:r>
              <w:rPr>
                <w:bCs/>
                <w:sz w:val="22"/>
                <w:szCs w:val="22"/>
                <w:lang w:val="en-GB"/>
              </w:rPr>
              <w:t>HBsAg eliminacija/serokonverzija</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n/a</w:t>
            </w:r>
            <w:r w:rsidRPr="00DC7C02">
              <w:rPr>
                <w:bCs/>
                <w:sz w:val="22"/>
                <w:szCs w:val="22"/>
                <w:lang w:val="en-GB"/>
              </w:rPr>
              <w:br/>
            </w: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0/0</w:t>
            </w:r>
          </w:p>
        </w:tc>
        <w:tc>
          <w:tcPr>
            <w:tcW w:w="933"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n/a</w:t>
            </w:r>
            <w:r w:rsidRPr="00DC7C02">
              <w:rPr>
                <w:bCs/>
                <w:sz w:val="22"/>
                <w:szCs w:val="22"/>
                <w:lang w:val="en-GB"/>
              </w:rPr>
              <w:br/>
            </w: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0/0</w:t>
            </w:r>
          </w:p>
        </w:tc>
        <w:tc>
          <w:tcPr>
            <w:tcW w:w="932"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22/21</w:t>
            </w:r>
            <w:r w:rsidRPr="00DC7C02">
              <w:rPr>
                <w:bCs/>
                <w:sz w:val="22"/>
                <w:szCs w:val="22"/>
                <w:lang w:val="en-GB"/>
              </w:rPr>
              <w:br/>
            </w: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3*/1</w:t>
            </w:r>
          </w:p>
        </w:tc>
        <w:tc>
          <w:tcPr>
            <w:tcW w:w="881" w:type="pct"/>
            <w:tcBorders>
              <w:top w:val="outset" w:sz="6" w:space="0" w:color="7B7B7B"/>
              <w:left w:val="outset" w:sz="6" w:space="0" w:color="7B7B7B"/>
              <w:bottom w:val="outset" w:sz="6" w:space="0" w:color="7B7B7B"/>
              <w:right w:val="outset" w:sz="6" w:space="0" w:color="7B7B7B"/>
            </w:tcBorders>
            <w:shd w:val="clear" w:color="auto" w:fill="FFFFFF"/>
            <w:hideMark/>
          </w:tcPr>
          <w:p w:rsidR="00680049" w:rsidRPr="00DC7C02" w:rsidRDefault="00680049" w:rsidP="00680049">
            <w:pPr>
              <w:tabs>
                <w:tab w:val="left" w:pos="540"/>
                <w:tab w:val="left" w:pos="569"/>
              </w:tabs>
              <w:jc w:val="center"/>
              <w:rPr>
                <w:bCs/>
                <w:sz w:val="22"/>
                <w:szCs w:val="22"/>
                <w:lang w:val="en-GB"/>
              </w:rPr>
            </w:pP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18/18</w:t>
            </w:r>
            <w:r w:rsidRPr="00DC7C02">
              <w:rPr>
                <w:bCs/>
                <w:sz w:val="22"/>
                <w:szCs w:val="22"/>
                <w:lang w:val="en-GB"/>
              </w:rPr>
              <w:br/>
            </w:r>
          </w:p>
          <w:p w:rsidR="00680049" w:rsidRPr="00DC7C02" w:rsidRDefault="00680049" w:rsidP="00680049">
            <w:pPr>
              <w:tabs>
                <w:tab w:val="left" w:pos="540"/>
                <w:tab w:val="left" w:pos="569"/>
              </w:tabs>
              <w:jc w:val="center"/>
              <w:rPr>
                <w:bCs/>
                <w:sz w:val="22"/>
                <w:szCs w:val="22"/>
                <w:lang w:val="en-GB"/>
              </w:rPr>
            </w:pPr>
            <w:r w:rsidRPr="00DC7C02">
              <w:rPr>
                <w:bCs/>
                <w:sz w:val="22"/>
                <w:szCs w:val="22"/>
                <w:lang w:val="en-GB"/>
              </w:rPr>
              <w:t>0/0</w:t>
            </w:r>
          </w:p>
        </w:tc>
      </w:tr>
    </w:tbl>
    <w:p w:rsidR="00680049" w:rsidRPr="00D82856" w:rsidRDefault="00680049" w:rsidP="00680049">
      <w:pPr>
        <w:widowControl w:val="0"/>
        <w:autoSpaceDE w:val="0"/>
        <w:autoSpaceDN w:val="0"/>
        <w:spacing w:before="10" w:line="223" w:lineRule="exact"/>
        <w:ind w:left="204"/>
        <w:jc w:val="both"/>
        <w:rPr>
          <w:sz w:val="20"/>
          <w:szCs w:val="20"/>
        </w:rPr>
      </w:pPr>
      <w:r w:rsidRPr="00D82856">
        <w:rPr>
          <w:w w:val="105"/>
          <w:sz w:val="20"/>
          <w:szCs w:val="20"/>
        </w:rPr>
        <w:t>* p-vr</w:t>
      </w:r>
      <w:r>
        <w:rPr>
          <w:w w:val="105"/>
          <w:sz w:val="20"/>
          <w:szCs w:val="20"/>
        </w:rPr>
        <w:t>ij</w:t>
      </w:r>
      <w:r w:rsidRPr="00D82856">
        <w:rPr>
          <w:w w:val="105"/>
          <w:sz w:val="20"/>
          <w:szCs w:val="20"/>
        </w:rPr>
        <w:t>ednost u odnosu na adefovir</w:t>
      </w:r>
      <w:r>
        <w:rPr>
          <w:w w:val="105"/>
          <w:sz w:val="20"/>
          <w:szCs w:val="20"/>
        </w:rPr>
        <w:t xml:space="preserve"> </w:t>
      </w:r>
      <w:r w:rsidRPr="00D82856">
        <w:rPr>
          <w:w w:val="105"/>
          <w:sz w:val="20"/>
          <w:szCs w:val="20"/>
        </w:rPr>
        <w:t>dipivoksil &lt;0,05</w:t>
      </w:r>
    </w:p>
    <w:p w:rsidR="00680049" w:rsidRPr="00D82856" w:rsidRDefault="00680049" w:rsidP="00680049">
      <w:pPr>
        <w:widowControl w:val="0"/>
        <w:autoSpaceDE w:val="0"/>
        <w:autoSpaceDN w:val="0"/>
        <w:spacing w:line="244" w:lineRule="auto"/>
        <w:ind w:left="204"/>
        <w:jc w:val="both"/>
        <w:rPr>
          <w:sz w:val="20"/>
          <w:szCs w:val="20"/>
        </w:rPr>
      </w:pPr>
      <w:r w:rsidRPr="00D82856">
        <w:rPr>
          <w:w w:val="105"/>
          <w:position w:val="9"/>
          <w:sz w:val="13"/>
          <w:szCs w:val="20"/>
        </w:rPr>
        <w:t>a</w:t>
      </w:r>
      <w:r w:rsidRPr="00D82856">
        <w:rPr>
          <w:spacing w:val="6"/>
          <w:w w:val="105"/>
          <w:position w:val="9"/>
          <w:sz w:val="13"/>
          <w:szCs w:val="20"/>
        </w:rPr>
        <w:t xml:space="preserve"> </w:t>
      </w:r>
      <w:r w:rsidRPr="00D82856">
        <w:rPr>
          <w:w w:val="105"/>
          <w:sz w:val="20"/>
          <w:szCs w:val="20"/>
        </w:rPr>
        <w:t>Potpuni</w:t>
      </w:r>
      <w:r w:rsidRPr="00D82856">
        <w:rPr>
          <w:spacing w:val="-14"/>
          <w:w w:val="105"/>
          <w:sz w:val="20"/>
          <w:szCs w:val="20"/>
        </w:rPr>
        <w:t xml:space="preserve"> </w:t>
      </w:r>
      <w:r w:rsidRPr="00D82856">
        <w:rPr>
          <w:w w:val="105"/>
          <w:sz w:val="20"/>
          <w:szCs w:val="20"/>
        </w:rPr>
        <w:t>odgovor</w:t>
      </w:r>
      <w:r w:rsidRPr="00D82856">
        <w:rPr>
          <w:spacing w:val="-13"/>
          <w:w w:val="105"/>
          <w:sz w:val="20"/>
          <w:szCs w:val="20"/>
        </w:rPr>
        <w:t xml:space="preserve"> </w:t>
      </w:r>
      <w:r w:rsidRPr="00D82856">
        <w:rPr>
          <w:w w:val="105"/>
          <w:sz w:val="20"/>
          <w:szCs w:val="20"/>
        </w:rPr>
        <w:t>definisan</w:t>
      </w:r>
      <w:r w:rsidRPr="00D82856">
        <w:rPr>
          <w:spacing w:val="-13"/>
          <w:w w:val="105"/>
          <w:sz w:val="20"/>
          <w:szCs w:val="20"/>
        </w:rPr>
        <w:t xml:space="preserve"> </w:t>
      </w:r>
      <w:r w:rsidRPr="00D82856">
        <w:rPr>
          <w:w w:val="105"/>
          <w:sz w:val="20"/>
          <w:szCs w:val="20"/>
        </w:rPr>
        <w:t>kao</w:t>
      </w:r>
      <w:r w:rsidRPr="00D82856">
        <w:rPr>
          <w:spacing w:val="-13"/>
          <w:w w:val="105"/>
          <w:sz w:val="20"/>
          <w:szCs w:val="20"/>
        </w:rPr>
        <w:t xml:space="preserve"> </w:t>
      </w:r>
      <w:r w:rsidRPr="00D82856">
        <w:rPr>
          <w:w w:val="105"/>
          <w:sz w:val="20"/>
          <w:szCs w:val="20"/>
        </w:rPr>
        <w:t>nivoi</w:t>
      </w:r>
      <w:r w:rsidRPr="00D82856">
        <w:rPr>
          <w:spacing w:val="-13"/>
          <w:w w:val="105"/>
          <w:sz w:val="20"/>
          <w:szCs w:val="20"/>
        </w:rPr>
        <w:t xml:space="preserve"> </w:t>
      </w:r>
      <w:r w:rsidRPr="00D82856">
        <w:rPr>
          <w:w w:val="105"/>
          <w:sz w:val="20"/>
          <w:szCs w:val="20"/>
        </w:rPr>
        <w:t>HBV</w:t>
      </w:r>
      <w:r w:rsidRPr="00D82856">
        <w:rPr>
          <w:spacing w:val="-13"/>
          <w:w w:val="105"/>
          <w:sz w:val="20"/>
          <w:szCs w:val="20"/>
        </w:rPr>
        <w:t xml:space="preserve"> </w:t>
      </w:r>
      <w:r w:rsidRPr="00D82856">
        <w:rPr>
          <w:w w:val="105"/>
          <w:sz w:val="20"/>
          <w:szCs w:val="20"/>
        </w:rPr>
        <w:t>DNK</w:t>
      </w:r>
      <w:r w:rsidRPr="00D82856">
        <w:rPr>
          <w:spacing w:val="-13"/>
          <w:w w:val="105"/>
          <w:sz w:val="20"/>
          <w:szCs w:val="20"/>
        </w:rPr>
        <w:t xml:space="preserve"> </w:t>
      </w:r>
      <w:r w:rsidRPr="00D82856">
        <w:rPr>
          <w:w w:val="105"/>
          <w:sz w:val="20"/>
          <w:szCs w:val="20"/>
        </w:rPr>
        <w:t>&lt;</w:t>
      </w:r>
      <w:r w:rsidRPr="00D82856">
        <w:rPr>
          <w:spacing w:val="-14"/>
          <w:w w:val="105"/>
          <w:sz w:val="20"/>
          <w:szCs w:val="20"/>
        </w:rPr>
        <w:t xml:space="preserve"> </w:t>
      </w:r>
      <w:r w:rsidRPr="00D82856">
        <w:rPr>
          <w:w w:val="105"/>
          <w:sz w:val="20"/>
          <w:szCs w:val="20"/>
        </w:rPr>
        <w:t>400</w:t>
      </w:r>
      <w:r w:rsidRPr="00D82856">
        <w:rPr>
          <w:spacing w:val="-13"/>
          <w:w w:val="105"/>
          <w:sz w:val="20"/>
          <w:szCs w:val="20"/>
        </w:rPr>
        <w:t xml:space="preserve"> </w:t>
      </w:r>
      <w:r w:rsidRPr="00D82856">
        <w:rPr>
          <w:w w:val="105"/>
          <w:sz w:val="20"/>
          <w:szCs w:val="20"/>
        </w:rPr>
        <w:t>kopija/</w:t>
      </w:r>
      <w:r w:rsidR="00B83CAB">
        <w:rPr>
          <w:w w:val="105"/>
          <w:sz w:val="20"/>
          <w:szCs w:val="20"/>
        </w:rPr>
        <w:t>ml</w:t>
      </w:r>
      <w:r w:rsidRPr="00D82856">
        <w:rPr>
          <w:spacing w:val="-14"/>
          <w:w w:val="105"/>
          <w:sz w:val="20"/>
          <w:szCs w:val="20"/>
        </w:rPr>
        <w:t xml:space="preserve"> </w:t>
      </w:r>
      <w:r w:rsidRPr="00D82856">
        <w:rPr>
          <w:w w:val="105"/>
          <w:sz w:val="20"/>
          <w:szCs w:val="20"/>
        </w:rPr>
        <w:t>i</w:t>
      </w:r>
      <w:r w:rsidRPr="00D82856">
        <w:rPr>
          <w:spacing w:val="-13"/>
          <w:w w:val="105"/>
          <w:sz w:val="20"/>
          <w:szCs w:val="20"/>
        </w:rPr>
        <w:t xml:space="preserve"> </w:t>
      </w:r>
      <w:r w:rsidRPr="00D82856">
        <w:rPr>
          <w:w w:val="105"/>
          <w:sz w:val="20"/>
          <w:szCs w:val="20"/>
        </w:rPr>
        <w:t>poboljšanje</w:t>
      </w:r>
      <w:r w:rsidRPr="00D82856">
        <w:rPr>
          <w:spacing w:val="-13"/>
          <w:w w:val="105"/>
          <w:sz w:val="20"/>
          <w:szCs w:val="20"/>
        </w:rPr>
        <w:t xml:space="preserve"> </w:t>
      </w:r>
      <w:r w:rsidR="00544BFD">
        <w:rPr>
          <w:spacing w:val="-13"/>
          <w:w w:val="105"/>
          <w:sz w:val="20"/>
          <w:szCs w:val="20"/>
        </w:rPr>
        <w:t xml:space="preserve">rezultata na </w:t>
      </w:r>
      <w:r w:rsidRPr="00680049">
        <w:rPr>
          <w:i/>
          <w:w w:val="105"/>
          <w:sz w:val="20"/>
          <w:szCs w:val="20"/>
        </w:rPr>
        <w:t>Knodell</w:t>
      </w:r>
      <w:r>
        <w:rPr>
          <w:w w:val="105"/>
          <w:sz w:val="20"/>
          <w:szCs w:val="20"/>
        </w:rPr>
        <w:t>-</w:t>
      </w:r>
      <w:r w:rsidRPr="00D82856">
        <w:rPr>
          <w:w w:val="105"/>
          <w:sz w:val="20"/>
          <w:szCs w:val="20"/>
        </w:rPr>
        <w:t>ov</w:t>
      </w:r>
      <w:r w:rsidR="00544BFD">
        <w:rPr>
          <w:w w:val="105"/>
          <w:sz w:val="20"/>
          <w:szCs w:val="20"/>
        </w:rPr>
        <w:t>oj</w:t>
      </w:r>
      <w:r w:rsidRPr="00D82856">
        <w:rPr>
          <w:spacing w:val="-13"/>
          <w:w w:val="105"/>
          <w:sz w:val="20"/>
          <w:szCs w:val="20"/>
        </w:rPr>
        <w:t xml:space="preserve"> </w:t>
      </w:r>
      <w:r w:rsidR="00544BFD">
        <w:rPr>
          <w:spacing w:val="-13"/>
          <w:w w:val="105"/>
          <w:sz w:val="20"/>
          <w:szCs w:val="20"/>
        </w:rPr>
        <w:t xml:space="preserve">skali </w:t>
      </w:r>
      <w:r w:rsidRPr="00D82856">
        <w:rPr>
          <w:w w:val="105"/>
          <w:sz w:val="20"/>
          <w:szCs w:val="20"/>
        </w:rPr>
        <w:t>nekroinflamatorne</w:t>
      </w:r>
      <w:r w:rsidRPr="00D82856">
        <w:rPr>
          <w:spacing w:val="-13"/>
          <w:w w:val="105"/>
          <w:sz w:val="20"/>
          <w:szCs w:val="20"/>
        </w:rPr>
        <w:t xml:space="preserve"> </w:t>
      </w:r>
      <w:r w:rsidR="00544BFD">
        <w:rPr>
          <w:w w:val="105"/>
          <w:sz w:val="20"/>
          <w:szCs w:val="20"/>
        </w:rPr>
        <w:t>aktivnosti</w:t>
      </w:r>
      <w:r w:rsidRPr="00D82856">
        <w:rPr>
          <w:spacing w:val="-13"/>
          <w:w w:val="105"/>
          <w:sz w:val="20"/>
          <w:szCs w:val="20"/>
        </w:rPr>
        <w:t xml:space="preserve"> </w:t>
      </w:r>
      <w:r w:rsidRPr="00D82856">
        <w:rPr>
          <w:w w:val="105"/>
          <w:sz w:val="20"/>
          <w:szCs w:val="20"/>
        </w:rPr>
        <w:t xml:space="preserve">od najmanje 2 poena bez pogoršanja </w:t>
      </w:r>
      <w:r w:rsidR="00544BFD">
        <w:rPr>
          <w:w w:val="105"/>
          <w:sz w:val="20"/>
          <w:szCs w:val="20"/>
        </w:rPr>
        <w:t xml:space="preserve">na </w:t>
      </w:r>
      <w:r w:rsidRPr="00680049">
        <w:rPr>
          <w:i/>
          <w:w w:val="105"/>
          <w:sz w:val="20"/>
          <w:szCs w:val="20"/>
        </w:rPr>
        <w:t>Knode</w:t>
      </w:r>
      <w:r>
        <w:rPr>
          <w:i/>
          <w:w w:val="105"/>
          <w:sz w:val="20"/>
          <w:szCs w:val="20"/>
        </w:rPr>
        <w:t>ll-</w:t>
      </w:r>
      <w:r w:rsidRPr="0020581D">
        <w:rPr>
          <w:w w:val="105"/>
          <w:sz w:val="20"/>
          <w:szCs w:val="20"/>
        </w:rPr>
        <w:t>ov</w:t>
      </w:r>
      <w:r w:rsidR="00544BFD" w:rsidRPr="0020581D">
        <w:rPr>
          <w:spacing w:val="-21"/>
          <w:w w:val="105"/>
          <w:sz w:val="20"/>
          <w:szCs w:val="20"/>
        </w:rPr>
        <w:t xml:space="preserve">oj skali </w:t>
      </w:r>
      <w:r w:rsidRPr="0020581D">
        <w:rPr>
          <w:w w:val="105"/>
          <w:sz w:val="20"/>
          <w:szCs w:val="20"/>
        </w:rPr>
        <w:t>fibroze</w:t>
      </w:r>
      <w:r w:rsidRPr="00D82856">
        <w:rPr>
          <w:w w:val="105"/>
          <w:sz w:val="20"/>
          <w:szCs w:val="20"/>
        </w:rPr>
        <w:t>.</w:t>
      </w:r>
    </w:p>
    <w:p w:rsidR="00680049" w:rsidRPr="00D82856" w:rsidRDefault="00680049" w:rsidP="00680049">
      <w:pPr>
        <w:widowControl w:val="0"/>
        <w:autoSpaceDE w:val="0"/>
        <w:autoSpaceDN w:val="0"/>
        <w:spacing w:line="224" w:lineRule="exact"/>
        <w:ind w:left="204"/>
        <w:jc w:val="both"/>
        <w:rPr>
          <w:sz w:val="20"/>
          <w:szCs w:val="20"/>
        </w:rPr>
      </w:pPr>
      <w:r w:rsidRPr="00D82856">
        <w:rPr>
          <w:w w:val="105"/>
          <w:position w:val="10"/>
          <w:sz w:val="13"/>
          <w:szCs w:val="20"/>
        </w:rPr>
        <w:t xml:space="preserve">b </w:t>
      </w:r>
      <w:r w:rsidRPr="00D82856">
        <w:rPr>
          <w:w w:val="105"/>
          <w:sz w:val="20"/>
          <w:szCs w:val="20"/>
        </w:rPr>
        <w:t xml:space="preserve">Poboljšanje </w:t>
      </w:r>
      <w:r w:rsidR="00544BFD">
        <w:rPr>
          <w:w w:val="105"/>
          <w:sz w:val="20"/>
          <w:szCs w:val="20"/>
        </w:rPr>
        <w:t xml:space="preserve">rezultata na </w:t>
      </w:r>
      <w:r w:rsidRPr="00680049">
        <w:rPr>
          <w:i/>
          <w:w w:val="105"/>
          <w:sz w:val="20"/>
          <w:szCs w:val="20"/>
        </w:rPr>
        <w:t>Knodell</w:t>
      </w:r>
      <w:r>
        <w:rPr>
          <w:w w:val="105"/>
          <w:sz w:val="20"/>
          <w:szCs w:val="20"/>
        </w:rPr>
        <w:t>-</w:t>
      </w:r>
      <w:r w:rsidRPr="00D82856">
        <w:rPr>
          <w:w w:val="105"/>
          <w:sz w:val="20"/>
          <w:szCs w:val="20"/>
        </w:rPr>
        <w:t>ov</w:t>
      </w:r>
      <w:r w:rsidR="00544BFD">
        <w:rPr>
          <w:w w:val="105"/>
          <w:sz w:val="20"/>
          <w:szCs w:val="20"/>
        </w:rPr>
        <w:t>oj skali</w:t>
      </w:r>
      <w:r w:rsidRPr="00D82856">
        <w:rPr>
          <w:w w:val="105"/>
          <w:sz w:val="20"/>
          <w:szCs w:val="20"/>
        </w:rPr>
        <w:t xml:space="preserve"> neuroupalne </w:t>
      </w:r>
      <w:r w:rsidR="00544BFD">
        <w:rPr>
          <w:w w:val="105"/>
          <w:sz w:val="20"/>
          <w:szCs w:val="20"/>
        </w:rPr>
        <w:t xml:space="preserve">aktivnosti </w:t>
      </w:r>
      <w:r>
        <w:rPr>
          <w:w w:val="105"/>
          <w:sz w:val="20"/>
          <w:szCs w:val="20"/>
        </w:rPr>
        <w:t>od najmanje dva</w:t>
      </w:r>
      <w:r w:rsidRPr="00D82856">
        <w:rPr>
          <w:w w:val="105"/>
          <w:sz w:val="20"/>
          <w:szCs w:val="20"/>
        </w:rPr>
        <w:t xml:space="preserve"> poena bez pogoršanja </w:t>
      </w:r>
      <w:r w:rsidR="00544BFD">
        <w:rPr>
          <w:w w:val="105"/>
          <w:sz w:val="20"/>
          <w:szCs w:val="20"/>
        </w:rPr>
        <w:t xml:space="preserve">na </w:t>
      </w:r>
      <w:r w:rsidRPr="00680049">
        <w:rPr>
          <w:i/>
          <w:w w:val="105"/>
          <w:sz w:val="20"/>
          <w:szCs w:val="20"/>
        </w:rPr>
        <w:t>Knodell</w:t>
      </w:r>
      <w:r>
        <w:rPr>
          <w:w w:val="105"/>
          <w:sz w:val="20"/>
          <w:szCs w:val="20"/>
        </w:rPr>
        <w:t>-</w:t>
      </w:r>
      <w:r w:rsidRPr="00D82856">
        <w:rPr>
          <w:w w:val="105"/>
          <w:sz w:val="20"/>
          <w:szCs w:val="20"/>
        </w:rPr>
        <w:t>ov</w:t>
      </w:r>
      <w:r w:rsidR="00544BFD">
        <w:rPr>
          <w:w w:val="105"/>
          <w:sz w:val="20"/>
          <w:szCs w:val="20"/>
        </w:rPr>
        <w:t>oj skali</w:t>
      </w:r>
      <w:r w:rsidRPr="00D82856">
        <w:rPr>
          <w:w w:val="105"/>
          <w:sz w:val="20"/>
          <w:szCs w:val="20"/>
        </w:rPr>
        <w:t xml:space="preserve"> fibroze.</w:t>
      </w:r>
    </w:p>
    <w:p w:rsidR="00680049" w:rsidRPr="00D82856" w:rsidRDefault="00680049" w:rsidP="00680049">
      <w:pPr>
        <w:widowControl w:val="0"/>
        <w:autoSpaceDE w:val="0"/>
        <w:autoSpaceDN w:val="0"/>
        <w:spacing w:before="13" w:line="236" w:lineRule="exact"/>
        <w:ind w:left="204" w:right="639"/>
        <w:jc w:val="both"/>
        <w:rPr>
          <w:sz w:val="20"/>
          <w:szCs w:val="20"/>
        </w:rPr>
      </w:pPr>
      <w:r w:rsidRPr="00D82856">
        <w:rPr>
          <w:w w:val="105"/>
          <w:position w:val="10"/>
          <w:sz w:val="13"/>
          <w:szCs w:val="20"/>
        </w:rPr>
        <w:t>c</w:t>
      </w:r>
      <w:r w:rsidRPr="00D82856">
        <w:rPr>
          <w:spacing w:val="9"/>
          <w:w w:val="105"/>
          <w:position w:val="10"/>
          <w:sz w:val="13"/>
          <w:szCs w:val="20"/>
        </w:rPr>
        <w:t xml:space="preserve"> </w:t>
      </w:r>
      <w:r w:rsidRPr="00D82856">
        <w:rPr>
          <w:w w:val="105"/>
          <w:sz w:val="20"/>
          <w:szCs w:val="20"/>
        </w:rPr>
        <w:t>Srednja</w:t>
      </w:r>
      <w:r w:rsidRPr="00D82856">
        <w:rPr>
          <w:spacing w:val="-10"/>
          <w:w w:val="105"/>
          <w:sz w:val="20"/>
          <w:szCs w:val="20"/>
        </w:rPr>
        <w:t xml:space="preserve"> </w:t>
      </w:r>
      <w:r w:rsidRPr="00D82856">
        <w:rPr>
          <w:w w:val="105"/>
          <w:sz w:val="20"/>
          <w:szCs w:val="20"/>
        </w:rPr>
        <w:t>prom</w:t>
      </w:r>
      <w:r>
        <w:rPr>
          <w:w w:val="105"/>
          <w:sz w:val="20"/>
          <w:szCs w:val="20"/>
        </w:rPr>
        <w:t>j</w:t>
      </w:r>
      <w:r w:rsidRPr="00D82856">
        <w:rPr>
          <w:w w:val="105"/>
          <w:sz w:val="20"/>
          <w:szCs w:val="20"/>
        </w:rPr>
        <w:t>ena</w:t>
      </w:r>
      <w:r w:rsidRPr="00D82856">
        <w:rPr>
          <w:spacing w:val="-10"/>
          <w:w w:val="105"/>
          <w:sz w:val="20"/>
          <w:szCs w:val="20"/>
        </w:rPr>
        <w:t xml:space="preserve"> </w:t>
      </w:r>
      <w:r w:rsidRPr="00D82856">
        <w:rPr>
          <w:w w:val="105"/>
          <w:sz w:val="20"/>
          <w:szCs w:val="20"/>
        </w:rPr>
        <w:t>od</w:t>
      </w:r>
      <w:r w:rsidRPr="00D82856">
        <w:rPr>
          <w:spacing w:val="-10"/>
          <w:w w:val="105"/>
          <w:sz w:val="20"/>
          <w:szCs w:val="20"/>
        </w:rPr>
        <w:t xml:space="preserve"> </w:t>
      </w:r>
      <w:r w:rsidRPr="00D82856">
        <w:rPr>
          <w:w w:val="105"/>
          <w:sz w:val="20"/>
          <w:szCs w:val="20"/>
        </w:rPr>
        <w:t>početnih</w:t>
      </w:r>
      <w:r w:rsidRPr="00D82856">
        <w:rPr>
          <w:spacing w:val="-9"/>
          <w:w w:val="105"/>
          <w:sz w:val="20"/>
          <w:szCs w:val="20"/>
        </w:rPr>
        <w:t xml:space="preserve"> </w:t>
      </w:r>
      <w:r w:rsidRPr="00D82856">
        <w:rPr>
          <w:w w:val="105"/>
          <w:sz w:val="20"/>
          <w:szCs w:val="20"/>
        </w:rPr>
        <w:t>vr</w:t>
      </w:r>
      <w:r>
        <w:rPr>
          <w:w w:val="105"/>
          <w:sz w:val="20"/>
          <w:szCs w:val="20"/>
        </w:rPr>
        <w:t>ij</w:t>
      </w:r>
      <w:r w:rsidRPr="00D82856">
        <w:rPr>
          <w:w w:val="105"/>
          <w:sz w:val="20"/>
          <w:szCs w:val="20"/>
        </w:rPr>
        <w:t>ednosti</w:t>
      </w:r>
      <w:r w:rsidRPr="00D82856">
        <w:rPr>
          <w:spacing w:val="-9"/>
          <w:w w:val="105"/>
          <w:sz w:val="20"/>
          <w:szCs w:val="20"/>
        </w:rPr>
        <w:t xml:space="preserve"> </w:t>
      </w:r>
      <w:r w:rsidRPr="00D82856">
        <w:rPr>
          <w:w w:val="105"/>
          <w:sz w:val="20"/>
          <w:szCs w:val="20"/>
        </w:rPr>
        <w:t>HBV</w:t>
      </w:r>
      <w:r w:rsidRPr="00D82856">
        <w:rPr>
          <w:spacing w:val="-9"/>
          <w:w w:val="105"/>
          <w:sz w:val="20"/>
          <w:szCs w:val="20"/>
        </w:rPr>
        <w:t xml:space="preserve"> </w:t>
      </w:r>
      <w:r w:rsidRPr="00D82856">
        <w:rPr>
          <w:w w:val="105"/>
          <w:sz w:val="20"/>
          <w:szCs w:val="20"/>
        </w:rPr>
        <w:t>DNK</w:t>
      </w:r>
      <w:r w:rsidRPr="00D82856">
        <w:rPr>
          <w:spacing w:val="-9"/>
          <w:w w:val="105"/>
          <w:sz w:val="20"/>
          <w:szCs w:val="20"/>
        </w:rPr>
        <w:t xml:space="preserve"> </w:t>
      </w:r>
      <w:r w:rsidRPr="00D82856">
        <w:rPr>
          <w:spacing w:val="-4"/>
          <w:w w:val="105"/>
          <w:sz w:val="20"/>
          <w:szCs w:val="20"/>
        </w:rPr>
        <w:t>jedva</w:t>
      </w:r>
      <w:r w:rsidRPr="00D82856">
        <w:rPr>
          <w:spacing w:val="-2"/>
          <w:w w:val="105"/>
          <w:sz w:val="20"/>
          <w:szCs w:val="20"/>
        </w:rPr>
        <w:t xml:space="preserve"> </w:t>
      </w:r>
      <w:r w:rsidRPr="00D82856">
        <w:rPr>
          <w:w w:val="105"/>
          <w:sz w:val="20"/>
          <w:szCs w:val="20"/>
        </w:rPr>
        <w:t>da</w:t>
      </w:r>
      <w:r w:rsidRPr="00D82856">
        <w:rPr>
          <w:spacing w:val="-11"/>
          <w:w w:val="105"/>
          <w:sz w:val="20"/>
          <w:szCs w:val="20"/>
        </w:rPr>
        <w:t xml:space="preserve"> </w:t>
      </w:r>
      <w:r w:rsidRPr="00D82856">
        <w:rPr>
          <w:w w:val="105"/>
          <w:sz w:val="20"/>
          <w:szCs w:val="20"/>
        </w:rPr>
        <w:t>pokazuje</w:t>
      </w:r>
      <w:r w:rsidRPr="00D82856">
        <w:rPr>
          <w:spacing w:val="-11"/>
          <w:w w:val="105"/>
          <w:sz w:val="20"/>
          <w:szCs w:val="20"/>
        </w:rPr>
        <w:t xml:space="preserve"> </w:t>
      </w:r>
      <w:r w:rsidRPr="00D82856">
        <w:rPr>
          <w:w w:val="105"/>
          <w:sz w:val="20"/>
          <w:szCs w:val="20"/>
        </w:rPr>
        <w:t>razliku</w:t>
      </w:r>
      <w:r w:rsidRPr="00D82856">
        <w:rPr>
          <w:spacing w:val="-10"/>
          <w:w w:val="105"/>
          <w:sz w:val="20"/>
          <w:szCs w:val="20"/>
        </w:rPr>
        <w:t xml:space="preserve"> </w:t>
      </w:r>
      <w:r>
        <w:rPr>
          <w:w w:val="105"/>
          <w:sz w:val="20"/>
          <w:szCs w:val="20"/>
        </w:rPr>
        <w:t>izmeđ</w:t>
      </w:r>
      <w:r w:rsidRPr="00D82856">
        <w:rPr>
          <w:w w:val="105"/>
          <w:sz w:val="20"/>
          <w:szCs w:val="20"/>
        </w:rPr>
        <w:t>u</w:t>
      </w:r>
      <w:r w:rsidRPr="00D82856">
        <w:rPr>
          <w:spacing w:val="-15"/>
          <w:w w:val="105"/>
          <w:sz w:val="20"/>
          <w:szCs w:val="20"/>
        </w:rPr>
        <w:t xml:space="preserve"> </w:t>
      </w:r>
      <w:r w:rsidRPr="00D82856">
        <w:rPr>
          <w:w w:val="105"/>
          <w:sz w:val="20"/>
          <w:szCs w:val="20"/>
        </w:rPr>
        <w:t>početnog</w:t>
      </w:r>
      <w:r w:rsidRPr="00D82856">
        <w:rPr>
          <w:spacing w:val="-10"/>
          <w:w w:val="105"/>
          <w:sz w:val="20"/>
          <w:szCs w:val="20"/>
        </w:rPr>
        <w:t xml:space="preserve"> </w:t>
      </w:r>
      <w:r w:rsidRPr="00D82856">
        <w:rPr>
          <w:w w:val="105"/>
          <w:sz w:val="20"/>
          <w:szCs w:val="20"/>
        </w:rPr>
        <w:t>nivoa</w:t>
      </w:r>
      <w:r w:rsidRPr="00D82856">
        <w:rPr>
          <w:spacing w:val="-10"/>
          <w:w w:val="105"/>
          <w:sz w:val="20"/>
          <w:szCs w:val="20"/>
        </w:rPr>
        <w:t xml:space="preserve"> </w:t>
      </w:r>
      <w:r w:rsidRPr="00D82856">
        <w:rPr>
          <w:w w:val="105"/>
          <w:sz w:val="20"/>
          <w:szCs w:val="20"/>
        </w:rPr>
        <w:t>HBV</w:t>
      </w:r>
      <w:r w:rsidRPr="00D82856">
        <w:rPr>
          <w:spacing w:val="-10"/>
          <w:w w:val="105"/>
          <w:sz w:val="20"/>
          <w:szCs w:val="20"/>
        </w:rPr>
        <w:t xml:space="preserve"> </w:t>
      </w:r>
      <w:r w:rsidRPr="00D82856">
        <w:rPr>
          <w:w w:val="105"/>
          <w:sz w:val="20"/>
          <w:szCs w:val="20"/>
        </w:rPr>
        <w:t>DNK</w:t>
      </w:r>
      <w:r w:rsidRPr="00D82856">
        <w:rPr>
          <w:spacing w:val="-10"/>
          <w:w w:val="105"/>
          <w:sz w:val="20"/>
          <w:szCs w:val="20"/>
        </w:rPr>
        <w:t xml:space="preserve"> </w:t>
      </w:r>
      <w:r w:rsidRPr="00D82856">
        <w:rPr>
          <w:w w:val="105"/>
          <w:sz w:val="20"/>
          <w:szCs w:val="20"/>
        </w:rPr>
        <w:t>i limita detekcije (LOD)</w:t>
      </w:r>
      <w:r w:rsidRPr="00D82856">
        <w:rPr>
          <w:spacing w:val="-9"/>
          <w:w w:val="105"/>
          <w:sz w:val="20"/>
          <w:szCs w:val="20"/>
        </w:rPr>
        <w:t xml:space="preserve"> </w:t>
      </w:r>
      <w:r w:rsidRPr="00D82856">
        <w:rPr>
          <w:w w:val="105"/>
          <w:sz w:val="20"/>
          <w:szCs w:val="20"/>
        </w:rPr>
        <w:t>testa.</w:t>
      </w:r>
    </w:p>
    <w:p w:rsidR="00680049" w:rsidRDefault="00680049" w:rsidP="00680049">
      <w:pPr>
        <w:widowControl w:val="0"/>
        <w:autoSpaceDE w:val="0"/>
        <w:autoSpaceDN w:val="0"/>
        <w:spacing w:line="230" w:lineRule="exact"/>
        <w:ind w:left="204"/>
        <w:jc w:val="both"/>
        <w:rPr>
          <w:w w:val="105"/>
          <w:sz w:val="20"/>
        </w:rPr>
      </w:pPr>
      <w:r w:rsidRPr="00D82856">
        <w:rPr>
          <w:w w:val="105"/>
          <w:position w:val="9"/>
          <w:sz w:val="13"/>
          <w:szCs w:val="20"/>
        </w:rPr>
        <w:t xml:space="preserve">d </w:t>
      </w:r>
      <w:r w:rsidRPr="00D82856">
        <w:rPr>
          <w:w w:val="105"/>
          <w:sz w:val="20"/>
          <w:szCs w:val="20"/>
        </w:rPr>
        <w:t>Populacija korišćena za analizu normalizacije ALT uključivala je samo pacijente sa ALT iznad</w:t>
      </w:r>
      <w:r>
        <w:rPr>
          <w:w w:val="105"/>
          <w:sz w:val="20"/>
          <w:szCs w:val="20"/>
        </w:rPr>
        <w:t xml:space="preserve"> </w:t>
      </w:r>
      <w:r w:rsidRPr="00495BB5">
        <w:rPr>
          <w:w w:val="105"/>
          <w:sz w:val="20"/>
        </w:rPr>
        <w:t xml:space="preserve">gornje normalne granice na početku ispitivanja. </w:t>
      </w:r>
    </w:p>
    <w:p w:rsidR="00680049" w:rsidRPr="00495BB5" w:rsidRDefault="00680049" w:rsidP="00680049">
      <w:pPr>
        <w:widowControl w:val="0"/>
        <w:autoSpaceDE w:val="0"/>
        <w:autoSpaceDN w:val="0"/>
        <w:spacing w:line="230" w:lineRule="exact"/>
        <w:ind w:left="204"/>
        <w:jc w:val="both"/>
        <w:rPr>
          <w:sz w:val="20"/>
          <w:szCs w:val="20"/>
        </w:rPr>
      </w:pPr>
      <w:r w:rsidRPr="00495BB5">
        <w:rPr>
          <w:w w:val="105"/>
          <w:sz w:val="20"/>
        </w:rPr>
        <w:t>n/a</w:t>
      </w:r>
      <w:r>
        <w:rPr>
          <w:w w:val="105"/>
          <w:sz w:val="20"/>
        </w:rPr>
        <w:t>=</w:t>
      </w:r>
      <w:r w:rsidRPr="00495BB5">
        <w:rPr>
          <w:w w:val="105"/>
          <w:sz w:val="20"/>
        </w:rPr>
        <w:t xml:space="preserve"> nije primjenljivo.</w:t>
      </w:r>
    </w:p>
    <w:p w:rsidR="00A545E4" w:rsidRDefault="00A545E4" w:rsidP="00680049">
      <w:pPr>
        <w:tabs>
          <w:tab w:val="left" w:pos="540"/>
          <w:tab w:val="left" w:pos="569"/>
        </w:tabs>
        <w:jc w:val="both"/>
        <w:rPr>
          <w:bCs/>
          <w:sz w:val="22"/>
          <w:szCs w:val="22"/>
        </w:rPr>
      </w:pPr>
    </w:p>
    <w:p w:rsidR="0074527F" w:rsidRPr="0074527F" w:rsidRDefault="0074527F" w:rsidP="0074527F">
      <w:pPr>
        <w:tabs>
          <w:tab w:val="left" w:pos="540"/>
          <w:tab w:val="left" w:pos="569"/>
        </w:tabs>
        <w:jc w:val="both"/>
        <w:rPr>
          <w:bCs/>
          <w:sz w:val="22"/>
          <w:szCs w:val="22"/>
        </w:rPr>
      </w:pPr>
      <w:r w:rsidRPr="0074527F">
        <w:rPr>
          <w:bCs/>
          <w:sz w:val="22"/>
          <w:szCs w:val="22"/>
        </w:rPr>
        <w:t>Tenofovir dizoproksil povezan je sa mnogo većim procentom pacijenata sa HBV DNK koji nije moguće detektovati (&lt; 169 kopija/</w:t>
      </w:r>
      <w:r w:rsidR="00B83CAB">
        <w:rPr>
          <w:bCs/>
          <w:sz w:val="22"/>
          <w:szCs w:val="22"/>
        </w:rPr>
        <w:t>ml</w:t>
      </w:r>
      <w:r w:rsidRPr="0074527F">
        <w:rPr>
          <w:bCs/>
          <w:sz w:val="22"/>
          <w:szCs w:val="22"/>
        </w:rPr>
        <w:t xml:space="preserve"> [&lt;29 I.J/</w:t>
      </w:r>
      <w:r w:rsidR="00B83CAB">
        <w:rPr>
          <w:bCs/>
          <w:sz w:val="22"/>
          <w:szCs w:val="22"/>
        </w:rPr>
        <w:t>ml</w:t>
      </w:r>
      <w:r w:rsidRPr="0074527F">
        <w:rPr>
          <w:bCs/>
          <w:sz w:val="22"/>
          <w:szCs w:val="22"/>
        </w:rPr>
        <w:t xml:space="preserve">]; limit kvantifikacije </w:t>
      </w:r>
      <w:r w:rsidRPr="0074527F">
        <w:rPr>
          <w:bCs/>
          <w:i/>
          <w:sz w:val="22"/>
          <w:szCs w:val="22"/>
        </w:rPr>
        <w:t>Roche Cobas Taqman</w:t>
      </w:r>
      <w:r w:rsidRPr="0074527F">
        <w:rPr>
          <w:bCs/>
          <w:sz w:val="22"/>
          <w:szCs w:val="22"/>
        </w:rPr>
        <w:t xml:space="preserve"> testa na HBV) u poređenju sa adefovir dipivoksilom (ispitivanje GS-US-174-0102; 91%, 56% i ispitivanje GS-US-174-0103; 69%, 9%).</w:t>
      </w:r>
    </w:p>
    <w:p w:rsidR="0074527F" w:rsidRPr="0074527F" w:rsidRDefault="0074527F" w:rsidP="0074527F">
      <w:pPr>
        <w:tabs>
          <w:tab w:val="left" w:pos="540"/>
          <w:tab w:val="left" w:pos="569"/>
        </w:tabs>
        <w:jc w:val="both"/>
        <w:rPr>
          <w:bCs/>
          <w:sz w:val="22"/>
          <w:szCs w:val="22"/>
        </w:rPr>
      </w:pPr>
    </w:p>
    <w:p w:rsidR="0074527F" w:rsidRPr="0074527F" w:rsidRDefault="0074527F" w:rsidP="0074527F">
      <w:pPr>
        <w:tabs>
          <w:tab w:val="left" w:pos="540"/>
          <w:tab w:val="left" w:pos="569"/>
        </w:tabs>
        <w:jc w:val="both"/>
        <w:rPr>
          <w:bCs/>
          <w:sz w:val="22"/>
          <w:szCs w:val="22"/>
        </w:rPr>
      </w:pPr>
      <w:r w:rsidRPr="0074527F">
        <w:rPr>
          <w:bCs/>
          <w:sz w:val="22"/>
          <w:szCs w:val="22"/>
        </w:rPr>
        <w:t>Odgovor na terapiju sa tenofovir dizoproksilom uporediv je kod pacijenata koji su prethodno liječeni nukleozidima (n=51), kod pacijenata koji ni</w:t>
      </w:r>
      <w:r w:rsidR="00544BFD">
        <w:rPr>
          <w:bCs/>
          <w:sz w:val="22"/>
          <w:szCs w:val="22"/>
        </w:rPr>
        <w:t>je</w:t>
      </w:r>
      <w:r w:rsidRPr="0074527F">
        <w:rPr>
          <w:bCs/>
          <w:sz w:val="22"/>
          <w:szCs w:val="22"/>
        </w:rPr>
        <w:t>su prethodno liječeni nukleozidima (n=375) i kod pacijenata sa normalnim nivoom ALT-a (n=21) i abnormalnim nivoom ALT-a (n=405) na početku kad su ispitivanja GS-US-174-0102 i GS-US- 174-0103 kombinovana. Četrdeset i devet od 51 pacijenta koji su prethodno liječeni nukleozidima prethodno su bili liječeni lamivudinom. Sedamdeset tri posto pacijenta koji su liječeni nukleozidima i 69% pacijenata koji ni</w:t>
      </w:r>
      <w:r w:rsidR="00544BFD">
        <w:rPr>
          <w:bCs/>
          <w:sz w:val="22"/>
          <w:szCs w:val="22"/>
        </w:rPr>
        <w:t>je</w:t>
      </w:r>
      <w:r w:rsidRPr="0074527F">
        <w:rPr>
          <w:bCs/>
          <w:sz w:val="22"/>
          <w:szCs w:val="22"/>
        </w:rPr>
        <w:t>su prethodno liječeni nukleozidima postignut je potpuni odgovor na liječenje; 90% pacijenata koji su liječeni nukleozidima i 88% pacijenata koji ni</w:t>
      </w:r>
      <w:r w:rsidR="00544BFD">
        <w:rPr>
          <w:bCs/>
          <w:sz w:val="22"/>
          <w:szCs w:val="22"/>
        </w:rPr>
        <w:t>je</w:t>
      </w:r>
      <w:r w:rsidRPr="0074527F">
        <w:rPr>
          <w:bCs/>
          <w:sz w:val="22"/>
          <w:szCs w:val="22"/>
        </w:rPr>
        <w:t>su liječeni nukleozidima postignuta je supresija HBV DNK na nivou manjem od 400 kopija/</w:t>
      </w:r>
      <w:r w:rsidR="00B83CAB">
        <w:rPr>
          <w:bCs/>
          <w:sz w:val="22"/>
          <w:szCs w:val="22"/>
        </w:rPr>
        <w:t>ml</w:t>
      </w:r>
      <w:r w:rsidRPr="0074527F">
        <w:rPr>
          <w:bCs/>
          <w:sz w:val="22"/>
          <w:szCs w:val="22"/>
        </w:rPr>
        <w:t>. Svi pacijenti sa normalnim početnim nivoom ALT-a i 88% pacijenata sa abnormalnim početnim nivoom ALT-a postigli su supresiju HBV DNK na nivou manjem od 400 kopija/</w:t>
      </w:r>
      <w:r w:rsidR="00B83CAB">
        <w:rPr>
          <w:bCs/>
          <w:sz w:val="22"/>
          <w:szCs w:val="22"/>
        </w:rPr>
        <w:t>ml</w:t>
      </w:r>
      <w:r w:rsidRPr="0074527F">
        <w:rPr>
          <w:bCs/>
          <w:sz w:val="22"/>
          <w:szCs w:val="22"/>
        </w:rPr>
        <w:t>.</w:t>
      </w:r>
    </w:p>
    <w:p w:rsidR="0074527F" w:rsidRPr="0074527F" w:rsidRDefault="0074527F" w:rsidP="0074527F">
      <w:pPr>
        <w:tabs>
          <w:tab w:val="left" w:pos="540"/>
          <w:tab w:val="left" w:pos="569"/>
        </w:tabs>
        <w:jc w:val="both"/>
        <w:rPr>
          <w:bCs/>
          <w:sz w:val="22"/>
          <w:szCs w:val="22"/>
        </w:rPr>
      </w:pPr>
    </w:p>
    <w:p w:rsidR="0074527F" w:rsidRPr="0074527F" w:rsidRDefault="0074527F" w:rsidP="0074527F">
      <w:pPr>
        <w:tabs>
          <w:tab w:val="left" w:pos="540"/>
          <w:tab w:val="left" w:pos="569"/>
        </w:tabs>
        <w:jc w:val="both"/>
        <w:rPr>
          <w:bCs/>
          <w:i/>
          <w:sz w:val="22"/>
          <w:szCs w:val="22"/>
        </w:rPr>
      </w:pPr>
      <w:r w:rsidRPr="0074527F">
        <w:rPr>
          <w:bCs/>
          <w:i/>
          <w:sz w:val="22"/>
          <w:szCs w:val="22"/>
        </w:rPr>
        <w:t>Iskustva nakon 48 nedjelja u ispitivanjima GS-US-174-0102 i GS-US-174-0103</w:t>
      </w:r>
    </w:p>
    <w:p w:rsidR="0074527F" w:rsidRPr="0074527F" w:rsidRDefault="0074527F" w:rsidP="0074527F">
      <w:pPr>
        <w:tabs>
          <w:tab w:val="left" w:pos="540"/>
          <w:tab w:val="left" w:pos="569"/>
        </w:tabs>
        <w:jc w:val="both"/>
        <w:rPr>
          <w:bCs/>
          <w:sz w:val="22"/>
          <w:szCs w:val="22"/>
        </w:rPr>
      </w:pPr>
      <w:r w:rsidRPr="0074527F">
        <w:rPr>
          <w:bCs/>
          <w:sz w:val="22"/>
          <w:szCs w:val="22"/>
        </w:rPr>
        <w:t>U ispitivanjima GSUS-174-0102 i GS-US-174-0103, nakon uzimanja dvostruko slijepe terapije tokom 48 nedjelja (245 mg tenofovir</w:t>
      </w:r>
      <w:r w:rsidR="00EF0263">
        <w:rPr>
          <w:bCs/>
          <w:sz w:val="22"/>
          <w:szCs w:val="22"/>
        </w:rPr>
        <w:t xml:space="preserve"> </w:t>
      </w:r>
      <w:r w:rsidRPr="0074527F">
        <w:rPr>
          <w:bCs/>
          <w:sz w:val="22"/>
          <w:szCs w:val="22"/>
        </w:rPr>
        <w:t>dizoproksila ili 10 mg adefovir</w:t>
      </w:r>
      <w:r w:rsidR="00EF0263">
        <w:rPr>
          <w:bCs/>
          <w:sz w:val="22"/>
          <w:szCs w:val="22"/>
        </w:rPr>
        <w:t xml:space="preserve"> </w:t>
      </w:r>
      <w:r w:rsidRPr="0074527F">
        <w:rPr>
          <w:bCs/>
          <w:sz w:val="22"/>
          <w:szCs w:val="22"/>
        </w:rPr>
        <w:t>dipivoksila), pacijenti su bez prekida terapije prešli u otvoreno ispitivanje tenofovir dizoproksil</w:t>
      </w:r>
      <w:r>
        <w:rPr>
          <w:bCs/>
          <w:sz w:val="22"/>
          <w:szCs w:val="22"/>
        </w:rPr>
        <w:t>a</w:t>
      </w:r>
      <w:r w:rsidRPr="0074527F">
        <w:rPr>
          <w:bCs/>
          <w:sz w:val="22"/>
          <w:szCs w:val="22"/>
        </w:rPr>
        <w:t xml:space="preserve">. U ispitivanju GS-US-174-0102, 90% i 88% pacijenata i u ispitivanju GS-US-174-0103, 77% i 61% su dovršili 384 nedjeljno liječenje. U 96.,144.,192.,240.,288. </w:t>
      </w:r>
      <w:r w:rsidR="00544BFD">
        <w:rPr>
          <w:bCs/>
          <w:sz w:val="22"/>
          <w:szCs w:val="22"/>
        </w:rPr>
        <w:t>i</w:t>
      </w:r>
      <w:r w:rsidRPr="0074527F">
        <w:rPr>
          <w:bCs/>
          <w:sz w:val="22"/>
          <w:szCs w:val="22"/>
        </w:rPr>
        <w:t xml:space="preserve"> 384</w:t>
      </w:r>
      <w:r w:rsidR="00544BFD">
        <w:rPr>
          <w:bCs/>
          <w:sz w:val="22"/>
          <w:szCs w:val="22"/>
        </w:rPr>
        <w:t>.</w:t>
      </w:r>
      <w:r w:rsidRPr="0074527F">
        <w:rPr>
          <w:bCs/>
          <w:sz w:val="22"/>
          <w:szCs w:val="22"/>
        </w:rPr>
        <w:t xml:space="preserve"> nedjelji, održani su supresija virusa, biohemijski i serološki odgovori uz nastavak liječenj</w:t>
      </w:r>
      <w:r>
        <w:rPr>
          <w:bCs/>
          <w:sz w:val="22"/>
          <w:szCs w:val="22"/>
        </w:rPr>
        <w:t xml:space="preserve">a tenofovir dizoproksilom </w:t>
      </w:r>
      <w:r w:rsidRPr="0074527F">
        <w:rPr>
          <w:bCs/>
          <w:sz w:val="22"/>
          <w:szCs w:val="22"/>
        </w:rPr>
        <w:t>(vidjeti Tabele 4 i 5).</w:t>
      </w:r>
    </w:p>
    <w:p w:rsidR="00680049" w:rsidRPr="00786071" w:rsidRDefault="00680049" w:rsidP="00680049">
      <w:pPr>
        <w:tabs>
          <w:tab w:val="left" w:pos="540"/>
          <w:tab w:val="left" w:pos="569"/>
        </w:tabs>
        <w:jc w:val="both"/>
        <w:rPr>
          <w:bCs/>
          <w:sz w:val="22"/>
          <w:szCs w:val="22"/>
        </w:rPr>
      </w:pPr>
    </w:p>
    <w:p w:rsidR="0074527F" w:rsidRDefault="0074527F" w:rsidP="0074527F">
      <w:pPr>
        <w:tabs>
          <w:tab w:val="left" w:pos="540"/>
          <w:tab w:val="left" w:pos="569"/>
        </w:tabs>
        <w:jc w:val="both"/>
        <w:rPr>
          <w:b/>
          <w:bCs/>
          <w:sz w:val="22"/>
          <w:szCs w:val="22"/>
        </w:rPr>
      </w:pPr>
      <w:r w:rsidRPr="0074527F">
        <w:rPr>
          <w:b/>
          <w:bCs/>
          <w:sz w:val="22"/>
          <w:szCs w:val="22"/>
        </w:rPr>
        <w:t>Tabela 4: Parametri efikasnosti kod kompenzovanih HbeAg negativnih pacijenata u 96., 144., 192., 240., 288. i 384. nedjelji liječenja u otvorenom ispitivanju</w:t>
      </w:r>
    </w:p>
    <w:p w:rsidR="0074527F" w:rsidRPr="0074527F" w:rsidRDefault="0074527F" w:rsidP="0074527F">
      <w:pPr>
        <w:tabs>
          <w:tab w:val="left" w:pos="540"/>
          <w:tab w:val="left" w:pos="569"/>
        </w:tabs>
        <w:jc w:val="both"/>
        <w:rPr>
          <w:b/>
          <w:bCs/>
          <w:sz w:val="22"/>
          <w:szCs w:val="22"/>
        </w:rPr>
      </w:pPr>
    </w:p>
    <w:tbl>
      <w:tblPr>
        <w:tblW w:w="0" w:type="auto"/>
        <w:jc w:val="center"/>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3093"/>
        <w:gridCol w:w="350"/>
        <w:gridCol w:w="453"/>
        <w:gridCol w:w="460"/>
        <w:gridCol w:w="555"/>
        <w:gridCol w:w="1058"/>
        <w:gridCol w:w="460"/>
        <w:gridCol w:w="343"/>
        <w:gridCol w:w="437"/>
        <w:gridCol w:w="460"/>
        <w:gridCol w:w="429"/>
        <w:gridCol w:w="499"/>
        <w:gridCol w:w="460"/>
      </w:tblGrid>
      <w:tr w:rsidR="0074527F" w:rsidRPr="00DC47C3" w:rsidTr="0074527F">
        <w:trPr>
          <w:jc w:val="center"/>
        </w:trPr>
        <w:tc>
          <w:tcPr>
            <w:tcW w:w="3056" w:type="dxa"/>
            <w:tcBorders>
              <w:top w:val="outset" w:sz="6" w:space="0" w:color="7B7B7B"/>
              <w:left w:val="outset" w:sz="6" w:space="0" w:color="7B7B7B"/>
              <w:bottom w:val="outset" w:sz="6" w:space="0" w:color="7B7B7B"/>
            </w:tcBorders>
            <w:shd w:val="clear" w:color="auto" w:fill="FFFFFF"/>
            <w:hideMark/>
          </w:tcPr>
          <w:p w:rsidR="0074527F" w:rsidRPr="00DC47C3" w:rsidRDefault="0074527F" w:rsidP="0074527F">
            <w:pPr>
              <w:tabs>
                <w:tab w:val="left" w:pos="540"/>
                <w:tab w:val="left" w:pos="569"/>
              </w:tabs>
              <w:rPr>
                <w:b/>
                <w:bCs/>
                <w:sz w:val="22"/>
                <w:szCs w:val="22"/>
                <w:lang w:val="en-GB"/>
              </w:rPr>
            </w:pPr>
            <w:r w:rsidRPr="00DC47C3">
              <w:rPr>
                <w:b/>
                <w:bCs/>
                <w:sz w:val="22"/>
                <w:szCs w:val="22"/>
                <w:lang w:val="en-GB"/>
              </w:rPr>
              <w:br/>
            </w:r>
          </w:p>
        </w:tc>
        <w:tc>
          <w:tcPr>
            <w:tcW w:w="6001" w:type="dxa"/>
            <w:gridSpan w:val="12"/>
            <w:tcBorders>
              <w:top w:val="outset" w:sz="6" w:space="0" w:color="7B7B7B"/>
              <w:left w:val="outset" w:sz="6" w:space="0" w:color="7B7B7B"/>
              <w:bottom w:val="outset" w:sz="6" w:space="0" w:color="7B7B7B"/>
            </w:tcBorders>
            <w:shd w:val="clear" w:color="auto" w:fill="FFFFFF"/>
          </w:tcPr>
          <w:p w:rsidR="0074527F" w:rsidRPr="00DC47C3" w:rsidRDefault="0074527F" w:rsidP="0074527F">
            <w:pPr>
              <w:tabs>
                <w:tab w:val="left" w:pos="540"/>
                <w:tab w:val="left" w:pos="569"/>
              </w:tabs>
              <w:jc w:val="center"/>
              <w:rPr>
                <w:b/>
                <w:bCs/>
                <w:sz w:val="22"/>
                <w:szCs w:val="22"/>
                <w:lang w:val="en-GB"/>
              </w:rPr>
            </w:pPr>
            <w:r>
              <w:rPr>
                <w:b/>
                <w:bCs/>
                <w:sz w:val="22"/>
                <w:szCs w:val="22"/>
                <w:lang w:val="en-GB"/>
              </w:rPr>
              <w:t>Studija 174-0102 (HBeAg negativni</w:t>
            </w:r>
            <w:r w:rsidRPr="00DC47C3">
              <w:rPr>
                <w:b/>
                <w:bCs/>
                <w:sz w:val="22"/>
                <w:szCs w:val="22"/>
                <w:lang w:val="en-GB"/>
              </w:rPr>
              <w:t>)</w:t>
            </w:r>
          </w:p>
        </w:tc>
      </w:tr>
      <w:tr w:rsidR="0074527F" w:rsidRPr="00DC47C3" w:rsidTr="0074527F">
        <w:trPr>
          <w:jc w:val="center"/>
        </w:trPr>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rPr>
                <w:bCs/>
                <w:sz w:val="22"/>
                <w:szCs w:val="22"/>
                <w:lang w:val="en-GB"/>
              </w:rPr>
            </w:pPr>
            <w:r w:rsidRPr="0074527F">
              <w:rPr>
                <w:bCs/>
                <w:sz w:val="22"/>
                <w:szCs w:val="22"/>
                <w:lang w:val="en-GB"/>
              </w:rPr>
              <w:t>Parametar</w:t>
            </w:r>
            <w:r w:rsidRPr="0074527F">
              <w:rPr>
                <w:bCs/>
                <w:sz w:val="22"/>
                <w:szCs w:val="22"/>
                <w:vertAlign w:val="superscript"/>
                <w:lang w:val="en-GB"/>
              </w:rPr>
              <w:t>a</w:t>
            </w:r>
          </w:p>
        </w:tc>
        <w:tc>
          <w:tcPr>
            <w:tcW w:w="0" w:type="auto"/>
            <w:gridSpan w:val="6"/>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EF0263" w:rsidP="0074527F">
            <w:pPr>
              <w:tabs>
                <w:tab w:val="left" w:pos="540"/>
                <w:tab w:val="left" w:pos="569"/>
              </w:tabs>
              <w:jc w:val="center"/>
              <w:rPr>
                <w:bCs/>
                <w:sz w:val="22"/>
                <w:szCs w:val="22"/>
                <w:lang w:val="en-GB"/>
              </w:rPr>
            </w:pPr>
            <w:r>
              <w:rPr>
                <w:bCs/>
                <w:sz w:val="22"/>
                <w:szCs w:val="22"/>
                <w:lang w:val="en-GB"/>
              </w:rPr>
              <w:t>Tenofovir diz</w:t>
            </w:r>
            <w:r w:rsidR="0074527F" w:rsidRPr="0074527F">
              <w:rPr>
                <w:bCs/>
                <w:sz w:val="22"/>
                <w:szCs w:val="22"/>
                <w:lang w:val="en-GB"/>
              </w:rPr>
              <w:t>oproksil 245 mg</w:t>
            </w: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 = 250</w:t>
            </w:r>
          </w:p>
        </w:tc>
        <w:tc>
          <w:tcPr>
            <w:tcW w:w="0" w:type="auto"/>
            <w:gridSpan w:val="6"/>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 xml:space="preserve">Adefovir dipivoksil </w:t>
            </w:r>
            <w:r w:rsidR="00EF0263">
              <w:rPr>
                <w:bCs/>
                <w:sz w:val="22"/>
                <w:szCs w:val="22"/>
                <w:lang w:val="en-GB"/>
              </w:rPr>
              <w:t>10 mg prelazak na tenofovir diz</w:t>
            </w:r>
            <w:r w:rsidRPr="0074527F">
              <w:rPr>
                <w:bCs/>
                <w:sz w:val="22"/>
                <w:szCs w:val="22"/>
                <w:lang w:val="en-GB"/>
              </w:rPr>
              <w:t>oproksil 245 mg</w:t>
            </w: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 = 125</w:t>
            </w:r>
          </w:p>
        </w:tc>
      </w:tr>
      <w:tr w:rsidR="0074527F" w:rsidRPr="00DC47C3" w:rsidTr="0074527F">
        <w:trPr>
          <w:jc w:val="center"/>
        </w:trPr>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DC47C3" w:rsidRDefault="0074527F" w:rsidP="0074527F">
            <w:pPr>
              <w:tabs>
                <w:tab w:val="left" w:pos="540"/>
                <w:tab w:val="left" w:pos="569"/>
              </w:tabs>
              <w:rPr>
                <w:b/>
                <w:bCs/>
                <w:sz w:val="22"/>
                <w:szCs w:val="22"/>
                <w:lang w:val="en-GB"/>
              </w:rPr>
            </w:pPr>
            <w:r>
              <w:rPr>
                <w:b/>
                <w:bCs/>
                <w:sz w:val="22"/>
                <w:szCs w:val="22"/>
                <w:lang w:val="en-GB"/>
              </w:rPr>
              <w:t>Nedjelja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96</w:t>
            </w:r>
            <w:r w:rsidRPr="0074527F">
              <w:rPr>
                <w:bCs/>
                <w:sz w:val="22"/>
                <w:szCs w:val="22"/>
                <w:vertAlign w:val="superscript"/>
                <w:lang w:val="en-GB"/>
              </w:rPr>
              <w:t>b</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144</w:t>
            </w:r>
            <w:r w:rsidRPr="0074527F">
              <w:rPr>
                <w:bCs/>
                <w:sz w:val="22"/>
                <w:szCs w:val="22"/>
                <w:vertAlign w:val="superscript"/>
                <w:lang w:val="en-GB"/>
              </w:rPr>
              <w:t>e</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192</w:t>
            </w:r>
            <w:r w:rsidRPr="0074527F">
              <w:rPr>
                <w:bCs/>
                <w:sz w:val="22"/>
                <w:szCs w:val="22"/>
                <w:vertAlign w:val="superscript"/>
                <w:lang w:val="en-GB"/>
              </w:rPr>
              <w:t>g</w:t>
            </w:r>
          </w:p>
        </w:tc>
        <w:tc>
          <w:tcPr>
            <w:tcW w:w="561"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240</w:t>
            </w:r>
            <w:r w:rsidRPr="0074527F">
              <w:rPr>
                <w:bCs/>
                <w:sz w:val="22"/>
                <w:szCs w:val="22"/>
                <w:vertAlign w:val="superscript"/>
                <w:lang w:val="en-GB"/>
              </w:rPr>
              <w:t>i</w:t>
            </w:r>
          </w:p>
        </w:tc>
        <w:tc>
          <w:tcPr>
            <w:tcW w:w="1089"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288</w:t>
            </w:r>
            <w:r w:rsidRPr="0074527F">
              <w:rPr>
                <w:bCs/>
                <w:sz w:val="22"/>
                <w:szCs w:val="22"/>
                <w:vertAlign w:val="superscript"/>
                <w:lang w:val="en-GB"/>
              </w:rPr>
              <w:t>l</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384</w:t>
            </w:r>
            <w:r w:rsidRPr="0074527F">
              <w:rPr>
                <w:bCs/>
                <w:sz w:val="22"/>
                <w:szCs w:val="22"/>
                <w:vertAlign w:val="superscript"/>
                <w:lang w:val="en-GB"/>
              </w:rPr>
              <w:t>o</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96</w:t>
            </w:r>
            <w:r w:rsidRPr="0074527F">
              <w:rPr>
                <w:bCs/>
                <w:sz w:val="22"/>
                <w:szCs w:val="22"/>
                <w:vertAlign w:val="superscript"/>
                <w:lang w:val="en-GB"/>
              </w:rPr>
              <w:t>c</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144</w:t>
            </w:r>
            <w:r w:rsidRPr="0074527F">
              <w:rPr>
                <w:bCs/>
                <w:sz w:val="22"/>
                <w:szCs w:val="22"/>
                <w:vertAlign w:val="superscript"/>
                <w:lang w:val="en-GB"/>
              </w:rPr>
              <w:t>f</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192</w:t>
            </w:r>
            <w:r w:rsidRPr="0074527F">
              <w:rPr>
                <w:bCs/>
                <w:sz w:val="22"/>
                <w:szCs w:val="22"/>
                <w:vertAlign w:val="superscript"/>
                <w:lang w:val="en-GB"/>
              </w:rPr>
              <w:t>h</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240</w:t>
            </w:r>
            <w:r w:rsidRPr="0074527F">
              <w:rPr>
                <w:bCs/>
                <w:sz w:val="22"/>
                <w:szCs w:val="22"/>
                <w:vertAlign w:val="superscript"/>
                <w:lang w:val="en-GB"/>
              </w:rPr>
              <w:t>j</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288</w:t>
            </w:r>
            <w:r w:rsidRPr="0074527F">
              <w:rPr>
                <w:bCs/>
                <w:sz w:val="22"/>
                <w:szCs w:val="22"/>
                <w:vertAlign w:val="superscript"/>
                <w:lang w:val="en-GB"/>
              </w:rPr>
              <w:t>m</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384</w:t>
            </w:r>
            <w:r w:rsidRPr="0074527F">
              <w:rPr>
                <w:bCs/>
                <w:sz w:val="22"/>
                <w:szCs w:val="22"/>
                <w:vertAlign w:val="superscript"/>
                <w:lang w:val="en-GB"/>
              </w:rPr>
              <w:t>p</w:t>
            </w:r>
          </w:p>
        </w:tc>
      </w:tr>
      <w:tr w:rsidR="0074527F" w:rsidRPr="00DC47C3" w:rsidTr="0074527F">
        <w:trPr>
          <w:jc w:val="center"/>
        </w:trPr>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DC47C3" w:rsidRDefault="0074527F" w:rsidP="0074527F">
            <w:pPr>
              <w:tabs>
                <w:tab w:val="left" w:pos="540"/>
                <w:tab w:val="left" w:pos="569"/>
              </w:tabs>
              <w:rPr>
                <w:b/>
                <w:bCs/>
                <w:sz w:val="22"/>
                <w:szCs w:val="22"/>
                <w:lang w:val="en-GB"/>
              </w:rPr>
            </w:pPr>
            <w:r>
              <w:rPr>
                <w:b/>
                <w:bCs/>
                <w:sz w:val="22"/>
                <w:szCs w:val="22"/>
                <w:lang w:val="en-GB"/>
              </w:rPr>
              <w:t>HBV DNK</w:t>
            </w:r>
            <w:r w:rsidRPr="00DC47C3">
              <w:rPr>
                <w:b/>
                <w:bCs/>
                <w:sz w:val="22"/>
                <w:szCs w:val="22"/>
                <w:lang w:val="en-GB"/>
              </w:rPr>
              <w:t> (%)</w:t>
            </w:r>
          </w:p>
          <w:p w:rsidR="0074527F" w:rsidRPr="0074527F" w:rsidRDefault="0074527F" w:rsidP="0074527F">
            <w:pPr>
              <w:tabs>
                <w:tab w:val="left" w:pos="540"/>
                <w:tab w:val="left" w:pos="569"/>
              </w:tabs>
              <w:rPr>
                <w:bCs/>
                <w:sz w:val="22"/>
                <w:szCs w:val="22"/>
                <w:lang w:val="en-GB"/>
              </w:rPr>
            </w:pPr>
            <w:r w:rsidRPr="0074527F">
              <w:rPr>
                <w:bCs/>
                <w:sz w:val="22"/>
                <w:szCs w:val="22"/>
                <w:lang w:val="en-GB"/>
              </w:rPr>
              <w:t>&lt; 400 kopija/</w:t>
            </w:r>
            <w:r w:rsidR="00B83CAB">
              <w:rPr>
                <w:bCs/>
                <w:sz w:val="22"/>
                <w:szCs w:val="22"/>
                <w:lang w:val="en-GB"/>
              </w:rPr>
              <w:t>ml</w:t>
            </w:r>
            <w:r w:rsidRPr="0074527F">
              <w:rPr>
                <w:bCs/>
                <w:sz w:val="22"/>
                <w:szCs w:val="22"/>
                <w:lang w:val="en-GB"/>
              </w:rPr>
              <w:t xml:space="preserve"> (&lt; 69 IU/</w:t>
            </w:r>
            <w:r w:rsidR="00B83CAB">
              <w:rPr>
                <w:bCs/>
                <w:sz w:val="22"/>
                <w:szCs w:val="22"/>
                <w:lang w:val="en-GB"/>
              </w:rPr>
              <w:t>ml</w:t>
            </w:r>
            <w:r w:rsidRPr="0074527F">
              <w:rPr>
                <w:bCs/>
                <w:sz w:val="22"/>
                <w:szCs w:val="22"/>
                <w:lang w:val="en-GB"/>
              </w:rPr>
              <w:t>)</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90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87</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84</w:t>
            </w:r>
          </w:p>
        </w:tc>
        <w:tc>
          <w:tcPr>
            <w:tcW w:w="561"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83</w:t>
            </w:r>
          </w:p>
        </w:tc>
        <w:tc>
          <w:tcPr>
            <w:tcW w:w="1089"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74</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89</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88</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87</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84</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84</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76</w:t>
            </w:r>
          </w:p>
        </w:tc>
      </w:tr>
      <w:tr w:rsidR="0074527F" w:rsidRPr="00DC47C3" w:rsidTr="0074527F">
        <w:trPr>
          <w:jc w:val="center"/>
        </w:trPr>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DC47C3" w:rsidRDefault="0074527F" w:rsidP="0074527F">
            <w:pPr>
              <w:tabs>
                <w:tab w:val="left" w:pos="540"/>
                <w:tab w:val="left" w:pos="569"/>
              </w:tabs>
              <w:rPr>
                <w:b/>
                <w:bCs/>
                <w:sz w:val="22"/>
                <w:szCs w:val="22"/>
                <w:lang w:val="en-GB"/>
              </w:rPr>
            </w:pPr>
            <w:r w:rsidRPr="00DC47C3">
              <w:rPr>
                <w:b/>
                <w:bCs/>
                <w:sz w:val="22"/>
                <w:szCs w:val="22"/>
                <w:lang w:val="en-GB"/>
              </w:rPr>
              <w:t>ALT (%)</w:t>
            </w:r>
          </w:p>
          <w:p w:rsidR="0074527F" w:rsidRPr="0074527F" w:rsidRDefault="0074527F" w:rsidP="0074527F">
            <w:pPr>
              <w:tabs>
                <w:tab w:val="left" w:pos="540"/>
                <w:tab w:val="left" w:pos="569"/>
              </w:tabs>
              <w:rPr>
                <w:bCs/>
                <w:sz w:val="22"/>
                <w:szCs w:val="22"/>
                <w:lang w:val="en-GB"/>
              </w:rPr>
            </w:pPr>
            <w:r w:rsidRPr="0074527F">
              <w:rPr>
                <w:bCs/>
                <w:sz w:val="22"/>
                <w:szCs w:val="22"/>
                <w:lang w:val="en-GB"/>
              </w:rPr>
              <w:t>Normalizovan ALT</w:t>
            </w:r>
            <w:r w:rsidRPr="0074527F">
              <w:rPr>
                <w:bCs/>
                <w:sz w:val="22"/>
                <w:szCs w:val="22"/>
                <w:vertAlign w:val="superscript"/>
                <w:lang w:val="en-GB"/>
              </w:rPr>
              <w:t>d</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72</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73</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67</w:t>
            </w:r>
          </w:p>
        </w:tc>
        <w:tc>
          <w:tcPr>
            <w:tcW w:w="561"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70</w:t>
            </w:r>
          </w:p>
        </w:tc>
        <w:tc>
          <w:tcPr>
            <w:tcW w:w="1089"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68</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64</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68</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77</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76</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74</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69</w:t>
            </w:r>
          </w:p>
        </w:tc>
      </w:tr>
      <w:tr w:rsidR="0074527F" w:rsidRPr="00DC47C3" w:rsidTr="0074527F">
        <w:trPr>
          <w:jc w:val="center"/>
        </w:trPr>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DC47C3" w:rsidRDefault="0074527F" w:rsidP="0074527F">
            <w:pPr>
              <w:tabs>
                <w:tab w:val="left" w:pos="540"/>
                <w:tab w:val="left" w:pos="569"/>
              </w:tabs>
              <w:rPr>
                <w:b/>
                <w:bCs/>
                <w:sz w:val="22"/>
                <w:szCs w:val="22"/>
                <w:lang w:val="en-GB"/>
              </w:rPr>
            </w:pPr>
            <w:r>
              <w:rPr>
                <w:b/>
                <w:bCs/>
                <w:sz w:val="22"/>
                <w:szCs w:val="22"/>
                <w:lang w:val="en-GB"/>
              </w:rPr>
              <w:t>Serologija</w:t>
            </w:r>
            <w:r w:rsidRPr="00DC47C3">
              <w:rPr>
                <w:b/>
                <w:bCs/>
                <w:sz w:val="22"/>
                <w:szCs w:val="22"/>
                <w:lang w:val="en-GB"/>
              </w:rPr>
              <w:t> (%)</w:t>
            </w:r>
          </w:p>
          <w:p w:rsidR="0074527F" w:rsidRPr="0074527F" w:rsidRDefault="0074527F" w:rsidP="0074527F">
            <w:pPr>
              <w:tabs>
                <w:tab w:val="left" w:pos="540"/>
                <w:tab w:val="left" w:pos="569"/>
              </w:tabs>
              <w:rPr>
                <w:bCs/>
                <w:sz w:val="22"/>
                <w:szCs w:val="22"/>
                <w:lang w:val="en-GB"/>
              </w:rPr>
            </w:pPr>
            <w:r w:rsidRPr="0074527F">
              <w:rPr>
                <w:bCs/>
                <w:sz w:val="22"/>
                <w:szCs w:val="22"/>
                <w:lang w:val="en-GB"/>
              </w:rPr>
              <w:t>HBeAg eliminacija/ serokonverzija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561"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1089"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p>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n/a</w:t>
            </w:r>
          </w:p>
        </w:tc>
      </w:tr>
      <w:tr w:rsidR="0074527F" w:rsidRPr="00DC47C3" w:rsidTr="0074527F">
        <w:trPr>
          <w:jc w:val="center"/>
        </w:trPr>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rPr>
                <w:bCs/>
                <w:sz w:val="22"/>
                <w:szCs w:val="22"/>
                <w:lang w:val="en-GB"/>
              </w:rPr>
            </w:pPr>
            <w:r w:rsidRPr="0074527F">
              <w:rPr>
                <w:bCs/>
                <w:sz w:val="22"/>
                <w:szCs w:val="22"/>
                <w:lang w:val="en-GB"/>
              </w:rPr>
              <w:t>HBsAg eliminacija/ serokonverzija</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561"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1089" w:type="dxa"/>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1/1</w:t>
            </w:r>
            <w:r w:rsidRPr="0074527F">
              <w:rPr>
                <w:bCs/>
                <w:sz w:val="22"/>
                <w:szCs w:val="22"/>
                <w:vertAlign w:val="superscript"/>
                <w:lang w:val="en-GB"/>
              </w:rPr>
              <w:t>n</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0/0</w:t>
            </w:r>
            <w:r w:rsidRPr="0074527F">
              <w:rPr>
                <w:bCs/>
                <w:sz w:val="22"/>
                <w:szCs w:val="22"/>
                <w:vertAlign w:val="superscript"/>
                <w:lang w:val="en-GB"/>
              </w:rPr>
              <w:t>k</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1/1</w:t>
            </w:r>
            <w:r w:rsidRPr="0074527F">
              <w:rPr>
                <w:bCs/>
                <w:sz w:val="22"/>
                <w:szCs w:val="22"/>
                <w:vertAlign w:val="superscript"/>
                <w:lang w:val="en-GB"/>
              </w:rPr>
              <w:t>n</w:t>
            </w:r>
          </w:p>
        </w:tc>
        <w:tc>
          <w:tcPr>
            <w:tcW w:w="0" w:type="auto"/>
            <w:tcBorders>
              <w:top w:val="outset" w:sz="6" w:space="0" w:color="7B7B7B"/>
              <w:left w:val="outset" w:sz="6" w:space="0" w:color="7B7B7B"/>
              <w:bottom w:val="outset" w:sz="6" w:space="0" w:color="7B7B7B"/>
              <w:right w:val="outset" w:sz="6" w:space="0" w:color="7B7B7B"/>
            </w:tcBorders>
            <w:shd w:val="clear" w:color="auto" w:fill="FFFFFF"/>
            <w:hideMark/>
          </w:tcPr>
          <w:p w:rsidR="0074527F" w:rsidRPr="0074527F" w:rsidRDefault="0074527F" w:rsidP="0074527F">
            <w:pPr>
              <w:tabs>
                <w:tab w:val="left" w:pos="540"/>
                <w:tab w:val="left" w:pos="569"/>
              </w:tabs>
              <w:jc w:val="center"/>
              <w:rPr>
                <w:bCs/>
                <w:sz w:val="22"/>
                <w:szCs w:val="22"/>
                <w:lang w:val="en-GB"/>
              </w:rPr>
            </w:pPr>
            <w:r w:rsidRPr="0074527F">
              <w:rPr>
                <w:bCs/>
                <w:sz w:val="22"/>
                <w:szCs w:val="22"/>
                <w:lang w:val="en-GB"/>
              </w:rPr>
              <w:t>1/1</w:t>
            </w:r>
            <w:r w:rsidRPr="0074527F">
              <w:rPr>
                <w:bCs/>
                <w:sz w:val="22"/>
                <w:szCs w:val="22"/>
                <w:vertAlign w:val="superscript"/>
                <w:lang w:val="en-GB"/>
              </w:rPr>
              <w:t>n</w:t>
            </w:r>
          </w:p>
        </w:tc>
      </w:tr>
    </w:tbl>
    <w:p w:rsidR="0074527F" w:rsidRPr="007E7541" w:rsidRDefault="0074527F" w:rsidP="00B40EA9">
      <w:pPr>
        <w:widowControl w:val="0"/>
        <w:autoSpaceDE w:val="0"/>
        <w:autoSpaceDN w:val="0"/>
        <w:spacing w:before="91" w:line="247" w:lineRule="auto"/>
        <w:ind w:left="204" w:right="1"/>
        <w:jc w:val="both"/>
        <w:rPr>
          <w:sz w:val="20"/>
          <w:szCs w:val="20"/>
        </w:rPr>
      </w:pPr>
      <w:r w:rsidRPr="007E7541">
        <w:rPr>
          <w:w w:val="105"/>
          <w:position w:val="10"/>
          <w:sz w:val="20"/>
          <w:szCs w:val="20"/>
        </w:rPr>
        <w:t>a</w:t>
      </w:r>
      <w:r w:rsidRPr="007E7541">
        <w:rPr>
          <w:spacing w:val="7"/>
          <w:w w:val="105"/>
          <w:position w:val="10"/>
          <w:sz w:val="20"/>
          <w:szCs w:val="20"/>
        </w:rPr>
        <w:t xml:space="preserve"> </w:t>
      </w:r>
      <w:r w:rsidRPr="007E7541">
        <w:rPr>
          <w:w w:val="105"/>
          <w:sz w:val="20"/>
          <w:szCs w:val="20"/>
        </w:rPr>
        <w:t>Zasniva</w:t>
      </w:r>
      <w:r w:rsidRPr="007E7541">
        <w:rPr>
          <w:spacing w:val="-12"/>
          <w:w w:val="105"/>
          <w:sz w:val="20"/>
          <w:szCs w:val="20"/>
        </w:rPr>
        <w:t xml:space="preserve"> </w:t>
      </w:r>
      <w:r w:rsidRPr="007E7541">
        <w:rPr>
          <w:w w:val="105"/>
          <w:sz w:val="20"/>
          <w:szCs w:val="20"/>
        </w:rPr>
        <w:t>se</w:t>
      </w:r>
      <w:r w:rsidRPr="007E7541">
        <w:rPr>
          <w:spacing w:val="-12"/>
          <w:w w:val="105"/>
          <w:sz w:val="20"/>
          <w:szCs w:val="20"/>
        </w:rPr>
        <w:t xml:space="preserve"> </w:t>
      </w:r>
      <w:r w:rsidRPr="007E7541">
        <w:rPr>
          <w:w w:val="105"/>
          <w:sz w:val="20"/>
          <w:szCs w:val="20"/>
        </w:rPr>
        <w:t>na</w:t>
      </w:r>
      <w:r w:rsidRPr="007E7541">
        <w:rPr>
          <w:spacing w:val="-12"/>
          <w:w w:val="105"/>
          <w:sz w:val="20"/>
          <w:szCs w:val="20"/>
        </w:rPr>
        <w:t xml:space="preserve"> </w:t>
      </w:r>
      <w:r w:rsidRPr="007E7541">
        <w:rPr>
          <w:w w:val="105"/>
          <w:sz w:val="20"/>
          <w:szCs w:val="20"/>
        </w:rPr>
        <w:t>algoritmu</w:t>
      </w:r>
      <w:r w:rsidRPr="007E7541">
        <w:rPr>
          <w:spacing w:val="-11"/>
          <w:w w:val="105"/>
          <w:sz w:val="20"/>
          <w:szCs w:val="20"/>
        </w:rPr>
        <w:t xml:space="preserve"> </w:t>
      </w:r>
      <w:r w:rsidRPr="007E7541">
        <w:rPr>
          <w:w w:val="105"/>
          <w:sz w:val="20"/>
          <w:szCs w:val="20"/>
        </w:rPr>
        <w:t>dugoročne</w:t>
      </w:r>
      <w:r w:rsidRPr="007E7541">
        <w:rPr>
          <w:spacing w:val="-11"/>
          <w:w w:val="105"/>
          <w:sz w:val="20"/>
          <w:szCs w:val="20"/>
        </w:rPr>
        <w:t xml:space="preserve"> </w:t>
      </w:r>
      <w:r w:rsidRPr="007E7541">
        <w:rPr>
          <w:w w:val="105"/>
          <w:sz w:val="20"/>
          <w:szCs w:val="20"/>
        </w:rPr>
        <w:t>promjene</w:t>
      </w:r>
      <w:r w:rsidRPr="007E7541">
        <w:rPr>
          <w:spacing w:val="-12"/>
          <w:w w:val="105"/>
          <w:sz w:val="20"/>
          <w:szCs w:val="20"/>
        </w:rPr>
        <w:t xml:space="preserve"> </w:t>
      </w:r>
      <w:r w:rsidRPr="007E7541">
        <w:rPr>
          <w:w w:val="105"/>
          <w:sz w:val="20"/>
          <w:szCs w:val="20"/>
        </w:rPr>
        <w:t>(LTE</w:t>
      </w:r>
      <w:r w:rsidRPr="007E7541">
        <w:rPr>
          <w:spacing w:val="-11"/>
          <w:w w:val="105"/>
          <w:sz w:val="20"/>
          <w:szCs w:val="20"/>
        </w:rPr>
        <w:t xml:space="preserve"> </w:t>
      </w:r>
      <w:r w:rsidRPr="007E7541">
        <w:rPr>
          <w:w w:val="105"/>
          <w:sz w:val="20"/>
          <w:szCs w:val="20"/>
        </w:rPr>
        <w:t>analiza)</w:t>
      </w:r>
      <w:r w:rsidRPr="007E7541">
        <w:rPr>
          <w:spacing w:val="-8"/>
          <w:w w:val="105"/>
          <w:sz w:val="20"/>
          <w:szCs w:val="20"/>
        </w:rPr>
        <w:t xml:space="preserve"> </w:t>
      </w:r>
      <w:r w:rsidRPr="007E7541">
        <w:rPr>
          <w:w w:val="105"/>
          <w:sz w:val="20"/>
          <w:szCs w:val="20"/>
        </w:rPr>
        <w:t>–</w:t>
      </w:r>
      <w:r w:rsidRPr="007E7541">
        <w:rPr>
          <w:spacing w:val="-9"/>
          <w:w w:val="105"/>
          <w:sz w:val="20"/>
          <w:szCs w:val="20"/>
        </w:rPr>
        <w:t xml:space="preserve"> </w:t>
      </w:r>
      <w:r w:rsidRPr="007E7541">
        <w:rPr>
          <w:w w:val="105"/>
          <w:sz w:val="20"/>
          <w:szCs w:val="20"/>
        </w:rPr>
        <w:t>Pacijenti</w:t>
      </w:r>
      <w:r w:rsidRPr="007E7541">
        <w:rPr>
          <w:spacing w:val="-11"/>
          <w:w w:val="105"/>
          <w:sz w:val="20"/>
          <w:szCs w:val="20"/>
        </w:rPr>
        <w:t xml:space="preserve"> </w:t>
      </w:r>
      <w:r w:rsidRPr="007E7541">
        <w:rPr>
          <w:w w:val="105"/>
          <w:sz w:val="20"/>
          <w:szCs w:val="20"/>
        </w:rPr>
        <w:t>koji</w:t>
      </w:r>
      <w:r w:rsidRPr="007E7541">
        <w:rPr>
          <w:spacing w:val="-12"/>
          <w:w w:val="105"/>
          <w:sz w:val="20"/>
          <w:szCs w:val="20"/>
        </w:rPr>
        <w:t xml:space="preserve"> </w:t>
      </w:r>
      <w:r w:rsidRPr="007E7541">
        <w:rPr>
          <w:w w:val="105"/>
          <w:sz w:val="20"/>
          <w:szCs w:val="20"/>
        </w:rPr>
        <w:t>su</w:t>
      </w:r>
      <w:r w:rsidRPr="007E7541">
        <w:rPr>
          <w:spacing w:val="-11"/>
          <w:w w:val="105"/>
          <w:sz w:val="20"/>
          <w:szCs w:val="20"/>
        </w:rPr>
        <w:t xml:space="preserve"> </w:t>
      </w:r>
      <w:r w:rsidRPr="007E7541">
        <w:rPr>
          <w:w w:val="105"/>
          <w:sz w:val="20"/>
          <w:szCs w:val="20"/>
        </w:rPr>
        <w:t>prekinuli</w:t>
      </w:r>
      <w:r w:rsidR="00544BFD">
        <w:rPr>
          <w:spacing w:val="-12"/>
          <w:w w:val="105"/>
          <w:sz w:val="20"/>
          <w:szCs w:val="20"/>
        </w:rPr>
        <w:t xml:space="preserve"> </w:t>
      </w:r>
      <w:r w:rsidRPr="007E7541">
        <w:rPr>
          <w:w w:val="105"/>
          <w:sz w:val="20"/>
          <w:szCs w:val="20"/>
        </w:rPr>
        <w:t>učestvovanje</w:t>
      </w:r>
      <w:r w:rsidRPr="007E7541">
        <w:rPr>
          <w:spacing w:val="-11"/>
          <w:w w:val="105"/>
          <w:sz w:val="20"/>
          <w:szCs w:val="20"/>
        </w:rPr>
        <w:t xml:space="preserve"> </w:t>
      </w:r>
      <w:r w:rsidRPr="007E7541">
        <w:rPr>
          <w:w w:val="105"/>
          <w:sz w:val="20"/>
          <w:szCs w:val="20"/>
        </w:rPr>
        <w:t>u</w:t>
      </w:r>
      <w:r w:rsidRPr="007E7541">
        <w:rPr>
          <w:spacing w:val="-13"/>
          <w:w w:val="105"/>
          <w:sz w:val="20"/>
          <w:szCs w:val="20"/>
        </w:rPr>
        <w:t xml:space="preserve"> </w:t>
      </w:r>
      <w:r w:rsidRPr="007E7541">
        <w:rPr>
          <w:w w:val="105"/>
          <w:sz w:val="20"/>
          <w:szCs w:val="20"/>
        </w:rPr>
        <w:t>ispitivanju</w:t>
      </w:r>
      <w:r w:rsidRPr="007E7541">
        <w:rPr>
          <w:spacing w:val="-11"/>
          <w:w w:val="105"/>
          <w:sz w:val="20"/>
          <w:szCs w:val="20"/>
        </w:rPr>
        <w:t xml:space="preserve"> </w:t>
      </w:r>
      <w:r w:rsidRPr="007E7541">
        <w:rPr>
          <w:w w:val="105"/>
          <w:sz w:val="20"/>
          <w:szCs w:val="20"/>
        </w:rPr>
        <w:t>bilo kada prije 384 nedjelje zbog postizanja protokolom definisane krajnje tačke, kao i oni koji su dovršili 384 nedjelja liječenja uključeni su u</w:t>
      </w:r>
      <w:r w:rsidRPr="007E7541">
        <w:rPr>
          <w:spacing w:val="-12"/>
          <w:w w:val="105"/>
          <w:sz w:val="20"/>
          <w:szCs w:val="20"/>
        </w:rPr>
        <w:t xml:space="preserve"> </w:t>
      </w:r>
      <w:r w:rsidRPr="007E7541">
        <w:rPr>
          <w:w w:val="105"/>
          <w:sz w:val="20"/>
          <w:szCs w:val="20"/>
        </w:rPr>
        <w:t>imenilac.</w:t>
      </w:r>
    </w:p>
    <w:p w:rsidR="0074527F" w:rsidRPr="007E7541" w:rsidRDefault="0074527F" w:rsidP="0074527F">
      <w:pPr>
        <w:widowControl w:val="0"/>
        <w:autoSpaceDE w:val="0"/>
        <w:autoSpaceDN w:val="0"/>
        <w:spacing w:line="230" w:lineRule="exact"/>
        <w:ind w:left="204"/>
        <w:jc w:val="both"/>
        <w:rPr>
          <w:sz w:val="20"/>
          <w:szCs w:val="20"/>
        </w:rPr>
      </w:pPr>
      <w:r w:rsidRPr="007E7541">
        <w:rPr>
          <w:w w:val="105"/>
          <w:position w:val="9"/>
          <w:sz w:val="20"/>
          <w:szCs w:val="20"/>
        </w:rPr>
        <w:t xml:space="preserve">b </w:t>
      </w:r>
      <w:r w:rsidRPr="007E7541">
        <w:rPr>
          <w:w w:val="105"/>
          <w:sz w:val="20"/>
          <w:szCs w:val="20"/>
        </w:rPr>
        <w:t>48 nedjelja dvostruko slijepog ispitivanja sa tenofovir dizoproksilom nakon čega slijedi 48 nedjelja otvorenog</w:t>
      </w:r>
      <w:r w:rsidRPr="007E7541">
        <w:rPr>
          <w:sz w:val="20"/>
          <w:szCs w:val="20"/>
        </w:rPr>
        <w:t xml:space="preserve"> </w:t>
      </w:r>
      <w:r w:rsidRPr="007E7541">
        <w:rPr>
          <w:w w:val="105"/>
          <w:sz w:val="20"/>
          <w:szCs w:val="20"/>
        </w:rPr>
        <w:t>ispitivanja.</w:t>
      </w:r>
    </w:p>
    <w:p w:rsidR="0074527F" w:rsidRPr="007E7541" w:rsidRDefault="0074527F" w:rsidP="0074527F">
      <w:pPr>
        <w:widowControl w:val="0"/>
        <w:autoSpaceDE w:val="0"/>
        <w:autoSpaceDN w:val="0"/>
        <w:spacing w:before="21" w:line="236" w:lineRule="exact"/>
        <w:ind w:left="204"/>
        <w:jc w:val="both"/>
        <w:rPr>
          <w:sz w:val="20"/>
          <w:szCs w:val="20"/>
        </w:rPr>
      </w:pPr>
      <w:r w:rsidRPr="007E7541">
        <w:rPr>
          <w:w w:val="105"/>
          <w:position w:val="10"/>
          <w:sz w:val="20"/>
          <w:szCs w:val="20"/>
        </w:rPr>
        <w:t>c</w:t>
      </w:r>
      <w:r w:rsidRPr="007E7541">
        <w:rPr>
          <w:spacing w:val="5"/>
          <w:w w:val="105"/>
          <w:position w:val="10"/>
          <w:sz w:val="20"/>
          <w:szCs w:val="20"/>
        </w:rPr>
        <w:t xml:space="preserve"> </w:t>
      </w:r>
      <w:r w:rsidRPr="007E7541">
        <w:rPr>
          <w:w w:val="105"/>
          <w:sz w:val="20"/>
          <w:szCs w:val="20"/>
        </w:rPr>
        <w:t>48</w:t>
      </w:r>
      <w:r w:rsidRPr="007E7541">
        <w:rPr>
          <w:spacing w:val="-14"/>
          <w:w w:val="105"/>
          <w:sz w:val="20"/>
          <w:szCs w:val="20"/>
        </w:rPr>
        <w:t xml:space="preserve"> </w:t>
      </w:r>
      <w:r w:rsidRPr="007E7541">
        <w:rPr>
          <w:w w:val="105"/>
          <w:sz w:val="20"/>
          <w:szCs w:val="20"/>
        </w:rPr>
        <w:t>nedjelja</w:t>
      </w:r>
      <w:r w:rsidRPr="007E7541">
        <w:rPr>
          <w:spacing w:val="-14"/>
          <w:w w:val="105"/>
          <w:sz w:val="20"/>
          <w:szCs w:val="20"/>
        </w:rPr>
        <w:t xml:space="preserve"> </w:t>
      </w:r>
      <w:r w:rsidRPr="007E7541">
        <w:rPr>
          <w:w w:val="105"/>
          <w:sz w:val="20"/>
          <w:szCs w:val="20"/>
        </w:rPr>
        <w:t>dvostruko</w:t>
      </w:r>
      <w:r w:rsidRPr="007E7541">
        <w:rPr>
          <w:spacing w:val="-16"/>
          <w:w w:val="105"/>
          <w:sz w:val="20"/>
          <w:szCs w:val="20"/>
        </w:rPr>
        <w:t xml:space="preserve"> </w:t>
      </w:r>
      <w:r w:rsidRPr="007E7541">
        <w:rPr>
          <w:w w:val="105"/>
          <w:sz w:val="20"/>
          <w:szCs w:val="20"/>
        </w:rPr>
        <w:t>slijepog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adefovir dipivoksila</w:t>
      </w:r>
      <w:r w:rsidRPr="007E7541">
        <w:rPr>
          <w:spacing w:val="-16"/>
          <w:w w:val="105"/>
          <w:sz w:val="20"/>
          <w:szCs w:val="20"/>
        </w:rPr>
        <w:t xml:space="preserve"> </w:t>
      </w:r>
      <w:r w:rsidRPr="007E7541">
        <w:rPr>
          <w:w w:val="105"/>
          <w:sz w:val="20"/>
          <w:szCs w:val="20"/>
        </w:rPr>
        <w:t>nakon</w:t>
      </w:r>
      <w:r w:rsidRPr="007E7541">
        <w:rPr>
          <w:spacing w:val="-10"/>
          <w:w w:val="105"/>
          <w:sz w:val="20"/>
          <w:szCs w:val="20"/>
        </w:rPr>
        <w:t xml:space="preserve"> </w:t>
      </w:r>
      <w:r w:rsidRPr="007E7541">
        <w:rPr>
          <w:w w:val="105"/>
          <w:sz w:val="20"/>
          <w:szCs w:val="20"/>
        </w:rPr>
        <w:t>čega</w:t>
      </w:r>
      <w:r w:rsidRPr="007E7541">
        <w:rPr>
          <w:spacing w:val="-16"/>
          <w:w w:val="105"/>
          <w:sz w:val="20"/>
          <w:szCs w:val="20"/>
        </w:rPr>
        <w:t xml:space="preserve"> </w:t>
      </w:r>
      <w:r w:rsidRPr="007E7541">
        <w:rPr>
          <w:w w:val="105"/>
          <w:sz w:val="20"/>
          <w:szCs w:val="20"/>
        </w:rPr>
        <w:t>slijedi</w:t>
      </w:r>
      <w:r w:rsidRPr="007E7541">
        <w:rPr>
          <w:spacing w:val="-16"/>
          <w:w w:val="105"/>
          <w:sz w:val="20"/>
          <w:szCs w:val="20"/>
        </w:rPr>
        <w:t xml:space="preserve"> </w:t>
      </w:r>
      <w:r w:rsidRPr="007E7541">
        <w:rPr>
          <w:w w:val="105"/>
          <w:sz w:val="20"/>
          <w:szCs w:val="20"/>
        </w:rPr>
        <w:t>48</w:t>
      </w:r>
      <w:r w:rsidRPr="007E7541">
        <w:rPr>
          <w:spacing w:val="-15"/>
          <w:w w:val="105"/>
          <w:sz w:val="20"/>
          <w:szCs w:val="20"/>
        </w:rPr>
        <w:t xml:space="preserve"> </w:t>
      </w:r>
      <w:r w:rsidRPr="007E7541">
        <w:rPr>
          <w:w w:val="105"/>
          <w:sz w:val="20"/>
          <w:szCs w:val="20"/>
        </w:rPr>
        <w:t>nedjelja</w:t>
      </w:r>
      <w:r w:rsidRPr="007E7541">
        <w:rPr>
          <w:spacing w:val="-8"/>
          <w:w w:val="105"/>
          <w:sz w:val="20"/>
          <w:szCs w:val="20"/>
        </w:rPr>
        <w:t xml:space="preserve"> </w:t>
      </w:r>
      <w:r w:rsidRPr="007E7541">
        <w:rPr>
          <w:w w:val="105"/>
          <w:sz w:val="20"/>
          <w:szCs w:val="20"/>
        </w:rPr>
        <w:t>otvorenog</w:t>
      </w:r>
      <w:r w:rsidRPr="007E7541">
        <w:rPr>
          <w:spacing w:val="-14"/>
          <w:w w:val="105"/>
          <w:sz w:val="20"/>
          <w:szCs w:val="20"/>
        </w:rPr>
        <w:t xml:space="preserve"> </w:t>
      </w:r>
      <w:r w:rsidRPr="007E7541">
        <w:rPr>
          <w:w w:val="105"/>
          <w:sz w:val="20"/>
          <w:szCs w:val="20"/>
        </w:rPr>
        <w:t>ispitivanja</w:t>
      </w:r>
      <w:r w:rsidRPr="007E7541">
        <w:rPr>
          <w:spacing w:val="-8"/>
          <w:w w:val="105"/>
          <w:sz w:val="20"/>
          <w:szCs w:val="20"/>
        </w:rPr>
        <w:t xml:space="preserve"> </w:t>
      </w:r>
      <w:r w:rsidRPr="007E7541">
        <w:rPr>
          <w:spacing w:val="-3"/>
          <w:w w:val="105"/>
          <w:sz w:val="20"/>
          <w:szCs w:val="20"/>
        </w:rPr>
        <w:t xml:space="preserve">sa </w:t>
      </w:r>
      <w:r w:rsidRPr="007E7541">
        <w:rPr>
          <w:w w:val="105"/>
          <w:sz w:val="20"/>
          <w:szCs w:val="20"/>
        </w:rPr>
        <w:t>tenofovir dizoproksilom</w:t>
      </w:r>
      <w:r w:rsidRPr="007E7541">
        <w:rPr>
          <w:spacing w:val="-3"/>
          <w:w w:val="105"/>
          <w:sz w:val="20"/>
          <w:szCs w:val="20"/>
        </w:rPr>
        <w:t>.</w:t>
      </w:r>
    </w:p>
    <w:p w:rsidR="0074527F" w:rsidRPr="007E7541" w:rsidRDefault="0074527F" w:rsidP="0074527F">
      <w:pPr>
        <w:widowControl w:val="0"/>
        <w:autoSpaceDE w:val="0"/>
        <w:autoSpaceDN w:val="0"/>
        <w:spacing w:line="240" w:lineRule="exact"/>
        <w:ind w:left="204" w:right="639"/>
        <w:jc w:val="both"/>
        <w:rPr>
          <w:sz w:val="20"/>
          <w:szCs w:val="20"/>
        </w:rPr>
      </w:pPr>
      <w:r w:rsidRPr="007E7541">
        <w:rPr>
          <w:w w:val="105"/>
          <w:position w:val="10"/>
          <w:sz w:val="20"/>
          <w:szCs w:val="20"/>
        </w:rPr>
        <w:t>d</w:t>
      </w:r>
      <w:r w:rsidRPr="007E7541">
        <w:rPr>
          <w:spacing w:val="7"/>
          <w:w w:val="105"/>
          <w:position w:val="10"/>
          <w:sz w:val="20"/>
          <w:szCs w:val="20"/>
        </w:rPr>
        <w:t xml:space="preserve"> </w:t>
      </w:r>
      <w:r w:rsidRPr="007E7541">
        <w:rPr>
          <w:w w:val="105"/>
          <w:sz w:val="20"/>
          <w:szCs w:val="20"/>
        </w:rPr>
        <w:t>Populacija</w:t>
      </w:r>
      <w:r w:rsidRPr="007E7541">
        <w:rPr>
          <w:spacing w:val="-14"/>
          <w:w w:val="105"/>
          <w:sz w:val="20"/>
          <w:szCs w:val="20"/>
        </w:rPr>
        <w:t xml:space="preserve"> </w:t>
      </w:r>
      <w:r w:rsidRPr="007E7541">
        <w:rPr>
          <w:w w:val="105"/>
          <w:sz w:val="20"/>
          <w:szCs w:val="20"/>
        </w:rPr>
        <w:t>korišćena</w:t>
      </w:r>
      <w:r w:rsidRPr="007E7541">
        <w:rPr>
          <w:spacing w:val="-13"/>
          <w:w w:val="105"/>
          <w:sz w:val="20"/>
          <w:szCs w:val="20"/>
        </w:rPr>
        <w:t xml:space="preserve"> </w:t>
      </w:r>
      <w:r w:rsidRPr="007E7541">
        <w:rPr>
          <w:w w:val="105"/>
          <w:sz w:val="20"/>
          <w:szCs w:val="20"/>
        </w:rPr>
        <w:t>za</w:t>
      </w:r>
      <w:r w:rsidRPr="007E7541">
        <w:rPr>
          <w:spacing w:val="-14"/>
          <w:w w:val="105"/>
          <w:sz w:val="20"/>
          <w:szCs w:val="20"/>
        </w:rPr>
        <w:t xml:space="preserve"> </w:t>
      </w:r>
      <w:r w:rsidRPr="007E7541">
        <w:rPr>
          <w:w w:val="105"/>
          <w:sz w:val="20"/>
          <w:szCs w:val="20"/>
        </w:rPr>
        <w:t>analizu</w:t>
      </w:r>
      <w:r w:rsidRPr="007E7541">
        <w:rPr>
          <w:spacing w:val="-13"/>
          <w:w w:val="105"/>
          <w:sz w:val="20"/>
          <w:szCs w:val="20"/>
        </w:rPr>
        <w:t xml:space="preserve"> </w:t>
      </w:r>
      <w:r w:rsidRPr="007E7541">
        <w:rPr>
          <w:w w:val="105"/>
          <w:sz w:val="20"/>
          <w:szCs w:val="20"/>
        </w:rPr>
        <w:t>normalizovanja</w:t>
      </w:r>
      <w:r w:rsidRPr="007E7541">
        <w:rPr>
          <w:spacing w:val="-13"/>
          <w:w w:val="105"/>
          <w:sz w:val="20"/>
          <w:szCs w:val="20"/>
        </w:rPr>
        <w:t xml:space="preserve"> </w:t>
      </w:r>
      <w:r w:rsidRPr="007E7541">
        <w:rPr>
          <w:w w:val="105"/>
          <w:sz w:val="20"/>
          <w:szCs w:val="20"/>
        </w:rPr>
        <w:t>ALT-a</w:t>
      </w:r>
      <w:r w:rsidRPr="007E7541">
        <w:rPr>
          <w:spacing w:val="-13"/>
          <w:w w:val="105"/>
          <w:sz w:val="20"/>
          <w:szCs w:val="20"/>
        </w:rPr>
        <w:t xml:space="preserve"> </w:t>
      </w:r>
      <w:r w:rsidRPr="007E7541">
        <w:rPr>
          <w:w w:val="105"/>
          <w:sz w:val="20"/>
          <w:szCs w:val="20"/>
        </w:rPr>
        <w:t>uključivala</w:t>
      </w:r>
      <w:r w:rsidRPr="007E7541">
        <w:rPr>
          <w:spacing w:val="-14"/>
          <w:w w:val="105"/>
          <w:sz w:val="20"/>
          <w:szCs w:val="20"/>
        </w:rPr>
        <w:t xml:space="preserve"> </w:t>
      </w:r>
      <w:r w:rsidRPr="007E7541">
        <w:rPr>
          <w:w w:val="105"/>
          <w:sz w:val="20"/>
          <w:szCs w:val="20"/>
        </w:rPr>
        <w:t>je</w:t>
      </w:r>
      <w:r w:rsidRPr="007E7541">
        <w:rPr>
          <w:spacing w:val="-13"/>
          <w:w w:val="105"/>
          <w:sz w:val="20"/>
          <w:szCs w:val="20"/>
        </w:rPr>
        <w:t xml:space="preserve"> </w:t>
      </w:r>
      <w:r w:rsidRPr="007E7541">
        <w:rPr>
          <w:w w:val="105"/>
          <w:sz w:val="20"/>
          <w:szCs w:val="20"/>
        </w:rPr>
        <w:t>samo</w:t>
      </w:r>
      <w:r w:rsidRPr="007E7541">
        <w:rPr>
          <w:spacing w:val="-13"/>
          <w:w w:val="105"/>
          <w:sz w:val="20"/>
          <w:szCs w:val="20"/>
        </w:rPr>
        <w:t xml:space="preserve"> </w:t>
      </w:r>
      <w:r w:rsidRPr="007E7541">
        <w:rPr>
          <w:w w:val="105"/>
          <w:sz w:val="20"/>
          <w:szCs w:val="20"/>
        </w:rPr>
        <w:t>pacijente sa</w:t>
      </w:r>
      <w:r w:rsidRPr="007E7541">
        <w:rPr>
          <w:spacing w:val="-12"/>
          <w:w w:val="105"/>
          <w:sz w:val="20"/>
          <w:szCs w:val="20"/>
        </w:rPr>
        <w:t xml:space="preserve"> </w:t>
      </w:r>
      <w:r w:rsidRPr="007E7541">
        <w:rPr>
          <w:w w:val="105"/>
          <w:sz w:val="20"/>
          <w:szCs w:val="20"/>
        </w:rPr>
        <w:t>nivoom</w:t>
      </w:r>
      <w:r w:rsidRPr="007E7541">
        <w:rPr>
          <w:spacing w:val="-15"/>
          <w:w w:val="105"/>
          <w:sz w:val="20"/>
          <w:szCs w:val="20"/>
        </w:rPr>
        <w:t xml:space="preserve"> </w:t>
      </w:r>
      <w:r w:rsidRPr="007E7541">
        <w:rPr>
          <w:w w:val="105"/>
          <w:sz w:val="20"/>
          <w:szCs w:val="20"/>
        </w:rPr>
        <w:t>ALT-a</w:t>
      </w:r>
      <w:r w:rsidRPr="007E7541">
        <w:rPr>
          <w:spacing w:val="-13"/>
          <w:w w:val="105"/>
          <w:sz w:val="20"/>
          <w:szCs w:val="20"/>
        </w:rPr>
        <w:t xml:space="preserve"> </w:t>
      </w:r>
      <w:r w:rsidRPr="007E7541">
        <w:rPr>
          <w:w w:val="105"/>
          <w:sz w:val="20"/>
          <w:szCs w:val="20"/>
        </w:rPr>
        <w:t>iznad</w:t>
      </w:r>
      <w:r w:rsidRPr="007E7541">
        <w:rPr>
          <w:spacing w:val="-14"/>
          <w:w w:val="105"/>
          <w:sz w:val="20"/>
          <w:szCs w:val="20"/>
        </w:rPr>
        <w:t xml:space="preserve"> </w:t>
      </w:r>
      <w:r w:rsidRPr="007E7541">
        <w:rPr>
          <w:w w:val="105"/>
          <w:sz w:val="20"/>
          <w:szCs w:val="20"/>
        </w:rPr>
        <w:t xml:space="preserve">gornje normalne granice (ULN) </w:t>
      </w:r>
      <w:r w:rsidRPr="007E7541">
        <w:rPr>
          <w:spacing w:val="-3"/>
          <w:w w:val="105"/>
          <w:sz w:val="20"/>
          <w:szCs w:val="20"/>
        </w:rPr>
        <w:t xml:space="preserve">na </w:t>
      </w:r>
      <w:r w:rsidRPr="007E7541">
        <w:rPr>
          <w:w w:val="105"/>
          <w:sz w:val="20"/>
          <w:szCs w:val="20"/>
        </w:rPr>
        <w:t>početku</w:t>
      </w:r>
      <w:r w:rsidRPr="007E7541">
        <w:rPr>
          <w:spacing w:val="-6"/>
          <w:w w:val="105"/>
          <w:sz w:val="20"/>
          <w:szCs w:val="20"/>
        </w:rPr>
        <w:t xml:space="preserve"> </w:t>
      </w:r>
      <w:r w:rsidRPr="007E7541">
        <w:rPr>
          <w:w w:val="105"/>
          <w:sz w:val="20"/>
          <w:szCs w:val="20"/>
        </w:rPr>
        <w:t>ispitivanja.</w:t>
      </w:r>
    </w:p>
    <w:p w:rsidR="0074527F" w:rsidRPr="007E7541" w:rsidRDefault="0074527F" w:rsidP="0074527F">
      <w:pPr>
        <w:widowControl w:val="0"/>
        <w:autoSpaceDE w:val="0"/>
        <w:autoSpaceDN w:val="0"/>
        <w:spacing w:line="226" w:lineRule="exact"/>
        <w:ind w:left="204"/>
        <w:jc w:val="both"/>
        <w:rPr>
          <w:sz w:val="20"/>
          <w:szCs w:val="20"/>
        </w:rPr>
      </w:pPr>
      <w:r w:rsidRPr="007E7541">
        <w:rPr>
          <w:w w:val="105"/>
          <w:position w:val="9"/>
          <w:sz w:val="20"/>
          <w:szCs w:val="20"/>
        </w:rPr>
        <w:t xml:space="preserve">e </w:t>
      </w:r>
      <w:r w:rsidRPr="007E7541">
        <w:rPr>
          <w:w w:val="105"/>
          <w:sz w:val="20"/>
          <w:szCs w:val="20"/>
        </w:rPr>
        <w:t>48 nedjelja dvostruko slijepog ispitivanja sa tenofovir dizoproksilom nakon čega slijedi 96 nedjelja otvorenog</w:t>
      </w:r>
      <w:r w:rsidRPr="007E7541">
        <w:rPr>
          <w:sz w:val="20"/>
          <w:szCs w:val="20"/>
        </w:rPr>
        <w:t xml:space="preserve"> </w:t>
      </w:r>
      <w:r w:rsidRPr="007E7541">
        <w:rPr>
          <w:w w:val="105"/>
          <w:sz w:val="20"/>
          <w:szCs w:val="20"/>
        </w:rPr>
        <w:t>ispitivanja.</w:t>
      </w:r>
    </w:p>
    <w:p w:rsidR="0074527F" w:rsidRPr="007E7541" w:rsidRDefault="0074527F" w:rsidP="0074527F">
      <w:pPr>
        <w:widowControl w:val="0"/>
        <w:autoSpaceDE w:val="0"/>
        <w:autoSpaceDN w:val="0"/>
        <w:spacing w:before="17" w:line="240" w:lineRule="exact"/>
        <w:ind w:left="204"/>
        <w:jc w:val="both"/>
        <w:rPr>
          <w:sz w:val="20"/>
          <w:szCs w:val="20"/>
        </w:rPr>
      </w:pPr>
      <w:r w:rsidRPr="007E7541">
        <w:rPr>
          <w:w w:val="105"/>
          <w:position w:val="10"/>
          <w:sz w:val="20"/>
          <w:szCs w:val="20"/>
        </w:rPr>
        <w:t>f</w:t>
      </w:r>
      <w:r w:rsidRPr="007E7541">
        <w:rPr>
          <w:spacing w:val="5"/>
          <w:w w:val="105"/>
          <w:position w:val="10"/>
          <w:sz w:val="20"/>
          <w:szCs w:val="20"/>
        </w:rPr>
        <w:t xml:space="preserve"> </w:t>
      </w:r>
      <w:r w:rsidRPr="007E7541">
        <w:rPr>
          <w:w w:val="105"/>
          <w:sz w:val="20"/>
          <w:szCs w:val="20"/>
        </w:rPr>
        <w:t>48</w:t>
      </w:r>
      <w:r w:rsidRPr="007E7541">
        <w:rPr>
          <w:spacing w:val="-13"/>
          <w:w w:val="105"/>
          <w:sz w:val="20"/>
          <w:szCs w:val="20"/>
        </w:rPr>
        <w:t xml:space="preserve"> </w:t>
      </w:r>
      <w:r w:rsidRPr="007E7541">
        <w:rPr>
          <w:w w:val="105"/>
          <w:sz w:val="20"/>
          <w:szCs w:val="20"/>
        </w:rPr>
        <w:t>nedjelja</w:t>
      </w:r>
      <w:r w:rsidRPr="007E7541">
        <w:rPr>
          <w:spacing w:val="-13"/>
          <w:w w:val="105"/>
          <w:sz w:val="20"/>
          <w:szCs w:val="20"/>
        </w:rPr>
        <w:t xml:space="preserve"> </w:t>
      </w:r>
      <w:r w:rsidRPr="007E7541">
        <w:rPr>
          <w:w w:val="105"/>
          <w:sz w:val="20"/>
          <w:szCs w:val="20"/>
        </w:rPr>
        <w:t>dvostruko</w:t>
      </w:r>
      <w:r w:rsidRPr="007E7541">
        <w:rPr>
          <w:spacing w:val="-14"/>
          <w:w w:val="105"/>
          <w:sz w:val="20"/>
          <w:szCs w:val="20"/>
        </w:rPr>
        <w:t xml:space="preserve"> </w:t>
      </w:r>
      <w:r w:rsidRPr="007E7541">
        <w:rPr>
          <w:w w:val="105"/>
          <w:sz w:val="20"/>
          <w:szCs w:val="20"/>
        </w:rPr>
        <w:t>slijepog</w:t>
      </w:r>
      <w:r w:rsidRPr="007E7541">
        <w:rPr>
          <w:spacing w:val="-14"/>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w:t>
      </w:r>
      <w:r w:rsidRPr="007E7541">
        <w:rPr>
          <w:spacing w:val="-15"/>
          <w:w w:val="105"/>
          <w:sz w:val="20"/>
          <w:szCs w:val="20"/>
        </w:rPr>
        <w:t xml:space="preserve"> </w:t>
      </w:r>
      <w:r w:rsidRPr="007E7541">
        <w:rPr>
          <w:w w:val="105"/>
          <w:sz w:val="20"/>
          <w:szCs w:val="20"/>
        </w:rPr>
        <w:t>adefovir dipivoksilom</w:t>
      </w:r>
      <w:r w:rsidRPr="007E7541">
        <w:rPr>
          <w:spacing w:val="-10"/>
          <w:w w:val="105"/>
          <w:sz w:val="20"/>
          <w:szCs w:val="20"/>
        </w:rPr>
        <w:t xml:space="preserve"> </w:t>
      </w:r>
      <w:r w:rsidRPr="007E7541">
        <w:rPr>
          <w:w w:val="105"/>
          <w:sz w:val="20"/>
          <w:szCs w:val="20"/>
        </w:rPr>
        <w:t>nakon</w:t>
      </w:r>
      <w:r w:rsidRPr="007E7541">
        <w:rPr>
          <w:spacing w:val="-10"/>
          <w:w w:val="105"/>
          <w:sz w:val="20"/>
          <w:szCs w:val="20"/>
        </w:rPr>
        <w:t xml:space="preserve"> </w:t>
      </w:r>
      <w:r w:rsidRPr="007E7541">
        <w:rPr>
          <w:w w:val="105"/>
          <w:sz w:val="20"/>
          <w:szCs w:val="20"/>
        </w:rPr>
        <w:t>čega</w:t>
      </w:r>
      <w:r w:rsidRPr="007E7541">
        <w:rPr>
          <w:spacing w:val="-13"/>
          <w:w w:val="105"/>
          <w:sz w:val="20"/>
          <w:szCs w:val="20"/>
        </w:rPr>
        <w:t xml:space="preserve"> </w:t>
      </w:r>
      <w:r w:rsidRPr="007E7541">
        <w:rPr>
          <w:w w:val="105"/>
          <w:sz w:val="20"/>
          <w:szCs w:val="20"/>
        </w:rPr>
        <w:t>slijedi</w:t>
      </w:r>
      <w:r w:rsidRPr="007E7541">
        <w:rPr>
          <w:spacing w:val="-13"/>
          <w:w w:val="105"/>
          <w:sz w:val="20"/>
          <w:szCs w:val="20"/>
        </w:rPr>
        <w:t xml:space="preserve"> </w:t>
      </w:r>
      <w:r w:rsidRPr="007E7541">
        <w:rPr>
          <w:w w:val="105"/>
          <w:sz w:val="20"/>
          <w:szCs w:val="20"/>
        </w:rPr>
        <w:t>96</w:t>
      </w:r>
      <w:r w:rsidRPr="007E7541">
        <w:rPr>
          <w:spacing w:val="-13"/>
          <w:w w:val="105"/>
          <w:sz w:val="20"/>
          <w:szCs w:val="20"/>
        </w:rPr>
        <w:t xml:space="preserve"> </w:t>
      </w:r>
      <w:r w:rsidRPr="007E7541">
        <w:rPr>
          <w:w w:val="105"/>
          <w:sz w:val="20"/>
          <w:szCs w:val="20"/>
        </w:rPr>
        <w:t>nedjelja</w:t>
      </w:r>
      <w:r w:rsidRPr="007E7541">
        <w:rPr>
          <w:spacing w:val="-13"/>
          <w:w w:val="105"/>
          <w:sz w:val="20"/>
          <w:szCs w:val="20"/>
        </w:rPr>
        <w:t xml:space="preserve"> </w:t>
      </w:r>
      <w:r w:rsidRPr="007E7541">
        <w:rPr>
          <w:w w:val="105"/>
          <w:sz w:val="20"/>
          <w:szCs w:val="20"/>
        </w:rPr>
        <w:t>otvorenog</w:t>
      </w:r>
      <w:r w:rsidRPr="007E7541">
        <w:rPr>
          <w:spacing w:val="-13"/>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sa tenofovir dizoproksilom.</w:t>
      </w:r>
      <w:r w:rsidRPr="007E7541">
        <w:rPr>
          <w:spacing w:val="2"/>
          <w:w w:val="105"/>
          <w:sz w:val="20"/>
          <w:szCs w:val="20"/>
        </w:rPr>
        <w:t xml:space="preserve"> </w:t>
      </w:r>
    </w:p>
    <w:p w:rsidR="0074527F" w:rsidRPr="007E7541" w:rsidRDefault="0074527F" w:rsidP="0074527F">
      <w:pPr>
        <w:widowControl w:val="0"/>
        <w:autoSpaceDE w:val="0"/>
        <w:autoSpaceDN w:val="0"/>
        <w:spacing w:line="230" w:lineRule="exact"/>
        <w:ind w:left="204"/>
        <w:jc w:val="both"/>
        <w:rPr>
          <w:sz w:val="20"/>
          <w:szCs w:val="20"/>
        </w:rPr>
      </w:pPr>
      <w:r w:rsidRPr="007E7541">
        <w:rPr>
          <w:w w:val="105"/>
          <w:position w:val="10"/>
          <w:sz w:val="20"/>
          <w:szCs w:val="20"/>
        </w:rPr>
        <w:t xml:space="preserve">g </w:t>
      </w:r>
      <w:r w:rsidRPr="007E7541">
        <w:rPr>
          <w:w w:val="105"/>
          <w:sz w:val="20"/>
          <w:szCs w:val="20"/>
        </w:rPr>
        <w:t>48 nedjelja dvostruko slijepog ispitivanja tenofovir dizoproksilom nakon čega slijede 144 nedjelje otvorenog</w:t>
      </w:r>
      <w:r w:rsidRPr="007E7541">
        <w:rPr>
          <w:sz w:val="20"/>
          <w:szCs w:val="20"/>
        </w:rPr>
        <w:t xml:space="preserve"> </w:t>
      </w:r>
      <w:r w:rsidRPr="007E7541">
        <w:rPr>
          <w:w w:val="105"/>
          <w:sz w:val="20"/>
          <w:szCs w:val="20"/>
        </w:rPr>
        <w:t>ispitivanja.</w:t>
      </w:r>
    </w:p>
    <w:p w:rsidR="0074527F" w:rsidRPr="007E7541" w:rsidRDefault="0074527F" w:rsidP="0074527F">
      <w:pPr>
        <w:widowControl w:val="0"/>
        <w:autoSpaceDE w:val="0"/>
        <w:autoSpaceDN w:val="0"/>
        <w:spacing w:before="13" w:line="236" w:lineRule="exact"/>
        <w:ind w:left="204"/>
        <w:jc w:val="both"/>
        <w:rPr>
          <w:sz w:val="20"/>
          <w:szCs w:val="20"/>
        </w:rPr>
      </w:pPr>
      <w:r w:rsidRPr="007E7541">
        <w:rPr>
          <w:w w:val="105"/>
          <w:position w:val="9"/>
          <w:sz w:val="20"/>
          <w:szCs w:val="20"/>
        </w:rPr>
        <w:t>h</w:t>
      </w:r>
      <w:r w:rsidRPr="007E7541">
        <w:rPr>
          <w:spacing w:val="6"/>
          <w:w w:val="105"/>
          <w:position w:val="9"/>
          <w:sz w:val="20"/>
          <w:szCs w:val="20"/>
        </w:rPr>
        <w:t xml:space="preserve"> </w:t>
      </w:r>
      <w:r w:rsidRPr="007E7541">
        <w:rPr>
          <w:w w:val="105"/>
          <w:sz w:val="20"/>
          <w:szCs w:val="20"/>
        </w:rPr>
        <w:t>48</w:t>
      </w:r>
      <w:r w:rsidRPr="007E7541">
        <w:rPr>
          <w:spacing w:val="-14"/>
          <w:w w:val="105"/>
          <w:sz w:val="20"/>
          <w:szCs w:val="20"/>
        </w:rPr>
        <w:t xml:space="preserve"> </w:t>
      </w:r>
      <w:r w:rsidRPr="007E7541">
        <w:rPr>
          <w:w w:val="105"/>
          <w:sz w:val="20"/>
          <w:szCs w:val="20"/>
        </w:rPr>
        <w:t>nedjelja</w:t>
      </w:r>
      <w:r w:rsidRPr="007E7541">
        <w:rPr>
          <w:spacing w:val="-15"/>
          <w:w w:val="105"/>
          <w:sz w:val="20"/>
          <w:szCs w:val="20"/>
        </w:rPr>
        <w:t xml:space="preserve"> </w:t>
      </w:r>
      <w:r w:rsidRPr="007E7541">
        <w:rPr>
          <w:w w:val="105"/>
          <w:sz w:val="20"/>
          <w:szCs w:val="20"/>
        </w:rPr>
        <w:t>dvostruko</w:t>
      </w:r>
      <w:r w:rsidRPr="007E7541">
        <w:rPr>
          <w:spacing w:val="-15"/>
          <w:w w:val="105"/>
          <w:sz w:val="20"/>
          <w:szCs w:val="20"/>
        </w:rPr>
        <w:t xml:space="preserve"> </w:t>
      </w:r>
      <w:r w:rsidRPr="007E7541">
        <w:rPr>
          <w:w w:val="105"/>
          <w:sz w:val="20"/>
          <w:szCs w:val="20"/>
        </w:rPr>
        <w:t>slijepog</w:t>
      </w:r>
      <w:r w:rsidRPr="007E7541">
        <w:rPr>
          <w:spacing w:val="-15"/>
          <w:w w:val="105"/>
          <w:sz w:val="20"/>
          <w:szCs w:val="20"/>
        </w:rPr>
        <w:t xml:space="preserve"> </w:t>
      </w:r>
      <w:r w:rsidRPr="007E7541">
        <w:rPr>
          <w:w w:val="105"/>
          <w:sz w:val="20"/>
          <w:szCs w:val="20"/>
        </w:rPr>
        <w:t>ispitivanja</w:t>
      </w:r>
      <w:r w:rsidRPr="007E7541">
        <w:rPr>
          <w:spacing w:val="-10"/>
          <w:w w:val="105"/>
          <w:sz w:val="20"/>
          <w:szCs w:val="20"/>
        </w:rPr>
        <w:t xml:space="preserve"> </w:t>
      </w:r>
      <w:r w:rsidRPr="007E7541">
        <w:rPr>
          <w:w w:val="105"/>
          <w:sz w:val="20"/>
          <w:szCs w:val="20"/>
        </w:rPr>
        <w:t>adefovir dipivoksila</w:t>
      </w:r>
      <w:r w:rsidRPr="007E7541">
        <w:rPr>
          <w:spacing w:val="-15"/>
          <w:w w:val="105"/>
          <w:sz w:val="20"/>
          <w:szCs w:val="20"/>
        </w:rPr>
        <w:t xml:space="preserve"> </w:t>
      </w:r>
      <w:r w:rsidRPr="007E7541">
        <w:rPr>
          <w:w w:val="105"/>
          <w:sz w:val="20"/>
          <w:szCs w:val="20"/>
        </w:rPr>
        <w:t>nakon</w:t>
      </w:r>
      <w:r w:rsidRPr="007E7541">
        <w:rPr>
          <w:spacing w:val="-10"/>
          <w:w w:val="105"/>
          <w:sz w:val="20"/>
          <w:szCs w:val="20"/>
        </w:rPr>
        <w:t xml:space="preserve"> </w:t>
      </w:r>
      <w:r w:rsidRPr="007E7541">
        <w:rPr>
          <w:w w:val="105"/>
          <w:sz w:val="20"/>
          <w:szCs w:val="20"/>
        </w:rPr>
        <w:t>čega</w:t>
      </w:r>
      <w:r w:rsidRPr="007E7541">
        <w:rPr>
          <w:spacing w:val="-15"/>
          <w:w w:val="105"/>
          <w:sz w:val="20"/>
          <w:szCs w:val="20"/>
        </w:rPr>
        <w:t xml:space="preserve"> </w:t>
      </w:r>
      <w:r w:rsidRPr="007E7541">
        <w:rPr>
          <w:w w:val="105"/>
          <w:sz w:val="20"/>
          <w:szCs w:val="20"/>
        </w:rPr>
        <w:t>slijedi</w:t>
      </w:r>
      <w:r w:rsidRPr="007E7541">
        <w:rPr>
          <w:spacing w:val="-14"/>
          <w:w w:val="105"/>
          <w:sz w:val="20"/>
          <w:szCs w:val="20"/>
        </w:rPr>
        <w:t xml:space="preserve"> </w:t>
      </w:r>
      <w:r w:rsidRPr="007E7541">
        <w:rPr>
          <w:w w:val="105"/>
          <w:sz w:val="20"/>
          <w:szCs w:val="20"/>
        </w:rPr>
        <w:t>144</w:t>
      </w:r>
      <w:r w:rsidRPr="007E7541">
        <w:rPr>
          <w:spacing w:val="-14"/>
          <w:w w:val="105"/>
          <w:sz w:val="20"/>
          <w:szCs w:val="20"/>
        </w:rPr>
        <w:t xml:space="preserve"> </w:t>
      </w:r>
      <w:r w:rsidRPr="007E7541">
        <w:rPr>
          <w:w w:val="105"/>
          <w:sz w:val="20"/>
          <w:szCs w:val="20"/>
        </w:rPr>
        <w:t>nedjelje</w:t>
      </w:r>
      <w:r w:rsidRPr="007E7541">
        <w:rPr>
          <w:spacing w:val="-14"/>
          <w:w w:val="105"/>
          <w:sz w:val="20"/>
          <w:szCs w:val="20"/>
        </w:rPr>
        <w:t xml:space="preserve"> </w:t>
      </w:r>
      <w:r w:rsidRPr="007E7541">
        <w:rPr>
          <w:w w:val="105"/>
          <w:sz w:val="20"/>
          <w:szCs w:val="20"/>
        </w:rPr>
        <w:t>otvorenog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sa tenofovir dizoproksilom.</w:t>
      </w:r>
      <w:r w:rsidRPr="007E7541">
        <w:rPr>
          <w:spacing w:val="1"/>
          <w:w w:val="105"/>
          <w:sz w:val="20"/>
          <w:szCs w:val="20"/>
        </w:rPr>
        <w:t xml:space="preserve"> </w:t>
      </w:r>
    </w:p>
    <w:p w:rsidR="0074527F" w:rsidRPr="007E7541" w:rsidRDefault="0074527F" w:rsidP="0074527F">
      <w:pPr>
        <w:widowControl w:val="0"/>
        <w:autoSpaceDE w:val="0"/>
        <w:autoSpaceDN w:val="0"/>
        <w:spacing w:line="240" w:lineRule="exact"/>
        <w:ind w:left="204"/>
        <w:jc w:val="both"/>
        <w:rPr>
          <w:sz w:val="20"/>
          <w:szCs w:val="20"/>
        </w:rPr>
      </w:pPr>
      <w:r w:rsidRPr="007E7541">
        <w:rPr>
          <w:w w:val="105"/>
          <w:position w:val="10"/>
          <w:sz w:val="20"/>
          <w:szCs w:val="20"/>
        </w:rPr>
        <w:t>i</w:t>
      </w:r>
      <w:r w:rsidRPr="007E7541">
        <w:rPr>
          <w:spacing w:val="3"/>
          <w:w w:val="105"/>
          <w:position w:val="10"/>
          <w:sz w:val="20"/>
          <w:szCs w:val="20"/>
        </w:rPr>
        <w:t xml:space="preserve"> </w:t>
      </w:r>
      <w:r w:rsidRPr="007E7541">
        <w:rPr>
          <w:w w:val="105"/>
          <w:sz w:val="20"/>
          <w:szCs w:val="20"/>
        </w:rPr>
        <w:t>48</w:t>
      </w:r>
      <w:r w:rsidRPr="007E7541">
        <w:rPr>
          <w:spacing w:val="-15"/>
          <w:w w:val="105"/>
          <w:sz w:val="20"/>
          <w:szCs w:val="20"/>
        </w:rPr>
        <w:t xml:space="preserve"> </w:t>
      </w:r>
      <w:r w:rsidRPr="007E7541">
        <w:rPr>
          <w:w w:val="105"/>
          <w:sz w:val="20"/>
          <w:szCs w:val="20"/>
        </w:rPr>
        <w:t>nedjelja</w:t>
      </w:r>
      <w:r w:rsidRPr="007E7541">
        <w:rPr>
          <w:spacing w:val="-7"/>
          <w:w w:val="105"/>
          <w:sz w:val="20"/>
          <w:szCs w:val="20"/>
        </w:rPr>
        <w:t xml:space="preserve"> </w:t>
      </w:r>
      <w:r w:rsidRPr="007E7541">
        <w:rPr>
          <w:w w:val="105"/>
          <w:sz w:val="20"/>
          <w:szCs w:val="20"/>
        </w:rPr>
        <w:t>dvostruko</w:t>
      </w:r>
      <w:r w:rsidRPr="007E7541">
        <w:rPr>
          <w:spacing w:val="-16"/>
          <w:w w:val="105"/>
          <w:sz w:val="20"/>
          <w:szCs w:val="20"/>
        </w:rPr>
        <w:t xml:space="preserve"> </w:t>
      </w:r>
      <w:r w:rsidRPr="007E7541">
        <w:rPr>
          <w:w w:val="105"/>
          <w:sz w:val="20"/>
          <w:szCs w:val="20"/>
        </w:rPr>
        <w:t>slijepog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sa</w:t>
      </w:r>
      <w:r w:rsidRPr="007E7541">
        <w:rPr>
          <w:spacing w:val="-14"/>
          <w:w w:val="105"/>
          <w:sz w:val="20"/>
          <w:szCs w:val="20"/>
        </w:rPr>
        <w:t xml:space="preserve"> </w:t>
      </w:r>
      <w:r w:rsidRPr="007E7541">
        <w:rPr>
          <w:w w:val="105"/>
          <w:sz w:val="20"/>
          <w:szCs w:val="20"/>
        </w:rPr>
        <w:t>tenofovir dizoproksilom</w:t>
      </w:r>
      <w:r w:rsidRPr="007E7541">
        <w:rPr>
          <w:spacing w:val="-14"/>
          <w:w w:val="105"/>
          <w:sz w:val="20"/>
          <w:szCs w:val="20"/>
        </w:rPr>
        <w:t xml:space="preserve"> </w:t>
      </w:r>
      <w:r w:rsidRPr="007E7541">
        <w:rPr>
          <w:w w:val="105"/>
          <w:sz w:val="20"/>
          <w:szCs w:val="20"/>
        </w:rPr>
        <w:t>nakon</w:t>
      </w:r>
      <w:r w:rsidRPr="007E7541">
        <w:rPr>
          <w:spacing w:val="-11"/>
          <w:w w:val="105"/>
          <w:sz w:val="20"/>
          <w:szCs w:val="20"/>
        </w:rPr>
        <w:t xml:space="preserve"> </w:t>
      </w:r>
      <w:r w:rsidRPr="007E7541">
        <w:rPr>
          <w:w w:val="105"/>
          <w:sz w:val="20"/>
          <w:szCs w:val="20"/>
        </w:rPr>
        <w:t>čega</w:t>
      </w:r>
      <w:r w:rsidRPr="007E7541">
        <w:rPr>
          <w:spacing w:val="-15"/>
          <w:w w:val="105"/>
          <w:sz w:val="20"/>
          <w:szCs w:val="20"/>
        </w:rPr>
        <w:t xml:space="preserve"> </w:t>
      </w:r>
      <w:r w:rsidRPr="007E7541">
        <w:rPr>
          <w:w w:val="105"/>
          <w:sz w:val="20"/>
          <w:szCs w:val="20"/>
        </w:rPr>
        <w:t>slijede</w:t>
      </w:r>
      <w:r w:rsidRPr="007E7541">
        <w:rPr>
          <w:spacing w:val="-18"/>
          <w:w w:val="105"/>
          <w:sz w:val="20"/>
          <w:szCs w:val="20"/>
        </w:rPr>
        <w:t xml:space="preserve"> </w:t>
      </w:r>
      <w:r w:rsidRPr="007E7541">
        <w:rPr>
          <w:w w:val="105"/>
          <w:sz w:val="20"/>
          <w:szCs w:val="20"/>
        </w:rPr>
        <w:t>192</w:t>
      </w:r>
      <w:r w:rsidRPr="007E7541">
        <w:rPr>
          <w:spacing w:val="-15"/>
          <w:w w:val="105"/>
          <w:sz w:val="20"/>
          <w:szCs w:val="20"/>
        </w:rPr>
        <w:t xml:space="preserve"> </w:t>
      </w:r>
      <w:r w:rsidRPr="007E7541">
        <w:rPr>
          <w:w w:val="105"/>
          <w:sz w:val="20"/>
          <w:szCs w:val="20"/>
        </w:rPr>
        <w:t>nedjelje</w:t>
      </w:r>
      <w:r w:rsidRPr="007E7541">
        <w:rPr>
          <w:spacing w:val="-14"/>
          <w:w w:val="105"/>
          <w:sz w:val="20"/>
          <w:szCs w:val="20"/>
        </w:rPr>
        <w:t xml:space="preserve"> </w:t>
      </w:r>
      <w:r w:rsidRPr="007E7541">
        <w:rPr>
          <w:w w:val="105"/>
          <w:sz w:val="20"/>
          <w:szCs w:val="20"/>
        </w:rPr>
        <w:t>otvorenog ispitivanja.</w:t>
      </w:r>
    </w:p>
    <w:p w:rsidR="0074527F" w:rsidRPr="007E7541" w:rsidRDefault="0074527F" w:rsidP="0074527F">
      <w:pPr>
        <w:widowControl w:val="0"/>
        <w:autoSpaceDE w:val="0"/>
        <w:autoSpaceDN w:val="0"/>
        <w:spacing w:line="230" w:lineRule="exact"/>
        <w:ind w:left="204"/>
        <w:jc w:val="both"/>
        <w:rPr>
          <w:sz w:val="20"/>
          <w:szCs w:val="20"/>
        </w:rPr>
      </w:pPr>
      <w:r w:rsidRPr="007E7541">
        <w:rPr>
          <w:w w:val="105"/>
          <w:position w:val="10"/>
          <w:sz w:val="20"/>
          <w:szCs w:val="20"/>
        </w:rPr>
        <w:t xml:space="preserve">j </w:t>
      </w:r>
      <w:r w:rsidRPr="007E7541">
        <w:rPr>
          <w:w w:val="105"/>
          <w:sz w:val="20"/>
          <w:szCs w:val="20"/>
        </w:rPr>
        <w:t>48 nedjelja dvostruko slijepog ispitivanja adefovir dipivoksila nakon čega slijede 192 nedjelje otvorenog ispitivanja sa</w:t>
      </w:r>
      <w:r w:rsidRPr="007E7541">
        <w:rPr>
          <w:sz w:val="20"/>
          <w:szCs w:val="20"/>
        </w:rPr>
        <w:t xml:space="preserve"> </w:t>
      </w:r>
      <w:r w:rsidRPr="007E7541">
        <w:rPr>
          <w:w w:val="105"/>
          <w:sz w:val="20"/>
          <w:szCs w:val="20"/>
        </w:rPr>
        <w:t xml:space="preserve">tenofovir dizoproksilom. </w:t>
      </w:r>
    </w:p>
    <w:p w:rsidR="0074527F" w:rsidRPr="007E7541" w:rsidRDefault="0074527F" w:rsidP="0074527F">
      <w:pPr>
        <w:widowControl w:val="0"/>
        <w:autoSpaceDE w:val="0"/>
        <w:autoSpaceDN w:val="0"/>
        <w:spacing w:line="245" w:lineRule="exact"/>
        <w:ind w:left="204"/>
        <w:jc w:val="both"/>
        <w:rPr>
          <w:sz w:val="20"/>
          <w:szCs w:val="20"/>
        </w:rPr>
      </w:pPr>
      <w:r w:rsidRPr="007E7541">
        <w:rPr>
          <w:w w:val="105"/>
          <w:position w:val="9"/>
          <w:sz w:val="20"/>
          <w:szCs w:val="20"/>
        </w:rPr>
        <w:t xml:space="preserve">k </w:t>
      </w:r>
      <w:r w:rsidRPr="007E7541">
        <w:rPr>
          <w:w w:val="105"/>
          <w:sz w:val="20"/>
          <w:szCs w:val="20"/>
        </w:rPr>
        <w:t>Jedan pacijent u ovoj grupi je postao HBsAg negativan prvi put tokom vizite u 240. nedjelji i ostao je u studiji tokom</w:t>
      </w:r>
      <w:r w:rsidRPr="007E7541">
        <w:rPr>
          <w:sz w:val="20"/>
          <w:szCs w:val="20"/>
        </w:rPr>
        <w:t xml:space="preserve"> </w:t>
      </w:r>
      <w:r w:rsidRPr="007E7541">
        <w:rPr>
          <w:i/>
          <w:w w:val="105"/>
          <w:sz w:val="20"/>
          <w:szCs w:val="20"/>
        </w:rPr>
        <w:t>data cut off-</w:t>
      </w:r>
      <w:r w:rsidRPr="007E7541">
        <w:rPr>
          <w:w w:val="105"/>
          <w:sz w:val="20"/>
          <w:szCs w:val="20"/>
        </w:rPr>
        <w:t>a. Ipak, pacijentova eliminacija HBsAg je bila potvrđena pri narednoj viziti.</w:t>
      </w:r>
    </w:p>
    <w:p w:rsidR="0074527F" w:rsidRPr="007E7541" w:rsidRDefault="0074527F" w:rsidP="00B40EA9">
      <w:pPr>
        <w:widowControl w:val="0"/>
        <w:autoSpaceDE w:val="0"/>
        <w:autoSpaceDN w:val="0"/>
        <w:spacing w:before="14" w:line="240" w:lineRule="exact"/>
        <w:ind w:left="204" w:right="1"/>
        <w:jc w:val="both"/>
        <w:rPr>
          <w:sz w:val="20"/>
          <w:szCs w:val="20"/>
        </w:rPr>
      </w:pPr>
      <w:r w:rsidRPr="007E7541">
        <w:rPr>
          <w:w w:val="105"/>
          <w:position w:val="10"/>
          <w:sz w:val="20"/>
          <w:szCs w:val="20"/>
        </w:rPr>
        <w:t>l</w:t>
      </w:r>
      <w:r w:rsidRPr="007E7541">
        <w:rPr>
          <w:spacing w:val="6"/>
          <w:w w:val="105"/>
          <w:position w:val="10"/>
          <w:sz w:val="20"/>
          <w:szCs w:val="20"/>
        </w:rPr>
        <w:t xml:space="preserve"> </w:t>
      </w:r>
      <w:r w:rsidRPr="007E7541">
        <w:rPr>
          <w:w w:val="105"/>
          <w:sz w:val="20"/>
          <w:szCs w:val="20"/>
        </w:rPr>
        <w:t>48</w:t>
      </w:r>
      <w:r w:rsidRPr="007E7541">
        <w:rPr>
          <w:spacing w:val="-16"/>
          <w:w w:val="105"/>
          <w:sz w:val="20"/>
          <w:szCs w:val="20"/>
        </w:rPr>
        <w:t xml:space="preserve"> </w:t>
      </w:r>
      <w:r w:rsidRPr="007E7541">
        <w:rPr>
          <w:w w:val="105"/>
          <w:sz w:val="20"/>
          <w:szCs w:val="20"/>
        </w:rPr>
        <w:t>nedjelja</w:t>
      </w:r>
      <w:r w:rsidRPr="007E7541">
        <w:rPr>
          <w:spacing w:val="-8"/>
          <w:w w:val="105"/>
          <w:sz w:val="20"/>
          <w:szCs w:val="20"/>
        </w:rPr>
        <w:t xml:space="preserve"> </w:t>
      </w:r>
      <w:r w:rsidRPr="007E7541">
        <w:rPr>
          <w:w w:val="105"/>
          <w:sz w:val="20"/>
          <w:szCs w:val="20"/>
        </w:rPr>
        <w:t>dvostruko</w:t>
      </w:r>
      <w:r w:rsidRPr="007E7541">
        <w:rPr>
          <w:spacing w:val="-15"/>
          <w:w w:val="105"/>
          <w:sz w:val="20"/>
          <w:szCs w:val="20"/>
        </w:rPr>
        <w:t xml:space="preserve"> </w:t>
      </w:r>
      <w:r w:rsidRPr="007E7541">
        <w:rPr>
          <w:w w:val="105"/>
          <w:sz w:val="20"/>
          <w:szCs w:val="20"/>
        </w:rPr>
        <w:t>slijepog</w:t>
      </w:r>
      <w:r w:rsidRPr="007E7541">
        <w:rPr>
          <w:spacing w:val="-16"/>
          <w:w w:val="105"/>
          <w:sz w:val="20"/>
          <w:szCs w:val="20"/>
        </w:rPr>
        <w:t xml:space="preserve"> </w:t>
      </w:r>
      <w:r w:rsidRPr="007E7541">
        <w:rPr>
          <w:w w:val="105"/>
          <w:sz w:val="20"/>
          <w:szCs w:val="20"/>
        </w:rPr>
        <w:t>ispitivanja</w:t>
      </w:r>
      <w:r w:rsidRPr="007E7541">
        <w:rPr>
          <w:spacing w:val="-15"/>
          <w:w w:val="105"/>
          <w:sz w:val="20"/>
          <w:szCs w:val="20"/>
        </w:rPr>
        <w:t xml:space="preserve"> </w:t>
      </w:r>
      <w:r w:rsidRPr="007E7541">
        <w:rPr>
          <w:w w:val="105"/>
          <w:sz w:val="20"/>
          <w:szCs w:val="20"/>
        </w:rPr>
        <w:t>sa</w:t>
      </w:r>
      <w:r w:rsidRPr="007E7541">
        <w:rPr>
          <w:spacing w:val="-14"/>
          <w:w w:val="105"/>
          <w:sz w:val="20"/>
          <w:szCs w:val="20"/>
        </w:rPr>
        <w:t xml:space="preserve"> </w:t>
      </w:r>
      <w:r w:rsidRPr="007E7541">
        <w:rPr>
          <w:w w:val="105"/>
          <w:sz w:val="20"/>
          <w:szCs w:val="20"/>
        </w:rPr>
        <w:t>tenofovir dizoproksilom</w:t>
      </w:r>
      <w:r w:rsidRPr="007E7541">
        <w:rPr>
          <w:spacing w:val="-14"/>
          <w:w w:val="105"/>
          <w:sz w:val="20"/>
          <w:szCs w:val="20"/>
        </w:rPr>
        <w:t xml:space="preserve"> </w:t>
      </w:r>
      <w:r w:rsidRPr="007E7541">
        <w:rPr>
          <w:w w:val="105"/>
          <w:sz w:val="20"/>
          <w:szCs w:val="20"/>
        </w:rPr>
        <w:t>nakon</w:t>
      </w:r>
      <w:r w:rsidRPr="007E7541">
        <w:rPr>
          <w:spacing w:val="-11"/>
          <w:w w:val="105"/>
          <w:sz w:val="20"/>
          <w:szCs w:val="20"/>
        </w:rPr>
        <w:t xml:space="preserve"> </w:t>
      </w:r>
      <w:r w:rsidRPr="007E7541">
        <w:rPr>
          <w:w w:val="105"/>
          <w:sz w:val="20"/>
          <w:szCs w:val="20"/>
        </w:rPr>
        <w:t>čega</w:t>
      </w:r>
      <w:r w:rsidRPr="007E7541">
        <w:rPr>
          <w:spacing w:val="-16"/>
          <w:w w:val="105"/>
          <w:sz w:val="20"/>
          <w:szCs w:val="20"/>
        </w:rPr>
        <w:t xml:space="preserve"> </w:t>
      </w:r>
      <w:r w:rsidRPr="007E7541">
        <w:rPr>
          <w:w w:val="105"/>
          <w:sz w:val="20"/>
          <w:szCs w:val="20"/>
        </w:rPr>
        <w:t>slijedi</w:t>
      </w:r>
      <w:r w:rsidRPr="007E7541">
        <w:rPr>
          <w:spacing w:val="-14"/>
          <w:w w:val="105"/>
          <w:sz w:val="20"/>
          <w:szCs w:val="20"/>
        </w:rPr>
        <w:t xml:space="preserve"> </w:t>
      </w:r>
      <w:r w:rsidRPr="007E7541">
        <w:rPr>
          <w:w w:val="105"/>
          <w:sz w:val="20"/>
          <w:szCs w:val="20"/>
        </w:rPr>
        <w:t>240</w:t>
      </w:r>
      <w:r w:rsidRPr="007E7541">
        <w:rPr>
          <w:spacing w:val="-12"/>
          <w:w w:val="105"/>
          <w:sz w:val="20"/>
          <w:szCs w:val="20"/>
        </w:rPr>
        <w:t xml:space="preserve"> </w:t>
      </w:r>
      <w:r w:rsidRPr="007E7541">
        <w:rPr>
          <w:w w:val="105"/>
          <w:sz w:val="20"/>
          <w:szCs w:val="20"/>
        </w:rPr>
        <w:t>nedjelja</w:t>
      </w:r>
      <w:r w:rsidRPr="007E7541">
        <w:rPr>
          <w:spacing w:val="-16"/>
          <w:w w:val="105"/>
          <w:sz w:val="20"/>
          <w:szCs w:val="20"/>
        </w:rPr>
        <w:t xml:space="preserve"> </w:t>
      </w:r>
      <w:r w:rsidRPr="007E7541">
        <w:rPr>
          <w:w w:val="105"/>
          <w:sz w:val="20"/>
          <w:szCs w:val="20"/>
        </w:rPr>
        <w:t>otvorenog ispitivanja.</w:t>
      </w:r>
    </w:p>
    <w:p w:rsidR="0074527F" w:rsidRPr="007E7541" w:rsidRDefault="0074527F" w:rsidP="0074527F">
      <w:pPr>
        <w:widowControl w:val="0"/>
        <w:autoSpaceDE w:val="0"/>
        <w:autoSpaceDN w:val="0"/>
        <w:spacing w:before="3" w:line="236" w:lineRule="exact"/>
        <w:ind w:left="204"/>
        <w:jc w:val="both"/>
        <w:rPr>
          <w:sz w:val="20"/>
          <w:szCs w:val="20"/>
        </w:rPr>
      </w:pPr>
      <w:r w:rsidRPr="007E7541">
        <w:rPr>
          <w:w w:val="105"/>
          <w:position w:val="10"/>
          <w:sz w:val="20"/>
          <w:szCs w:val="20"/>
        </w:rPr>
        <w:t>m</w:t>
      </w:r>
      <w:r w:rsidRPr="007E7541">
        <w:rPr>
          <w:spacing w:val="2"/>
          <w:w w:val="105"/>
          <w:position w:val="10"/>
          <w:sz w:val="20"/>
          <w:szCs w:val="20"/>
        </w:rPr>
        <w:t xml:space="preserve"> </w:t>
      </w:r>
      <w:r w:rsidRPr="007E7541">
        <w:rPr>
          <w:w w:val="105"/>
          <w:sz w:val="20"/>
          <w:szCs w:val="20"/>
        </w:rPr>
        <w:t>48</w:t>
      </w:r>
      <w:r w:rsidRPr="007E7541">
        <w:rPr>
          <w:spacing w:val="-12"/>
          <w:w w:val="105"/>
          <w:sz w:val="20"/>
          <w:szCs w:val="20"/>
        </w:rPr>
        <w:t xml:space="preserve"> </w:t>
      </w:r>
      <w:r w:rsidRPr="007E7541">
        <w:rPr>
          <w:w w:val="105"/>
          <w:sz w:val="20"/>
          <w:szCs w:val="20"/>
        </w:rPr>
        <w:t>nedjelja</w:t>
      </w:r>
      <w:r w:rsidRPr="007E7541">
        <w:rPr>
          <w:spacing w:val="-13"/>
          <w:w w:val="105"/>
          <w:sz w:val="20"/>
          <w:szCs w:val="20"/>
        </w:rPr>
        <w:t xml:space="preserve"> </w:t>
      </w:r>
      <w:r w:rsidRPr="007E7541">
        <w:rPr>
          <w:w w:val="105"/>
          <w:sz w:val="20"/>
          <w:szCs w:val="20"/>
        </w:rPr>
        <w:t>dvostruko</w:t>
      </w:r>
      <w:r w:rsidRPr="007E7541">
        <w:rPr>
          <w:spacing w:val="-14"/>
          <w:w w:val="105"/>
          <w:sz w:val="20"/>
          <w:szCs w:val="20"/>
        </w:rPr>
        <w:t xml:space="preserve"> </w:t>
      </w:r>
      <w:r w:rsidRPr="007E7541">
        <w:rPr>
          <w:w w:val="105"/>
          <w:sz w:val="20"/>
          <w:szCs w:val="20"/>
        </w:rPr>
        <w:t>slijepog</w:t>
      </w:r>
      <w:r w:rsidRPr="007E7541">
        <w:rPr>
          <w:spacing w:val="-12"/>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adefovir</w:t>
      </w:r>
      <w:r w:rsidRPr="007E7541">
        <w:rPr>
          <w:spacing w:val="-12"/>
          <w:w w:val="105"/>
          <w:sz w:val="20"/>
          <w:szCs w:val="20"/>
        </w:rPr>
        <w:t xml:space="preserve"> </w:t>
      </w:r>
      <w:r w:rsidRPr="007E7541">
        <w:rPr>
          <w:w w:val="105"/>
          <w:sz w:val="20"/>
          <w:szCs w:val="20"/>
        </w:rPr>
        <w:t>dipivoksila</w:t>
      </w:r>
      <w:r w:rsidRPr="007E7541">
        <w:rPr>
          <w:spacing w:val="-14"/>
          <w:w w:val="105"/>
          <w:sz w:val="20"/>
          <w:szCs w:val="20"/>
        </w:rPr>
        <w:t xml:space="preserve"> </w:t>
      </w:r>
      <w:r w:rsidRPr="007E7541">
        <w:rPr>
          <w:w w:val="105"/>
          <w:sz w:val="20"/>
          <w:szCs w:val="20"/>
        </w:rPr>
        <w:t>nakon</w:t>
      </w:r>
      <w:r w:rsidRPr="007E7541">
        <w:rPr>
          <w:spacing w:val="-9"/>
          <w:w w:val="105"/>
          <w:sz w:val="20"/>
          <w:szCs w:val="20"/>
        </w:rPr>
        <w:t xml:space="preserve"> </w:t>
      </w:r>
      <w:r w:rsidRPr="007E7541">
        <w:rPr>
          <w:w w:val="105"/>
          <w:sz w:val="20"/>
          <w:szCs w:val="20"/>
        </w:rPr>
        <w:t>čega</w:t>
      </w:r>
      <w:r w:rsidRPr="007E7541">
        <w:rPr>
          <w:spacing w:val="-13"/>
          <w:w w:val="105"/>
          <w:sz w:val="20"/>
          <w:szCs w:val="20"/>
        </w:rPr>
        <w:t xml:space="preserve"> </w:t>
      </w:r>
      <w:r w:rsidRPr="007E7541">
        <w:rPr>
          <w:w w:val="105"/>
          <w:sz w:val="20"/>
          <w:szCs w:val="20"/>
        </w:rPr>
        <w:t>slijedi</w:t>
      </w:r>
      <w:r w:rsidRPr="007E7541">
        <w:rPr>
          <w:spacing w:val="-12"/>
          <w:w w:val="105"/>
          <w:sz w:val="20"/>
          <w:szCs w:val="20"/>
        </w:rPr>
        <w:t xml:space="preserve"> </w:t>
      </w:r>
      <w:r w:rsidRPr="007E7541">
        <w:rPr>
          <w:w w:val="105"/>
          <w:sz w:val="20"/>
          <w:szCs w:val="20"/>
        </w:rPr>
        <w:t>240</w:t>
      </w:r>
      <w:r w:rsidRPr="007E7541">
        <w:rPr>
          <w:spacing w:val="-14"/>
          <w:w w:val="105"/>
          <w:sz w:val="20"/>
          <w:szCs w:val="20"/>
        </w:rPr>
        <w:t xml:space="preserve"> </w:t>
      </w:r>
      <w:r w:rsidRPr="007E7541">
        <w:rPr>
          <w:w w:val="105"/>
          <w:sz w:val="20"/>
          <w:szCs w:val="20"/>
        </w:rPr>
        <w:t>nedjelja</w:t>
      </w:r>
      <w:r w:rsidRPr="007E7541">
        <w:rPr>
          <w:spacing w:val="-12"/>
          <w:w w:val="105"/>
          <w:sz w:val="20"/>
          <w:szCs w:val="20"/>
        </w:rPr>
        <w:t xml:space="preserve"> </w:t>
      </w:r>
      <w:r w:rsidRPr="007E7541">
        <w:rPr>
          <w:w w:val="105"/>
          <w:sz w:val="20"/>
          <w:szCs w:val="20"/>
        </w:rPr>
        <w:t>otvorenog</w:t>
      </w:r>
      <w:r w:rsidRPr="007E7541">
        <w:rPr>
          <w:spacing w:val="-11"/>
          <w:w w:val="105"/>
          <w:sz w:val="20"/>
          <w:szCs w:val="20"/>
        </w:rPr>
        <w:t xml:space="preserve"> </w:t>
      </w:r>
      <w:r w:rsidRPr="007E7541">
        <w:rPr>
          <w:w w:val="105"/>
          <w:sz w:val="20"/>
          <w:szCs w:val="20"/>
        </w:rPr>
        <w:t>ispitivanja</w:t>
      </w:r>
      <w:r w:rsidRPr="007E7541">
        <w:rPr>
          <w:spacing w:val="-12"/>
          <w:w w:val="105"/>
          <w:sz w:val="20"/>
          <w:szCs w:val="20"/>
        </w:rPr>
        <w:t xml:space="preserve"> </w:t>
      </w:r>
      <w:r w:rsidRPr="007E7541">
        <w:rPr>
          <w:w w:val="105"/>
          <w:sz w:val="20"/>
          <w:szCs w:val="20"/>
        </w:rPr>
        <w:t>sa tenofovir</w:t>
      </w:r>
      <w:r w:rsidR="007E7541" w:rsidRPr="007E7541">
        <w:rPr>
          <w:w w:val="105"/>
          <w:sz w:val="20"/>
          <w:szCs w:val="20"/>
        </w:rPr>
        <w:t xml:space="preserve"> </w:t>
      </w:r>
      <w:r w:rsidRPr="007E7541">
        <w:rPr>
          <w:w w:val="105"/>
          <w:sz w:val="20"/>
          <w:szCs w:val="20"/>
        </w:rPr>
        <w:t>dizoproksil</w:t>
      </w:r>
      <w:r w:rsidR="007E7541" w:rsidRPr="007E7541">
        <w:rPr>
          <w:w w:val="105"/>
          <w:sz w:val="20"/>
          <w:szCs w:val="20"/>
        </w:rPr>
        <w:t>om.</w:t>
      </w:r>
      <w:r w:rsidRPr="007E7541">
        <w:rPr>
          <w:spacing w:val="2"/>
          <w:w w:val="105"/>
          <w:sz w:val="20"/>
          <w:szCs w:val="20"/>
        </w:rPr>
        <w:t xml:space="preserve"> </w:t>
      </w:r>
    </w:p>
    <w:p w:rsidR="0074527F" w:rsidRPr="007E7541" w:rsidRDefault="0074527F" w:rsidP="0074527F">
      <w:pPr>
        <w:widowControl w:val="0"/>
        <w:autoSpaceDE w:val="0"/>
        <w:autoSpaceDN w:val="0"/>
        <w:spacing w:line="230" w:lineRule="exact"/>
        <w:ind w:left="204"/>
        <w:jc w:val="both"/>
        <w:rPr>
          <w:sz w:val="20"/>
          <w:szCs w:val="20"/>
        </w:rPr>
      </w:pPr>
      <w:r w:rsidRPr="007E7541">
        <w:rPr>
          <w:w w:val="105"/>
          <w:position w:val="9"/>
          <w:sz w:val="20"/>
          <w:szCs w:val="20"/>
        </w:rPr>
        <w:t xml:space="preserve">n </w:t>
      </w:r>
      <w:r w:rsidRPr="007E7541">
        <w:rPr>
          <w:w w:val="105"/>
          <w:sz w:val="20"/>
          <w:szCs w:val="20"/>
        </w:rPr>
        <w:t xml:space="preserve">Prikazane cifre su kumulativni </w:t>
      </w:r>
      <w:r w:rsidR="007E7541" w:rsidRPr="007E7541">
        <w:rPr>
          <w:w w:val="105"/>
          <w:sz w:val="20"/>
          <w:szCs w:val="20"/>
        </w:rPr>
        <w:t>proc</w:t>
      </w:r>
      <w:r w:rsidRPr="007E7541">
        <w:rPr>
          <w:w w:val="105"/>
          <w:sz w:val="20"/>
          <w:szCs w:val="20"/>
        </w:rPr>
        <w:t xml:space="preserve">enti zasnovani na </w:t>
      </w:r>
      <w:r w:rsidRPr="007E7541">
        <w:rPr>
          <w:i/>
          <w:w w:val="105"/>
          <w:sz w:val="20"/>
          <w:szCs w:val="20"/>
        </w:rPr>
        <w:t>Kaplan-Meier</w:t>
      </w:r>
      <w:r w:rsidRPr="007E7541">
        <w:rPr>
          <w:w w:val="105"/>
          <w:sz w:val="20"/>
          <w:szCs w:val="20"/>
        </w:rPr>
        <w:t xml:space="preserve"> analizi, uključujući podatke dobijene nakon</w:t>
      </w:r>
      <w:r w:rsidRPr="007E7541">
        <w:rPr>
          <w:sz w:val="20"/>
          <w:szCs w:val="20"/>
        </w:rPr>
        <w:t xml:space="preserve"> </w:t>
      </w:r>
      <w:r w:rsidRPr="007E7541">
        <w:rPr>
          <w:w w:val="105"/>
          <w:sz w:val="20"/>
          <w:szCs w:val="20"/>
        </w:rPr>
        <w:t>dodavanja emtricitabina otvorenom ispitivanju tenofovir</w:t>
      </w:r>
      <w:r w:rsidR="007E7541" w:rsidRPr="007E7541">
        <w:rPr>
          <w:w w:val="105"/>
          <w:sz w:val="20"/>
          <w:szCs w:val="20"/>
        </w:rPr>
        <w:t xml:space="preserve"> </w:t>
      </w:r>
      <w:r w:rsidRPr="007E7541">
        <w:rPr>
          <w:w w:val="105"/>
          <w:sz w:val="20"/>
          <w:szCs w:val="20"/>
        </w:rPr>
        <w:t>dizoproksil</w:t>
      </w:r>
      <w:r w:rsidR="007E7541" w:rsidRPr="007E7541">
        <w:rPr>
          <w:w w:val="105"/>
          <w:sz w:val="20"/>
          <w:szCs w:val="20"/>
        </w:rPr>
        <w:t>a (</w:t>
      </w:r>
      <w:r w:rsidR="007E7541" w:rsidRPr="007E7541">
        <w:rPr>
          <w:i/>
          <w:w w:val="105"/>
          <w:sz w:val="20"/>
          <w:szCs w:val="20"/>
        </w:rPr>
        <w:t xml:space="preserve">KM-tenofovir </w:t>
      </w:r>
      <w:r w:rsidR="00E4312F">
        <w:rPr>
          <w:i/>
          <w:w w:val="105"/>
          <w:sz w:val="20"/>
          <w:szCs w:val="20"/>
        </w:rPr>
        <w:t>dizoproksil</w:t>
      </w:r>
      <w:r w:rsidRPr="007E7541">
        <w:rPr>
          <w:w w:val="105"/>
          <w:sz w:val="20"/>
          <w:szCs w:val="20"/>
        </w:rPr>
        <w:t>).</w:t>
      </w:r>
    </w:p>
    <w:p w:rsidR="0074527F" w:rsidRPr="007E7541" w:rsidRDefault="0074527F" w:rsidP="0074527F">
      <w:pPr>
        <w:widowControl w:val="0"/>
        <w:autoSpaceDE w:val="0"/>
        <w:autoSpaceDN w:val="0"/>
        <w:spacing w:before="21" w:line="236" w:lineRule="exact"/>
        <w:ind w:left="204"/>
        <w:jc w:val="both"/>
        <w:rPr>
          <w:sz w:val="20"/>
          <w:szCs w:val="20"/>
        </w:rPr>
      </w:pPr>
      <w:r w:rsidRPr="007E7541">
        <w:rPr>
          <w:w w:val="105"/>
          <w:position w:val="10"/>
          <w:sz w:val="20"/>
          <w:szCs w:val="20"/>
        </w:rPr>
        <w:t>o</w:t>
      </w:r>
      <w:r w:rsidRPr="007E7541">
        <w:rPr>
          <w:spacing w:val="8"/>
          <w:w w:val="105"/>
          <w:position w:val="10"/>
          <w:sz w:val="20"/>
          <w:szCs w:val="20"/>
        </w:rPr>
        <w:t xml:space="preserve"> </w:t>
      </w:r>
      <w:r w:rsidRPr="007E7541">
        <w:rPr>
          <w:w w:val="105"/>
          <w:sz w:val="20"/>
          <w:szCs w:val="20"/>
        </w:rPr>
        <w:t>48</w:t>
      </w:r>
      <w:r w:rsidRPr="007E7541">
        <w:rPr>
          <w:spacing w:val="-13"/>
          <w:w w:val="105"/>
          <w:sz w:val="20"/>
          <w:szCs w:val="20"/>
        </w:rPr>
        <w:t xml:space="preserve"> </w:t>
      </w:r>
      <w:r w:rsidRPr="007E7541">
        <w:rPr>
          <w:w w:val="105"/>
          <w:sz w:val="20"/>
          <w:szCs w:val="20"/>
        </w:rPr>
        <w:t>nedjelja</w:t>
      </w:r>
      <w:r w:rsidRPr="007E7541">
        <w:rPr>
          <w:spacing w:val="-13"/>
          <w:w w:val="105"/>
          <w:sz w:val="20"/>
          <w:szCs w:val="20"/>
        </w:rPr>
        <w:t xml:space="preserve"> </w:t>
      </w:r>
      <w:r w:rsidRPr="007E7541">
        <w:rPr>
          <w:w w:val="105"/>
          <w:sz w:val="20"/>
          <w:szCs w:val="20"/>
        </w:rPr>
        <w:t>dvostruko</w:t>
      </w:r>
      <w:r w:rsidRPr="007E7541">
        <w:rPr>
          <w:spacing w:val="-13"/>
          <w:w w:val="105"/>
          <w:sz w:val="20"/>
          <w:szCs w:val="20"/>
        </w:rPr>
        <w:t xml:space="preserve"> </w:t>
      </w:r>
      <w:r w:rsidRPr="007E7541">
        <w:rPr>
          <w:w w:val="105"/>
          <w:sz w:val="20"/>
          <w:szCs w:val="20"/>
        </w:rPr>
        <w:t>slijepog</w:t>
      </w:r>
      <w:r w:rsidRPr="007E7541">
        <w:rPr>
          <w:spacing w:val="-13"/>
          <w:w w:val="105"/>
          <w:sz w:val="20"/>
          <w:szCs w:val="20"/>
        </w:rPr>
        <w:t xml:space="preserve"> </w:t>
      </w:r>
      <w:r w:rsidRPr="007E7541">
        <w:rPr>
          <w:w w:val="105"/>
          <w:sz w:val="20"/>
          <w:szCs w:val="20"/>
        </w:rPr>
        <w:t>ispitivanja</w:t>
      </w:r>
      <w:r w:rsidRPr="007E7541">
        <w:rPr>
          <w:spacing w:val="-12"/>
          <w:w w:val="105"/>
          <w:sz w:val="20"/>
          <w:szCs w:val="20"/>
        </w:rPr>
        <w:t xml:space="preserve"> </w:t>
      </w:r>
      <w:r w:rsidRPr="007E7541">
        <w:rPr>
          <w:w w:val="105"/>
          <w:sz w:val="20"/>
          <w:szCs w:val="20"/>
        </w:rPr>
        <w:t>sa</w:t>
      </w:r>
      <w:r w:rsidRPr="007E7541">
        <w:rPr>
          <w:spacing w:val="-13"/>
          <w:w w:val="105"/>
          <w:sz w:val="20"/>
          <w:szCs w:val="20"/>
        </w:rPr>
        <w:t xml:space="preserve"> </w:t>
      </w:r>
      <w:r w:rsidRPr="007E7541">
        <w:rPr>
          <w:w w:val="105"/>
          <w:sz w:val="20"/>
          <w:szCs w:val="20"/>
        </w:rPr>
        <w:t>tenofovir</w:t>
      </w:r>
      <w:r w:rsidRPr="007E7541">
        <w:rPr>
          <w:spacing w:val="-12"/>
          <w:w w:val="105"/>
          <w:sz w:val="20"/>
          <w:szCs w:val="20"/>
        </w:rPr>
        <w:t xml:space="preserve"> </w:t>
      </w:r>
      <w:r w:rsidRPr="007E7541">
        <w:rPr>
          <w:w w:val="105"/>
          <w:sz w:val="20"/>
          <w:szCs w:val="20"/>
        </w:rPr>
        <w:t>dizoproksil</w:t>
      </w:r>
      <w:r w:rsidR="007E7541" w:rsidRPr="007E7541">
        <w:rPr>
          <w:w w:val="105"/>
          <w:sz w:val="20"/>
          <w:szCs w:val="20"/>
        </w:rPr>
        <w:t>om</w:t>
      </w:r>
      <w:r w:rsidRPr="007E7541">
        <w:rPr>
          <w:spacing w:val="-13"/>
          <w:w w:val="105"/>
          <w:sz w:val="20"/>
          <w:szCs w:val="20"/>
        </w:rPr>
        <w:t xml:space="preserve"> </w:t>
      </w:r>
      <w:r w:rsidRPr="007E7541">
        <w:rPr>
          <w:w w:val="105"/>
          <w:sz w:val="20"/>
          <w:szCs w:val="20"/>
        </w:rPr>
        <w:t>nakon</w:t>
      </w:r>
      <w:r w:rsidRPr="007E7541">
        <w:rPr>
          <w:spacing w:val="-8"/>
          <w:w w:val="105"/>
          <w:sz w:val="20"/>
          <w:szCs w:val="20"/>
        </w:rPr>
        <w:t xml:space="preserve"> </w:t>
      </w:r>
      <w:r w:rsidRPr="007E7541">
        <w:rPr>
          <w:w w:val="105"/>
          <w:sz w:val="20"/>
          <w:szCs w:val="20"/>
        </w:rPr>
        <w:t>čega</w:t>
      </w:r>
      <w:r w:rsidRPr="007E7541">
        <w:rPr>
          <w:spacing w:val="-14"/>
          <w:w w:val="105"/>
          <w:sz w:val="20"/>
          <w:szCs w:val="20"/>
        </w:rPr>
        <w:t xml:space="preserve"> </w:t>
      </w:r>
      <w:r w:rsidRPr="007E7541">
        <w:rPr>
          <w:w w:val="105"/>
          <w:sz w:val="20"/>
          <w:szCs w:val="20"/>
        </w:rPr>
        <w:t>slijedi</w:t>
      </w:r>
      <w:r w:rsidRPr="007E7541">
        <w:rPr>
          <w:spacing w:val="-12"/>
          <w:w w:val="105"/>
          <w:sz w:val="20"/>
          <w:szCs w:val="20"/>
        </w:rPr>
        <w:t xml:space="preserve"> </w:t>
      </w:r>
      <w:r w:rsidRPr="007E7541">
        <w:rPr>
          <w:w w:val="105"/>
          <w:sz w:val="20"/>
          <w:szCs w:val="20"/>
        </w:rPr>
        <w:t>336</w:t>
      </w:r>
      <w:r w:rsidRPr="007E7541">
        <w:rPr>
          <w:spacing w:val="-10"/>
          <w:w w:val="105"/>
          <w:sz w:val="20"/>
          <w:szCs w:val="20"/>
        </w:rPr>
        <w:t xml:space="preserve"> </w:t>
      </w:r>
      <w:r w:rsidRPr="007E7541">
        <w:rPr>
          <w:spacing w:val="-3"/>
          <w:w w:val="105"/>
          <w:sz w:val="20"/>
          <w:szCs w:val="20"/>
        </w:rPr>
        <w:t>nedjelja</w:t>
      </w:r>
      <w:r w:rsidRPr="007E7541">
        <w:rPr>
          <w:spacing w:val="-12"/>
          <w:w w:val="105"/>
          <w:sz w:val="20"/>
          <w:szCs w:val="20"/>
        </w:rPr>
        <w:t xml:space="preserve"> </w:t>
      </w:r>
      <w:r w:rsidRPr="007E7541">
        <w:rPr>
          <w:w w:val="105"/>
          <w:sz w:val="20"/>
          <w:szCs w:val="20"/>
        </w:rPr>
        <w:t>otvorenog ispitivanja.</w:t>
      </w:r>
    </w:p>
    <w:p w:rsidR="0074527F" w:rsidRPr="007E7541" w:rsidRDefault="0074527F" w:rsidP="0074527F">
      <w:pPr>
        <w:widowControl w:val="0"/>
        <w:autoSpaceDE w:val="0"/>
        <w:autoSpaceDN w:val="0"/>
        <w:spacing w:line="240" w:lineRule="exact"/>
        <w:ind w:left="204"/>
        <w:jc w:val="both"/>
        <w:rPr>
          <w:sz w:val="20"/>
          <w:szCs w:val="20"/>
        </w:rPr>
      </w:pPr>
      <w:r w:rsidRPr="007E7541">
        <w:rPr>
          <w:w w:val="105"/>
          <w:position w:val="10"/>
          <w:sz w:val="20"/>
          <w:szCs w:val="20"/>
        </w:rPr>
        <w:t>p</w:t>
      </w:r>
      <w:r w:rsidRPr="007E7541">
        <w:rPr>
          <w:spacing w:val="7"/>
          <w:w w:val="105"/>
          <w:position w:val="10"/>
          <w:sz w:val="20"/>
          <w:szCs w:val="20"/>
        </w:rPr>
        <w:t xml:space="preserve"> </w:t>
      </w:r>
      <w:r w:rsidRPr="007E7541">
        <w:rPr>
          <w:w w:val="105"/>
          <w:sz w:val="20"/>
          <w:szCs w:val="20"/>
        </w:rPr>
        <w:t>48</w:t>
      </w:r>
      <w:r w:rsidRPr="007E7541">
        <w:rPr>
          <w:spacing w:val="-13"/>
          <w:w w:val="105"/>
          <w:sz w:val="20"/>
          <w:szCs w:val="20"/>
        </w:rPr>
        <w:t xml:space="preserve"> </w:t>
      </w:r>
      <w:r w:rsidRPr="007E7541">
        <w:rPr>
          <w:w w:val="105"/>
          <w:sz w:val="20"/>
          <w:szCs w:val="20"/>
        </w:rPr>
        <w:t>nedjelja</w:t>
      </w:r>
      <w:r w:rsidRPr="007E7541">
        <w:rPr>
          <w:spacing w:val="-14"/>
          <w:w w:val="105"/>
          <w:sz w:val="20"/>
          <w:szCs w:val="20"/>
        </w:rPr>
        <w:t xml:space="preserve"> </w:t>
      </w:r>
      <w:r w:rsidRPr="007E7541">
        <w:rPr>
          <w:w w:val="105"/>
          <w:sz w:val="20"/>
          <w:szCs w:val="20"/>
        </w:rPr>
        <w:t>dvostruko</w:t>
      </w:r>
      <w:r w:rsidRPr="007E7541">
        <w:rPr>
          <w:spacing w:val="-14"/>
          <w:w w:val="105"/>
          <w:sz w:val="20"/>
          <w:szCs w:val="20"/>
        </w:rPr>
        <w:t xml:space="preserve"> </w:t>
      </w:r>
      <w:r w:rsidRPr="007E7541">
        <w:rPr>
          <w:w w:val="105"/>
          <w:sz w:val="20"/>
          <w:szCs w:val="20"/>
        </w:rPr>
        <w:t>slijepog</w:t>
      </w:r>
      <w:r w:rsidRPr="007E7541">
        <w:rPr>
          <w:spacing w:val="-14"/>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w:t>
      </w:r>
      <w:r w:rsidRPr="007E7541">
        <w:rPr>
          <w:spacing w:val="-13"/>
          <w:w w:val="105"/>
          <w:sz w:val="20"/>
          <w:szCs w:val="20"/>
        </w:rPr>
        <w:t xml:space="preserve"> </w:t>
      </w:r>
      <w:r w:rsidRPr="007E7541">
        <w:rPr>
          <w:w w:val="105"/>
          <w:sz w:val="20"/>
          <w:szCs w:val="20"/>
        </w:rPr>
        <w:t>adefovir</w:t>
      </w:r>
      <w:r w:rsidRPr="007E7541">
        <w:rPr>
          <w:spacing w:val="-13"/>
          <w:w w:val="105"/>
          <w:sz w:val="20"/>
          <w:szCs w:val="20"/>
        </w:rPr>
        <w:t xml:space="preserve"> </w:t>
      </w:r>
      <w:r w:rsidRPr="007E7541">
        <w:rPr>
          <w:w w:val="105"/>
          <w:sz w:val="20"/>
          <w:szCs w:val="20"/>
        </w:rPr>
        <w:t>dipivoksilom</w:t>
      </w:r>
      <w:r w:rsidRPr="007E7541">
        <w:rPr>
          <w:spacing w:val="-9"/>
          <w:w w:val="105"/>
          <w:sz w:val="20"/>
          <w:szCs w:val="20"/>
        </w:rPr>
        <w:t xml:space="preserve"> </w:t>
      </w:r>
      <w:r w:rsidRPr="007E7541">
        <w:rPr>
          <w:w w:val="105"/>
          <w:sz w:val="20"/>
          <w:szCs w:val="20"/>
        </w:rPr>
        <w:t>nakon</w:t>
      </w:r>
      <w:r w:rsidRPr="007E7541">
        <w:rPr>
          <w:spacing w:val="-12"/>
          <w:w w:val="105"/>
          <w:sz w:val="20"/>
          <w:szCs w:val="20"/>
        </w:rPr>
        <w:t xml:space="preserve"> </w:t>
      </w:r>
      <w:r w:rsidRPr="007E7541">
        <w:rPr>
          <w:w w:val="105"/>
          <w:sz w:val="20"/>
          <w:szCs w:val="20"/>
        </w:rPr>
        <w:t>čega</w:t>
      </w:r>
      <w:r w:rsidRPr="007E7541">
        <w:rPr>
          <w:spacing w:val="-13"/>
          <w:w w:val="105"/>
          <w:sz w:val="20"/>
          <w:szCs w:val="20"/>
        </w:rPr>
        <w:t xml:space="preserve"> </w:t>
      </w:r>
      <w:r w:rsidRPr="007E7541">
        <w:rPr>
          <w:w w:val="105"/>
          <w:sz w:val="20"/>
          <w:szCs w:val="20"/>
        </w:rPr>
        <w:t>slijedi</w:t>
      </w:r>
      <w:r w:rsidRPr="007E7541">
        <w:rPr>
          <w:spacing w:val="-9"/>
          <w:w w:val="105"/>
          <w:sz w:val="20"/>
          <w:szCs w:val="20"/>
        </w:rPr>
        <w:t xml:space="preserve"> </w:t>
      </w:r>
      <w:r w:rsidRPr="007E7541">
        <w:rPr>
          <w:w w:val="105"/>
          <w:sz w:val="20"/>
          <w:szCs w:val="20"/>
        </w:rPr>
        <w:t>336</w:t>
      </w:r>
      <w:r w:rsidRPr="007E7541">
        <w:rPr>
          <w:spacing w:val="-13"/>
          <w:w w:val="105"/>
          <w:sz w:val="20"/>
          <w:szCs w:val="20"/>
        </w:rPr>
        <w:t xml:space="preserve"> </w:t>
      </w:r>
      <w:r w:rsidRPr="007E7541">
        <w:rPr>
          <w:w w:val="105"/>
          <w:sz w:val="20"/>
          <w:szCs w:val="20"/>
        </w:rPr>
        <w:t>nedjelja</w:t>
      </w:r>
      <w:r w:rsidRPr="007E7541">
        <w:rPr>
          <w:spacing w:val="-13"/>
          <w:w w:val="105"/>
          <w:sz w:val="20"/>
          <w:szCs w:val="20"/>
        </w:rPr>
        <w:t xml:space="preserve"> </w:t>
      </w:r>
      <w:r w:rsidRPr="007E7541">
        <w:rPr>
          <w:w w:val="105"/>
          <w:sz w:val="20"/>
          <w:szCs w:val="20"/>
        </w:rPr>
        <w:t>otvorenog</w:t>
      </w:r>
      <w:r w:rsidRPr="007E7541">
        <w:rPr>
          <w:spacing w:val="-13"/>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 tenofovir</w:t>
      </w:r>
      <w:r w:rsidRPr="007E7541">
        <w:rPr>
          <w:spacing w:val="-2"/>
          <w:w w:val="105"/>
          <w:sz w:val="20"/>
          <w:szCs w:val="20"/>
        </w:rPr>
        <w:t xml:space="preserve"> </w:t>
      </w:r>
      <w:r w:rsidRPr="007E7541">
        <w:rPr>
          <w:w w:val="105"/>
          <w:sz w:val="20"/>
          <w:szCs w:val="20"/>
        </w:rPr>
        <w:t>dizoproksil</w:t>
      </w:r>
      <w:r w:rsidR="007E7541" w:rsidRPr="007E7541">
        <w:rPr>
          <w:w w:val="105"/>
          <w:sz w:val="20"/>
          <w:szCs w:val="20"/>
        </w:rPr>
        <w:t>om.</w:t>
      </w:r>
    </w:p>
    <w:p w:rsidR="0074527F" w:rsidRPr="007E7541" w:rsidRDefault="0074527F" w:rsidP="0074527F">
      <w:pPr>
        <w:widowControl w:val="0"/>
        <w:autoSpaceDE w:val="0"/>
        <w:autoSpaceDN w:val="0"/>
        <w:ind w:left="204"/>
        <w:jc w:val="both"/>
        <w:rPr>
          <w:sz w:val="20"/>
          <w:szCs w:val="20"/>
        </w:rPr>
      </w:pPr>
      <w:r w:rsidRPr="007E7541">
        <w:rPr>
          <w:w w:val="105"/>
          <w:sz w:val="20"/>
          <w:szCs w:val="20"/>
        </w:rPr>
        <w:t xml:space="preserve">n/a </w:t>
      </w:r>
      <w:r w:rsidR="007E7541" w:rsidRPr="007E7541">
        <w:rPr>
          <w:w w:val="105"/>
          <w:sz w:val="20"/>
          <w:szCs w:val="20"/>
        </w:rPr>
        <w:t>=</w:t>
      </w:r>
      <w:r w:rsidRPr="007E7541">
        <w:rPr>
          <w:w w:val="105"/>
          <w:sz w:val="20"/>
          <w:szCs w:val="20"/>
        </w:rPr>
        <w:t>nije primjenljivo</w:t>
      </w:r>
    </w:p>
    <w:p w:rsidR="002E37A5" w:rsidRDefault="002E37A5" w:rsidP="0074527F">
      <w:pPr>
        <w:tabs>
          <w:tab w:val="left" w:pos="540"/>
          <w:tab w:val="left" w:pos="569"/>
        </w:tabs>
        <w:jc w:val="both"/>
        <w:rPr>
          <w:b/>
          <w:bCs/>
          <w:sz w:val="22"/>
          <w:szCs w:val="22"/>
        </w:rPr>
      </w:pPr>
    </w:p>
    <w:p w:rsidR="007E7541" w:rsidRDefault="007E7541" w:rsidP="007E7541">
      <w:pPr>
        <w:tabs>
          <w:tab w:val="left" w:pos="540"/>
          <w:tab w:val="left" w:pos="569"/>
        </w:tabs>
        <w:jc w:val="both"/>
        <w:rPr>
          <w:b/>
          <w:bCs/>
          <w:sz w:val="22"/>
          <w:szCs w:val="22"/>
        </w:rPr>
      </w:pPr>
      <w:r w:rsidRPr="007E7541">
        <w:rPr>
          <w:b/>
          <w:bCs/>
          <w:sz w:val="22"/>
          <w:szCs w:val="22"/>
        </w:rPr>
        <w:t>Tabela 5: Parametri efikasnosti kod kompenzovanih HbeAg pozitivnih pacijenata u 96., 144., 192., 240., 288. i 384. nedjelji liječenja u otvorenom ispitivanju</w:t>
      </w:r>
    </w:p>
    <w:p w:rsidR="007E7541" w:rsidRPr="007E7541" w:rsidRDefault="007E7541" w:rsidP="007E7541">
      <w:pPr>
        <w:tabs>
          <w:tab w:val="left" w:pos="540"/>
          <w:tab w:val="left" w:pos="569"/>
        </w:tabs>
        <w:jc w:val="both"/>
        <w:rPr>
          <w:b/>
          <w:bCs/>
          <w:sz w:val="22"/>
          <w:szCs w:val="22"/>
        </w:rPr>
      </w:pPr>
    </w:p>
    <w:tbl>
      <w:tblPr>
        <w:tblW w:w="5161" w:type="pct"/>
        <w:tblBorders>
          <w:top w:val="outset" w:sz="6" w:space="0" w:color="7B7B7B"/>
          <w:left w:val="outset" w:sz="6" w:space="0" w:color="7B7B7B"/>
          <w:bottom w:val="outset" w:sz="6" w:space="0" w:color="7B7B7B"/>
          <w:right w:val="outset" w:sz="6" w:space="0" w:color="7B7B7B"/>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64"/>
        <w:gridCol w:w="632"/>
        <w:gridCol w:w="632"/>
        <w:gridCol w:w="632"/>
        <w:gridCol w:w="632"/>
        <w:gridCol w:w="632"/>
        <w:gridCol w:w="731"/>
        <w:gridCol w:w="540"/>
        <w:gridCol w:w="634"/>
        <w:gridCol w:w="634"/>
        <w:gridCol w:w="772"/>
        <w:gridCol w:w="707"/>
        <w:gridCol w:w="707"/>
      </w:tblGrid>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4F3D93">
            <w:pPr>
              <w:tabs>
                <w:tab w:val="left" w:pos="540"/>
                <w:tab w:val="left" w:pos="569"/>
              </w:tabs>
              <w:rPr>
                <w:b/>
                <w:bCs/>
                <w:sz w:val="22"/>
                <w:szCs w:val="22"/>
                <w:lang w:val="en-GB"/>
              </w:rPr>
            </w:pPr>
          </w:p>
        </w:tc>
        <w:tc>
          <w:tcPr>
            <w:tcW w:w="4217" w:type="pct"/>
            <w:gridSpan w:val="12"/>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7E7541">
            <w:pPr>
              <w:tabs>
                <w:tab w:val="left" w:pos="540"/>
                <w:tab w:val="left" w:pos="569"/>
              </w:tabs>
              <w:jc w:val="center"/>
              <w:rPr>
                <w:b/>
                <w:bCs/>
                <w:sz w:val="22"/>
                <w:szCs w:val="22"/>
                <w:lang w:val="en-GB"/>
              </w:rPr>
            </w:pPr>
            <w:r>
              <w:rPr>
                <w:b/>
                <w:bCs/>
                <w:sz w:val="22"/>
                <w:szCs w:val="22"/>
                <w:lang w:val="en-GB"/>
              </w:rPr>
              <w:t>Studija 174-0103 (HBeAg pozitivni</w:t>
            </w:r>
            <w:r w:rsidRPr="000200C0">
              <w:rPr>
                <w:b/>
                <w:bCs/>
                <w:sz w:val="22"/>
                <w:szCs w:val="22"/>
                <w:lang w:val="en-GB"/>
              </w:rPr>
              <w:t>)</w:t>
            </w:r>
          </w:p>
        </w:tc>
      </w:tr>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4F3D93">
            <w:pPr>
              <w:tabs>
                <w:tab w:val="left" w:pos="540"/>
                <w:tab w:val="left" w:pos="569"/>
              </w:tabs>
              <w:rPr>
                <w:bCs/>
                <w:sz w:val="22"/>
                <w:szCs w:val="22"/>
                <w:lang w:val="en-GB"/>
              </w:rPr>
            </w:pPr>
            <w:r w:rsidRPr="007E7541">
              <w:rPr>
                <w:bCs/>
                <w:sz w:val="22"/>
                <w:szCs w:val="22"/>
                <w:lang w:val="en-GB"/>
              </w:rPr>
              <w:t>Parameter</w:t>
            </w:r>
            <w:r w:rsidRPr="007E7541">
              <w:rPr>
                <w:bCs/>
                <w:sz w:val="22"/>
                <w:szCs w:val="22"/>
                <w:vertAlign w:val="superscript"/>
                <w:lang w:val="en-GB"/>
              </w:rPr>
              <w:t>a</w:t>
            </w:r>
          </w:p>
        </w:tc>
        <w:tc>
          <w:tcPr>
            <w:tcW w:w="2081" w:type="pct"/>
            <w:gridSpan w:val="6"/>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Tenofovir dizoproksil 245 mg</w:t>
            </w: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n = 176</w:t>
            </w:r>
          </w:p>
        </w:tc>
        <w:tc>
          <w:tcPr>
            <w:tcW w:w="2136" w:type="pct"/>
            <w:gridSpan w:val="6"/>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Adefovir dipivoksil 10 mg</w:t>
            </w:r>
            <w:r>
              <w:rPr>
                <w:bCs/>
                <w:sz w:val="22"/>
                <w:szCs w:val="22"/>
                <w:lang w:val="en-GB"/>
              </w:rPr>
              <w:t xml:space="preserve"> prelazak na tenofovir diz</w:t>
            </w:r>
            <w:r w:rsidRPr="007E7541">
              <w:rPr>
                <w:bCs/>
                <w:sz w:val="22"/>
                <w:szCs w:val="22"/>
                <w:lang w:val="en-GB"/>
              </w:rPr>
              <w:t>oproksil 245 mg</w:t>
            </w: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n = 90</w:t>
            </w:r>
          </w:p>
        </w:tc>
      </w:tr>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4F3D93">
            <w:pPr>
              <w:tabs>
                <w:tab w:val="left" w:pos="540"/>
                <w:tab w:val="left" w:pos="569"/>
              </w:tabs>
              <w:rPr>
                <w:b/>
                <w:bCs/>
                <w:sz w:val="22"/>
                <w:szCs w:val="22"/>
                <w:lang w:val="en-GB"/>
              </w:rPr>
            </w:pPr>
            <w:r>
              <w:rPr>
                <w:b/>
                <w:bCs/>
                <w:sz w:val="22"/>
                <w:szCs w:val="22"/>
                <w:lang w:val="en-GB"/>
              </w:rPr>
              <w:t>Nedjelja</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96</w:t>
            </w:r>
            <w:r w:rsidRPr="007E7541">
              <w:rPr>
                <w:bCs/>
                <w:sz w:val="22"/>
                <w:szCs w:val="22"/>
                <w:vertAlign w:val="superscript"/>
                <w:lang w:val="en-GB"/>
              </w:rPr>
              <w:t>b</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144</w:t>
            </w:r>
            <w:r w:rsidRPr="007E7541">
              <w:rPr>
                <w:bCs/>
                <w:sz w:val="22"/>
                <w:szCs w:val="22"/>
                <w:vertAlign w:val="superscript"/>
                <w:lang w:val="en-GB"/>
              </w:rPr>
              <w:t>e</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192</w:t>
            </w:r>
            <w:r w:rsidRPr="007E7541">
              <w:rPr>
                <w:bCs/>
                <w:sz w:val="22"/>
                <w:szCs w:val="22"/>
                <w:vertAlign w:val="superscript"/>
                <w:lang w:val="en-GB"/>
              </w:rPr>
              <w:t>h</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240</w:t>
            </w:r>
            <w:r w:rsidRPr="007E7541">
              <w:rPr>
                <w:bCs/>
                <w:sz w:val="22"/>
                <w:szCs w:val="22"/>
                <w:vertAlign w:val="superscript"/>
                <w:lang w:val="en-GB"/>
              </w:rPr>
              <w:t>j</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288</w:t>
            </w:r>
            <w:r w:rsidRPr="007E7541">
              <w:rPr>
                <w:bCs/>
                <w:sz w:val="22"/>
                <w:szCs w:val="22"/>
                <w:vertAlign w:val="superscript"/>
                <w:lang w:val="en-GB"/>
              </w:rPr>
              <w:t>m</w:t>
            </w:r>
          </w:p>
        </w:tc>
        <w:tc>
          <w:tcPr>
            <w:tcW w:w="391"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384</w:t>
            </w:r>
            <w:r w:rsidRPr="007E7541">
              <w:rPr>
                <w:bCs/>
                <w:sz w:val="22"/>
                <w:szCs w:val="22"/>
                <w:vertAlign w:val="superscript"/>
                <w:lang w:val="en-GB"/>
              </w:rPr>
              <w:t>o</w:t>
            </w:r>
          </w:p>
        </w:tc>
        <w:tc>
          <w:tcPr>
            <w:tcW w:w="28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96</w:t>
            </w:r>
            <w:r w:rsidRPr="007E7541">
              <w:rPr>
                <w:bCs/>
                <w:sz w:val="22"/>
                <w:szCs w:val="22"/>
                <w:vertAlign w:val="superscript"/>
                <w:lang w:val="en-GB"/>
              </w:rPr>
              <w:t>c</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144</w:t>
            </w:r>
            <w:r w:rsidRPr="007E7541">
              <w:rPr>
                <w:bCs/>
                <w:sz w:val="22"/>
                <w:szCs w:val="22"/>
                <w:vertAlign w:val="superscript"/>
                <w:lang w:val="en-GB"/>
              </w:rPr>
              <w:t>f</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192</w:t>
            </w:r>
            <w:r w:rsidRPr="007E7541">
              <w:rPr>
                <w:bCs/>
                <w:sz w:val="22"/>
                <w:szCs w:val="22"/>
                <w:vertAlign w:val="superscript"/>
                <w:lang w:val="en-GB"/>
              </w:rPr>
              <w:t>i</w:t>
            </w:r>
          </w:p>
        </w:tc>
        <w:tc>
          <w:tcPr>
            <w:tcW w:w="41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240</w:t>
            </w:r>
            <w:r w:rsidRPr="007E7541">
              <w:rPr>
                <w:bCs/>
                <w:sz w:val="22"/>
                <w:szCs w:val="22"/>
                <w:vertAlign w:val="superscript"/>
                <w:lang w:val="en-GB"/>
              </w:rPr>
              <w:t>k</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288</w:t>
            </w:r>
            <w:r w:rsidRPr="007E7541">
              <w:rPr>
                <w:bCs/>
                <w:sz w:val="22"/>
                <w:szCs w:val="22"/>
                <w:vertAlign w:val="superscript"/>
                <w:lang w:val="en-GB"/>
              </w:rPr>
              <w:t>n</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384</w:t>
            </w:r>
            <w:r w:rsidRPr="007E7541">
              <w:rPr>
                <w:bCs/>
                <w:sz w:val="22"/>
                <w:szCs w:val="22"/>
                <w:vertAlign w:val="superscript"/>
                <w:lang w:val="en-GB"/>
              </w:rPr>
              <w:t>p</w:t>
            </w:r>
          </w:p>
        </w:tc>
      </w:tr>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4F3D93">
            <w:pPr>
              <w:tabs>
                <w:tab w:val="left" w:pos="540"/>
                <w:tab w:val="left" w:pos="569"/>
              </w:tabs>
              <w:rPr>
                <w:b/>
                <w:bCs/>
                <w:sz w:val="22"/>
                <w:szCs w:val="22"/>
                <w:lang w:val="en-GB"/>
              </w:rPr>
            </w:pPr>
            <w:r w:rsidRPr="000200C0">
              <w:rPr>
                <w:b/>
                <w:bCs/>
                <w:sz w:val="22"/>
                <w:szCs w:val="22"/>
                <w:lang w:val="en-GB"/>
              </w:rPr>
              <w:t>HBV DNA (%)</w:t>
            </w:r>
          </w:p>
          <w:p w:rsidR="007E7541" w:rsidRPr="007E7541" w:rsidRDefault="007E7541" w:rsidP="004F3D93">
            <w:pPr>
              <w:tabs>
                <w:tab w:val="left" w:pos="540"/>
                <w:tab w:val="left" w:pos="569"/>
              </w:tabs>
              <w:rPr>
                <w:bCs/>
                <w:sz w:val="22"/>
                <w:szCs w:val="22"/>
                <w:lang w:val="en-GB"/>
              </w:rPr>
            </w:pPr>
            <w:r w:rsidRPr="007E7541">
              <w:rPr>
                <w:bCs/>
                <w:sz w:val="22"/>
                <w:szCs w:val="22"/>
                <w:lang w:val="en-GB"/>
              </w:rPr>
              <w:t>&lt; 400 kopija/</w:t>
            </w:r>
            <w:r w:rsidR="00B83CAB">
              <w:rPr>
                <w:bCs/>
                <w:sz w:val="22"/>
                <w:szCs w:val="22"/>
                <w:lang w:val="en-GB"/>
              </w:rPr>
              <w:t>ml</w:t>
            </w:r>
            <w:r w:rsidRPr="007E7541">
              <w:rPr>
                <w:bCs/>
                <w:sz w:val="22"/>
                <w:szCs w:val="22"/>
                <w:lang w:val="en-GB"/>
              </w:rPr>
              <w:t xml:space="preserve"> (&lt; 69 IU/</w:t>
            </w:r>
            <w:r w:rsidR="00B83CAB">
              <w:rPr>
                <w:bCs/>
                <w:sz w:val="22"/>
                <w:szCs w:val="22"/>
                <w:lang w:val="en-GB"/>
              </w:rPr>
              <w:t>ml</w:t>
            </w:r>
            <w:r w:rsidRPr="007E7541">
              <w:rPr>
                <w:bCs/>
                <w:sz w:val="22"/>
                <w:szCs w:val="22"/>
                <w:lang w:val="en-GB"/>
              </w:rPr>
              <w:t>)</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76</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72</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68</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64</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61</w:t>
            </w:r>
          </w:p>
        </w:tc>
        <w:tc>
          <w:tcPr>
            <w:tcW w:w="391"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56</w:t>
            </w:r>
          </w:p>
        </w:tc>
        <w:tc>
          <w:tcPr>
            <w:tcW w:w="28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74</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71</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72</w:t>
            </w:r>
          </w:p>
        </w:tc>
        <w:tc>
          <w:tcPr>
            <w:tcW w:w="41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66</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65</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61</w:t>
            </w:r>
          </w:p>
        </w:tc>
      </w:tr>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4F3D93">
            <w:pPr>
              <w:tabs>
                <w:tab w:val="left" w:pos="540"/>
                <w:tab w:val="left" w:pos="569"/>
              </w:tabs>
              <w:rPr>
                <w:b/>
                <w:bCs/>
                <w:sz w:val="22"/>
                <w:szCs w:val="22"/>
                <w:lang w:val="en-GB"/>
              </w:rPr>
            </w:pPr>
            <w:r w:rsidRPr="000200C0">
              <w:rPr>
                <w:b/>
                <w:bCs/>
                <w:sz w:val="22"/>
                <w:szCs w:val="22"/>
                <w:lang w:val="en-GB"/>
              </w:rPr>
              <w:t>ALT (%)</w:t>
            </w:r>
          </w:p>
          <w:p w:rsidR="007E7541" w:rsidRPr="007E7541" w:rsidRDefault="007E7541" w:rsidP="004F3D93">
            <w:pPr>
              <w:tabs>
                <w:tab w:val="left" w:pos="540"/>
                <w:tab w:val="left" w:pos="569"/>
              </w:tabs>
              <w:rPr>
                <w:bCs/>
                <w:sz w:val="22"/>
                <w:szCs w:val="22"/>
                <w:lang w:val="en-GB"/>
              </w:rPr>
            </w:pPr>
            <w:r w:rsidRPr="007E7541">
              <w:rPr>
                <w:bCs/>
                <w:sz w:val="22"/>
                <w:szCs w:val="22"/>
                <w:lang w:val="en-GB"/>
              </w:rPr>
              <w:t>Normalizovan ALT</w:t>
            </w:r>
            <w:r w:rsidRPr="007E7541">
              <w:rPr>
                <w:bCs/>
                <w:sz w:val="22"/>
                <w:szCs w:val="22"/>
                <w:vertAlign w:val="superscript"/>
                <w:lang w:val="en-GB"/>
              </w:rPr>
              <w:t>d</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60</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55</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56</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46</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47</w:t>
            </w:r>
          </w:p>
        </w:tc>
        <w:tc>
          <w:tcPr>
            <w:tcW w:w="391"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47</w:t>
            </w:r>
          </w:p>
        </w:tc>
        <w:tc>
          <w:tcPr>
            <w:tcW w:w="28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65</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61</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59</w:t>
            </w:r>
          </w:p>
        </w:tc>
        <w:tc>
          <w:tcPr>
            <w:tcW w:w="41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56</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57</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56</w:t>
            </w:r>
          </w:p>
        </w:tc>
      </w:tr>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4F3D93">
            <w:pPr>
              <w:tabs>
                <w:tab w:val="left" w:pos="540"/>
                <w:tab w:val="left" w:pos="569"/>
              </w:tabs>
              <w:rPr>
                <w:b/>
                <w:bCs/>
                <w:sz w:val="22"/>
                <w:szCs w:val="22"/>
                <w:lang w:val="en-GB"/>
              </w:rPr>
            </w:pPr>
            <w:r>
              <w:rPr>
                <w:b/>
                <w:bCs/>
                <w:sz w:val="22"/>
                <w:szCs w:val="22"/>
                <w:lang w:val="en-GB"/>
              </w:rPr>
              <w:t xml:space="preserve">Serologija </w:t>
            </w:r>
            <w:r w:rsidRPr="000200C0">
              <w:rPr>
                <w:b/>
                <w:bCs/>
                <w:sz w:val="22"/>
                <w:szCs w:val="22"/>
                <w:lang w:val="en-GB"/>
              </w:rPr>
              <w:t>(%)</w:t>
            </w:r>
          </w:p>
          <w:p w:rsidR="007E7541" w:rsidRPr="007E7541" w:rsidRDefault="007E7541" w:rsidP="004F3D93">
            <w:pPr>
              <w:tabs>
                <w:tab w:val="left" w:pos="540"/>
                <w:tab w:val="left" w:pos="569"/>
              </w:tabs>
              <w:rPr>
                <w:bCs/>
                <w:sz w:val="22"/>
                <w:szCs w:val="22"/>
                <w:lang w:val="en-GB"/>
              </w:rPr>
            </w:pPr>
            <w:r w:rsidRPr="007E7541">
              <w:rPr>
                <w:bCs/>
                <w:sz w:val="22"/>
                <w:szCs w:val="22"/>
                <w:lang w:val="en-GB"/>
              </w:rPr>
              <w:t>HBeAg eliminacija/ serokonverzija</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26/ 23</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29/ 23</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34/ 25</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38/ 30</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37/ 25</w:t>
            </w:r>
          </w:p>
        </w:tc>
        <w:tc>
          <w:tcPr>
            <w:tcW w:w="391"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30/ 20</w:t>
            </w:r>
          </w:p>
        </w:tc>
        <w:tc>
          <w:tcPr>
            <w:tcW w:w="28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24/ 20</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33/ 26</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36/ 30</w:t>
            </w:r>
          </w:p>
        </w:tc>
        <w:tc>
          <w:tcPr>
            <w:tcW w:w="41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38/ 31</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40/ 31</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p>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35/ 24</w:t>
            </w:r>
          </w:p>
        </w:tc>
      </w:tr>
      <w:tr w:rsidR="007E7541" w:rsidRPr="000200C0" w:rsidTr="007E7541">
        <w:tc>
          <w:tcPr>
            <w:tcW w:w="78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0200C0" w:rsidRDefault="007E7541" w:rsidP="004F3D93">
            <w:pPr>
              <w:tabs>
                <w:tab w:val="left" w:pos="540"/>
                <w:tab w:val="left" w:pos="569"/>
              </w:tabs>
              <w:rPr>
                <w:b/>
                <w:bCs/>
                <w:sz w:val="22"/>
                <w:szCs w:val="22"/>
                <w:lang w:val="en-GB"/>
              </w:rPr>
            </w:pPr>
            <w:r w:rsidRPr="000200C0">
              <w:rPr>
                <w:b/>
                <w:bCs/>
                <w:sz w:val="22"/>
                <w:szCs w:val="22"/>
                <w:lang w:val="en-GB"/>
              </w:rPr>
              <w:t>HBsA</w:t>
            </w:r>
            <w:r>
              <w:rPr>
                <w:b/>
                <w:bCs/>
                <w:sz w:val="22"/>
                <w:szCs w:val="22"/>
                <w:lang w:val="en-GB"/>
              </w:rPr>
              <w:t xml:space="preserve">g </w:t>
            </w:r>
            <w:r w:rsidRPr="007E7541">
              <w:rPr>
                <w:bCs/>
                <w:sz w:val="22"/>
                <w:szCs w:val="22"/>
                <w:lang w:val="en-GB"/>
              </w:rPr>
              <w:t>eliminacija/ serokonverzija</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5/ 4</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8/ 6</w:t>
            </w:r>
            <w:r w:rsidRPr="007E7541">
              <w:rPr>
                <w:bCs/>
                <w:sz w:val="22"/>
                <w:szCs w:val="22"/>
                <w:vertAlign w:val="superscript"/>
                <w:lang w:val="en-GB"/>
              </w:rPr>
              <w:t>g</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11/ 8</w:t>
            </w:r>
            <w:r w:rsidRPr="007E7541">
              <w:rPr>
                <w:bCs/>
                <w:sz w:val="22"/>
                <w:szCs w:val="22"/>
                <w:vertAlign w:val="superscript"/>
                <w:lang w:val="en-GB"/>
              </w:rPr>
              <w:t>g</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11/ 8</w:t>
            </w:r>
            <w:r w:rsidRPr="007E7541">
              <w:rPr>
                <w:bCs/>
                <w:sz w:val="22"/>
                <w:szCs w:val="22"/>
                <w:vertAlign w:val="superscript"/>
                <w:lang w:val="en-GB"/>
              </w:rPr>
              <w:t>l</w:t>
            </w:r>
          </w:p>
        </w:tc>
        <w:tc>
          <w:tcPr>
            <w:tcW w:w="33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12/ 8</w:t>
            </w:r>
            <w:r w:rsidRPr="007E7541">
              <w:rPr>
                <w:bCs/>
                <w:sz w:val="22"/>
                <w:szCs w:val="22"/>
                <w:vertAlign w:val="superscript"/>
                <w:lang w:val="en-GB"/>
              </w:rPr>
              <w:t>l</w:t>
            </w:r>
          </w:p>
        </w:tc>
        <w:tc>
          <w:tcPr>
            <w:tcW w:w="391"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15/ 12</w:t>
            </w:r>
            <w:r w:rsidRPr="007E7541">
              <w:rPr>
                <w:bCs/>
                <w:sz w:val="22"/>
                <w:szCs w:val="22"/>
                <w:vertAlign w:val="superscript"/>
                <w:lang w:val="en-GB"/>
              </w:rPr>
              <w:t>l</w:t>
            </w:r>
          </w:p>
        </w:tc>
        <w:tc>
          <w:tcPr>
            <w:tcW w:w="28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6/ 5</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8/ 7</w:t>
            </w:r>
            <w:r w:rsidRPr="007E7541">
              <w:rPr>
                <w:bCs/>
                <w:sz w:val="22"/>
                <w:szCs w:val="22"/>
                <w:vertAlign w:val="superscript"/>
                <w:lang w:val="en-GB"/>
              </w:rPr>
              <w:t>g</w:t>
            </w:r>
          </w:p>
        </w:tc>
        <w:tc>
          <w:tcPr>
            <w:tcW w:w="339"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8/ 7</w:t>
            </w:r>
            <w:r w:rsidRPr="007E7541">
              <w:rPr>
                <w:bCs/>
                <w:sz w:val="22"/>
                <w:szCs w:val="22"/>
                <w:vertAlign w:val="superscript"/>
                <w:lang w:val="en-GB"/>
              </w:rPr>
              <w:t>g</w:t>
            </w:r>
          </w:p>
        </w:tc>
        <w:tc>
          <w:tcPr>
            <w:tcW w:w="413"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10/ 10</w:t>
            </w:r>
            <w:r w:rsidRPr="007E7541">
              <w:rPr>
                <w:bCs/>
                <w:sz w:val="22"/>
                <w:szCs w:val="22"/>
                <w:vertAlign w:val="superscript"/>
                <w:lang w:val="en-GB"/>
              </w:rPr>
              <w:t>l</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11/ 10</w:t>
            </w:r>
            <w:r w:rsidRPr="007E7541">
              <w:rPr>
                <w:bCs/>
                <w:sz w:val="22"/>
                <w:szCs w:val="22"/>
                <w:vertAlign w:val="superscript"/>
                <w:lang w:val="en-GB"/>
              </w:rPr>
              <w:t>l</w:t>
            </w:r>
          </w:p>
        </w:tc>
        <w:tc>
          <w:tcPr>
            <w:tcW w:w="378" w:type="pct"/>
            <w:tcBorders>
              <w:top w:val="outset" w:sz="6" w:space="0" w:color="7B7B7B"/>
              <w:left w:val="outset" w:sz="6" w:space="0" w:color="7B7B7B"/>
              <w:bottom w:val="outset" w:sz="6" w:space="0" w:color="7B7B7B"/>
              <w:right w:val="outset" w:sz="6" w:space="0" w:color="7B7B7B"/>
            </w:tcBorders>
            <w:shd w:val="clear" w:color="auto" w:fill="FFFFFF"/>
            <w:hideMark/>
          </w:tcPr>
          <w:p w:rsidR="007E7541" w:rsidRPr="007E7541" w:rsidRDefault="007E7541" w:rsidP="007E7541">
            <w:pPr>
              <w:tabs>
                <w:tab w:val="left" w:pos="540"/>
                <w:tab w:val="left" w:pos="569"/>
              </w:tabs>
              <w:jc w:val="center"/>
              <w:rPr>
                <w:bCs/>
                <w:sz w:val="22"/>
                <w:szCs w:val="22"/>
                <w:lang w:val="en-GB"/>
              </w:rPr>
            </w:pPr>
            <w:r w:rsidRPr="007E7541">
              <w:rPr>
                <w:bCs/>
                <w:sz w:val="22"/>
                <w:szCs w:val="22"/>
                <w:lang w:val="en-GB"/>
              </w:rPr>
              <w:t>13/ 11</w:t>
            </w:r>
            <w:r w:rsidRPr="007E7541">
              <w:rPr>
                <w:bCs/>
                <w:sz w:val="22"/>
                <w:szCs w:val="22"/>
                <w:vertAlign w:val="superscript"/>
                <w:lang w:val="en-GB"/>
              </w:rPr>
              <w:t>l</w:t>
            </w:r>
          </w:p>
        </w:tc>
      </w:tr>
    </w:tbl>
    <w:p w:rsidR="007E7541" w:rsidRPr="007E7541" w:rsidRDefault="007E7541" w:rsidP="00E4312F">
      <w:pPr>
        <w:tabs>
          <w:tab w:val="left" w:pos="284"/>
        </w:tabs>
        <w:ind w:left="284"/>
        <w:jc w:val="both"/>
        <w:rPr>
          <w:sz w:val="20"/>
          <w:szCs w:val="20"/>
        </w:rPr>
      </w:pPr>
      <w:r w:rsidRPr="007E7541">
        <w:rPr>
          <w:w w:val="105"/>
          <w:position w:val="9"/>
          <w:sz w:val="20"/>
          <w:szCs w:val="20"/>
        </w:rPr>
        <w:t>a</w:t>
      </w:r>
      <w:r w:rsidRPr="007E7541">
        <w:rPr>
          <w:spacing w:val="7"/>
          <w:w w:val="105"/>
          <w:position w:val="9"/>
          <w:sz w:val="20"/>
          <w:szCs w:val="20"/>
        </w:rPr>
        <w:t xml:space="preserve"> </w:t>
      </w:r>
      <w:r w:rsidRPr="007E7541">
        <w:rPr>
          <w:w w:val="105"/>
          <w:sz w:val="20"/>
          <w:szCs w:val="20"/>
        </w:rPr>
        <w:t>Zasniva</w:t>
      </w:r>
      <w:r w:rsidRPr="007E7541">
        <w:rPr>
          <w:spacing w:val="-12"/>
          <w:w w:val="105"/>
          <w:sz w:val="20"/>
          <w:szCs w:val="20"/>
        </w:rPr>
        <w:t xml:space="preserve"> </w:t>
      </w:r>
      <w:r w:rsidRPr="007E7541">
        <w:rPr>
          <w:w w:val="105"/>
          <w:sz w:val="20"/>
          <w:szCs w:val="20"/>
        </w:rPr>
        <w:t>se</w:t>
      </w:r>
      <w:r w:rsidRPr="007E7541">
        <w:rPr>
          <w:spacing w:val="-12"/>
          <w:w w:val="105"/>
          <w:sz w:val="20"/>
          <w:szCs w:val="20"/>
        </w:rPr>
        <w:t xml:space="preserve"> </w:t>
      </w:r>
      <w:r w:rsidRPr="007E7541">
        <w:rPr>
          <w:w w:val="105"/>
          <w:sz w:val="20"/>
          <w:szCs w:val="20"/>
        </w:rPr>
        <w:t>na</w:t>
      </w:r>
      <w:r w:rsidRPr="007E7541">
        <w:rPr>
          <w:spacing w:val="-12"/>
          <w:w w:val="105"/>
          <w:sz w:val="20"/>
          <w:szCs w:val="20"/>
        </w:rPr>
        <w:t xml:space="preserve"> </w:t>
      </w:r>
      <w:r w:rsidRPr="007E7541">
        <w:rPr>
          <w:w w:val="105"/>
          <w:sz w:val="20"/>
          <w:szCs w:val="20"/>
        </w:rPr>
        <w:t>algoritmu</w:t>
      </w:r>
      <w:r w:rsidRPr="007E7541">
        <w:rPr>
          <w:spacing w:val="-11"/>
          <w:w w:val="105"/>
          <w:sz w:val="20"/>
          <w:szCs w:val="20"/>
        </w:rPr>
        <w:t xml:space="preserve"> </w:t>
      </w:r>
      <w:r w:rsidRPr="007E7541">
        <w:rPr>
          <w:w w:val="105"/>
          <w:sz w:val="20"/>
          <w:szCs w:val="20"/>
        </w:rPr>
        <w:t>dugoročne</w:t>
      </w:r>
      <w:r w:rsidRPr="007E7541">
        <w:rPr>
          <w:spacing w:val="-11"/>
          <w:w w:val="105"/>
          <w:sz w:val="20"/>
          <w:szCs w:val="20"/>
        </w:rPr>
        <w:t xml:space="preserve"> </w:t>
      </w:r>
      <w:r w:rsidRPr="007E7541">
        <w:rPr>
          <w:w w:val="105"/>
          <w:sz w:val="20"/>
          <w:szCs w:val="20"/>
        </w:rPr>
        <w:t>prom</w:t>
      </w:r>
      <w:r w:rsidR="00E4312F">
        <w:rPr>
          <w:w w:val="105"/>
          <w:sz w:val="20"/>
          <w:szCs w:val="20"/>
        </w:rPr>
        <w:t>j</w:t>
      </w:r>
      <w:r w:rsidRPr="007E7541">
        <w:rPr>
          <w:w w:val="105"/>
          <w:sz w:val="20"/>
          <w:szCs w:val="20"/>
        </w:rPr>
        <w:t>ene</w:t>
      </w:r>
      <w:r w:rsidRPr="007E7541">
        <w:rPr>
          <w:spacing w:val="-12"/>
          <w:w w:val="105"/>
          <w:sz w:val="20"/>
          <w:szCs w:val="20"/>
        </w:rPr>
        <w:t xml:space="preserve"> </w:t>
      </w:r>
      <w:r w:rsidRPr="007E7541">
        <w:rPr>
          <w:w w:val="105"/>
          <w:sz w:val="20"/>
          <w:szCs w:val="20"/>
        </w:rPr>
        <w:t>(LTE</w:t>
      </w:r>
      <w:r w:rsidRPr="007E7541">
        <w:rPr>
          <w:spacing w:val="-11"/>
          <w:w w:val="105"/>
          <w:sz w:val="20"/>
          <w:szCs w:val="20"/>
        </w:rPr>
        <w:t xml:space="preserve"> </w:t>
      </w:r>
      <w:r w:rsidRPr="007E7541">
        <w:rPr>
          <w:w w:val="105"/>
          <w:sz w:val="20"/>
          <w:szCs w:val="20"/>
        </w:rPr>
        <w:t>analiza)</w:t>
      </w:r>
      <w:r w:rsidRPr="007E7541">
        <w:rPr>
          <w:spacing w:val="-8"/>
          <w:w w:val="105"/>
          <w:sz w:val="20"/>
          <w:szCs w:val="20"/>
        </w:rPr>
        <w:t xml:space="preserve"> </w:t>
      </w:r>
      <w:r w:rsidRPr="007E7541">
        <w:rPr>
          <w:w w:val="105"/>
          <w:sz w:val="20"/>
          <w:szCs w:val="20"/>
        </w:rPr>
        <w:t>–</w:t>
      </w:r>
      <w:r w:rsidRPr="007E7541">
        <w:rPr>
          <w:spacing w:val="-9"/>
          <w:w w:val="105"/>
          <w:sz w:val="20"/>
          <w:szCs w:val="20"/>
        </w:rPr>
        <w:t xml:space="preserve"> </w:t>
      </w:r>
      <w:r w:rsidRPr="007E7541">
        <w:rPr>
          <w:w w:val="105"/>
          <w:sz w:val="20"/>
          <w:szCs w:val="20"/>
        </w:rPr>
        <w:t>Pacijenti</w:t>
      </w:r>
      <w:r w:rsidRPr="007E7541">
        <w:rPr>
          <w:spacing w:val="-11"/>
          <w:w w:val="105"/>
          <w:sz w:val="20"/>
          <w:szCs w:val="20"/>
        </w:rPr>
        <w:t xml:space="preserve"> </w:t>
      </w:r>
      <w:r w:rsidRPr="007E7541">
        <w:rPr>
          <w:w w:val="105"/>
          <w:sz w:val="20"/>
          <w:szCs w:val="20"/>
        </w:rPr>
        <w:t>koji</w:t>
      </w:r>
      <w:r w:rsidRPr="007E7541">
        <w:rPr>
          <w:spacing w:val="-12"/>
          <w:w w:val="105"/>
          <w:sz w:val="20"/>
          <w:szCs w:val="20"/>
        </w:rPr>
        <w:t xml:space="preserve"> </w:t>
      </w:r>
      <w:r w:rsidRPr="007E7541">
        <w:rPr>
          <w:w w:val="105"/>
          <w:sz w:val="20"/>
          <w:szCs w:val="20"/>
        </w:rPr>
        <w:t>su</w:t>
      </w:r>
      <w:r w:rsidRPr="007E7541">
        <w:rPr>
          <w:spacing w:val="-11"/>
          <w:w w:val="105"/>
          <w:sz w:val="20"/>
          <w:szCs w:val="20"/>
        </w:rPr>
        <w:t xml:space="preserve"> </w:t>
      </w:r>
      <w:r w:rsidRPr="007E7541">
        <w:rPr>
          <w:w w:val="105"/>
          <w:sz w:val="20"/>
          <w:szCs w:val="20"/>
        </w:rPr>
        <w:t>prekinuli</w:t>
      </w:r>
      <w:r w:rsidRPr="007E7541">
        <w:rPr>
          <w:spacing w:val="-12"/>
          <w:w w:val="105"/>
          <w:sz w:val="20"/>
          <w:szCs w:val="20"/>
        </w:rPr>
        <w:t xml:space="preserve"> </w:t>
      </w:r>
      <w:r w:rsidRPr="007E7541">
        <w:rPr>
          <w:w w:val="105"/>
          <w:sz w:val="20"/>
          <w:szCs w:val="20"/>
        </w:rPr>
        <w:t>učestvovanje</w:t>
      </w:r>
      <w:r w:rsidRPr="007E7541">
        <w:rPr>
          <w:spacing w:val="-11"/>
          <w:w w:val="105"/>
          <w:sz w:val="20"/>
          <w:szCs w:val="20"/>
        </w:rPr>
        <w:t xml:space="preserve"> </w:t>
      </w:r>
      <w:r w:rsidRPr="007E7541">
        <w:rPr>
          <w:w w:val="105"/>
          <w:sz w:val="20"/>
          <w:szCs w:val="20"/>
        </w:rPr>
        <w:t>u</w:t>
      </w:r>
      <w:r w:rsidRPr="007E7541">
        <w:rPr>
          <w:spacing w:val="-13"/>
          <w:w w:val="105"/>
          <w:sz w:val="20"/>
          <w:szCs w:val="20"/>
        </w:rPr>
        <w:t xml:space="preserve"> </w:t>
      </w:r>
      <w:r w:rsidRPr="007E7541">
        <w:rPr>
          <w:w w:val="105"/>
          <w:sz w:val="20"/>
          <w:szCs w:val="20"/>
        </w:rPr>
        <w:t>ispitivanju</w:t>
      </w:r>
      <w:r w:rsidRPr="007E7541">
        <w:rPr>
          <w:spacing w:val="-11"/>
          <w:w w:val="105"/>
          <w:sz w:val="20"/>
          <w:szCs w:val="20"/>
        </w:rPr>
        <w:t xml:space="preserve"> </w:t>
      </w:r>
      <w:r w:rsidRPr="007E7541">
        <w:rPr>
          <w:w w:val="105"/>
          <w:sz w:val="20"/>
          <w:szCs w:val="20"/>
        </w:rPr>
        <w:t>bilo kada</w:t>
      </w:r>
      <w:r w:rsidRPr="007E7541">
        <w:rPr>
          <w:spacing w:val="-13"/>
          <w:w w:val="105"/>
          <w:sz w:val="20"/>
          <w:szCs w:val="20"/>
        </w:rPr>
        <w:t xml:space="preserve"> </w:t>
      </w:r>
      <w:r w:rsidRPr="007E7541">
        <w:rPr>
          <w:w w:val="105"/>
          <w:sz w:val="20"/>
          <w:szCs w:val="20"/>
        </w:rPr>
        <w:t>pr</w:t>
      </w:r>
      <w:r w:rsidR="00E4312F">
        <w:rPr>
          <w:w w:val="105"/>
          <w:sz w:val="20"/>
          <w:szCs w:val="20"/>
        </w:rPr>
        <w:t>ij</w:t>
      </w:r>
      <w:r w:rsidRPr="007E7541">
        <w:rPr>
          <w:w w:val="105"/>
          <w:sz w:val="20"/>
          <w:szCs w:val="20"/>
        </w:rPr>
        <w:t>e</w:t>
      </w:r>
      <w:r w:rsidRPr="007E7541">
        <w:rPr>
          <w:spacing w:val="-11"/>
          <w:w w:val="105"/>
          <w:sz w:val="20"/>
          <w:szCs w:val="20"/>
        </w:rPr>
        <w:t xml:space="preserve"> </w:t>
      </w:r>
      <w:r w:rsidRPr="007E7541">
        <w:rPr>
          <w:w w:val="105"/>
          <w:sz w:val="20"/>
          <w:szCs w:val="20"/>
        </w:rPr>
        <w:t>384.</w:t>
      </w:r>
      <w:r w:rsidRPr="007E7541">
        <w:rPr>
          <w:spacing w:val="-10"/>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elje</w:t>
      </w:r>
      <w:r w:rsidRPr="007E7541">
        <w:rPr>
          <w:spacing w:val="-14"/>
          <w:w w:val="105"/>
          <w:sz w:val="20"/>
          <w:szCs w:val="20"/>
        </w:rPr>
        <w:t xml:space="preserve"> </w:t>
      </w:r>
      <w:r w:rsidRPr="007E7541">
        <w:rPr>
          <w:w w:val="105"/>
          <w:sz w:val="20"/>
          <w:szCs w:val="20"/>
        </w:rPr>
        <w:t>zbog</w:t>
      </w:r>
      <w:r w:rsidRPr="007E7541">
        <w:rPr>
          <w:spacing w:val="-11"/>
          <w:w w:val="105"/>
          <w:sz w:val="20"/>
          <w:szCs w:val="20"/>
        </w:rPr>
        <w:t xml:space="preserve"> </w:t>
      </w:r>
      <w:r w:rsidRPr="007E7541">
        <w:rPr>
          <w:w w:val="105"/>
          <w:sz w:val="20"/>
          <w:szCs w:val="20"/>
        </w:rPr>
        <w:t>postizanja</w:t>
      </w:r>
      <w:r w:rsidRPr="007E7541">
        <w:rPr>
          <w:spacing w:val="-11"/>
          <w:w w:val="105"/>
          <w:sz w:val="20"/>
          <w:szCs w:val="20"/>
        </w:rPr>
        <w:t xml:space="preserve"> </w:t>
      </w:r>
      <w:r w:rsidRPr="007E7541">
        <w:rPr>
          <w:w w:val="105"/>
          <w:sz w:val="20"/>
          <w:szCs w:val="20"/>
        </w:rPr>
        <w:t>protokolom</w:t>
      </w:r>
      <w:r w:rsidRPr="007E7541">
        <w:rPr>
          <w:spacing w:val="-11"/>
          <w:w w:val="105"/>
          <w:sz w:val="20"/>
          <w:szCs w:val="20"/>
        </w:rPr>
        <w:t xml:space="preserve"> </w:t>
      </w:r>
      <w:r w:rsidRPr="007E7541">
        <w:rPr>
          <w:w w:val="105"/>
          <w:sz w:val="20"/>
          <w:szCs w:val="20"/>
        </w:rPr>
        <w:t>definisane</w:t>
      </w:r>
      <w:r w:rsidRPr="007E7541">
        <w:rPr>
          <w:spacing w:val="-11"/>
          <w:w w:val="105"/>
          <w:sz w:val="20"/>
          <w:szCs w:val="20"/>
        </w:rPr>
        <w:t xml:space="preserve"> </w:t>
      </w:r>
      <w:r w:rsidRPr="007E7541">
        <w:rPr>
          <w:w w:val="105"/>
          <w:sz w:val="20"/>
          <w:szCs w:val="20"/>
        </w:rPr>
        <w:t>krajnje</w:t>
      </w:r>
      <w:r w:rsidRPr="007E7541">
        <w:rPr>
          <w:spacing w:val="-11"/>
          <w:w w:val="105"/>
          <w:sz w:val="20"/>
          <w:szCs w:val="20"/>
        </w:rPr>
        <w:t xml:space="preserve"> </w:t>
      </w:r>
      <w:r w:rsidRPr="007E7541">
        <w:rPr>
          <w:w w:val="105"/>
          <w:sz w:val="20"/>
          <w:szCs w:val="20"/>
        </w:rPr>
        <w:t>tačke,</w:t>
      </w:r>
      <w:r w:rsidRPr="007E7541">
        <w:rPr>
          <w:spacing w:val="-11"/>
          <w:w w:val="105"/>
          <w:sz w:val="20"/>
          <w:szCs w:val="20"/>
        </w:rPr>
        <w:t xml:space="preserve"> </w:t>
      </w:r>
      <w:r w:rsidRPr="007E7541">
        <w:rPr>
          <w:w w:val="105"/>
          <w:sz w:val="20"/>
          <w:szCs w:val="20"/>
        </w:rPr>
        <w:t>kao</w:t>
      </w:r>
      <w:r w:rsidRPr="007E7541">
        <w:rPr>
          <w:spacing w:val="-11"/>
          <w:w w:val="105"/>
          <w:sz w:val="20"/>
          <w:szCs w:val="20"/>
        </w:rPr>
        <w:t xml:space="preserve"> </w:t>
      </w:r>
      <w:r w:rsidRPr="007E7541">
        <w:rPr>
          <w:w w:val="105"/>
          <w:sz w:val="20"/>
          <w:szCs w:val="20"/>
        </w:rPr>
        <w:t>i</w:t>
      </w:r>
      <w:r w:rsidRPr="007E7541">
        <w:rPr>
          <w:spacing w:val="-11"/>
          <w:w w:val="105"/>
          <w:sz w:val="20"/>
          <w:szCs w:val="20"/>
        </w:rPr>
        <w:t xml:space="preserve"> </w:t>
      </w:r>
      <w:r w:rsidRPr="007E7541">
        <w:rPr>
          <w:w w:val="105"/>
          <w:sz w:val="20"/>
          <w:szCs w:val="20"/>
        </w:rPr>
        <w:t>oni</w:t>
      </w:r>
      <w:r w:rsidRPr="007E7541">
        <w:rPr>
          <w:spacing w:val="-11"/>
          <w:w w:val="105"/>
          <w:sz w:val="20"/>
          <w:szCs w:val="20"/>
        </w:rPr>
        <w:t xml:space="preserve"> </w:t>
      </w:r>
      <w:r w:rsidRPr="007E7541">
        <w:rPr>
          <w:w w:val="105"/>
          <w:sz w:val="20"/>
          <w:szCs w:val="20"/>
        </w:rPr>
        <w:t>koji</w:t>
      </w:r>
      <w:r w:rsidRPr="007E7541">
        <w:rPr>
          <w:spacing w:val="-11"/>
          <w:w w:val="105"/>
          <w:sz w:val="20"/>
          <w:szCs w:val="20"/>
        </w:rPr>
        <w:t xml:space="preserve"> </w:t>
      </w:r>
      <w:r w:rsidRPr="007E7541">
        <w:rPr>
          <w:w w:val="105"/>
          <w:sz w:val="20"/>
          <w:szCs w:val="20"/>
        </w:rPr>
        <w:t>su</w:t>
      </w:r>
      <w:r w:rsidRPr="007E7541">
        <w:rPr>
          <w:spacing w:val="-11"/>
          <w:w w:val="105"/>
          <w:sz w:val="20"/>
          <w:szCs w:val="20"/>
        </w:rPr>
        <w:t xml:space="preserve"> </w:t>
      </w:r>
      <w:r w:rsidRPr="007E7541">
        <w:rPr>
          <w:w w:val="105"/>
          <w:sz w:val="20"/>
          <w:szCs w:val="20"/>
        </w:rPr>
        <w:t>dovršili</w:t>
      </w:r>
      <w:r w:rsidRPr="007E7541">
        <w:rPr>
          <w:spacing w:val="-11"/>
          <w:w w:val="105"/>
          <w:sz w:val="20"/>
          <w:szCs w:val="20"/>
        </w:rPr>
        <w:t xml:space="preserve"> </w:t>
      </w:r>
      <w:r w:rsidRPr="007E7541">
        <w:rPr>
          <w:w w:val="105"/>
          <w:sz w:val="20"/>
          <w:szCs w:val="20"/>
        </w:rPr>
        <w:t>384</w:t>
      </w:r>
      <w:r w:rsidRPr="007E7541">
        <w:rPr>
          <w:spacing w:val="-13"/>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elje</w:t>
      </w:r>
      <w:r w:rsidRPr="007E7541">
        <w:rPr>
          <w:spacing w:val="-11"/>
          <w:w w:val="105"/>
          <w:sz w:val="20"/>
          <w:szCs w:val="20"/>
        </w:rPr>
        <w:t xml:space="preserve"> </w:t>
      </w:r>
      <w:r w:rsidRPr="007E7541">
        <w:rPr>
          <w:w w:val="105"/>
          <w:sz w:val="20"/>
          <w:szCs w:val="20"/>
        </w:rPr>
        <w:t>l</w:t>
      </w:r>
      <w:r w:rsidR="00E4312F">
        <w:rPr>
          <w:w w:val="105"/>
          <w:sz w:val="20"/>
          <w:szCs w:val="20"/>
        </w:rPr>
        <w:t>ij</w:t>
      </w:r>
      <w:r w:rsidRPr="007E7541">
        <w:rPr>
          <w:w w:val="105"/>
          <w:sz w:val="20"/>
          <w:szCs w:val="20"/>
        </w:rPr>
        <w:t>ečenja uključeni su u</w:t>
      </w:r>
      <w:r w:rsidRPr="007E7541">
        <w:rPr>
          <w:spacing w:val="-6"/>
          <w:w w:val="105"/>
          <w:sz w:val="20"/>
          <w:szCs w:val="20"/>
        </w:rPr>
        <w:t xml:space="preserve"> </w:t>
      </w:r>
      <w:r w:rsidRPr="007E7541">
        <w:rPr>
          <w:w w:val="105"/>
          <w:sz w:val="20"/>
          <w:szCs w:val="20"/>
        </w:rPr>
        <w:t>imenilac.</w:t>
      </w:r>
    </w:p>
    <w:p w:rsidR="007E7541" w:rsidRPr="007E7541" w:rsidRDefault="007E7541" w:rsidP="00E4312F">
      <w:pPr>
        <w:tabs>
          <w:tab w:val="left" w:pos="284"/>
        </w:tabs>
        <w:ind w:left="284"/>
        <w:jc w:val="both"/>
        <w:rPr>
          <w:sz w:val="20"/>
          <w:szCs w:val="20"/>
        </w:rPr>
      </w:pPr>
      <w:r w:rsidRPr="007E7541">
        <w:rPr>
          <w:w w:val="105"/>
          <w:position w:val="10"/>
          <w:sz w:val="20"/>
          <w:szCs w:val="20"/>
        </w:rPr>
        <w:t xml:space="preserve">b </w:t>
      </w:r>
      <w:r w:rsidRPr="007E7541">
        <w:rPr>
          <w:w w:val="105"/>
          <w:sz w:val="20"/>
          <w:szCs w:val="20"/>
        </w:rPr>
        <w:t>48 ned</w:t>
      </w:r>
      <w:r w:rsidR="00E4312F">
        <w:rPr>
          <w:w w:val="105"/>
          <w:sz w:val="20"/>
          <w:szCs w:val="20"/>
        </w:rPr>
        <w:t>j</w:t>
      </w:r>
      <w:r w:rsidRPr="007E7541">
        <w:rPr>
          <w:w w:val="105"/>
          <w:sz w:val="20"/>
          <w:szCs w:val="20"/>
        </w:rPr>
        <w:t>elja dvostruko sl</w:t>
      </w:r>
      <w:r w:rsidR="00E4312F">
        <w:rPr>
          <w:w w:val="105"/>
          <w:sz w:val="20"/>
          <w:szCs w:val="20"/>
        </w:rPr>
        <w:t>ij</w:t>
      </w:r>
      <w:r w:rsidRPr="007E7541">
        <w:rPr>
          <w:w w:val="105"/>
          <w:sz w:val="20"/>
          <w:szCs w:val="20"/>
        </w:rPr>
        <w:t>epog ispitivanja sa tenofovir</w:t>
      </w:r>
      <w:r w:rsidR="00E4312F">
        <w:rPr>
          <w:w w:val="105"/>
          <w:sz w:val="20"/>
          <w:szCs w:val="20"/>
        </w:rPr>
        <w:t xml:space="preserve"> </w:t>
      </w:r>
      <w:r w:rsidRPr="007E7541">
        <w:rPr>
          <w:w w:val="105"/>
          <w:sz w:val="20"/>
          <w:szCs w:val="20"/>
        </w:rPr>
        <w:t>dizoproksilom nakon čega sl</w:t>
      </w:r>
      <w:r w:rsidR="00E4312F">
        <w:rPr>
          <w:w w:val="105"/>
          <w:sz w:val="20"/>
          <w:szCs w:val="20"/>
        </w:rPr>
        <w:t>ij</w:t>
      </w:r>
      <w:r w:rsidRPr="007E7541">
        <w:rPr>
          <w:w w:val="105"/>
          <w:sz w:val="20"/>
          <w:szCs w:val="20"/>
        </w:rPr>
        <w:t>edi 48 ned</w:t>
      </w:r>
      <w:r w:rsidR="00E4312F">
        <w:rPr>
          <w:w w:val="105"/>
          <w:sz w:val="20"/>
          <w:szCs w:val="20"/>
        </w:rPr>
        <w:t>j</w:t>
      </w:r>
      <w:r w:rsidRPr="007E7541">
        <w:rPr>
          <w:w w:val="105"/>
          <w:sz w:val="20"/>
          <w:szCs w:val="20"/>
        </w:rPr>
        <w:t>elja otvorenog 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c</w:t>
      </w:r>
      <w:r w:rsidRPr="007E7541">
        <w:rPr>
          <w:spacing w:val="5"/>
          <w:w w:val="105"/>
          <w:position w:val="10"/>
          <w:sz w:val="20"/>
          <w:szCs w:val="20"/>
        </w:rPr>
        <w:t xml:space="preserve"> </w:t>
      </w:r>
      <w:r w:rsidRPr="007E7541">
        <w:rPr>
          <w:w w:val="105"/>
          <w:sz w:val="20"/>
          <w:szCs w:val="20"/>
        </w:rPr>
        <w:t>48</w:t>
      </w:r>
      <w:r w:rsidRPr="007E7541">
        <w:rPr>
          <w:spacing w:val="-14"/>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14"/>
          <w:w w:val="105"/>
          <w:sz w:val="20"/>
          <w:szCs w:val="20"/>
        </w:rPr>
        <w:t xml:space="preserve"> </w:t>
      </w:r>
      <w:r w:rsidRPr="007E7541">
        <w:rPr>
          <w:w w:val="105"/>
          <w:sz w:val="20"/>
          <w:szCs w:val="20"/>
        </w:rPr>
        <w:t>dvostruko</w:t>
      </w:r>
      <w:r w:rsidRPr="007E7541">
        <w:rPr>
          <w:spacing w:val="-16"/>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adefovir</w:t>
      </w:r>
      <w:r w:rsidR="00E4312F">
        <w:rPr>
          <w:w w:val="105"/>
          <w:sz w:val="20"/>
          <w:szCs w:val="20"/>
        </w:rPr>
        <w:t xml:space="preserve"> </w:t>
      </w:r>
      <w:r w:rsidRPr="007E7541">
        <w:rPr>
          <w:w w:val="105"/>
          <w:sz w:val="20"/>
          <w:szCs w:val="20"/>
        </w:rPr>
        <w:t>dipivoksila</w:t>
      </w:r>
      <w:r w:rsidRPr="007E7541">
        <w:rPr>
          <w:spacing w:val="-16"/>
          <w:w w:val="105"/>
          <w:sz w:val="20"/>
          <w:szCs w:val="20"/>
        </w:rPr>
        <w:t xml:space="preserve"> </w:t>
      </w:r>
      <w:r w:rsidRPr="007E7541">
        <w:rPr>
          <w:w w:val="105"/>
          <w:sz w:val="20"/>
          <w:szCs w:val="20"/>
        </w:rPr>
        <w:t>nakon</w:t>
      </w:r>
      <w:r w:rsidRPr="007E7541">
        <w:rPr>
          <w:spacing w:val="-10"/>
          <w:w w:val="105"/>
          <w:sz w:val="20"/>
          <w:szCs w:val="20"/>
        </w:rPr>
        <w:t xml:space="preserve"> </w:t>
      </w:r>
      <w:r w:rsidRPr="007E7541">
        <w:rPr>
          <w:w w:val="105"/>
          <w:sz w:val="20"/>
          <w:szCs w:val="20"/>
        </w:rPr>
        <w:t>čega</w:t>
      </w:r>
      <w:r w:rsidRPr="007E7541">
        <w:rPr>
          <w:spacing w:val="-16"/>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edi</w:t>
      </w:r>
      <w:r w:rsidRPr="007E7541">
        <w:rPr>
          <w:spacing w:val="-16"/>
          <w:w w:val="105"/>
          <w:sz w:val="20"/>
          <w:szCs w:val="20"/>
        </w:rPr>
        <w:t xml:space="preserve"> </w:t>
      </w:r>
      <w:r w:rsidRPr="007E7541">
        <w:rPr>
          <w:w w:val="105"/>
          <w:sz w:val="20"/>
          <w:szCs w:val="20"/>
        </w:rPr>
        <w:t>48</w:t>
      </w:r>
      <w:r w:rsidRPr="007E7541">
        <w:rPr>
          <w:spacing w:val="-15"/>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8"/>
          <w:w w:val="105"/>
          <w:sz w:val="20"/>
          <w:szCs w:val="20"/>
        </w:rPr>
        <w:t xml:space="preserve"> </w:t>
      </w:r>
      <w:r w:rsidRPr="007E7541">
        <w:rPr>
          <w:w w:val="105"/>
          <w:sz w:val="20"/>
          <w:szCs w:val="20"/>
        </w:rPr>
        <w:t>otvorenog</w:t>
      </w:r>
      <w:r w:rsidRPr="007E7541">
        <w:rPr>
          <w:spacing w:val="-14"/>
          <w:w w:val="105"/>
          <w:sz w:val="20"/>
          <w:szCs w:val="20"/>
        </w:rPr>
        <w:t xml:space="preserve"> </w:t>
      </w:r>
      <w:r w:rsidRPr="007E7541">
        <w:rPr>
          <w:w w:val="105"/>
          <w:sz w:val="20"/>
          <w:szCs w:val="20"/>
        </w:rPr>
        <w:t>ispitivanja</w:t>
      </w:r>
      <w:r w:rsidRPr="007E7541">
        <w:rPr>
          <w:spacing w:val="-8"/>
          <w:w w:val="105"/>
          <w:sz w:val="20"/>
          <w:szCs w:val="20"/>
        </w:rPr>
        <w:t xml:space="preserve"> </w:t>
      </w:r>
      <w:r w:rsidRPr="007E7541">
        <w:rPr>
          <w:spacing w:val="-3"/>
          <w:w w:val="105"/>
          <w:sz w:val="20"/>
          <w:szCs w:val="20"/>
        </w:rPr>
        <w:t xml:space="preserve">sa </w:t>
      </w:r>
      <w:r w:rsidRPr="007E7541">
        <w:rPr>
          <w:w w:val="105"/>
          <w:sz w:val="20"/>
          <w:szCs w:val="20"/>
        </w:rPr>
        <w:t>tenofovir</w:t>
      </w:r>
      <w:r w:rsidR="00E4312F">
        <w:rPr>
          <w:w w:val="105"/>
          <w:sz w:val="20"/>
          <w:szCs w:val="20"/>
        </w:rPr>
        <w:t xml:space="preserve"> </w:t>
      </w:r>
      <w:r w:rsidRPr="007E7541">
        <w:rPr>
          <w:w w:val="105"/>
          <w:sz w:val="20"/>
          <w:szCs w:val="20"/>
        </w:rPr>
        <w:t>dizoproksilom</w:t>
      </w:r>
      <w:r w:rsidRPr="007E7541">
        <w:rPr>
          <w:spacing w:val="-3"/>
          <w:w w:val="105"/>
          <w:sz w:val="20"/>
          <w:szCs w:val="20"/>
        </w:rPr>
        <w:t>.</w:t>
      </w:r>
    </w:p>
    <w:p w:rsidR="007E7541" w:rsidRPr="007E7541" w:rsidRDefault="007E7541" w:rsidP="00E4312F">
      <w:pPr>
        <w:tabs>
          <w:tab w:val="left" w:pos="284"/>
        </w:tabs>
        <w:ind w:left="284"/>
        <w:jc w:val="both"/>
        <w:rPr>
          <w:sz w:val="20"/>
          <w:szCs w:val="20"/>
        </w:rPr>
      </w:pPr>
      <w:r w:rsidRPr="007E7541">
        <w:rPr>
          <w:w w:val="105"/>
          <w:position w:val="9"/>
          <w:sz w:val="20"/>
          <w:szCs w:val="20"/>
        </w:rPr>
        <w:t>d</w:t>
      </w:r>
      <w:r w:rsidRPr="007E7541">
        <w:rPr>
          <w:spacing w:val="7"/>
          <w:w w:val="105"/>
          <w:position w:val="9"/>
          <w:sz w:val="20"/>
          <w:szCs w:val="20"/>
        </w:rPr>
        <w:t xml:space="preserve"> </w:t>
      </w:r>
      <w:r w:rsidRPr="007E7541">
        <w:rPr>
          <w:w w:val="105"/>
          <w:sz w:val="20"/>
          <w:szCs w:val="20"/>
        </w:rPr>
        <w:t>Populacija</w:t>
      </w:r>
      <w:r w:rsidRPr="007E7541">
        <w:rPr>
          <w:spacing w:val="-14"/>
          <w:w w:val="105"/>
          <w:sz w:val="20"/>
          <w:szCs w:val="20"/>
        </w:rPr>
        <w:t xml:space="preserve"> </w:t>
      </w:r>
      <w:r w:rsidRPr="007E7541">
        <w:rPr>
          <w:w w:val="105"/>
          <w:sz w:val="20"/>
          <w:szCs w:val="20"/>
        </w:rPr>
        <w:t>korišćena</w:t>
      </w:r>
      <w:r w:rsidRPr="007E7541">
        <w:rPr>
          <w:spacing w:val="-13"/>
          <w:w w:val="105"/>
          <w:sz w:val="20"/>
          <w:szCs w:val="20"/>
        </w:rPr>
        <w:t xml:space="preserve"> </w:t>
      </w:r>
      <w:r w:rsidRPr="007E7541">
        <w:rPr>
          <w:w w:val="105"/>
          <w:sz w:val="20"/>
          <w:szCs w:val="20"/>
        </w:rPr>
        <w:t>za</w:t>
      </w:r>
      <w:r w:rsidRPr="007E7541">
        <w:rPr>
          <w:spacing w:val="-14"/>
          <w:w w:val="105"/>
          <w:sz w:val="20"/>
          <w:szCs w:val="20"/>
        </w:rPr>
        <w:t xml:space="preserve"> </w:t>
      </w:r>
      <w:r w:rsidRPr="007E7541">
        <w:rPr>
          <w:w w:val="105"/>
          <w:sz w:val="20"/>
          <w:szCs w:val="20"/>
        </w:rPr>
        <w:t>analizu</w:t>
      </w:r>
      <w:r w:rsidRPr="007E7541">
        <w:rPr>
          <w:spacing w:val="-13"/>
          <w:w w:val="105"/>
          <w:sz w:val="20"/>
          <w:szCs w:val="20"/>
        </w:rPr>
        <w:t xml:space="preserve"> </w:t>
      </w:r>
      <w:r w:rsidRPr="007E7541">
        <w:rPr>
          <w:w w:val="105"/>
          <w:sz w:val="20"/>
          <w:szCs w:val="20"/>
        </w:rPr>
        <w:t>normalizovanja</w:t>
      </w:r>
      <w:r w:rsidRPr="007E7541">
        <w:rPr>
          <w:spacing w:val="-13"/>
          <w:w w:val="105"/>
          <w:sz w:val="20"/>
          <w:szCs w:val="20"/>
        </w:rPr>
        <w:t xml:space="preserve"> </w:t>
      </w:r>
      <w:r w:rsidRPr="007E7541">
        <w:rPr>
          <w:w w:val="105"/>
          <w:sz w:val="20"/>
          <w:szCs w:val="20"/>
        </w:rPr>
        <w:t>ALT-a</w:t>
      </w:r>
      <w:r w:rsidRPr="007E7541">
        <w:rPr>
          <w:spacing w:val="-13"/>
          <w:w w:val="105"/>
          <w:sz w:val="20"/>
          <w:szCs w:val="20"/>
        </w:rPr>
        <w:t xml:space="preserve"> </w:t>
      </w:r>
      <w:r w:rsidRPr="007E7541">
        <w:rPr>
          <w:w w:val="105"/>
          <w:sz w:val="20"/>
          <w:szCs w:val="20"/>
        </w:rPr>
        <w:t>uključivala</w:t>
      </w:r>
      <w:r w:rsidRPr="007E7541">
        <w:rPr>
          <w:spacing w:val="-14"/>
          <w:w w:val="105"/>
          <w:sz w:val="20"/>
          <w:szCs w:val="20"/>
        </w:rPr>
        <w:t xml:space="preserve"> </w:t>
      </w:r>
      <w:r w:rsidRPr="007E7541">
        <w:rPr>
          <w:w w:val="105"/>
          <w:sz w:val="20"/>
          <w:szCs w:val="20"/>
        </w:rPr>
        <w:t>je</w:t>
      </w:r>
      <w:r w:rsidRPr="007E7541">
        <w:rPr>
          <w:spacing w:val="-13"/>
          <w:w w:val="105"/>
          <w:sz w:val="20"/>
          <w:szCs w:val="20"/>
        </w:rPr>
        <w:t xml:space="preserve"> </w:t>
      </w:r>
      <w:r w:rsidRPr="007E7541">
        <w:rPr>
          <w:w w:val="105"/>
          <w:sz w:val="20"/>
          <w:szCs w:val="20"/>
        </w:rPr>
        <w:t>samo</w:t>
      </w:r>
      <w:r w:rsidRPr="007E7541">
        <w:rPr>
          <w:spacing w:val="-13"/>
          <w:w w:val="105"/>
          <w:sz w:val="20"/>
          <w:szCs w:val="20"/>
        </w:rPr>
        <w:t xml:space="preserve"> </w:t>
      </w:r>
      <w:r w:rsidR="00E4312F">
        <w:rPr>
          <w:w w:val="105"/>
          <w:sz w:val="20"/>
          <w:szCs w:val="20"/>
        </w:rPr>
        <w:t>pacijente</w:t>
      </w:r>
      <w:r w:rsidRPr="007E7541">
        <w:rPr>
          <w:spacing w:val="-13"/>
          <w:w w:val="105"/>
          <w:sz w:val="20"/>
          <w:szCs w:val="20"/>
        </w:rPr>
        <w:t xml:space="preserve"> </w:t>
      </w:r>
      <w:r w:rsidRPr="007E7541">
        <w:rPr>
          <w:w w:val="105"/>
          <w:sz w:val="20"/>
          <w:szCs w:val="20"/>
        </w:rPr>
        <w:t>sa</w:t>
      </w:r>
      <w:r w:rsidRPr="007E7541">
        <w:rPr>
          <w:spacing w:val="-12"/>
          <w:w w:val="105"/>
          <w:sz w:val="20"/>
          <w:szCs w:val="20"/>
        </w:rPr>
        <w:t xml:space="preserve"> </w:t>
      </w:r>
      <w:r w:rsidRPr="007E7541">
        <w:rPr>
          <w:snapToGrid w:val="0"/>
          <w:sz w:val="20"/>
          <w:szCs w:val="20"/>
          <w:lang w:val="sr-Latn-CS"/>
        </w:rPr>
        <w:t>vr</w:t>
      </w:r>
      <w:r w:rsidR="00E4312F" w:rsidRPr="00E4312F">
        <w:rPr>
          <w:snapToGrid w:val="0"/>
          <w:sz w:val="20"/>
          <w:szCs w:val="20"/>
          <w:lang w:val="sr-Latn-CS"/>
        </w:rPr>
        <w:t>ij</w:t>
      </w:r>
      <w:r w:rsidRPr="007E7541">
        <w:rPr>
          <w:snapToGrid w:val="0"/>
          <w:sz w:val="20"/>
          <w:szCs w:val="20"/>
          <w:lang w:val="sr-Latn-CS"/>
        </w:rPr>
        <w:t>ednostima</w:t>
      </w:r>
      <w:r w:rsidRPr="007E7541">
        <w:rPr>
          <w:spacing w:val="-15"/>
          <w:w w:val="105"/>
          <w:sz w:val="20"/>
          <w:szCs w:val="20"/>
        </w:rPr>
        <w:t xml:space="preserve"> </w:t>
      </w:r>
      <w:r w:rsidRPr="007E7541">
        <w:rPr>
          <w:w w:val="105"/>
          <w:sz w:val="20"/>
          <w:szCs w:val="20"/>
        </w:rPr>
        <w:t>ALT-a</w:t>
      </w:r>
      <w:r w:rsidRPr="007E7541">
        <w:rPr>
          <w:spacing w:val="-13"/>
          <w:w w:val="105"/>
          <w:sz w:val="20"/>
          <w:szCs w:val="20"/>
        </w:rPr>
        <w:t xml:space="preserve"> </w:t>
      </w:r>
      <w:r w:rsidRPr="007E7541">
        <w:rPr>
          <w:w w:val="105"/>
          <w:sz w:val="20"/>
          <w:szCs w:val="20"/>
        </w:rPr>
        <w:t>iznad</w:t>
      </w:r>
      <w:r w:rsidRPr="007E7541">
        <w:rPr>
          <w:spacing w:val="-14"/>
          <w:w w:val="105"/>
          <w:sz w:val="20"/>
          <w:szCs w:val="20"/>
        </w:rPr>
        <w:t xml:space="preserve"> </w:t>
      </w:r>
      <w:r w:rsidRPr="007E7541">
        <w:rPr>
          <w:w w:val="105"/>
          <w:sz w:val="20"/>
          <w:szCs w:val="20"/>
        </w:rPr>
        <w:t>gornje granice normalnih vr</w:t>
      </w:r>
      <w:r w:rsidR="00E4312F">
        <w:rPr>
          <w:w w:val="105"/>
          <w:sz w:val="20"/>
          <w:szCs w:val="20"/>
        </w:rPr>
        <w:t>ij</w:t>
      </w:r>
      <w:r w:rsidRPr="007E7541">
        <w:rPr>
          <w:w w:val="105"/>
          <w:sz w:val="20"/>
          <w:szCs w:val="20"/>
        </w:rPr>
        <w:t>ednosti na početku</w:t>
      </w:r>
      <w:r w:rsidRPr="007E7541">
        <w:rPr>
          <w:spacing w:val="-12"/>
          <w:w w:val="105"/>
          <w:sz w:val="20"/>
          <w:szCs w:val="20"/>
        </w:rPr>
        <w:t xml:space="preserve"> </w:t>
      </w:r>
      <w:r w:rsidRPr="007E7541">
        <w:rPr>
          <w:w w:val="105"/>
          <w:sz w:val="20"/>
          <w:szCs w:val="20"/>
        </w:rPr>
        <w:t>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e</w:t>
      </w:r>
      <w:r w:rsidRPr="007E7541">
        <w:rPr>
          <w:spacing w:val="5"/>
          <w:w w:val="105"/>
          <w:position w:val="10"/>
          <w:sz w:val="20"/>
          <w:szCs w:val="20"/>
        </w:rPr>
        <w:t xml:space="preserve"> </w:t>
      </w:r>
      <w:r w:rsidRPr="007E7541">
        <w:rPr>
          <w:w w:val="105"/>
          <w:sz w:val="20"/>
          <w:szCs w:val="20"/>
        </w:rPr>
        <w:t>48</w:t>
      </w:r>
      <w:r w:rsidRPr="007E7541">
        <w:rPr>
          <w:spacing w:val="-15"/>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14"/>
          <w:w w:val="105"/>
          <w:sz w:val="20"/>
          <w:szCs w:val="20"/>
        </w:rPr>
        <w:t xml:space="preserve"> </w:t>
      </w:r>
      <w:r w:rsidRPr="007E7541">
        <w:rPr>
          <w:w w:val="105"/>
          <w:sz w:val="20"/>
          <w:szCs w:val="20"/>
        </w:rPr>
        <w:t>dvostruko</w:t>
      </w:r>
      <w:r w:rsidRPr="007E7541">
        <w:rPr>
          <w:spacing w:val="-14"/>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sa</w:t>
      </w:r>
      <w:r w:rsidRPr="007E7541">
        <w:rPr>
          <w:spacing w:val="-14"/>
          <w:w w:val="105"/>
          <w:sz w:val="20"/>
          <w:szCs w:val="20"/>
        </w:rPr>
        <w:t xml:space="preserve"> </w:t>
      </w:r>
      <w:r w:rsidRPr="007E7541">
        <w:rPr>
          <w:w w:val="105"/>
          <w:sz w:val="20"/>
          <w:szCs w:val="20"/>
        </w:rPr>
        <w:t>tenofovir</w:t>
      </w:r>
      <w:r w:rsidR="00E4312F">
        <w:rPr>
          <w:w w:val="105"/>
          <w:sz w:val="20"/>
          <w:szCs w:val="20"/>
        </w:rPr>
        <w:t xml:space="preserve"> </w:t>
      </w:r>
      <w:r w:rsidRPr="007E7541">
        <w:rPr>
          <w:w w:val="105"/>
          <w:sz w:val="20"/>
          <w:szCs w:val="20"/>
        </w:rPr>
        <w:t>dizoproksilom</w:t>
      </w:r>
      <w:r w:rsidRPr="007E7541">
        <w:rPr>
          <w:spacing w:val="-12"/>
          <w:w w:val="105"/>
          <w:sz w:val="20"/>
          <w:szCs w:val="20"/>
        </w:rPr>
        <w:t xml:space="preserve"> </w:t>
      </w:r>
      <w:r w:rsidRPr="007E7541">
        <w:rPr>
          <w:w w:val="105"/>
          <w:sz w:val="20"/>
          <w:szCs w:val="20"/>
        </w:rPr>
        <w:t>nakon</w:t>
      </w:r>
      <w:r w:rsidRPr="007E7541">
        <w:rPr>
          <w:spacing w:val="-6"/>
          <w:w w:val="105"/>
          <w:sz w:val="20"/>
          <w:szCs w:val="20"/>
        </w:rPr>
        <w:t xml:space="preserve"> </w:t>
      </w:r>
      <w:r w:rsidRPr="007E7541">
        <w:rPr>
          <w:w w:val="105"/>
          <w:sz w:val="20"/>
          <w:szCs w:val="20"/>
        </w:rPr>
        <w:t>čega</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edi</w:t>
      </w:r>
      <w:r w:rsidRPr="007E7541">
        <w:rPr>
          <w:spacing w:val="-15"/>
          <w:w w:val="105"/>
          <w:sz w:val="20"/>
          <w:szCs w:val="20"/>
        </w:rPr>
        <w:t xml:space="preserve"> </w:t>
      </w:r>
      <w:r w:rsidRPr="007E7541">
        <w:rPr>
          <w:w w:val="105"/>
          <w:sz w:val="20"/>
          <w:szCs w:val="20"/>
        </w:rPr>
        <w:t>96</w:t>
      </w:r>
      <w:r w:rsidRPr="007E7541">
        <w:rPr>
          <w:spacing w:val="-15"/>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15"/>
          <w:w w:val="105"/>
          <w:sz w:val="20"/>
          <w:szCs w:val="20"/>
        </w:rPr>
        <w:t xml:space="preserve"> </w:t>
      </w:r>
      <w:r w:rsidRPr="007E7541">
        <w:rPr>
          <w:w w:val="105"/>
          <w:sz w:val="20"/>
          <w:szCs w:val="20"/>
        </w:rPr>
        <w:t>otvorenog 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f</w:t>
      </w:r>
      <w:r w:rsidRPr="007E7541">
        <w:rPr>
          <w:spacing w:val="5"/>
          <w:w w:val="105"/>
          <w:position w:val="10"/>
          <w:sz w:val="20"/>
          <w:szCs w:val="20"/>
        </w:rPr>
        <w:t xml:space="preserve"> </w:t>
      </w:r>
      <w:r w:rsidRPr="007E7541">
        <w:rPr>
          <w:w w:val="105"/>
          <w:sz w:val="20"/>
          <w:szCs w:val="20"/>
        </w:rPr>
        <w:t>48</w:t>
      </w:r>
      <w:r w:rsidRPr="007E7541">
        <w:rPr>
          <w:spacing w:val="-14"/>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14"/>
          <w:w w:val="105"/>
          <w:sz w:val="20"/>
          <w:szCs w:val="20"/>
        </w:rPr>
        <w:t xml:space="preserve"> </w:t>
      </w:r>
      <w:r w:rsidRPr="007E7541">
        <w:rPr>
          <w:w w:val="105"/>
          <w:sz w:val="20"/>
          <w:szCs w:val="20"/>
        </w:rPr>
        <w:t>dvostruko</w:t>
      </w:r>
      <w:r w:rsidRPr="007E7541">
        <w:rPr>
          <w:spacing w:val="-14"/>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adefovir</w:t>
      </w:r>
      <w:r w:rsidR="00E4312F">
        <w:rPr>
          <w:w w:val="105"/>
          <w:sz w:val="20"/>
          <w:szCs w:val="20"/>
        </w:rPr>
        <w:t xml:space="preserve"> </w:t>
      </w:r>
      <w:r w:rsidRPr="007E7541">
        <w:rPr>
          <w:w w:val="105"/>
          <w:sz w:val="20"/>
          <w:szCs w:val="20"/>
        </w:rPr>
        <w:t>dipivoksila nakon</w:t>
      </w:r>
      <w:r w:rsidRPr="007E7541">
        <w:rPr>
          <w:spacing w:val="-11"/>
          <w:w w:val="105"/>
          <w:sz w:val="20"/>
          <w:szCs w:val="20"/>
        </w:rPr>
        <w:t xml:space="preserve"> </w:t>
      </w:r>
      <w:r w:rsidRPr="007E7541">
        <w:rPr>
          <w:w w:val="105"/>
          <w:sz w:val="20"/>
          <w:szCs w:val="20"/>
        </w:rPr>
        <w:t>čega</w:t>
      </w:r>
      <w:r w:rsidRPr="007E7541">
        <w:rPr>
          <w:spacing w:val="-14"/>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edi</w:t>
      </w:r>
      <w:r w:rsidRPr="007E7541">
        <w:rPr>
          <w:spacing w:val="-14"/>
          <w:w w:val="105"/>
          <w:sz w:val="20"/>
          <w:szCs w:val="20"/>
        </w:rPr>
        <w:t xml:space="preserve"> </w:t>
      </w:r>
      <w:r w:rsidRPr="007E7541">
        <w:rPr>
          <w:w w:val="105"/>
          <w:sz w:val="20"/>
          <w:szCs w:val="20"/>
        </w:rPr>
        <w:t>96</w:t>
      </w:r>
      <w:r w:rsidRPr="007E7541">
        <w:rPr>
          <w:spacing w:val="-14"/>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14"/>
          <w:w w:val="105"/>
          <w:sz w:val="20"/>
          <w:szCs w:val="20"/>
        </w:rPr>
        <w:t xml:space="preserve"> </w:t>
      </w:r>
      <w:r w:rsidRPr="007E7541">
        <w:rPr>
          <w:w w:val="105"/>
          <w:sz w:val="20"/>
          <w:szCs w:val="20"/>
        </w:rPr>
        <w:t>otvorenog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sa</w:t>
      </w:r>
      <w:r w:rsidRPr="007E7541">
        <w:rPr>
          <w:spacing w:val="-14"/>
          <w:w w:val="105"/>
          <w:sz w:val="20"/>
          <w:szCs w:val="20"/>
        </w:rPr>
        <w:t xml:space="preserve"> </w:t>
      </w:r>
      <w:r w:rsidRPr="007E7541">
        <w:rPr>
          <w:w w:val="105"/>
          <w:sz w:val="20"/>
          <w:szCs w:val="20"/>
        </w:rPr>
        <w:t>tenofovir</w:t>
      </w:r>
      <w:r w:rsidR="00E4312F">
        <w:rPr>
          <w:w w:val="105"/>
          <w:sz w:val="20"/>
          <w:szCs w:val="20"/>
        </w:rPr>
        <w:t xml:space="preserve"> </w:t>
      </w:r>
      <w:r w:rsidRPr="007E7541">
        <w:rPr>
          <w:w w:val="105"/>
          <w:sz w:val="20"/>
          <w:szCs w:val="20"/>
        </w:rPr>
        <w:t>dizoproksilom.</w:t>
      </w:r>
    </w:p>
    <w:p w:rsidR="007E7541" w:rsidRPr="007E7541" w:rsidRDefault="007E7541" w:rsidP="00E4312F">
      <w:pPr>
        <w:tabs>
          <w:tab w:val="left" w:pos="284"/>
        </w:tabs>
        <w:ind w:left="284"/>
        <w:jc w:val="both"/>
        <w:rPr>
          <w:sz w:val="20"/>
          <w:szCs w:val="20"/>
        </w:rPr>
      </w:pPr>
      <w:r w:rsidRPr="007E7541">
        <w:rPr>
          <w:w w:val="105"/>
          <w:position w:val="9"/>
          <w:sz w:val="20"/>
          <w:szCs w:val="20"/>
        </w:rPr>
        <w:t>g</w:t>
      </w:r>
      <w:r w:rsidRPr="007E7541">
        <w:rPr>
          <w:spacing w:val="-1"/>
          <w:w w:val="105"/>
          <w:position w:val="9"/>
          <w:sz w:val="20"/>
          <w:szCs w:val="20"/>
        </w:rPr>
        <w:t xml:space="preserve"> </w:t>
      </w:r>
      <w:r w:rsidRPr="007E7541">
        <w:rPr>
          <w:w w:val="105"/>
          <w:sz w:val="20"/>
          <w:szCs w:val="20"/>
        </w:rPr>
        <w:t>Prikazane</w:t>
      </w:r>
      <w:r w:rsidRPr="007E7541">
        <w:rPr>
          <w:spacing w:val="-15"/>
          <w:w w:val="105"/>
          <w:sz w:val="20"/>
          <w:szCs w:val="20"/>
        </w:rPr>
        <w:t xml:space="preserve"> </w:t>
      </w:r>
      <w:r w:rsidRPr="007E7541">
        <w:rPr>
          <w:w w:val="105"/>
          <w:sz w:val="20"/>
          <w:szCs w:val="20"/>
        </w:rPr>
        <w:t>cifre</w:t>
      </w:r>
      <w:r w:rsidRPr="007E7541">
        <w:rPr>
          <w:spacing w:val="-14"/>
          <w:w w:val="105"/>
          <w:sz w:val="20"/>
          <w:szCs w:val="20"/>
        </w:rPr>
        <w:t xml:space="preserve"> </w:t>
      </w:r>
      <w:r w:rsidRPr="007E7541">
        <w:rPr>
          <w:w w:val="105"/>
          <w:sz w:val="20"/>
          <w:szCs w:val="20"/>
        </w:rPr>
        <w:t>su</w:t>
      </w:r>
      <w:r w:rsidRPr="007E7541">
        <w:rPr>
          <w:spacing w:val="-15"/>
          <w:w w:val="105"/>
          <w:sz w:val="20"/>
          <w:szCs w:val="20"/>
        </w:rPr>
        <w:t xml:space="preserve"> </w:t>
      </w:r>
      <w:r w:rsidRPr="007E7541">
        <w:rPr>
          <w:w w:val="105"/>
          <w:sz w:val="20"/>
          <w:szCs w:val="20"/>
        </w:rPr>
        <w:t>kumulativni</w:t>
      </w:r>
      <w:r w:rsidRPr="007E7541">
        <w:rPr>
          <w:spacing w:val="-14"/>
          <w:w w:val="105"/>
          <w:sz w:val="20"/>
          <w:szCs w:val="20"/>
        </w:rPr>
        <w:t xml:space="preserve"> </w:t>
      </w:r>
      <w:r w:rsidRPr="007E7541">
        <w:rPr>
          <w:w w:val="105"/>
          <w:sz w:val="20"/>
          <w:szCs w:val="20"/>
        </w:rPr>
        <w:t>procenti</w:t>
      </w:r>
      <w:r w:rsidRPr="007E7541">
        <w:rPr>
          <w:spacing w:val="-15"/>
          <w:w w:val="105"/>
          <w:sz w:val="20"/>
          <w:szCs w:val="20"/>
        </w:rPr>
        <w:t xml:space="preserve"> </w:t>
      </w:r>
      <w:r w:rsidRPr="007E7541">
        <w:rPr>
          <w:w w:val="105"/>
          <w:sz w:val="20"/>
          <w:szCs w:val="20"/>
        </w:rPr>
        <w:t>zasnovani</w:t>
      </w:r>
      <w:r w:rsidRPr="007E7541">
        <w:rPr>
          <w:spacing w:val="-14"/>
          <w:w w:val="105"/>
          <w:sz w:val="20"/>
          <w:szCs w:val="20"/>
        </w:rPr>
        <w:t xml:space="preserve"> </w:t>
      </w:r>
      <w:r w:rsidRPr="007E7541">
        <w:rPr>
          <w:spacing w:val="-5"/>
          <w:w w:val="105"/>
          <w:sz w:val="20"/>
          <w:szCs w:val="20"/>
        </w:rPr>
        <w:t>na</w:t>
      </w:r>
      <w:r w:rsidRPr="007E7541">
        <w:rPr>
          <w:spacing w:val="-14"/>
          <w:w w:val="105"/>
          <w:sz w:val="20"/>
          <w:szCs w:val="20"/>
        </w:rPr>
        <w:t xml:space="preserve"> </w:t>
      </w:r>
      <w:r w:rsidRPr="007E7541">
        <w:rPr>
          <w:i/>
          <w:w w:val="105"/>
          <w:sz w:val="20"/>
          <w:szCs w:val="20"/>
        </w:rPr>
        <w:t>Kaplan-Meier</w:t>
      </w:r>
      <w:r w:rsidRPr="007E7541">
        <w:rPr>
          <w:spacing w:val="-14"/>
          <w:w w:val="105"/>
          <w:sz w:val="20"/>
          <w:szCs w:val="20"/>
        </w:rPr>
        <w:t xml:space="preserve"> </w:t>
      </w:r>
      <w:r w:rsidRPr="007E7541">
        <w:rPr>
          <w:w w:val="105"/>
          <w:sz w:val="20"/>
          <w:szCs w:val="20"/>
        </w:rPr>
        <w:t>analizi,</w:t>
      </w:r>
      <w:r w:rsidRPr="007E7541">
        <w:rPr>
          <w:spacing w:val="-15"/>
          <w:w w:val="105"/>
          <w:sz w:val="20"/>
          <w:szCs w:val="20"/>
        </w:rPr>
        <w:t xml:space="preserve"> </w:t>
      </w:r>
      <w:r w:rsidRPr="007E7541">
        <w:rPr>
          <w:w w:val="105"/>
          <w:sz w:val="20"/>
          <w:szCs w:val="20"/>
        </w:rPr>
        <w:t>uključujući</w:t>
      </w:r>
      <w:r w:rsidRPr="007E7541">
        <w:rPr>
          <w:spacing w:val="-14"/>
          <w:w w:val="105"/>
          <w:sz w:val="20"/>
          <w:szCs w:val="20"/>
        </w:rPr>
        <w:t xml:space="preserve"> </w:t>
      </w:r>
      <w:r w:rsidRPr="007E7541">
        <w:rPr>
          <w:w w:val="105"/>
          <w:sz w:val="20"/>
          <w:szCs w:val="20"/>
        </w:rPr>
        <w:t>podatke</w:t>
      </w:r>
      <w:r w:rsidRPr="007E7541">
        <w:rPr>
          <w:spacing w:val="-15"/>
          <w:w w:val="105"/>
          <w:sz w:val="20"/>
          <w:szCs w:val="20"/>
        </w:rPr>
        <w:t xml:space="preserve"> </w:t>
      </w:r>
      <w:r w:rsidRPr="007E7541">
        <w:rPr>
          <w:w w:val="105"/>
          <w:sz w:val="20"/>
          <w:szCs w:val="20"/>
        </w:rPr>
        <w:t>dobijene</w:t>
      </w:r>
      <w:r w:rsidRPr="007E7541">
        <w:rPr>
          <w:spacing w:val="-14"/>
          <w:w w:val="105"/>
          <w:sz w:val="20"/>
          <w:szCs w:val="20"/>
        </w:rPr>
        <w:t xml:space="preserve"> </w:t>
      </w:r>
      <w:r w:rsidRPr="007E7541">
        <w:rPr>
          <w:w w:val="105"/>
          <w:sz w:val="20"/>
          <w:szCs w:val="20"/>
        </w:rPr>
        <w:t>nakon dodavanja emtricitabina otvorenom ispitivanju tenofovir</w:t>
      </w:r>
      <w:r w:rsidR="00E4312F">
        <w:rPr>
          <w:w w:val="105"/>
          <w:sz w:val="20"/>
          <w:szCs w:val="20"/>
        </w:rPr>
        <w:t xml:space="preserve"> </w:t>
      </w:r>
      <w:r w:rsidRPr="007E7541">
        <w:rPr>
          <w:w w:val="105"/>
          <w:sz w:val="20"/>
          <w:szCs w:val="20"/>
        </w:rPr>
        <w:t>dizoproksila (KM-ITT).</w:t>
      </w:r>
    </w:p>
    <w:p w:rsidR="007E7541" w:rsidRPr="007E7541" w:rsidRDefault="007E7541" w:rsidP="00E4312F">
      <w:pPr>
        <w:tabs>
          <w:tab w:val="left" w:pos="284"/>
        </w:tabs>
        <w:ind w:left="284"/>
        <w:jc w:val="both"/>
        <w:rPr>
          <w:sz w:val="20"/>
          <w:szCs w:val="20"/>
        </w:rPr>
      </w:pPr>
      <w:r w:rsidRPr="007E7541">
        <w:rPr>
          <w:w w:val="105"/>
          <w:position w:val="10"/>
          <w:sz w:val="20"/>
          <w:szCs w:val="20"/>
        </w:rPr>
        <w:t xml:space="preserve">h </w:t>
      </w:r>
      <w:r w:rsidRPr="007E7541">
        <w:rPr>
          <w:w w:val="105"/>
          <w:sz w:val="20"/>
          <w:szCs w:val="20"/>
        </w:rPr>
        <w:t>48 ned</w:t>
      </w:r>
      <w:r w:rsidR="00E4312F">
        <w:rPr>
          <w:w w:val="105"/>
          <w:sz w:val="20"/>
          <w:szCs w:val="20"/>
        </w:rPr>
        <w:t>j</w:t>
      </w:r>
      <w:r w:rsidRPr="007E7541">
        <w:rPr>
          <w:w w:val="105"/>
          <w:sz w:val="20"/>
          <w:szCs w:val="20"/>
        </w:rPr>
        <w:t>elja dvostruko sl</w:t>
      </w:r>
      <w:r w:rsidR="00E4312F">
        <w:rPr>
          <w:w w:val="105"/>
          <w:sz w:val="20"/>
          <w:szCs w:val="20"/>
        </w:rPr>
        <w:t>ij</w:t>
      </w:r>
      <w:r w:rsidRPr="007E7541">
        <w:rPr>
          <w:w w:val="105"/>
          <w:sz w:val="20"/>
          <w:szCs w:val="20"/>
        </w:rPr>
        <w:t>epog ispitivanja tenofovir</w:t>
      </w:r>
      <w:r w:rsidR="00E4312F">
        <w:rPr>
          <w:w w:val="105"/>
          <w:sz w:val="20"/>
          <w:szCs w:val="20"/>
        </w:rPr>
        <w:t xml:space="preserve"> </w:t>
      </w:r>
      <w:r w:rsidRPr="007E7541">
        <w:rPr>
          <w:w w:val="105"/>
          <w:sz w:val="20"/>
          <w:szCs w:val="20"/>
        </w:rPr>
        <w:t>dizoproksila nakon čega sl</w:t>
      </w:r>
      <w:r w:rsidR="00E4312F">
        <w:rPr>
          <w:w w:val="105"/>
          <w:sz w:val="20"/>
          <w:szCs w:val="20"/>
        </w:rPr>
        <w:t>ij</w:t>
      </w:r>
      <w:r w:rsidRPr="007E7541">
        <w:rPr>
          <w:w w:val="105"/>
          <w:sz w:val="20"/>
          <w:szCs w:val="20"/>
        </w:rPr>
        <w:t>ede 144 ned</w:t>
      </w:r>
      <w:r w:rsidR="00E4312F">
        <w:rPr>
          <w:w w:val="105"/>
          <w:sz w:val="20"/>
          <w:szCs w:val="20"/>
        </w:rPr>
        <w:t>j</w:t>
      </w:r>
      <w:r w:rsidRPr="007E7541">
        <w:rPr>
          <w:w w:val="105"/>
          <w:sz w:val="20"/>
          <w:szCs w:val="20"/>
        </w:rPr>
        <w:t>elje otvorenog 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i</w:t>
      </w:r>
      <w:r w:rsidRPr="007E7541">
        <w:rPr>
          <w:spacing w:val="4"/>
          <w:w w:val="105"/>
          <w:position w:val="10"/>
          <w:sz w:val="20"/>
          <w:szCs w:val="20"/>
        </w:rPr>
        <w:t xml:space="preserve"> </w:t>
      </w:r>
      <w:r w:rsidRPr="007E7541">
        <w:rPr>
          <w:w w:val="105"/>
          <w:sz w:val="20"/>
          <w:szCs w:val="20"/>
        </w:rPr>
        <w:t>48</w:t>
      </w:r>
      <w:r w:rsidRPr="007E7541">
        <w:rPr>
          <w:spacing w:val="-14"/>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elja</w:t>
      </w:r>
      <w:r w:rsidRPr="007E7541">
        <w:rPr>
          <w:spacing w:val="-6"/>
          <w:w w:val="105"/>
          <w:sz w:val="20"/>
          <w:szCs w:val="20"/>
        </w:rPr>
        <w:t xml:space="preserve"> </w:t>
      </w:r>
      <w:r w:rsidRPr="007E7541">
        <w:rPr>
          <w:w w:val="105"/>
          <w:sz w:val="20"/>
          <w:szCs w:val="20"/>
        </w:rPr>
        <w:t>dvostruko</w:t>
      </w:r>
      <w:r w:rsidRPr="007E7541">
        <w:rPr>
          <w:spacing w:val="-14"/>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adefovir</w:t>
      </w:r>
      <w:r w:rsidR="00E4312F">
        <w:rPr>
          <w:w w:val="105"/>
          <w:sz w:val="20"/>
          <w:szCs w:val="20"/>
        </w:rPr>
        <w:t xml:space="preserve"> </w:t>
      </w:r>
      <w:r w:rsidRPr="007E7541">
        <w:rPr>
          <w:w w:val="105"/>
          <w:sz w:val="20"/>
          <w:szCs w:val="20"/>
        </w:rPr>
        <w:t>dipivoksila</w:t>
      </w:r>
      <w:r w:rsidRPr="007E7541">
        <w:rPr>
          <w:spacing w:val="-14"/>
          <w:w w:val="105"/>
          <w:sz w:val="20"/>
          <w:szCs w:val="20"/>
        </w:rPr>
        <w:t xml:space="preserve"> </w:t>
      </w:r>
      <w:r w:rsidRPr="007E7541">
        <w:rPr>
          <w:w w:val="105"/>
          <w:sz w:val="20"/>
          <w:szCs w:val="20"/>
        </w:rPr>
        <w:t>nakon</w:t>
      </w:r>
      <w:r w:rsidRPr="007E7541">
        <w:rPr>
          <w:spacing w:val="-10"/>
          <w:w w:val="105"/>
          <w:sz w:val="20"/>
          <w:szCs w:val="20"/>
        </w:rPr>
        <w:t xml:space="preserve"> </w:t>
      </w:r>
      <w:r w:rsidRPr="007E7541">
        <w:rPr>
          <w:w w:val="105"/>
          <w:sz w:val="20"/>
          <w:szCs w:val="20"/>
        </w:rPr>
        <w:t>čega</w:t>
      </w:r>
      <w:r w:rsidRPr="007E7541">
        <w:rPr>
          <w:spacing w:val="-13"/>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w:t>
      </w:r>
      <w:r w:rsidR="00E4312F">
        <w:rPr>
          <w:w w:val="105"/>
          <w:sz w:val="20"/>
          <w:szCs w:val="20"/>
        </w:rPr>
        <w:t>e</w:t>
      </w:r>
      <w:r w:rsidRPr="007E7541">
        <w:rPr>
          <w:spacing w:val="-13"/>
          <w:w w:val="105"/>
          <w:sz w:val="20"/>
          <w:szCs w:val="20"/>
        </w:rPr>
        <w:t xml:space="preserve"> </w:t>
      </w:r>
      <w:r w:rsidRPr="007E7541">
        <w:rPr>
          <w:w w:val="105"/>
          <w:sz w:val="20"/>
          <w:szCs w:val="20"/>
        </w:rPr>
        <w:t>144</w:t>
      </w:r>
      <w:r w:rsidRPr="007E7541">
        <w:rPr>
          <w:spacing w:val="-15"/>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elje</w:t>
      </w:r>
      <w:r w:rsidRPr="007E7541">
        <w:rPr>
          <w:spacing w:val="-13"/>
          <w:w w:val="105"/>
          <w:sz w:val="20"/>
          <w:szCs w:val="20"/>
        </w:rPr>
        <w:t xml:space="preserve"> </w:t>
      </w:r>
      <w:r w:rsidRPr="007E7541">
        <w:rPr>
          <w:w w:val="105"/>
          <w:sz w:val="20"/>
          <w:szCs w:val="20"/>
        </w:rPr>
        <w:t>otvorenog</w:t>
      </w:r>
      <w:r w:rsidRPr="007E7541">
        <w:rPr>
          <w:spacing w:val="-13"/>
          <w:w w:val="105"/>
          <w:sz w:val="20"/>
          <w:szCs w:val="20"/>
        </w:rPr>
        <w:t xml:space="preserve"> </w:t>
      </w:r>
      <w:r w:rsidR="00E4312F">
        <w:rPr>
          <w:spacing w:val="-13"/>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 tenofovir</w:t>
      </w:r>
      <w:r w:rsidR="00E4312F">
        <w:rPr>
          <w:w w:val="105"/>
          <w:sz w:val="20"/>
          <w:szCs w:val="20"/>
        </w:rPr>
        <w:t xml:space="preserve"> </w:t>
      </w:r>
      <w:r w:rsidRPr="007E7541">
        <w:rPr>
          <w:w w:val="105"/>
          <w:sz w:val="20"/>
          <w:szCs w:val="20"/>
        </w:rPr>
        <w:t>dizoproksilom.</w:t>
      </w:r>
    </w:p>
    <w:p w:rsidR="007E7541" w:rsidRPr="007E7541" w:rsidRDefault="007E7541" w:rsidP="00E4312F">
      <w:pPr>
        <w:tabs>
          <w:tab w:val="left" w:pos="284"/>
        </w:tabs>
        <w:ind w:left="284"/>
        <w:jc w:val="both"/>
        <w:rPr>
          <w:sz w:val="20"/>
          <w:szCs w:val="20"/>
        </w:rPr>
      </w:pPr>
      <w:r w:rsidRPr="007E7541">
        <w:rPr>
          <w:w w:val="105"/>
          <w:position w:val="9"/>
          <w:sz w:val="20"/>
          <w:szCs w:val="20"/>
        </w:rPr>
        <w:t xml:space="preserve">j </w:t>
      </w:r>
      <w:r w:rsidRPr="007E7541">
        <w:rPr>
          <w:w w:val="105"/>
          <w:sz w:val="20"/>
          <w:szCs w:val="20"/>
        </w:rPr>
        <w:t xml:space="preserve">48 </w:t>
      </w:r>
      <w:r w:rsidR="00E4312F">
        <w:rPr>
          <w:w w:val="105"/>
          <w:sz w:val="20"/>
          <w:szCs w:val="20"/>
        </w:rPr>
        <w:t>nedjelja</w:t>
      </w:r>
      <w:r w:rsidRPr="007E7541">
        <w:rPr>
          <w:w w:val="105"/>
          <w:sz w:val="20"/>
          <w:szCs w:val="20"/>
        </w:rPr>
        <w:t xml:space="preserve"> dvostruko sl</w:t>
      </w:r>
      <w:r w:rsidR="00E4312F">
        <w:rPr>
          <w:w w:val="105"/>
          <w:sz w:val="20"/>
          <w:szCs w:val="20"/>
        </w:rPr>
        <w:t>ij</w:t>
      </w:r>
      <w:r w:rsidRPr="007E7541">
        <w:rPr>
          <w:w w:val="105"/>
          <w:sz w:val="20"/>
          <w:szCs w:val="20"/>
        </w:rPr>
        <w:t>epog ispitivanja sa tenofovir</w:t>
      </w:r>
      <w:r w:rsidR="00E4312F">
        <w:rPr>
          <w:w w:val="105"/>
          <w:sz w:val="20"/>
          <w:szCs w:val="20"/>
        </w:rPr>
        <w:t xml:space="preserve"> </w:t>
      </w:r>
      <w:r w:rsidRPr="007E7541">
        <w:rPr>
          <w:w w:val="105"/>
          <w:sz w:val="20"/>
          <w:szCs w:val="20"/>
        </w:rPr>
        <w:t>dizoproksilom nakon čega sl</w:t>
      </w:r>
      <w:r w:rsidR="00E4312F">
        <w:rPr>
          <w:w w:val="105"/>
          <w:sz w:val="20"/>
          <w:szCs w:val="20"/>
        </w:rPr>
        <w:t>ij</w:t>
      </w:r>
      <w:r w:rsidRPr="007E7541">
        <w:rPr>
          <w:w w:val="105"/>
          <w:sz w:val="20"/>
          <w:szCs w:val="20"/>
        </w:rPr>
        <w:t>ede 192 ned</w:t>
      </w:r>
      <w:r w:rsidR="00E4312F">
        <w:rPr>
          <w:w w:val="105"/>
          <w:sz w:val="20"/>
          <w:szCs w:val="20"/>
        </w:rPr>
        <w:t>j</w:t>
      </w:r>
      <w:r w:rsidRPr="007E7541">
        <w:rPr>
          <w:w w:val="105"/>
          <w:sz w:val="20"/>
          <w:szCs w:val="20"/>
        </w:rPr>
        <w:t>elje otvorenog 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k</w:t>
      </w:r>
      <w:r w:rsidRPr="007E7541">
        <w:rPr>
          <w:spacing w:val="3"/>
          <w:w w:val="105"/>
          <w:position w:val="10"/>
          <w:sz w:val="20"/>
          <w:szCs w:val="20"/>
        </w:rPr>
        <w:t xml:space="preserve"> </w:t>
      </w:r>
      <w:r w:rsidRPr="007E7541">
        <w:rPr>
          <w:w w:val="105"/>
          <w:sz w:val="20"/>
          <w:szCs w:val="20"/>
        </w:rPr>
        <w:t>48</w:t>
      </w:r>
      <w:r w:rsidRPr="007E7541">
        <w:rPr>
          <w:spacing w:val="-13"/>
          <w:w w:val="105"/>
          <w:sz w:val="20"/>
          <w:szCs w:val="20"/>
        </w:rPr>
        <w:t xml:space="preserve"> </w:t>
      </w:r>
      <w:r w:rsidR="00E4312F">
        <w:rPr>
          <w:w w:val="105"/>
          <w:sz w:val="20"/>
          <w:szCs w:val="20"/>
        </w:rPr>
        <w:t>nedjelja</w:t>
      </w:r>
      <w:r w:rsidRPr="007E7541">
        <w:rPr>
          <w:spacing w:val="-13"/>
          <w:w w:val="105"/>
          <w:sz w:val="20"/>
          <w:szCs w:val="20"/>
        </w:rPr>
        <w:t xml:space="preserve"> </w:t>
      </w:r>
      <w:r w:rsidRPr="007E7541">
        <w:rPr>
          <w:w w:val="105"/>
          <w:sz w:val="20"/>
          <w:szCs w:val="20"/>
        </w:rPr>
        <w:t>dvostruko</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adefovir</w:t>
      </w:r>
      <w:r w:rsidR="00E4312F">
        <w:rPr>
          <w:w w:val="105"/>
          <w:sz w:val="20"/>
          <w:szCs w:val="20"/>
        </w:rPr>
        <w:t xml:space="preserve"> </w:t>
      </w:r>
      <w:r w:rsidRPr="007E7541">
        <w:rPr>
          <w:w w:val="105"/>
          <w:sz w:val="20"/>
          <w:szCs w:val="20"/>
        </w:rPr>
        <w:t>dipivoksila</w:t>
      </w:r>
      <w:r w:rsidRPr="007E7541">
        <w:rPr>
          <w:spacing w:val="-15"/>
          <w:w w:val="105"/>
          <w:sz w:val="20"/>
          <w:szCs w:val="20"/>
        </w:rPr>
        <w:t xml:space="preserve"> </w:t>
      </w:r>
      <w:r w:rsidRPr="007E7541">
        <w:rPr>
          <w:w w:val="105"/>
          <w:sz w:val="20"/>
          <w:szCs w:val="20"/>
        </w:rPr>
        <w:t>nakon</w:t>
      </w:r>
      <w:r w:rsidRPr="007E7541">
        <w:rPr>
          <w:spacing w:val="-9"/>
          <w:w w:val="105"/>
          <w:sz w:val="20"/>
          <w:szCs w:val="20"/>
        </w:rPr>
        <w:t xml:space="preserve"> </w:t>
      </w:r>
      <w:r w:rsidRPr="007E7541">
        <w:rPr>
          <w:spacing w:val="-3"/>
          <w:w w:val="105"/>
          <w:sz w:val="20"/>
          <w:szCs w:val="20"/>
        </w:rPr>
        <w:t>čega</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ede</w:t>
      </w:r>
      <w:r w:rsidRPr="007E7541">
        <w:rPr>
          <w:spacing w:val="-16"/>
          <w:w w:val="105"/>
          <w:sz w:val="20"/>
          <w:szCs w:val="20"/>
        </w:rPr>
        <w:t xml:space="preserve"> </w:t>
      </w:r>
      <w:r w:rsidRPr="007E7541">
        <w:rPr>
          <w:w w:val="105"/>
          <w:sz w:val="20"/>
          <w:szCs w:val="20"/>
        </w:rPr>
        <w:t>192</w:t>
      </w:r>
      <w:r w:rsidRPr="007E7541">
        <w:rPr>
          <w:spacing w:val="-13"/>
          <w:w w:val="105"/>
          <w:sz w:val="20"/>
          <w:szCs w:val="20"/>
        </w:rPr>
        <w:t xml:space="preserve"> </w:t>
      </w:r>
      <w:r w:rsidRPr="007E7541">
        <w:rPr>
          <w:w w:val="105"/>
          <w:sz w:val="20"/>
          <w:szCs w:val="20"/>
        </w:rPr>
        <w:t>ned</w:t>
      </w:r>
      <w:r w:rsidR="00E4312F">
        <w:rPr>
          <w:w w:val="105"/>
          <w:sz w:val="20"/>
          <w:szCs w:val="20"/>
        </w:rPr>
        <w:t>j</w:t>
      </w:r>
      <w:r w:rsidRPr="007E7541">
        <w:rPr>
          <w:w w:val="105"/>
          <w:sz w:val="20"/>
          <w:szCs w:val="20"/>
        </w:rPr>
        <w:t>elje</w:t>
      </w:r>
      <w:r w:rsidRPr="007E7541">
        <w:rPr>
          <w:spacing w:val="-14"/>
          <w:w w:val="105"/>
          <w:sz w:val="20"/>
          <w:szCs w:val="20"/>
        </w:rPr>
        <w:t xml:space="preserve"> </w:t>
      </w:r>
      <w:r w:rsidRPr="007E7541">
        <w:rPr>
          <w:w w:val="105"/>
          <w:sz w:val="20"/>
          <w:szCs w:val="20"/>
        </w:rPr>
        <w:t>otvorenog</w:t>
      </w:r>
      <w:r w:rsidRPr="007E7541">
        <w:rPr>
          <w:spacing w:val="-13"/>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 tenofovir</w:t>
      </w:r>
      <w:r w:rsidR="00E4312F">
        <w:rPr>
          <w:w w:val="105"/>
          <w:sz w:val="20"/>
          <w:szCs w:val="20"/>
        </w:rPr>
        <w:t xml:space="preserve"> </w:t>
      </w:r>
      <w:r w:rsidRPr="007E7541">
        <w:rPr>
          <w:w w:val="105"/>
          <w:sz w:val="20"/>
          <w:szCs w:val="20"/>
        </w:rPr>
        <w:t>dizoproksilom</w:t>
      </w:r>
      <w:r w:rsidRPr="007E7541">
        <w:rPr>
          <w:spacing w:val="-3"/>
          <w:w w:val="105"/>
          <w:sz w:val="20"/>
          <w:szCs w:val="20"/>
        </w:rPr>
        <w:t>.</w:t>
      </w:r>
    </w:p>
    <w:p w:rsidR="007E7541" w:rsidRPr="007E7541" w:rsidRDefault="007E7541" w:rsidP="00E4312F">
      <w:pPr>
        <w:tabs>
          <w:tab w:val="left" w:pos="284"/>
        </w:tabs>
        <w:ind w:left="284"/>
        <w:jc w:val="both"/>
        <w:rPr>
          <w:sz w:val="20"/>
          <w:szCs w:val="20"/>
        </w:rPr>
      </w:pPr>
      <w:r w:rsidRPr="007E7541">
        <w:rPr>
          <w:w w:val="105"/>
          <w:position w:val="10"/>
          <w:sz w:val="20"/>
          <w:szCs w:val="20"/>
        </w:rPr>
        <w:t>l</w:t>
      </w:r>
      <w:r w:rsidRPr="007E7541">
        <w:rPr>
          <w:spacing w:val="5"/>
          <w:w w:val="105"/>
          <w:position w:val="10"/>
          <w:sz w:val="20"/>
          <w:szCs w:val="20"/>
        </w:rPr>
        <w:t xml:space="preserve"> </w:t>
      </w:r>
      <w:r w:rsidRPr="007E7541">
        <w:rPr>
          <w:w w:val="105"/>
          <w:sz w:val="20"/>
          <w:szCs w:val="20"/>
        </w:rPr>
        <w:t>Prikazane</w:t>
      </w:r>
      <w:r w:rsidRPr="007E7541">
        <w:rPr>
          <w:spacing w:val="-15"/>
          <w:w w:val="105"/>
          <w:sz w:val="20"/>
          <w:szCs w:val="20"/>
        </w:rPr>
        <w:t xml:space="preserve"> </w:t>
      </w:r>
      <w:r w:rsidRPr="007E7541">
        <w:rPr>
          <w:w w:val="105"/>
          <w:sz w:val="20"/>
          <w:szCs w:val="20"/>
        </w:rPr>
        <w:t>cifre</w:t>
      </w:r>
      <w:r w:rsidRPr="007E7541">
        <w:rPr>
          <w:spacing w:val="-15"/>
          <w:w w:val="105"/>
          <w:sz w:val="20"/>
          <w:szCs w:val="20"/>
        </w:rPr>
        <w:t xml:space="preserve"> </w:t>
      </w:r>
      <w:r w:rsidRPr="007E7541">
        <w:rPr>
          <w:w w:val="105"/>
          <w:sz w:val="20"/>
          <w:szCs w:val="20"/>
        </w:rPr>
        <w:t>su</w:t>
      </w:r>
      <w:r w:rsidRPr="007E7541">
        <w:rPr>
          <w:spacing w:val="-15"/>
          <w:w w:val="105"/>
          <w:sz w:val="20"/>
          <w:szCs w:val="20"/>
        </w:rPr>
        <w:t xml:space="preserve"> </w:t>
      </w:r>
      <w:r w:rsidRPr="007E7541">
        <w:rPr>
          <w:w w:val="105"/>
          <w:sz w:val="20"/>
          <w:szCs w:val="20"/>
        </w:rPr>
        <w:t>kumulativni</w:t>
      </w:r>
      <w:r w:rsidRPr="007E7541">
        <w:rPr>
          <w:spacing w:val="-15"/>
          <w:w w:val="105"/>
          <w:sz w:val="20"/>
          <w:szCs w:val="20"/>
        </w:rPr>
        <w:t xml:space="preserve"> </w:t>
      </w:r>
      <w:r w:rsidRPr="007E7541">
        <w:rPr>
          <w:w w:val="105"/>
          <w:sz w:val="20"/>
          <w:szCs w:val="20"/>
        </w:rPr>
        <w:t>procenti</w:t>
      </w:r>
      <w:r w:rsidRPr="007E7541">
        <w:rPr>
          <w:spacing w:val="-15"/>
          <w:w w:val="105"/>
          <w:sz w:val="20"/>
          <w:szCs w:val="20"/>
        </w:rPr>
        <w:t xml:space="preserve"> </w:t>
      </w:r>
      <w:r w:rsidRPr="007E7541">
        <w:rPr>
          <w:w w:val="105"/>
          <w:sz w:val="20"/>
          <w:szCs w:val="20"/>
        </w:rPr>
        <w:t>zasnovani</w:t>
      </w:r>
      <w:r w:rsidRPr="007E7541">
        <w:rPr>
          <w:spacing w:val="-15"/>
          <w:w w:val="105"/>
          <w:sz w:val="20"/>
          <w:szCs w:val="20"/>
        </w:rPr>
        <w:t xml:space="preserve"> </w:t>
      </w:r>
      <w:r w:rsidRPr="007E7541">
        <w:rPr>
          <w:w w:val="105"/>
          <w:sz w:val="20"/>
          <w:szCs w:val="20"/>
        </w:rPr>
        <w:t>na</w:t>
      </w:r>
      <w:r w:rsidRPr="007E7541">
        <w:rPr>
          <w:spacing w:val="-15"/>
          <w:w w:val="105"/>
          <w:sz w:val="20"/>
          <w:szCs w:val="20"/>
        </w:rPr>
        <w:t xml:space="preserve"> </w:t>
      </w:r>
      <w:r w:rsidRPr="007E7541">
        <w:rPr>
          <w:i/>
          <w:w w:val="105"/>
          <w:sz w:val="20"/>
          <w:szCs w:val="20"/>
        </w:rPr>
        <w:t>Kaplan-Meier</w:t>
      </w:r>
      <w:r w:rsidRPr="007E7541">
        <w:rPr>
          <w:spacing w:val="-15"/>
          <w:w w:val="105"/>
          <w:sz w:val="20"/>
          <w:szCs w:val="20"/>
        </w:rPr>
        <w:t xml:space="preserve"> </w:t>
      </w:r>
      <w:r w:rsidRPr="007E7541">
        <w:rPr>
          <w:w w:val="105"/>
          <w:sz w:val="20"/>
          <w:szCs w:val="20"/>
        </w:rPr>
        <w:t>analizi,</w:t>
      </w:r>
      <w:r w:rsidRPr="007E7541">
        <w:rPr>
          <w:spacing w:val="-15"/>
          <w:w w:val="105"/>
          <w:sz w:val="20"/>
          <w:szCs w:val="20"/>
        </w:rPr>
        <w:t xml:space="preserve"> </w:t>
      </w:r>
      <w:r w:rsidRPr="007E7541">
        <w:rPr>
          <w:w w:val="105"/>
          <w:sz w:val="20"/>
          <w:szCs w:val="20"/>
        </w:rPr>
        <w:t>isključujući</w:t>
      </w:r>
      <w:r w:rsidRPr="007E7541">
        <w:rPr>
          <w:spacing w:val="-15"/>
          <w:w w:val="105"/>
          <w:sz w:val="20"/>
          <w:szCs w:val="20"/>
        </w:rPr>
        <w:t xml:space="preserve"> </w:t>
      </w:r>
      <w:r w:rsidRPr="007E7541">
        <w:rPr>
          <w:w w:val="105"/>
          <w:sz w:val="20"/>
          <w:szCs w:val="20"/>
        </w:rPr>
        <w:t>podatke</w:t>
      </w:r>
      <w:r w:rsidRPr="007E7541">
        <w:rPr>
          <w:spacing w:val="-14"/>
          <w:w w:val="105"/>
          <w:sz w:val="20"/>
          <w:szCs w:val="20"/>
        </w:rPr>
        <w:t xml:space="preserve"> </w:t>
      </w:r>
      <w:r w:rsidRPr="007E7541">
        <w:rPr>
          <w:w w:val="105"/>
          <w:sz w:val="20"/>
          <w:szCs w:val="20"/>
        </w:rPr>
        <w:t>dobijene</w:t>
      </w:r>
      <w:r w:rsidRPr="007E7541">
        <w:rPr>
          <w:spacing w:val="-15"/>
          <w:w w:val="105"/>
          <w:sz w:val="20"/>
          <w:szCs w:val="20"/>
        </w:rPr>
        <w:t xml:space="preserve"> </w:t>
      </w:r>
      <w:r w:rsidRPr="007E7541">
        <w:rPr>
          <w:w w:val="105"/>
          <w:sz w:val="20"/>
          <w:szCs w:val="20"/>
        </w:rPr>
        <w:t>nakon dodavanja emtricitabina otvorenom ispitivanju tenofovir</w:t>
      </w:r>
      <w:r w:rsidR="00E4312F">
        <w:rPr>
          <w:w w:val="105"/>
          <w:sz w:val="20"/>
          <w:szCs w:val="20"/>
        </w:rPr>
        <w:t xml:space="preserve"> </w:t>
      </w:r>
      <w:r w:rsidRPr="007E7541">
        <w:rPr>
          <w:w w:val="105"/>
          <w:sz w:val="20"/>
          <w:szCs w:val="20"/>
        </w:rPr>
        <w:t>dizoproksila (</w:t>
      </w:r>
      <w:r w:rsidRPr="007E7541">
        <w:rPr>
          <w:i/>
          <w:w w:val="105"/>
          <w:sz w:val="20"/>
          <w:szCs w:val="20"/>
        </w:rPr>
        <w:t>KM-tenofovir</w:t>
      </w:r>
      <w:r w:rsidR="00E4312F" w:rsidRPr="00E4312F">
        <w:rPr>
          <w:i/>
          <w:w w:val="105"/>
          <w:sz w:val="20"/>
          <w:szCs w:val="20"/>
        </w:rPr>
        <w:t xml:space="preserve"> dizoprox</w:t>
      </w:r>
      <w:r w:rsidRPr="007E7541">
        <w:rPr>
          <w:i/>
          <w:w w:val="105"/>
          <w:sz w:val="20"/>
          <w:szCs w:val="20"/>
        </w:rPr>
        <w:t>il</w:t>
      </w:r>
      <w:r w:rsidRPr="007E7541">
        <w:rPr>
          <w:w w:val="105"/>
          <w:sz w:val="20"/>
          <w:szCs w:val="20"/>
        </w:rPr>
        <w:t>).</w:t>
      </w:r>
    </w:p>
    <w:p w:rsidR="007E7541" w:rsidRPr="007E7541" w:rsidRDefault="007E7541" w:rsidP="00E4312F">
      <w:pPr>
        <w:tabs>
          <w:tab w:val="left" w:pos="284"/>
        </w:tabs>
        <w:ind w:left="284"/>
        <w:jc w:val="both"/>
        <w:rPr>
          <w:sz w:val="20"/>
          <w:szCs w:val="20"/>
        </w:rPr>
      </w:pPr>
      <w:r w:rsidRPr="007E7541">
        <w:rPr>
          <w:w w:val="105"/>
          <w:position w:val="9"/>
          <w:sz w:val="20"/>
          <w:szCs w:val="20"/>
        </w:rPr>
        <w:t xml:space="preserve">m </w:t>
      </w:r>
      <w:r w:rsidRPr="007E7541">
        <w:rPr>
          <w:w w:val="105"/>
          <w:sz w:val="20"/>
          <w:szCs w:val="20"/>
        </w:rPr>
        <w:t xml:space="preserve">48 </w:t>
      </w:r>
      <w:r w:rsidR="00E4312F">
        <w:rPr>
          <w:w w:val="105"/>
          <w:sz w:val="20"/>
          <w:szCs w:val="20"/>
        </w:rPr>
        <w:t>nedjelja</w:t>
      </w:r>
      <w:r w:rsidRPr="007E7541">
        <w:rPr>
          <w:w w:val="105"/>
          <w:sz w:val="20"/>
          <w:szCs w:val="20"/>
        </w:rPr>
        <w:t xml:space="preserve"> dvostruko sl</w:t>
      </w:r>
      <w:r w:rsidR="00E4312F">
        <w:rPr>
          <w:w w:val="105"/>
          <w:sz w:val="20"/>
          <w:szCs w:val="20"/>
        </w:rPr>
        <w:t>ij</w:t>
      </w:r>
      <w:r w:rsidRPr="007E7541">
        <w:rPr>
          <w:w w:val="105"/>
          <w:sz w:val="20"/>
          <w:szCs w:val="20"/>
        </w:rPr>
        <w:t>epog ispitivanja sa tenofovir</w:t>
      </w:r>
      <w:r w:rsidR="00E4312F">
        <w:rPr>
          <w:w w:val="105"/>
          <w:sz w:val="20"/>
          <w:szCs w:val="20"/>
        </w:rPr>
        <w:t xml:space="preserve"> </w:t>
      </w:r>
      <w:r w:rsidRPr="007E7541">
        <w:rPr>
          <w:w w:val="105"/>
          <w:sz w:val="20"/>
          <w:szCs w:val="20"/>
        </w:rPr>
        <w:t>dizoproksilom nakon čega sl</w:t>
      </w:r>
      <w:r w:rsidR="00E4312F">
        <w:rPr>
          <w:w w:val="105"/>
          <w:sz w:val="20"/>
          <w:szCs w:val="20"/>
        </w:rPr>
        <w:t>ij</w:t>
      </w:r>
      <w:r w:rsidRPr="007E7541">
        <w:rPr>
          <w:w w:val="105"/>
          <w:sz w:val="20"/>
          <w:szCs w:val="20"/>
        </w:rPr>
        <w:t xml:space="preserve">edi 240 </w:t>
      </w:r>
      <w:r w:rsidR="00E4312F">
        <w:rPr>
          <w:w w:val="105"/>
          <w:sz w:val="20"/>
          <w:szCs w:val="20"/>
        </w:rPr>
        <w:t>nedjelja</w:t>
      </w:r>
      <w:r w:rsidRPr="007E7541">
        <w:rPr>
          <w:w w:val="105"/>
          <w:sz w:val="20"/>
          <w:szCs w:val="20"/>
        </w:rPr>
        <w:t xml:space="preserve"> otvorenog 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n</w:t>
      </w:r>
      <w:r w:rsidRPr="007E7541">
        <w:rPr>
          <w:spacing w:val="7"/>
          <w:w w:val="105"/>
          <w:position w:val="10"/>
          <w:sz w:val="20"/>
          <w:szCs w:val="20"/>
        </w:rPr>
        <w:t xml:space="preserve"> </w:t>
      </w:r>
      <w:r w:rsidRPr="007E7541">
        <w:rPr>
          <w:w w:val="105"/>
          <w:sz w:val="20"/>
          <w:szCs w:val="20"/>
        </w:rPr>
        <w:t>48</w:t>
      </w:r>
      <w:r w:rsidRPr="007E7541">
        <w:rPr>
          <w:spacing w:val="-15"/>
          <w:w w:val="105"/>
          <w:sz w:val="20"/>
          <w:szCs w:val="20"/>
        </w:rPr>
        <w:t xml:space="preserve"> </w:t>
      </w:r>
      <w:r w:rsidR="00E4312F">
        <w:rPr>
          <w:w w:val="105"/>
          <w:sz w:val="20"/>
          <w:szCs w:val="20"/>
        </w:rPr>
        <w:t>nedjelja</w:t>
      </w:r>
      <w:r w:rsidRPr="007E7541">
        <w:rPr>
          <w:spacing w:val="-14"/>
          <w:w w:val="105"/>
          <w:sz w:val="20"/>
          <w:szCs w:val="20"/>
        </w:rPr>
        <w:t xml:space="preserve"> </w:t>
      </w:r>
      <w:r w:rsidRPr="007E7541">
        <w:rPr>
          <w:w w:val="105"/>
          <w:sz w:val="20"/>
          <w:szCs w:val="20"/>
        </w:rPr>
        <w:t>dvostruko</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adefovir</w:t>
      </w:r>
      <w:r w:rsidR="00E4312F">
        <w:rPr>
          <w:w w:val="105"/>
          <w:sz w:val="20"/>
          <w:szCs w:val="20"/>
        </w:rPr>
        <w:t xml:space="preserve"> </w:t>
      </w:r>
      <w:r w:rsidRPr="007E7541">
        <w:rPr>
          <w:w w:val="105"/>
          <w:sz w:val="20"/>
          <w:szCs w:val="20"/>
        </w:rPr>
        <w:t>dipivoksila</w:t>
      </w:r>
      <w:r w:rsidRPr="007E7541">
        <w:rPr>
          <w:spacing w:val="-15"/>
          <w:w w:val="105"/>
          <w:sz w:val="20"/>
          <w:szCs w:val="20"/>
        </w:rPr>
        <w:t xml:space="preserve"> </w:t>
      </w:r>
      <w:r w:rsidRPr="007E7541">
        <w:rPr>
          <w:w w:val="105"/>
          <w:sz w:val="20"/>
          <w:szCs w:val="20"/>
        </w:rPr>
        <w:t>nakon</w:t>
      </w:r>
      <w:r w:rsidRPr="007E7541">
        <w:rPr>
          <w:spacing w:val="-9"/>
          <w:w w:val="105"/>
          <w:sz w:val="20"/>
          <w:szCs w:val="20"/>
        </w:rPr>
        <w:t xml:space="preserve"> </w:t>
      </w:r>
      <w:r w:rsidRPr="007E7541">
        <w:rPr>
          <w:w w:val="105"/>
          <w:sz w:val="20"/>
          <w:szCs w:val="20"/>
        </w:rPr>
        <w:t>čega</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edi</w:t>
      </w:r>
      <w:r w:rsidRPr="007E7541">
        <w:rPr>
          <w:spacing w:val="-13"/>
          <w:w w:val="105"/>
          <w:sz w:val="20"/>
          <w:szCs w:val="20"/>
        </w:rPr>
        <w:t xml:space="preserve"> </w:t>
      </w:r>
      <w:r w:rsidRPr="007E7541">
        <w:rPr>
          <w:w w:val="105"/>
          <w:sz w:val="20"/>
          <w:szCs w:val="20"/>
        </w:rPr>
        <w:t>240</w:t>
      </w:r>
      <w:r w:rsidRPr="007E7541">
        <w:rPr>
          <w:spacing w:val="-12"/>
          <w:w w:val="105"/>
          <w:sz w:val="20"/>
          <w:szCs w:val="20"/>
        </w:rPr>
        <w:t xml:space="preserve"> </w:t>
      </w:r>
      <w:r w:rsidR="00E4312F">
        <w:rPr>
          <w:w w:val="105"/>
          <w:sz w:val="20"/>
          <w:szCs w:val="20"/>
        </w:rPr>
        <w:t>nedjelja</w:t>
      </w:r>
      <w:r w:rsidRPr="007E7541">
        <w:rPr>
          <w:spacing w:val="-15"/>
          <w:w w:val="105"/>
          <w:sz w:val="20"/>
          <w:szCs w:val="20"/>
        </w:rPr>
        <w:t xml:space="preserve"> </w:t>
      </w:r>
      <w:r w:rsidRPr="007E7541">
        <w:rPr>
          <w:w w:val="105"/>
          <w:sz w:val="20"/>
          <w:szCs w:val="20"/>
        </w:rPr>
        <w:t>otvorenog</w:t>
      </w:r>
      <w:r w:rsidRPr="007E7541">
        <w:rPr>
          <w:spacing w:val="-13"/>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 tenofovir</w:t>
      </w:r>
      <w:r w:rsidR="00E4312F">
        <w:rPr>
          <w:w w:val="105"/>
          <w:sz w:val="20"/>
          <w:szCs w:val="20"/>
        </w:rPr>
        <w:t xml:space="preserve"> </w:t>
      </w:r>
      <w:r w:rsidRPr="007E7541">
        <w:rPr>
          <w:w w:val="105"/>
          <w:sz w:val="20"/>
          <w:szCs w:val="20"/>
        </w:rPr>
        <w:t>dizoproksilom</w:t>
      </w:r>
      <w:r w:rsidRPr="007E7541">
        <w:rPr>
          <w:spacing w:val="-3"/>
          <w:w w:val="105"/>
          <w:sz w:val="20"/>
          <w:szCs w:val="20"/>
        </w:rPr>
        <w:t>.</w:t>
      </w:r>
    </w:p>
    <w:p w:rsidR="007E7541" w:rsidRPr="007E7541" w:rsidRDefault="007E7541" w:rsidP="00E4312F">
      <w:pPr>
        <w:tabs>
          <w:tab w:val="left" w:pos="284"/>
        </w:tabs>
        <w:ind w:left="284"/>
        <w:jc w:val="both"/>
        <w:rPr>
          <w:w w:val="105"/>
          <w:sz w:val="20"/>
          <w:szCs w:val="20"/>
        </w:rPr>
      </w:pPr>
      <w:r w:rsidRPr="007E7541">
        <w:rPr>
          <w:w w:val="105"/>
          <w:position w:val="9"/>
          <w:sz w:val="20"/>
          <w:szCs w:val="20"/>
        </w:rPr>
        <w:t xml:space="preserve">o </w:t>
      </w:r>
      <w:r w:rsidRPr="007E7541">
        <w:rPr>
          <w:w w:val="105"/>
          <w:sz w:val="20"/>
          <w:szCs w:val="20"/>
        </w:rPr>
        <w:t xml:space="preserve">48 </w:t>
      </w:r>
      <w:r w:rsidR="00E4312F">
        <w:rPr>
          <w:w w:val="105"/>
          <w:sz w:val="20"/>
          <w:szCs w:val="20"/>
        </w:rPr>
        <w:t>nedjelja</w:t>
      </w:r>
      <w:r w:rsidRPr="007E7541">
        <w:rPr>
          <w:w w:val="105"/>
          <w:sz w:val="20"/>
          <w:szCs w:val="20"/>
        </w:rPr>
        <w:t xml:space="preserve"> dvostruko sl</w:t>
      </w:r>
      <w:r w:rsidR="00E4312F">
        <w:rPr>
          <w:w w:val="105"/>
          <w:sz w:val="20"/>
          <w:szCs w:val="20"/>
        </w:rPr>
        <w:t>ij</w:t>
      </w:r>
      <w:r w:rsidRPr="007E7541">
        <w:rPr>
          <w:w w:val="105"/>
          <w:sz w:val="20"/>
          <w:szCs w:val="20"/>
        </w:rPr>
        <w:t>epog ispitivanja sa tenofovir</w:t>
      </w:r>
      <w:r w:rsidR="00E4312F">
        <w:rPr>
          <w:w w:val="105"/>
          <w:sz w:val="20"/>
          <w:szCs w:val="20"/>
        </w:rPr>
        <w:t xml:space="preserve"> </w:t>
      </w:r>
      <w:r w:rsidRPr="007E7541">
        <w:rPr>
          <w:w w:val="105"/>
          <w:sz w:val="20"/>
          <w:szCs w:val="20"/>
        </w:rPr>
        <w:t>dizoproksilom nakon čega sl</w:t>
      </w:r>
      <w:r w:rsidR="00E4312F">
        <w:rPr>
          <w:w w:val="105"/>
          <w:sz w:val="20"/>
          <w:szCs w:val="20"/>
        </w:rPr>
        <w:t>ij</w:t>
      </w:r>
      <w:r w:rsidRPr="007E7541">
        <w:rPr>
          <w:w w:val="105"/>
          <w:sz w:val="20"/>
          <w:szCs w:val="20"/>
        </w:rPr>
        <w:t xml:space="preserve">edi 336 </w:t>
      </w:r>
      <w:r w:rsidR="00E4312F">
        <w:rPr>
          <w:w w:val="105"/>
          <w:sz w:val="20"/>
          <w:szCs w:val="20"/>
        </w:rPr>
        <w:t>nedjelja</w:t>
      </w:r>
      <w:r w:rsidRPr="007E7541">
        <w:rPr>
          <w:w w:val="105"/>
          <w:sz w:val="20"/>
          <w:szCs w:val="20"/>
        </w:rPr>
        <w:t xml:space="preserve"> otvorenog ispitivanja.</w:t>
      </w:r>
    </w:p>
    <w:p w:rsidR="007E7541" w:rsidRPr="007E7541" w:rsidRDefault="007E7541" w:rsidP="00E4312F">
      <w:pPr>
        <w:tabs>
          <w:tab w:val="left" w:pos="284"/>
        </w:tabs>
        <w:ind w:left="284"/>
        <w:jc w:val="both"/>
        <w:rPr>
          <w:sz w:val="20"/>
          <w:szCs w:val="20"/>
        </w:rPr>
      </w:pPr>
      <w:r w:rsidRPr="007E7541">
        <w:rPr>
          <w:w w:val="105"/>
          <w:position w:val="10"/>
          <w:sz w:val="20"/>
          <w:szCs w:val="20"/>
        </w:rPr>
        <w:t>p</w:t>
      </w:r>
      <w:r w:rsidRPr="007E7541">
        <w:rPr>
          <w:spacing w:val="7"/>
          <w:w w:val="105"/>
          <w:position w:val="10"/>
          <w:sz w:val="20"/>
          <w:szCs w:val="20"/>
        </w:rPr>
        <w:t xml:space="preserve"> </w:t>
      </w:r>
      <w:r w:rsidRPr="007E7541">
        <w:rPr>
          <w:w w:val="105"/>
          <w:sz w:val="20"/>
          <w:szCs w:val="20"/>
        </w:rPr>
        <w:t>48</w:t>
      </w:r>
      <w:r w:rsidRPr="007E7541">
        <w:rPr>
          <w:spacing w:val="-15"/>
          <w:w w:val="105"/>
          <w:sz w:val="20"/>
          <w:szCs w:val="20"/>
        </w:rPr>
        <w:t xml:space="preserve"> </w:t>
      </w:r>
      <w:r w:rsidR="00E4312F">
        <w:rPr>
          <w:w w:val="105"/>
          <w:sz w:val="20"/>
          <w:szCs w:val="20"/>
        </w:rPr>
        <w:t>nedjelja</w:t>
      </w:r>
      <w:r w:rsidRPr="007E7541">
        <w:rPr>
          <w:spacing w:val="-14"/>
          <w:w w:val="105"/>
          <w:sz w:val="20"/>
          <w:szCs w:val="20"/>
        </w:rPr>
        <w:t xml:space="preserve"> </w:t>
      </w:r>
      <w:r w:rsidRPr="007E7541">
        <w:rPr>
          <w:w w:val="105"/>
          <w:sz w:val="20"/>
          <w:szCs w:val="20"/>
        </w:rPr>
        <w:t>dvostruko</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epog</w:t>
      </w:r>
      <w:r w:rsidRPr="007E7541">
        <w:rPr>
          <w:spacing w:val="-14"/>
          <w:w w:val="105"/>
          <w:sz w:val="20"/>
          <w:szCs w:val="20"/>
        </w:rPr>
        <w:t xml:space="preserve"> </w:t>
      </w:r>
      <w:r w:rsidRPr="007E7541">
        <w:rPr>
          <w:w w:val="105"/>
          <w:sz w:val="20"/>
          <w:szCs w:val="20"/>
        </w:rPr>
        <w:t>ispitivanja</w:t>
      </w:r>
      <w:r w:rsidRPr="007E7541">
        <w:rPr>
          <w:spacing w:val="-14"/>
          <w:w w:val="105"/>
          <w:sz w:val="20"/>
          <w:szCs w:val="20"/>
        </w:rPr>
        <w:t xml:space="preserve"> </w:t>
      </w:r>
      <w:r w:rsidRPr="007E7541">
        <w:rPr>
          <w:w w:val="105"/>
          <w:sz w:val="20"/>
          <w:szCs w:val="20"/>
        </w:rPr>
        <w:t>adefovir</w:t>
      </w:r>
      <w:r w:rsidR="00E4312F">
        <w:rPr>
          <w:w w:val="105"/>
          <w:sz w:val="20"/>
          <w:szCs w:val="20"/>
        </w:rPr>
        <w:t xml:space="preserve"> </w:t>
      </w:r>
      <w:r w:rsidRPr="007E7541">
        <w:rPr>
          <w:w w:val="105"/>
          <w:sz w:val="20"/>
          <w:szCs w:val="20"/>
        </w:rPr>
        <w:t>dipivoksila</w:t>
      </w:r>
      <w:r w:rsidRPr="007E7541">
        <w:rPr>
          <w:spacing w:val="-15"/>
          <w:w w:val="105"/>
          <w:sz w:val="20"/>
          <w:szCs w:val="20"/>
        </w:rPr>
        <w:t xml:space="preserve"> </w:t>
      </w:r>
      <w:r w:rsidRPr="007E7541">
        <w:rPr>
          <w:w w:val="105"/>
          <w:sz w:val="20"/>
          <w:szCs w:val="20"/>
        </w:rPr>
        <w:t>nakon</w:t>
      </w:r>
      <w:r w:rsidRPr="007E7541">
        <w:rPr>
          <w:spacing w:val="-9"/>
          <w:w w:val="105"/>
          <w:sz w:val="20"/>
          <w:szCs w:val="20"/>
        </w:rPr>
        <w:t xml:space="preserve"> </w:t>
      </w:r>
      <w:r w:rsidRPr="007E7541">
        <w:rPr>
          <w:w w:val="105"/>
          <w:sz w:val="20"/>
          <w:szCs w:val="20"/>
        </w:rPr>
        <w:t>čega</w:t>
      </w:r>
      <w:r w:rsidRPr="007E7541">
        <w:rPr>
          <w:spacing w:val="-15"/>
          <w:w w:val="105"/>
          <w:sz w:val="20"/>
          <w:szCs w:val="20"/>
        </w:rPr>
        <w:t xml:space="preserve"> </w:t>
      </w:r>
      <w:r w:rsidRPr="007E7541">
        <w:rPr>
          <w:w w:val="105"/>
          <w:sz w:val="20"/>
          <w:szCs w:val="20"/>
        </w:rPr>
        <w:t>sl</w:t>
      </w:r>
      <w:r w:rsidR="00E4312F">
        <w:rPr>
          <w:w w:val="105"/>
          <w:sz w:val="20"/>
          <w:szCs w:val="20"/>
        </w:rPr>
        <w:t>ij</w:t>
      </w:r>
      <w:r w:rsidRPr="007E7541">
        <w:rPr>
          <w:w w:val="105"/>
          <w:sz w:val="20"/>
          <w:szCs w:val="20"/>
        </w:rPr>
        <w:t>edi</w:t>
      </w:r>
      <w:r w:rsidRPr="007E7541">
        <w:rPr>
          <w:spacing w:val="-13"/>
          <w:w w:val="105"/>
          <w:sz w:val="20"/>
          <w:szCs w:val="20"/>
        </w:rPr>
        <w:t xml:space="preserve"> </w:t>
      </w:r>
      <w:r w:rsidRPr="007E7541">
        <w:rPr>
          <w:w w:val="105"/>
          <w:sz w:val="20"/>
          <w:szCs w:val="20"/>
        </w:rPr>
        <w:t>336</w:t>
      </w:r>
      <w:r w:rsidRPr="007E7541">
        <w:rPr>
          <w:spacing w:val="-12"/>
          <w:w w:val="105"/>
          <w:sz w:val="20"/>
          <w:szCs w:val="20"/>
        </w:rPr>
        <w:t xml:space="preserve"> </w:t>
      </w:r>
      <w:r w:rsidR="00E4312F">
        <w:rPr>
          <w:w w:val="105"/>
          <w:sz w:val="20"/>
          <w:szCs w:val="20"/>
        </w:rPr>
        <w:t>nedjelja</w:t>
      </w:r>
      <w:r w:rsidRPr="007E7541">
        <w:rPr>
          <w:spacing w:val="-15"/>
          <w:w w:val="105"/>
          <w:sz w:val="20"/>
          <w:szCs w:val="20"/>
        </w:rPr>
        <w:t xml:space="preserve"> </w:t>
      </w:r>
      <w:r w:rsidRPr="007E7541">
        <w:rPr>
          <w:w w:val="105"/>
          <w:sz w:val="20"/>
          <w:szCs w:val="20"/>
        </w:rPr>
        <w:t>otvorenog</w:t>
      </w:r>
      <w:r w:rsidRPr="007E7541">
        <w:rPr>
          <w:spacing w:val="-13"/>
          <w:w w:val="105"/>
          <w:sz w:val="20"/>
          <w:szCs w:val="20"/>
        </w:rPr>
        <w:t xml:space="preserve"> </w:t>
      </w:r>
      <w:r w:rsidRPr="007E7541">
        <w:rPr>
          <w:w w:val="105"/>
          <w:sz w:val="20"/>
          <w:szCs w:val="20"/>
        </w:rPr>
        <w:t>ispitivanja</w:t>
      </w:r>
      <w:r w:rsidRPr="007E7541">
        <w:rPr>
          <w:spacing w:val="-13"/>
          <w:w w:val="105"/>
          <w:sz w:val="20"/>
          <w:szCs w:val="20"/>
        </w:rPr>
        <w:t xml:space="preserve"> </w:t>
      </w:r>
      <w:r w:rsidRPr="007E7541">
        <w:rPr>
          <w:w w:val="105"/>
          <w:sz w:val="20"/>
          <w:szCs w:val="20"/>
        </w:rPr>
        <w:t>sa tenofovir</w:t>
      </w:r>
      <w:r w:rsidR="00E4312F">
        <w:rPr>
          <w:w w:val="105"/>
          <w:sz w:val="20"/>
          <w:szCs w:val="20"/>
        </w:rPr>
        <w:t xml:space="preserve"> </w:t>
      </w:r>
      <w:r w:rsidRPr="007E7541">
        <w:rPr>
          <w:w w:val="105"/>
          <w:sz w:val="20"/>
          <w:szCs w:val="20"/>
        </w:rPr>
        <w:t>dizoproksilom.</w:t>
      </w:r>
    </w:p>
    <w:p w:rsidR="007E7541" w:rsidRDefault="007E7541" w:rsidP="0074527F">
      <w:pPr>
        <w:tabs>
          <w:tab w:val="left" w:pos="540"/>
          <w:tab w:val="left" w:pos="569"/>
        </w:tabs>
        <w:jc w:val="both"/>
        <w:rPr>
          <w:b/>
          <w:bCs/>
          <w:sz w:val="22"/>
          <w:szCs w:val="22"/>
        </w:rPr>
      </w:pPr>
    </w:p>
    <w:p w:rsidR="00E4312F" w:rsidRPr="00E4312F" w:rsidRDefault="00E4312F" w:rsidP="00E4312F">
      <w:pPr>
        <w:tabs>
          <w:tab w:val="left" w:pos="540"/>
          <w:tab w:val="left" w:pos="569"/>
        </w:tabs>
        <w:jc w:val="both"/>
        <w:rPr>
          <w:bCs/>
          <w:sz w:val="22"/>
          <w:szCs w:val="22"/>
        </w:rPr>
      </w:pPr>
      <w:r w:rsidRPr="00E4312F">
        <w:rPr>
          <w:bCs/>
          <w:sz w:val="22"/>
          <w:szCs w:val="22"/>
        </w:rPr>
        <w:t>Upareni podaci biopsije jetre na početku i u 240. ned</w:t>
      </w:r>
      <w:r>
        <w:rPr>
          <w:bCs/>
          <w:sz w:val="22"/>
          <w:szCs w:val="22"/>
        </w:rPr>
        <w:t>j</w:t>
      </w:r>
      <w:r w:rsidRPr="00E4312F">
        <w:rPr>
          <w:bCs/>
          <w:sz w:val="22"/>
          <w:szCs w:val="22"/>
        </w:rPr>
        <w:t xml:space="preserve">elji bili su dostupni za 331 od 489 pacijenata koji su ostali u ispitivanjima GS-US-174-0102 i GS-US-174-0103 </w:t>
      </w:r>
      <w:r>
        <w:rPr>
          <w:bCs/>
          <w:sz w:val="22"/>
          <w:szCs w:val="22"/>
        </w:rPr>
        <w:t xml:space="preserve">u </w:t>
      </w:r>
      <w:r w:rsidRPr="00E4312F">
        <w:rPr>
          <w:bCs/>
          <w:sz w:val="22"/>
          <w:szCs w:val="22"/>
        </w:rPr>
        <w:t>240. ned</w:t>
      </w:r>
      <w:r>
        <w:rPr>
          <w:bCs/>
          <w:sz w:val="22"/>
          <w:szCs w:val="22"/>
        </w:rPr>
        <w:t>j</w:t>
      </w:r>
      <w:r w:rsidRPr="00E4312F">
        <w:rPr>
          <w:bCs/>
          <w:sz w:val="22"/>
          <w:szCs w:val="22"/>
        </w:rPr>
        <w:t>elji (vid</w:t>
      </w:r>
      <w:r>
        <w:rPr>
          <w:bCs/>
          <w:sz w:val="22"/>
          <w:szCs w:val="22"/>
        </w:rPr>
        <w:t>j</w:t>
      </w:r>
      <w:r w:rsidRPr="00E4312F">
        <w:rPr>
          <w:bCs/>
          <w:sz w:val="22"/>
          <w:szCs w:val="22"/>
        </w:rPr>
        <w:t>eti Tabelu 6). Devedeset pet procenata (225/237) pacijenata bez ciroze na početku i 99% (93/94) pacijenata sa cirozom na početku ili nije imalo prom</w:t>
      </w:r>
      <w:r>
        <w:rPr>
          <w:bCs/>
          <w:sz w:val="22"/>
          <w:szCs w:val="22"/>
        </w:rPr>
        <w:t>j</w:t>
      </w:r>
      <w:r w:rsidRPr="00E4312F">
        <w:rPr>
          <w:bCs/>
          <w:sz w:val="22"/>
          <w:szCs w:val="22"/>
        </w:rPr>
        <w:t>ene ili je registrovano poboljšanje fibroze (</w:t>
      </w:r>
      <w:r w:rsidRPr="00E4312F">
        <w:rPr>
          <w:bCs/>
          <w:i/>
          <w:sz w:val="22"/>
          <w:szCs w:val="22"/>
        </w:rPr>
        <w:t>Ishak</w:t>
      </w:r>
      <w:r w:rsidR="00B40EA9">
        <w:rPr>
          <w:bCs/>
          <w:i/>
          <w:sz w:val="22"/>
          <w:szCs w:val="22"/>
        </w:rPr>
        <w:t>-ova</w:t>
      </w:r>
      <w:r w:rsidRPr="00E4312F">
        <w:rPr>
          <w:bCs/>
          <w:sz w:val="22"/>
          <w:szCs w:val="22"/>
        </w:rPr>
        <w:t xml:space="preserve"> </w:t>
      </w:r>
      <w:r w:rsidR="00B40EA9">
        <w:rPr>
          <w:bCs/>
          <w:sz w:val="22"/>
          <w:szCs w:val="22"/>
        </w:rPr>
        <w:t>skala</w:t>
      </w:r>
      <w:r w:rsidR="00B40EA9" w:rsidRPr="00E4312F">
        <w:rPr>
          <w:bCs/>
          <w:sz w:val="22"/>
          <w:szCs w:val="22"/>
        </w:rPr>
        <w:t xml:space="preserve"> </w:t>
      </w:r>
      <w:r w:rsidRPr="00E4312F">
        <w:rPr>
          <w:bCs/>
          <w:sz w:val="22"/>
          <w:szCs w:val="22"/>
        </w:rPr>
        <w:t>fibroze). Od 94 pacijenta sa cirozom na početku (5-6</w:t>
      </w:r>
      <w:r w:rsidR="00B40EA9">
        <w:rPr>
          <w:bCs/>
          <w:sz w:val="22"/>
          <w:szCs w:val="22"/>
        </w:rPr>
        <w:t xml:space="preserve"> poena na </w:t>
      </w:r>
      <w:r w:rsidR="00B40EA9" w:rsidRPr="00E4312F">
        <w:rPr>
          <w:bCs/>
          <w:i/>
          <w:sz w:val="22"/>
          <w:szCs w:val="22"/>
        </w:rPr>
        <w:t>Ishak</w:t>
      </w:r>
      <w:r w:rsidR="00B40EA9">
        <w:rPr>
          <w:bCs/>
          <w:i/>
          <w:sz w:val="22"/>
          <w:szCs w:val="22"/>
        </w:rPr>
        <w:t>-ovoj skali</w:t>
      </w:r>
      <w:r w:rsidR="00B40EA9" w:rsidRPr="00E4312F">
        <w:rPr>
          <w:bCs/>
          <w:sz w:val="22"/>
          <w:szCs w:val="22"/>
        </w:rPr>
        <w:t xml:space="preserve"> fibroze</w:t>
      </w:r>
      <w:r w:rsidRPr="00E4312F">
        <w:rPr>
          <w:bCs/>
          <w:sz w:val="22"/>
          <w:szCs w:val="22"/>
        </w:rPr>
        <w:t>), kod 26% (24 pacijenta) nije registrovana prom</w:t>
      </w:r>
      <w:r>
        <w:rPr>
          <w:bCs/>
          <w:sz w:val="22"/>
          <w:szCs w:val="22"/>
        </w:rPr>
        <w:t>j</w:t>
      </w:r>
      <w:r w:rsidRPr="00E4312F">
        <w:rPr>
          <w:bCs/>
          <w:sz w:val="22"/>
          <w:szCs w:val="22"/>
        </w:rPr>
        <w:t xml:space="preserve">ena </w:t>
      </w:r>
      <w:r w:rsidR="00B40EA9">
        <w:rPr>
          <w:bCs/>
          <w:sz w:val="22"/>
          <w:szCs w:val="22"/>
        </w:rPr>
        <w:t xml:space="preserve">u rezultatu na </w:t>
      </w:r>
      <w:r w:rsidRPr="00E4312F">
        <w:rPr>
          <w:bCs/>
          <w:i/>
          <w:sz w:val="22"/>
          <w:szCs w:val="22"/>
        </w:rPr>
        <w:t>Ishak</w:t>
      </w:r>
      <w:r w:rsidR="00B40EA9">
        <w:rPr>
          <w:bCs/>
          <w:sz w:val="22"/>
          <w:szCs w:val="22"/>
        </w:rPr>
        <w:t xml:space="preserve">-ovoj sklali </w:t>
      </w:r>
      <w:r w:rsidRPr="00E4312F">
        <w:rPr>
          <w:bCs/>
          <w:sz w:val="22"/>
          <w:szCs w:val="22"/>
        </w:rPr>
        <w:t>fibroze, a kod 72% (68 pacijenata) je registrovana regresija ciroze do 240. ned</w:t>
      </w:r>
      <w:r>
        <w:rPr>
          <w:bCs/>
          <w:sz w:val="22"/>
          <w:szCs w:val="22"/>
        </w:rPr>
        <w:t>j</w:t>
      </w:r>
      <w:r w:rsidRPr="00E4312F">
        <w:rPr>
          <w:bCs/>
          <w:sz w:val="22"/>
          <w:szCs w:val="22"/>
        </w:rPr>
        <w:t>elje uz smanjenje</w:t>
      </w:r>
      <w:r w:rsidR="00B40EA9">
        <w:rPr>
          <w:bCs/>
          <w:sz w:val="22"/>
          <w:szCs w:val="22"/>
        </w:rPr>
        <w:t xml:space="preserve"> rezultata na</w:t>
      </w:r>
      <w:r w:rsidRPr="00E4312F">
        <w:rPr>
          <w:bCs/>
          <w:sz w:val="22"/>
          <w:szCs w:val="22"/>
        </w:rPr>
        <w:t xml:space="preserve"> </w:t>
      </w:r>
      <w:r w:rsidRPr="00E4312F">
        <w:rPr>
          <w:bCs/>
          <w:i/>
          <w:sz w:val="22"/>
          <w:szCs w:val="22"/>
        </w:rPr>
        <w:t>Ishak</w:t>
      </w:r>
      <w:r w:rsidR="00B40EA9">
        <w:rPr>
          <w:bCs/>
          <w:sz w:val="22"/>
          <w:szCs w:val="22"/>
        </w:rPr>
        <w:t>-ovoj skali</w:t>
      </w:r>
      <w:r w:rsidRPr="00E4312F">
        <w:rPr>
          <w:bCs/>
          <w:sz w:val="22"/>
          <w:szCs w:val="22"/>
        </w:rPr>
        <w:t xml:space="preserve"> fibroze od najmanje 2 poena.</w:t>
      </w:r>
    </w:p>
    <w:p w:rsidR="007E7541" w:rsidRDefault="007E7541" w:rsidP="0074527F">
      <w:pPr>
        <w:tabs>
          <w:tab w:val="left" w:pos="540"/>
          <w:tab w:val="left" w:pos="569"/>
        </w:tabs>
        <w:jc w:val="both"/>
        <w:rPr>
          <w:b/>
          <w:bCs/>
          <w:sz w:val="22"/>
          <w:szCs w:val="22"/>
        </w:rPr>
      </w:pPr>
    </w:p>
    <w:p w:rsidR="00E4312F" w:rsidRPr="00E4312F" w:rsidRDefault="00E4312F" w:rsidP="00E4312F">
      <w:pPr>
        <w:tabs>
          <w:tab w:val="left" w:pos="540"/>
          <w:tab w:val="left" w:pos="569"/>
        </w:tabs>
        <w:jc w:val="both"/>
        <w:rPr>
          <w:b/>
          <w:bCs/>
          <w:sz w:val="22"/>
          <w:szCs w:val="22"/>
        </w:rPr>
      </w:pPr>
      <w:r w:rsidRPr="00E4312F">
        <w:rPr>
          <w:b/>
          <w:bCs/>
          <w:sz w:val="22"/>
          <w:szCs w:val="22"/>
        </w:rPr>
        <w:t xml:space="preserve">Tabela 6: </w:t>
      </w:r>
      <w:r w:rsidR="00B40EA9">
        <w:rPr>
          <w:b/>
          <w:bCs/>
          <w:sz w:val="22"/>
          <w:szCs w:val="22"/>
        </w:rPr>
        <w:t>H</w:t>
      </w:r>
      <w:r w:rsidRPr="00E4312F">
        <w:rPr>
          <w:b/>
          <w:bCs/>
          <w:sz w:val="22"/>
          <w:szCs w:val="22"/>
        </w:rPr>
        <w:t>istološki odgovor (%) među kompenzovanim HBeAg pozitivnim i HBeAg negativnim ispitanicima u 240. nedjelji u odnosu na početak studije</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1852"/>
        <w:gridCol w:w="1800"/>
        <w:gridCol w:w="1802"/>
        <w:gridCol w:w="1801"/>
        <w:gridCol w:w="1802"/>
      </w:tblGrid>
      <w:tr w:rsidR="00E4312F" w:rsidRPr="00724C4D" w:rsidTr="00E4312F">
        <w:tc>
          <w:tcPr>
            <w:tcW w:w="1022" w:type="pct"/>
            <w:vMerge w:val="restar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4F3D93">
            <w:pPr>
              <w:widowControl w:val="0"/>
              <w:autoSpaceDE w:val="0"/>
              <w:autoSpaceDN w:val="0"/>
              <w:spacing w:line="247" w:lineRule="auto"/>
              <w:ind w:right="506"/>
              <w:rPr>
                <w:sz w:val="22"/>
                <w:szCs w:val="20"/>
                <w:lang w:val="en-GB"/>
              </w:rPr>
            </w:pPr>
          </w:p>
        </w:tc>
        <w:tc>
          <w:tcPr>
            <w:tcW w:w="198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b/>
                <w:bCs/>
                <w:sz w:val="22"/>
                <w:szCs w:val="20"/>
                <w:lang w:val="en-GB"/>
              </w:rPr>
              <w:t>Studija 174-0102</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b/>
                <w:bCs/>
                <w:sz w:val="22"/>
                <w:szCs w:val="20"/>
                <w:lang w:val="en-GB"/>
              </w:rPr>
              <w:t>(HBeAg negativni)</w:t>
            </w:r>
          </w:p>
        </w:tc>
        <w:tc>
          <w:tcPr>
            <w:tcW w:w="1989" w:type="pct"/>
            <w:gridSpan w:val="2"/>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b/>
                <w:bCs/>
                <w:sz w:val="22"/>
                <w:szCs w:val="20"/>
                <w:lang w:val="en-GB"/>
              </w:rPr>
              <w:t>Studija 174-0103</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b/>
                <w:bCs/>
                <w:sz w:val="22"/>
                <w:szCs w:val="20"/>
                <w:lang w:val="en-GB"/>
              </w:rPr>
              <w:t>(HBeAg pozitivni)</w:t>
            </w:r>
          </w:p>
        </w:tc>
      </w:tr>
      <w:tr w:rsidR="00E4312F" w:rsidRPr="00724C4D" w:rsidTr="00E4312F">
        <w:tc>
          <w:tcPr>
            <w:tcW w:w="1022" w:type="pct"/>
            <w:vMerge/>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4F3D93">
            <w:pPr>
              <w:widowControl w:val="0"/>
              <w:autoSpaceDE w:val="0"/>
              <w:autoSpaceDN w:val="0"/>
              <w:spacing w:line="247" w:lineRule="auto"/>
              <w:ind w:right="506"/>
              <w:rPr>
                <w:sz w:val="22"/>
                <w:szCs w:val="20"/>
                <w:lang w:val="en-GB"/>
              </w:rPr>
            </w:pPr>
          </w:p>
        </w:tc>
        <w:tc>
          <w:tcPr>
            <w:tcW w:w="994"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 xml:space="preserve">Tenofovir </w:t>
            </w:r>
            <w:r>
              <w:rPr>
                <w:sz w:val="22"/>
                <w:szCs w:val="20"/>
                <w:lang w:val="en-GB"/>
              </w:rPr>
              <w:t>dizoproksil</w:t>
            </w:r>
            <w:r w:rsidRPr="00724C4D">
              <w:rPr>
                <w:sz w:val="22"/>
                <w:szCs w:val="20"/>
                <w:lang w:val="en-GB"/>
              </w:rPr>
              <w:t xml:space="preserve"> 245 mg</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n = 250</w:t>
            </w:r>
            <w:r w:rsidRPr="00724C4D">
              <w:rPr>
                <w:sz w:val="22"/>
                <w:szCs w:val="20"/>
                <w:vertAlign w:val="superscript"/>
                <w:lang w:val="en-GB"/>
              </w:rPr>
              <w:t>c</w:t>
            </w:r>
          </w:p>
        </w:tc>
        <w:tc>
          <w:tcPr>
            <w:tcW w:w="994"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Pr>
                <w:sz w:val="22"/>
                <w:szCs w:val="20"/>
                <w:lang w:val="en-GB"/>
              </w:rPr>
              <w:t>Adefovir dipivoks</w:t>
            </w:r>
            <w:r w:rsidRPr="00724C4D">
              <w:rPr>
                <w:sz w:val="22"/>
                <w:szCs w:val="20"/>
                <w:lang w:val="en-GB"/>
              </w:rPr>
              <w:t xml:space="preserve">il 10 mg prelazak na </w:t>
            </w:r>
            <w:r>
              <w:rPr>
                <w:sz w:val="22"/>
                <w:szCs w:val="20"/>
                <w:lang w:val="en-GB"/>
              </w:rPr>
              <w:t>tenofovir dizoproks</w:t>
            </w:r>
            <w:r w:rsidRPr="00724C4D">
              <w:rPr>
                <w:sz w:val="22"/>
                <w:szCs w:val="20"/>
                <w:lang w:val="en-GB"/>
              </w:rPr>
              <w:t>il 245 mg</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n = 125</w:t>
            </w:r>
            <w:r w:rsidRPr="00724C4D">
              <w:rPr>
                <w:sz w:val="22"/>
                <w:szCs w:val="20"/>
                <w:vertAlign w:val="superscript"/>
                <w:lang w:val="en-GB"/>
              </w:rPr>
              <w:t>d</w:t>
            </w:r>
          </w:p>
        </w:tc>
        <w:tc>
          <w:tcPr>
            <w:tcW w:w="994"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Pr>
                <w:sz w:val="22"/>
                <w:szCs w:val="20"/>
                <w:lang w:val="en-GB"/>
              </w:rPr>
              <w:t>Tenofovir dizoproks</w:t>
            </w:r>
            <w:r w:rsidRPr="00724C4D">
              <w:rPr>
                <w:sz w:val="22"/>
                <w:szCs w:val="20"/>
                <w:lang w:val="en-GB"/>
              </w:rPr>
              <w:t>il 245 mg</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n = 176</w:t>
            </w:r>
            <w:r w:rsidRPr="00724C4D">
              <w:rPr>
                <w:sz w:val="22"/>
                <w:szCs w:val="20"/>
                <w:vertAlign w:val="superscript"/>
                <w:lang w:val="en-GB"/>
              </w:rPr>
              <w:t>c</w:t>
            </w:r>
          </w:p>
        </w:tc>
        <w:tc>
          <w:tcPr>
            <w:tcW w:w="995"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Adefo</w:t>
            </w:r>
            <w:r>
              <w:rPr>
                <w:sz w:val="22"/>
                <w:szCs w:val="20"/>
                <w:lang w:val="en-GB"/>
              </w:rPr>
              <w:t>vir dipivoks</w:t>
            </w:r>
            <w:r w:rsidRPr="00724C4D">
              <w:rPr>
                <w:sz w:val="22"/>
                <w:szCs w:val="20"/>
                <w:lang w:val="en-GB"/>
              </w:rPr>
              <w:t>il 10 mg</w:t>
            </w:r>
            <w:r>
              <w:rPr>
                <w:sz w:val="22"/>
                <w:szCs w:val="20"/>
                <w:lang w:val="en-GB"/>
              </w:rPr>
              <w:t xml:space="preserve"> roll over to tenofovir dizoproks</w:t>
            </w:r>
            <w:r w:rsidRPr="00724C4D">
              <w:rPr>
                <w:sz w:val="22"/>
                <w:szCs w:val="20"/>
                <w:lang w:val="en-GB"/>
              </w:rPr>
              <w:t>il 245 mg</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n = 90</w:t>
            </w:r>
            <w:r w:rsidRPr="00724C4D">
              <w:rPr>
                <w:sz w:val="22"/>
                <w:szCs w:val="20"/>
                <w:vertAlign w:val="superscript"/>
                <w:lang w:val="en-GB"/>
              </w:rPr>
              <w:t>d</w:t>
            </w:r>
          </w:p>
        </w:tc>
      </w:tr>
      <w:tr w:rsidR="00E4312F" w:rsidRPr="00724C4D" w:rsidTr="00E4312F">
        <w:tc>
          <w:tcPr>
            <w:tcW w:w="1022"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4F3D93">
            <w:pPr>
              <w:widowControl w:val="0"/>
              <w:autoSpaceDE w:val="0"/>
              <w:autoSpaceDN w:val="0"/>
              <w:spacing w:line="247" w:lineRule="auto"/>
              <w:ind w:right="506"/>
              <w:rPr>
                <w:sz w:val="22"/>
                <w:szCs w:val="20"/>
                <w:lang w:val="en-GB"/>
              </w:rPr>
            </w:pPr>
            <w:r w:rsidRPr="00724C4D">
              <w:rPr>
                <w:sz w:val="22"/>
                <w:szCs w:val="20"/>
                <w:lang w:val="en-GB"/>
              </w:rPr>
              <w:t>Histološki odgovor</w:t>
            </w:r>
            <w:r w:rsidRPr="00724C4D">
              <w:rPr>
                <w:sz w:val="22"/>
                <w:szCs w:val="20"/>
                <w:vertAlign w:val="superscript"/>
                <w:lang w:val="en-GB"/>
              </w:rPr>
              <w:t>a,b</w:t>
            </w:r>
            <w:r w:rsidRPr="00724C4D">
              <w:rPr>
                <w:sz w:val="22"/>
                <w:szCs w:val="20"/>
                <w:lang w:val="en-GB"/>
              </w:rPr>
              <w:t> (%)</w:t>
            </w:r>
          </w:p>
        </w:tc>
        <w:tc>
          <w:tcPr>
            <w:tcW w:w="994"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88</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[130/148]</w:t>
            </w:r>
          </w:p>
        </w:tc>
        <w:tc>
          <w:tcPr>
            <w:tcW w:w="994"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85</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[63/74]</w:t>
            </w:r>
          </w:p>
        </w:tc>
        <w:tc>
          <w:tcPr>
            <w:tcW w:w="994"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90</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[63/70]</w:t>
            </w:r>
          </w:p>
        </w:tc>
        <w:tc>
          <w:tcPr>
            <w:tcW w:w="995" w:type="pct"/>
            <w:tcBorders>
              <w:top w:val="outset" w:sz="6" w:space="0" w:color="7B7B7B"/>
              <w:left w:val="outset" w:sz="6" w:space="0" w:color="7B7B7B"/>
              <w:bottom w:val="outset" w:sz="6" w:space="0" w:color="7B7B7B"/>
              <w:right w:val="outset" w:sz="6" w:space="0" w:color="7B7B7B"/>
            </w:tcBorders>
            <w:shd w:val="clear" w:color="auto" w:fill="FFFFFF"/>
            <w:hideMark/>
          </w:tcPr>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92</w:t>
            </w:r>
          </w:p>
          <w:p w:rsidR="00E4312F" w:rsidRPr="00724C4D" w:rsidRDefault="00E4312F" w:rsidP="00E4312F">
            <w:pPr>
              <w:widowControl w:val="0"/>
              <w:autoSpaceDE w:val="0"/>
              <w:autoSpaceDN w:val="0"/>
              <w:spacing w:line="247" w:lineRule="auto"/>
              <w:ind w:right="506"/>
              <w:jc w:val="center"/>
              <w:rPr>
                <w:sz w:val="22"/>
                <w:szCs w:val="20"/>
                <w:lang w:val="en-GB"/>
              </w:rPr>
            </w:pPr>
            <w:r w:rsidRPr="00724C4D">
              <w:rPr>
                <w:sz w:val="22"/>
                <w:szCs w:val="20"/>
                <w:lang w:val="en-GB"/>
              </w:rPr>
              <w:t>[36/39]</w:t>
            </w:r>
          </w:p>
        </w:tc>
      </w:tr>
    </w:tbl>
    <w:p w:rsidR="00E4312F" w:rsidRPr="00E4312F" w:rsidRDefault="00E4312F" w:rsidP="00E4312F">
      <w:pPr>
        <w:tabs>
          <w:tab w:val="left" w:pos="540"/>
          <w:tab w:val="left" w:pos="569"/>
        </w:tabs>
        <w:ind w:left="540"/>
        <w:jc w:val="both"/>
        <w:rPr>
          <w:bCs/>
          <w:sz w:val="20"/>
          <w:szCs w:val="22"/>
        </w:rPr>
      </w:pPr>
      <w:r>
        <w:rPr>
          <w:bCs/>
          <w:sz w:val="20"/>
          <w:szCs w:val="22"/>
        </w:rPr>
        <w:tab/>
      </w:r>
      <w:r w:rsidRPr="00E4312F">
        <w:rPr>
          <w:bCs/>
          <w:sz w:val="20"/>
          <w:szCs w:val="22"/>
        </w:rPr>
        <w:t>a populacija kod koje je vršena histološka analiza je uključivala samo pacijente sa dostupnim podacima o biopsiji jetre (nedostatak = isključivanje) do 240. ned</w:t>
      </w:r>
      <w:r>
        <w:rPr>
          <w:bCs/>
          <w:sz w:val="20"/>
          <w:szCs w:val="22"/>
        </w:rPr>
        <w:t>j</w:t>
      </w:r>
      <w:r w:rsidRPr="00E4312F">
        <w:rPr>
          <w:bCs/>
          <w:sz w:val="20"/>
          <w:szCs w:val="22"/>
        </w:rPr>
        <w:t>elje. Odgovor nakom uključivanja emtricitabina nije uzet u obzir (ukupno 17 ispitanika u ob</w:t>
      </w:r>
      <w:r w:rsidR="00B40EA9">
        <w:rPr>
          <w:bCs/>
          <w:sz w:val="20"/>
          <w:szCs w:val="22"/>
        </w:rPr>
        <w:t>j</w:t>
      </w:r>
      <w:r w:rsidRPr="00E4312F">
        <w:rPr>
          <w:bCs/>
          <w:sz w:val="20"/>
          <w:szCs w:val="22"/>
        </w:rPr>
        <w:t>e studije).</w:t>
      </w:r>
    </w:p>
    <w:p w:rsidR="00E4312F" w:rsidRPr="00E4312F" w:rsidRDefault="00E4312F" w:rsidP="00E4312F">
      <w:pPr>
        <w:tabs>
          <w:tab w:val="left" w:pos="540"/>
          <w:tab w:val="left" w:pos="569"/>
        </w:tabs>
        <w:jc w:val="both"/>
        <w:rPr>
          <w:bCs/>
          <w:sz w:val="20"/>
          <w:szCs w:val="22"/>
        </w:rPr>
      </w:pPr>
      <w:r>
        <w:rPr>
          <w:bCs/>
          <w:sz w:val="20"/>
          <w:szCs w:val="22"/>
        </w:rPr>
        <w:tab/>
      </w:r>
      <w:r w:rsidRPr="00E4312F">
        <w:rPr>
          <w:bCs/>
          <w:sz w:val="20"/>
          <w:szCs w:val="22"/>
        </w:rPr>
        <w:t xml:space="preserve">b </w:t>
      </w:r>
      <w:r w:rsidRPr="00E4312F">
        <w:rPr>
          <w:bCs/>
          <w:i/>
          <w:sz w:val="20"/>
          <w:szCs w:val="22"/>
        </w:rPr>
        <w:t>Knodell</w:t>
      </w:r>
      <w:r w:rsidRPr="00E4312F">
        <w:rPr>
          <w:bCs/>
          <w:sz w:val="20"/>
          <w:szCs w:val="22"/>
        </w:rPr>
        <w:t xml:space="preserve"> nekroinflamatorni skor poboljšan za najmanje 2 poena, bez pogoršanja </w:t>
      </w:r>
      <w:r w:rsidRPr="00E4312F">
        <w:rPr>
          <w:bCs/>
          <w:i/>
          <w:sz w:val="20"/>
          <w:szCs w:val="22"/>
        </w:rPr>
        <w:t>Knodell</w:t>
      </w:r>
      <w:r w:rsidRPr="00E4312F">
        <w:rPr>
          <w:bCs/>
          <w:sz w:val="20"/>
          <w:szCs w:val="22"/>
        </w:rPr>
        <w:t xml:space="preserve"> skora fibroze.</w:t>
      </w:r>
    </w:p>
    <w:p w:rsidR="00E4312F" w:rsidRPr="00E4312F" w:rsidRDefault="00E4312F" w:rsidP="00E4312F">
      <w:pPr>
        <w:tabs>
          <w:tab w:val="left" w:pos="540"/>
          <w:tab w:val="left" w:pos="569"/>
        </w:tabs>
        <w:ind w:left="540"/>
        <w:jc w:val="both"/>
        <w:rPr>
          <w:bCs/>
          <w:sz w:val="20"/>
          <w:szCs w:val="22"/>
        </w:rPr>
      </w:pPr>
      <w:r>
        <w:rPr>
          <w:bCs/>
          <w:sz w:val="20"/>
          <w:szCs w:val="22"/>
        </w:rPr>
        <w:tab/>
      </w:r>
      <w:r w:rsidRPr="00E4312F">
        <w:rPr>
          <w:bCs/>
          <w:sz w:val="20"/>
          <w:szCs w:val="22"/>
        </w:rPr>
        <w:t>c 48 ned</w:t>
      </w:r>
      <w:r>
        <w:rPr>
          <w:bCs/>
          <w:sz w:val="20"/>
          <w:szCs w:val="22"/>
        </w:rPr>
        <w:t>j</w:t>
      </w:r>
      <w:r w:rsidRPr="00E4312F">
        <w:rPr>
          <w:bCs/>
          <w:sz w:val="20"/>
          <w:szCs w:val="22"/>
        </w:rPr>
        <w:t>elja dvostruko sl</w:t>
      </w:r>
      <w:r>
        <w:rPr>
          <w:bCs/>
          <w:sz w:val="20"/>
          <w:szCs w:val="22"/>
        </w:rPr>
        <w:t>ij</w:t>
      </w:r>
      <w:r w:rsidRPr="00E4312F">
        <w:rPr>
          <w:bCs/>
          <w:sz w:val="20"/>
          <w:szCs w:val="22"/>
        </w:rPr>
        <w:t>epog ispitivanja sa tenofovir</w:t>
      </w:r>
      <w:r>
        <w:rPr>
          <w:bCs/>
          <w:sz w:val="20"/>
          <w:szCs w:val="22"/>
        </w:rPr>
        <w:t xml:space="preserve"> </w:t>
      </w:r>
      <w:r w:rsidRPr="00E4312F">
        <w:rPr>
          <w:bCs/>
          <w:sz w:val="20"/>
          <w:szCs w:val="22"/>
        </w:rPr>
        <w:t>dizoproksilom nakon čega sl</w:t>
      </w:r>
      <w:r>
        <w:rPr>
          <w:bCs/>
          <w:sz w:val="20"/>
          <w:szCs w:val="22"/>
        </w:rPr>
        <w:t>ij</w:t>
      </w:r>
      <w:r w:rsidRPr="00E4312F">
        <w:rPr>
          <w:bCs/>
          <w:sz w:val="20"/>
          <w:szCs w:val="22"/>
        </w:rPr>
        <w:t>ede 192 ned</w:t>
      </w:r>
      <w:r>
        <w:rPr>
          <w:bCs/>
          <w:sz w:val="20"/>
          <w:szCs w:val="22"/>
        </w:rPr>
        <w:t>j</w:t>
      </w:r>
      <w:r w:rsidRPr="00E4312F">
        <w:rPr>
          <w:bCs/>
          <w:sz w:val="20"/>
          <w:szCs w:val="22"/>
        </w:rPr>
        <w:t>elje otvorenog ispitivanja.</w:t>
      </w:r>
    </w:p>
    <w:p w:rsidR="00E4312F" w:rsidRDefault="00E4312F" w:rsidP="00E4312F">
      <w:pPr>
        <w:tabs>
          <w:tab w:val="left" w:pos="540"/>
          <w:tab w:val="left" w:pos="569"/>
        </w:tabs>
        <w:ind w:left="540"/>
        <w:jc w:val="both"/>
        <w:rPr>
          <w:bCs/>
          <w:sz w:val="20"/>
          <w:szCs w:val="22"/>
        </w:rPr>
      </w:pPr>
      <w:r>
        <w:rPr>
          <w:bCs/>
          <w:sz w:val="20"/>
          <w:szCs w:val="22"/>
        </w:rPr>
        <w:tab/>
      </w:r>
      <w:r w:rsidRPr="00E4312F">
        <w:rPr>
          <w:bCs/>
          <w:sz w:val="20"/>
          <w:szCs w:val="22"/>
        </w:rPr>
        <w:t>d 48 ned</w:t>
      </w:r>
      <w:r>
        <w:rPr>
          <w:bCs/>
          <w:sz w:val="20"/>
          <w:szCs w:val="22"/>
        </w:rPr>
        <w:t>j</w:t>
      </w:r>
      <w:r w:rsidRPr="00E4312F">
        <w:rPr>
          <w:bCs/>
          <w:sz w:val="20"/>
          <w:szCs w:val="22"/>
        </w:rPr>
        <w:t>elja dvostruko sl</w:t>
      </w:r>
      <w:r>
        <w:rPr>
          <w:bCs/>
          <w:sz w:val="20"/>
          <w:szCs w:val="22"/>
        </w:rPr>
        <w:t>ij</w:t>
      </w:r>
      <w:r w:rsidRPr="00E4312F">
        <w:rPr>
          <w:bCs/>
          <w:sz w:val="20"/>
          <w:szCs w:val="22"/>
        </w:rPr>
        <w:t>epog ispitivanja sa adefovi</w:t>
      </w:r>
      <w:r>
        <w:rPr>
          <w:bCs/>
          <w:sz w:val="20"/>
          <w:szCs w:val="22"/>
        </w:rPr>
        <w:t xml:space="preserve"> </w:t>
      </w:r>
      <w:r w:rsidRPr="00E4312F">
        <w:rPr>
          <w:bCs/>
          <w:sz w:val="20"/>
          <w:szCs w:val="22"/>
        </w:rPr>
        <w:t>rdipivoksilom nakon čega sl</w:t>
      </w:r>
      <w:r>
        <w:rPr>
          <w:bCs/>
          <w:sz w:val="20"/>
          <w:szCs w:val="22"/>
        </w:rPr>
        <w:t>ij</w:t>
      </w:r>
      <w:r w:rsidRPr="00E4312F">
        <w:rPr>
          <w:bCs/>
          <w:sz w:val="20"/>
          <w:szCs w:val="22"/>
        </w:rPr>
        <w:t>ede 192 ned</w:t>
      </w:r>
      <w:r>
        <w:rPr>
          <w:bCs/>
          <w:sz w:val="20"/>
          <w:szCs w:val="22"/>
        </w:rPr>
        <w:t>j</w:t>
      </w:r>
      <w:r w:rsidRPr="00E4312F">
        <w:rPr>
          <w:bCs/>
          <w:sz w:val="20"/>
          <w:szCs w:val="22"/>
        </w:rPr>
        <w:t>elje otvorenog ispitivanja sa tenofovir</w:t>
      </w:r>
      <w:r>
        <w:rPr>
          <w:bCs/>
          <w:sz w:val="20"/>
          <w:szCs w:val="22"/>
        </w:rPr>
        <w:t xml:space="preserve"> </w:t>
      </w:r>
      <w:r w:rsidRPr="00E4312F">
        <w:rPr>
          <w:bCs/>
          <w:sz w:val="20"/>
          <w:szCs w:val="22"/>
        </w:rPr>
        <w:t xml:space="preserve">dizoproksilom. </w:t>
      </w:r>
    </w:p>
    <w:p w:rsidR="004F3D93" w:rsidRPr="00E4312F" w:rsidRDefault="004F3D93" w:rsidP="00E4312F">
      <w:pPr>
        <w:tabs>
          <w:tab w:val="left" w:pos="540"/>
          <w:tab w:val="left" w:pos="569"/>
        </w:tabs>
        <w:ind w:left="540"/>
        <w:jc w:val="both"/>
        <w:rPr>
          <w:bCs/>
          <w:sz w:val="20"/>
          <w:szCs w:val="22"/>
        </w:rPr>
      </w:pPr>
    </w:p>
    <w:p w:rsidR="004F3D93" w:rsidRPr="004F3D93" w:rsidRDefault="004F3D93" w:rsidP="004F3D93">
      <w:pPr>
        <w:tabs>
          <w:tab w:val="left" w:pos="540"/>
          <w:tab w:val="left" w:pos="569"/>
        </w:tabs>
        <w:jc w:val="both"/>
        <w:rPr>
          <w:bCs/>
          <w:i/>
          <w:sz w:val="22"/>
          <w:szCs w:val="22"/>
        </w:rPr>
      </w:pPr>
      <w:r w:rsidRPr="004F3D93">
        <w:rPr>
          <w:bCs/>
          <w:i/>
          <w:sz w:val="22"/>
          <w:szCs w:val="22"/>
        </w:rPr>
        <w:t>Iskustva sa pacijentima sa HIV koinfekcijom i prethodnim isksutvom sa lamivudinom</w:t>
      </w:r>
    </w:p>
    <w:p w:rsidR="004F3D93" w:rsidRPr="004F3D93" w:rsidRDefault="004F3D93" w:rsidP="004F3D93">
      <w:pPr>
        <w:tabs>
          <w:tab w:val="left" w:pos="540"/>
          <w:tab w:val="left" w:pos="569"/>
        </w:tabs>
        <w:jc w:val="both"/>
        <w:rPr>
          <w:bCs/>
          <w:sz w:val="22"/>
          <w:szCs w:val="22"/>
        </w:rPr>
      </w:pPr>
      <w:r w:rsidRPr="004F3D93">
        <w:rPr>
          <w:bCs/>
          <w:sz w:val="22"/>
          <w:szCs w:val="22"/>
        </w:rPr>
        <w:t>U randomizovanoj, kontrolisanoj, dvostruko slijepoj 48-nedjeljnoj studiji sa 245 mg tenofovir dizoproksila kod pacijenata sa istovremenom HIV-1 i hroničnom hepatitis B infekcijom, koji su prethodno primali lamivudin (studija ACTG 5127), na početku, prosječni nivo serumskog HBV DNK kod pacijenata koji su randomizovani u grupi sa tenofovir bili su 9,45 log</w:t>
      </w:r>
      <w:r w:rsidRPr="004F3D93">
        <w:rPr>
          <w:bCs/>
          <w:sz w:val="22"/>
          <w:szCs w:val="22"/>
          <w:vertAlign w:val="subscript"/>
        </w:rPr>
        <w:t>10</w:t>
      </w:r>
      <w:r w:rsidRPr="004F3D93">
        <w:rPr>
          <w:bCs/>
          <w:sz w:val="22"/>
          <w:szCs w:val="22"/>
        </w:rPr>
        <w:t xml:space="preserve"> kopija/</w:t>
      </w:r>
      <w:r w:rsidR="00B83CAB">
        <w:rPr>
          <w:bCs/>
          <w:sz w:val="22"/>
          <w:szCs w:val="22"/>
        </w:rPr>
        <w:t>ml</w:t>
      </w:r>
      <w:r w:rsidRPr="004F3D93">
        <w:rPr>
          <w:bCs/>
          <w:sz w:val="22"/>
          <w:szCs w:val="22"/>
        </w:rPr>
        <w:t xml:space="preserve"> (n=27). Terapija sa 245 mg tenofovir dizoproksilom povezana je sa prosječnom promjenom u nivou serumske HBV DNK u odnosu na početnu vrijednost, kod pacijenata za koje postoje 48-nedjeljni podaci od -5,74 log</w:t>
      </w:r>
      <w:r w:rsidRPr="004F3D93">
        <w:rPr>
          <w:bCs/>
          <w:sz w:val="22"/>
          <w:szCs w:val="22"/>
          <w:vertAlign w:val="subscript"/>
        </w:rPr>
        <w:t>10</w:t>
      </w:r>
      <w:r w:rsidRPr="004F3D93">
        <w:rPr>
          <w:bCs/>
          <w:sz w:val="22"/>
          <w:szCs w:val="22"/>
        </w:rPr>
        <w:t xml:space="preserve"> kopija/</w:t>
      </w:r>
      <w:r w:rsidR="00B83CAB">
        <w:rPr>
          <w:bCs/>
          <w:sz w:val="22"/>
          <w:szCs w:val="22"/>
        </w:rPr>
        <w:t>ml</w:t>
      </w:r>
      <w:r w:rsidRPr="004F3D93">
        <w:rPr>
          <w:bCs/>
          <w:sz w:val="22"/>
          <w:szCs w:val="22"/>
        </w:rPr>
        <w:t xml:space="preserve"> (n=18). Dodatno, 61% pacijenata su imali normalizovan nivo ALT-a u 48. nedjelji.</w:t>
      </w:r>
    </w:p>
    <w:p w:rsidR="004F3D93" w:rsidRPr="004F3D93" w:rsidRDefault="004F3D93" w:rsidP="004F3D93">
      <w:pPr>
        <w:tabs>
          <w:tab w:val="left" w:pos="540"/>
          <w:tab w:val="left" w:pos="569"/>
        </w:tabs>
        <w:jc w:val="both"/>
        <w:rPr>
          <w:bCs/>
          <w:sz w:val="22"/>
          <w:szCs w:val="22"/>
        </w:rPr>
      </w:pPr>
    </w:p>
    <w:p w:rsidR="004F3D93" w:rsidRPr="004F3D93" w:rsidRDefault="004F3D93" w:rsidP="004F3D93">
      <w:pPr>
        <w:tabs>
          <w:tab w:val="left" w:pos="540"/>
          <w:tab w:val="left" w:pos="569"/>
        </w:tabs>
        <w:jc w:val="both"/>
        <w:rPr>
          <w:bCs/>
          <w:i/>
          <w:sz w:val="22"/>
          <w:szCs w:val="22"/>
        </w:rPr>
      </w:pPr>
      <w:r w:rsidRPr="004F3D93">
        <w:rPr>
          <w:bCs/>
          <w:i/>
          <w:sz w:val="22"/>
          <w:szCs w:val="22"/>
        </w:rPr>
        <w:t>Iskustvo kod pacijenata sa perzistetnom replikacijom virusa</w:t>
      </w:r>
      <w:r w:rsidR="00B40EA9">
        <w:rPr>
          <w:bCs/>
          <w:i/>
          <w:sz w:val="22"/>
          <w:szCs w:val="22"/>
        </w:rPr>
        <w:t xml:space="preserve"> </w:t>
      </w:r>
      <w:r w:rsidR="00B40EA9" w:rsidRPr="00A443AA">
        <w:rPr>
          <w:bCs/>
          <w:i/>
          <w:sz w:val="22"/>
          <w:szCs w:val="22"/>
        </w:rPr>
        <w:t>(ispitivanje GS-US-174-0106)</w:t>
      </w:r>
    </w:p>
    <w:p w:rsidR="004F3D93" w:rsidRPr="004F3D93" w:rsidRDefault="004F3D93" w:rsidP="004F3D93">
      <w:pPr>
        <w:tabs>
          <w:tab w:val="left" w:pos="540"/>
          <w:tab w:val="left" w:pos="569"/>
        </w:tabs>
        <w:jc w:val="both"/>
        <w:rPr>
          <w:bCs/>
          <w:sz w:val="22"/>
          <w:szCs w:val="22"/>
        </w:rPr>
      </w:pPr>
      <w:r w:rsidRPr="004F3D93">
        <w:rPr>
          <w:bCs/>
          <w:sz w:val="22"/>
          <w:szCs w:val="22"/>
        </w:rPr>
        <w:t>Efikasnost i bezbjednost 245 mg tenofovir dizoproksila ili 245 mg tenofovir dizoproksila u kombinaciji sa 200 mg emtricitabina procjenjivani su u randomizovanoj, dvostruko slijepoj studiji (studija GS-US-174-0106), kod HBeAg negativnih i HBeAg pozitivnih pacijenata koji su imali perzistentnu viremiju (HBV DNK ≥ 1000 kopija/</w:t>
      </w:r>
      <w:r w:rsidR="00B83CAB">
        <w:rPr>
          <w:bCs/>
          <w:sz w:val="22"/>
          <w:szCs w:val="22"/>
        </w:rPr>
        <w:t>ml</w:t>
      </w:r>
      <w:r w:rsidRPr="004F3D93">
        <w:rPr>
          <w:bCs/>
          <w:sz w:val="22"/>
          <w:szCs w:val="22"/>
        </w:rPr>
        <w:t>) za vrijeme terapije sa 10 mg adefovir dipivoksilom tokom više od 24 nedjelje. Na početku, 57% pacijenata randomizovano je na tenofovir dizoproksil nasuprot 60% pacijenata randomizovanih na emtricitabin u kombinaciji sa tenofovir dizoproksilom, a koji su bili prethodno liječeni lamivudinom. Sve u svemu u 24-oj nedjelji: terapija sa tenofovir dizoproksilom rezultirala je u 66% pacijenata (35/53) sa HBV DNK &lt; 400 kopija/</w:t>
      </w:r>
      <w:r w:rsidR="00B83CAB">
        <w:rPr>
          <w:bCs/>
          <w:sz w:val="22"/>
          <w:szCs w:val="22"/>
        </w:rPr>
        <w:t>ml</w:t>
      </w:r>
      <w:r w:rsidRPr="004F3D93">
        <w:rPr>
          <w:bCs/>
          <w:sz w:val="22"/>
          <w:szCs w:val="22"/>
        </w:rPr>
        <w:t xml:space="preserve"> (&lt; 69 I.J/</w:t>
      </w:r>
      <w:r w:rsidR="00B83CAB">
        <w:rPr>
          <w:bCs/>
          <w:sz w:val="22"/>
          <w:szCs w:val="22"/>
        </w:rPr>
        <w:t>ml</w:t>
      </w:r>
      <w:r w:rsidRPr="004F3D93">
        <w:rPr>
          <w:bCs/>
          <w:sz w:val="22"/>
          <w:szCs w:val="22"/>
        </w:rPr>
        <w:t>) nasuprot 69% (36/52) pacijenata liječenih emtricitabinom u kombinaciji sa tenofovir dizoproksilom (p=0,672). Dodatno, 55% (29/53) pacijenata koji su bili liječeni sa tenofovir dizoproksilom imalo je nivoe HBV DNK koje nije bilo moguće detektovati (&lt;169 kopija/</w:t>
      </w:r>
      <w:r w:rsidR="00B83CAB">
        <w:rPr>
          <w:bCs/>
          <w:sz w:val="22"/>
          <w:szCs w:val="22"/>
        </w:rPr>
        <w:t>ml</w:t>
      </w:r>
      <w:r w:rsidRPr="004F3D93">
        <w:rPr>
          <w:bCs/>
          <w:sz w:val="22"/>
          <w:szCs w:val="22"/>
        </w:rPr>
        <w:t xml:space="preserve"> [&lt;29 I.J./</w:t>
      </w:r>
      <w:r w:rsidR="00B83CAB">
        <w:rPr>
          <w:bCs/>
          <w:sz w:val="22"/>
          <w:szCs w:val="22"/>
        </w:rPr>
        <w:t>ml</w:t>
      </w:r>
      <w:r w:rsidRPr="004F3D93">
        <w:rPr>
          <w:bCs/>
          <w:sz w:val="22"/>
          <w:szCs w:val="22"/>
        </w:rPr>
        <w:t xml:space="preserve">]; limit kvantifikacije </w:t>
      </w:r>
      <w:r w:rsidRPr="004F3D93">
        <w:rPr>
          <w:bCs/>
          <w:i/>
          <w:sz w:val="22"/>
          <w:szCs w:val="22"/>
        </w:rPr>
        <w:t>Roche Cobas TaqMan</w:t>
      </w:r>
      <w:r w:rsidRPr="004F3D93">
        <w:rPr>
          <w:bCs/>
          <w:sz w:val="22"/>
          <w:szCs w:val="22"/>
        </w:rPr>
        <w:t xml:space="preserve"> testa na HBV) nasuprot 60% (31/52) pacijenata liječenih sa emtricitabinom u kombinaciji sa tenofovir dizoproksilom (p=0,504). Poređenje grupa koje su primale terapiju preko 24 nedjelje teško je intepretirati jer su istraživači imali mogućnost intenziviranja liječenja u otvoreno ispitivanje sa emtricitabinom u kombinaciji sa tenofovir dizoproksilom. Dugoročne studije procjene koristi/rizika dvostruke terapije sa emtricitabinom u kombinaciji sa tenofovir dizoproksilom kod pacijenata inficiranih samo virusom HBV još traju.</w:t>
      </w:r>
      <w:r w:rsidRPr="004F3D93">
        <w:rPr>
          <w:bCs/>
          <w:i/>
          <w:sz w:val="22"/>
          <w:szCs w:val="22"/>
        </w:rPr>
        <w:t xml:space="preserve"> </w:t>
      </w:r>
    </w:p>
    <w:p w:rsidR="00E4312F" w:rsidRPr="004F3D93" w:rsidRDefault="00E4312F" w:rsidP="0074527F">
      <w:pPr>
        <w:tabs>
          <w:tab w:val="left" w:pos="540"/>
          <w:tab w:val="left" w:pos="569"/>
        </w:tabs>
        <w:jc w:val="both"/>
        <w:rPr>
          <w:bCs/>
          <w:sz w:val="22"/>
          <w:szCs w:val="22"/>
        </w:rPr>
      </w:pPr>
    </w:p>
    <w:p w:rsidR="004F3D93" w:rsidRPr="004F3D93" w:rsidRDefault="004F3D93" w:rsidP="004F3D93">
      <w:pPr>
        <w:tabs>
          <w:tab w:val="left" w:pos="540"/>
          <w:tab w:val="left" w:pos="569"/>
        </w:tabs>
        <w:jc w:val="both"/>
        <w:rPr>
          <w:bCs/>
          <w:i/>
          <w:sz w:val="22"/>
          <w:szCs w:val="22"/>
        </w:rPr>
      </w:pPr>
      <w:r w:rsidRPr="004F3D93">
        <w:rPr>
          <w:bCs/>
          <w:i/>
          <w:sz w:val="22"/>
          <w:szCs w:val="22"/>
        </w:rPr>
        <w:t xml:space="preserve">Iskustvo kod pacijenata sa dekompenzovanim obojlenjem jetre </w:t>
      </w:r>
      <w:r w:rsidR="00140452">
        <w:rPr>
          <w:bCs/>
          <w:i/>
          <w:sz w:val="22"/>
          <w:szCs w:val="22"/>
        </w:rPr>
        <w:t xml:space="preserve">u 48. Nedjelji </w:t>
      </w:r>
      <w:r w:rsidRPr="004F3D93">
        <w:rPr>
          <w:bCs/>
          <w:i/>
          <w:sz w:val="22"/>
          <w:szCs w:val="22"/>
        </w:rPr>
        <w:t>(studija GS-US-174-0108)</w:t>
      </w:r>
    </w:p>
    <w:p w:rsidR="004F3D93" w:rsidRPr="004F3D93" w:rsidRDefault="004F3D93" w:rsidP="004F3D93">
      <w:pPr>
        <w:tabs>
          <w:tab w:val="left" w:pos="540"/>
          <w:tab w:val="left" w:pos="569"/>
        </w:tabs>
        <w:jc w:val="both"/>
        <w:rPr>
          <w:bCs/>
          <w:sz w:val="22"/>
          <w:szCs w:val="22"/>
        </w:rPr>
      </w:pPr>
      <w:r w:rsidRPr="004F3D93">
        <w:rPr>
          <w:bCs/>
          <w:sz w:val="22"/>
          <w:szCs w:val="22"/>
        </w:rPr>
        <w:t>U studiji GS-US-174-0108, randomizovanoj, dvostruko slijepoj, aktivno kontrolisanoj studiji, ispitivana je efikasnost i bezbjednost tenofovir dizoproksila (n=45), emtricitabina plus tenofovir dizoproksila (n=45) i entekavira (n=22), kod pacijenata sa dekompenzovanim oboljenjem jetre. U grupi sa tenofovir dizoproksilom, pacijenti su na početku imali srednji CPT skor od 7,2, srednju HBV DNK od 5,8 log</w:t>
      </w:r>
      <w:r w:rsidRPr="004F3D93">
        <w:rPr>
          <w:bCs/>
          <w:sz w:val="22"/>
          <w:szCs w:val="22"/>
          <w:vertAlign w:val="subscript"/>
        </w:rPr>
        <w:t>10</w:t>
      </w:r>
      <w:r w:rsidRPr="004F3D93">
        <w:rPr>
          <w:bCs/>
          <w:sz w:val="22"/>
          <w:szCs w:val="22"/>
        </w:rPr>
        <w:t xml:space="preserve"> kopija/</w:t>
      </w:r>
      <w:r w:rsidR="00B83CAB">
        <w:rPr>
          <w:bCs/>
          <w:sz w:val="22"/>
          <w:szCs w:val="22"/>
        </w:rPr>
        <w:t>ml</w:t>
      </w:r>
      <w:r w:rsidRPr="004F3D93">
        <w:rPr>
          <w:bCs/>
          <w:sz w:val="22"/>
          <w:szCs w:val="22"/>
        </w:rPr>
        <w:t xml:space="preserve"> i srednji serumski ALT od 61 J/l. Četrdeset dva posto (42%) (19/45) njih je imalo bar 6 mjeseci iskustva sa lamivudinom, 20% (9/45) sa adefovir dipivoksilom, a 20% (9/45) je na početku studije imalo mutacije povezane sa rezistencijom na lamivudin i/ili adefovir dipivoksil. Ko</w:t>
      </w:r>
      <w:r w:rsidR="00140452">
        <w:rPr>
          <w:bCs/>
          <w:sz w:val="22"/>
          <w:szCs w:val="22"/>
        </w:rPr>
        <w:t>-</w:t>
      </w:r>
      <w:r w:rsidRPr="004F3D93">
        <w:rPr>
          <w:bCs/>
          <w:sz w:val="22"/>
          <w:szCs w:val="22"/>
        </w:rPr>
        <w:t>primiran</w:t>
      </w:r>
      <w:r w:rsidR="00140452">
        <w:rPr>
          <w:bCs/>
          <w:sz w:val="22"/>
          <w:szCs w:val="22"/>
        </w:rPr>
        <w:t>e mjere ishoda</w:t>
      </w:r>
      <w:r w:rsidRPr="004F3D93">
        <w:rPr>
          <w:bCs/>
          <w:sz w:val="22"/>
          <w:szCs w:val="22"/>
        </w:rPr>
        <w:t xml:space="preserve"> </w:t>
      </w:r>
      <w:r w:rsidR="00140452">
        <w:rPr>
          <w:bCs/>
          <w:sz w:val="22"/>
          <w:szCs w:val="22"/>
        </w:rPr>
        <w:t>za</w:t>
      </w:r>
      <w:r w:rsidR="00140452" w:rsidRPr="004F3D93">
        <w:rPr>
          <w:bCs/>
          <w:sz w:val="22"/>
          <w:szCs w:val="22"/>
        </w:rPr>
        <w:t xml:space="preserve"> </w:t>
      </w:r>
      <w:r w:rsidRPr="004F3D93">
        <w:rPr>
          <w:bCs/>
          <w:sz w:val="22"/>
          <w:szCs w:val="22"/>
        </w:rPr>
        <w:t>bezbjednost bili su prekid zbog neželjenih dejstava i potvrđenog porasta kreatinina u serumu od (≥ 0,5 mg/dl) ili potvrđene vrijednosti fosfata u serumu &lt; 2 mg/d</w:t>
      </w:r>
      <w:r w:rsidR="00140452">
        <w:rPr>
          <w:bCs/>
          <w:sz w:val="22"/>
          <w:szCs w:val="22"/>
        </w:rPr>
        <w:t>l</w:t>
      </w:r>
      <w:r w:rsidRPr="004F3D93">
        <w:rPr>
          <w:bCs/>
          <w:sz w:val="22"/>
          <w:szCs w:val="22"/>
        </w:rPr>
        <w:t>.</w:t>
      </w:r>
    </w:p>
    <w:p w:rsidR="004F3D93" w:rsidRPr="004F3D93" w:rsidRDefault="004F3D93" w:rsidP="004F3D93">
      <w:pPr>
        <w:tabs>
          <w:tab w:val="left" w:pos="540"/>
          <w:tab w:val="left" w:pos="569"/>
        </w:tabs>
        <w:jc w:val="both"/>
        <w:rPr>
          <w:bCs/>
          <w:sz w:val="22"/>
          <w:szCs w:val="22"/>
        </w:rPr>
      </w:pPr>
    </w:p>
    <w:p w:rsidR="004F3D93" w:rsidRPr="004F3D93" w:rsidRDefault="004F3D93" w:rsidP="004F3D93">
      <w:pPr>
        <w:tabs>
          <w:tab w:val="left" w:pos="540"/>
          <w:tab w:val="left" w:pos="569"/>
        </w:tabs>
        <w:jc w:val="both"/>
        <w:rPr>
          <w:bCs/>
          <w:sz w:val="22"/>
          <w:szCs w:val="22"/>
        </w:rPr>
      </w:pPr>
      <w:r w:rsidRPr="004F3D93">
        <w:rPr>
          <w:bCs/>
          <w:sz w:val="22"/>
          <w:szCs w:val="22"/>
        </w:rPr>
        <w:t>Kod pacijenata sa CPT skorom ≤ 9, 74% (29/39) liječenih tenofovir dizoproksilom i 94% (33/35) liječenih emtricitabinom i tenofovir dizoproksilom, postignuto je smanjenje HBV DNK na &lt; 400 kopija/</w:t>
      </w:r>
      <w:r w:rsidR="00B83CAB">
        <w:rPr>
          <w:bCs/>
          <w:sz w:val="22"/>
          <w:szCs w:val="22"/>
        </w:rPr>
        <w:t>ml</w:t>
      </w:r>
      <w:r w:rsidRPr="004F3D93">
        <w:rPr>
          <w:bCs/>
          <w:sz w:val="22"/>
          <w:szCs w:val="22"/>
        </w:rPr>
        <w:t xml:space="preserve"> nakon 48 nedjelja liječenja.</w:t>
      </w:r>
    </w:p>
    <w:p w:rsidR="004F3D93" w:rsidRPr="004F3D93" w:rsidRDefault="004F3D93" w:rsidP="004F3D93">
      <w:pPr>
        <w:tabs>
          <w:tab w:val="left" w:pos="540"/>
          <w:tab w:val="left" w:pos="569"/>
        </w:tabs>
        <w:jc w:val="both"/>
        <w:rPr>
          <w:bCs/>
          <w:sz w:val="22"/>
          <w:szCs w:val="22"/>
        </w:rPr>
      </w:pPr>
    </w:p>
    <w:p w:rsidR="004F3D93" w:rsidRDefault="004F3D93" w:rsidP="004F3D93">
      <w:pPr>
        <w:tabs>
          <w:tab w:val="left" w:pos="540"/>
          <w:tab w:val="left" w:pos="569"/>
        </w:tabs>
        <w:jc w:val="both"/>
        <w:rPr>
          <w:bCs/>
          <w:sz w:val="22"/>
          <w:szCs w:val="22"/>
        </w:rPr>
      </w:pPr>
      <w:r w:rsidRPr="004F3D93">
        <w:rPr>
          <w:bCs/>
          <w:sz w:val="22"/>
          <w:szCs w:val="22"/>
        </w:rPr>
        <w:t>Sve u svemu, podaci iz ove studije su suviše ograničeni da bi se iz njih dobili pouzdani zaključci o poređenju kombinacije emtricitabina i tenofovir dizoproksila sa tenofovir dizoproksilom (vidjeti Tabelu 7 ispod).</w:t>
      </w:r>
    </w:p>
    <w:p w:rsidR="004F3D93" w:rsidRPr="004F3D93" w:rsidRDefault="004F3D93" w:rsidP="004F3D93">
      <w:pPr>
        <w:tabs>
          <w:tab w:val="left" w:pos="540"/>
          <w:tab w:val="left" w:pos="569"/>
        </w:tabs>
        <w:jc w:val="both"/>
        <w:rPr>
          <w:bCs/>
          <w:sz w:val="22"/>
          <w:szCs w:val="22"/>
        </w:rPr>
      </w:pPr>
    </w:p>
    <w:p w:rsidR="004F3D93" w:rsidRPr="004F3D93" w:rsidRDefault="004F3D93" w:rsidP="004F3D93">
      <w:pPr>
        <w:tabs>
          <w:tab w:val="left" w:pos="540"/>
          <w:tab w:val="left" w:pos="569"/>
        </w:tabs>
        <w:jc w:val="both"/>
        <w:rPr>
          <w:b/>
          <w:bCs/>
          <w:sz w:val="22"/>
          <w:szCs w:val="22"/>
        </w:rPr>
      </w:pPr>
      <w:r w:rsidRPr="004F3D93">
        <w:rPr>
          <w:b/>
          <w:bCs/>
          <w:sz w:val="22"/>
          <w:szCs w:val="22"/>
        </w:rPr>
        <w:t>Tabela 7: Efikasnost i bezbjednost kod dekompenzovanih pacijenata u 48. nedjelji</w:t>
      </w:r>
    </w:p>
    <w:tbl>
      <w:tblPr>
        <w:tblW w:w="5000" w:type="pct"/>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2355"/>
        <w:gridCol w:w="2264"/>
        <w:gridCol w:w="2264"/>
        <w:gridCol w:w="2174"/>
      </w:tblGrid>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rPr>
                <w:sz w:val="22"/>
                <w:szCs w:val="22"/>
                <w:lang w:val="en-GB"/>
              </w:rPr>
            </w:pPr>
          </w:p>
        </w:tc>
        <w:tc>
          <w:tcPr>
            <w:tcW w:w="3700" w:type="pct"/>
            <w:gridSpan w:val="3"/>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Pr>
                <w:b/>
                <w:bCs/>
                <w:sz w:val="22"/>
                <w:szCs w:val="22"/>
                <w:lang w:val="en-GB"/>
              </w:rPr>
              <w:t>Studija</w:t>
            </w:r>
            <w:r w:rsidRPr="008D584F">
              <w:rPr>
                <w:b/>
                <w:bCs/>
                <w:sz w:val="22"/>
                <w:szCs w:val="22"/>
                <w:lang w:val="en-GB"/>
              </w:rPr>
              <w:t xml:space="preserve"> 174-0108</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rPr>
                <w:sz w:val="22"/>
                <w:szCs w:val="22"/>
                <w:lang w:val="en-GB"/>
              </w:rPr>
            </w:pPr>
            <w:r>
              <w:rPr>
                <w:sz w:val="22"/>
                <w:szCs w:val="22"/>
                <w:lang w:val="en-GB"/>
              </w:rPr>
              <w:t>Parameta</w:t>
            </w:r>
            <w:r w:rsidRPr="008D584F">
              <w:rPr>
                <w:sz w:val="22"/>
                <w:szCs w:val="22"/>
                <w:lang w:val="en-GB"/>
              </w:rPr>
              <w:t>r</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343"/>
              <w:jc w:val="center"/>
              <w:rPr>
                <w:sz w:val="22"/>
                <w:szCs w:val="22"/>
                <w:lang w:val="en-GB"/>
              </w:rPr>
            </w:pPr>
            <w:r>
              <w:rPr>
                <w:sz w:val="22"/>
                <w:szCs w:val="22"/>
                <w:lang w:val="en-GB"/>
              </w:rPr>
              <w:t xml:space="preserve">Tenofovir dizoproksil 245 </w:t>
            </w:r>
            <w:r w:rsidRPr="008D584F">
              <w:rPr>
                <w:sz w:val="22"/>
                <w:szCs w:val="22"/>
                <w:lang w:val="en-GB"/>
              </w:rPr>
              <w:t>mg</w:t>
            </w:r>
            <w:r>
              <w:rPr>
                <w:sz w:val="22"/>
                <w:szCs w:val="22"/>
                <w:lang w:val="en-GB"/>
              </w:rPr>
              <w:t xml:space="preserve"> </w:t>
            </w:r>
            <w:r w:rsidRPr="008D584F">
              <w:rPr>
                <w:sz w:val="22"/>
                <w:szCs w:val="22"/>
                <w:lang w:val="en-GB"/>
              </w:rPr>
              <w:t>(n = 45)</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7"/>
              <w:jc w:val="center"/>
              <w:rPr>
                <w:sz w:val="22"/>
                <w:szCs w:val="22"/>
                <w:lang w:val="en-GB"/>
              </w:rPr>
            </w:pPr>
            <w:r>
              <w:rPr>
                <w:sz w:val="22"/>
                <w:szCs w:val="22"/>
                <w:lang w:val="en-GB"/>
              </w:rPr>
              <w:t>Emtricitabin 200 mg/ tenofovir dizoproks</w:t>
            </w:r>
            <w:r w:rsidRPr="008D584F">
              <w:rPr>
                <w:sz w:val="22"/>
                <w:szCs w:val="22"/>
                <w:lang w:val="en-GB"/>
              </w:rPr>
              <w:t>il 245 mg</w:t>
            </w:r>
          </w:p>
          <w:p w:rsidR="004F3D93" w:rsidRPr="008D584F" w:rsidRDefault="004F3D93" w:rsidP="004F3D93">
            <w:pPr>
              <w:widowControl w:val="0"/>
              <w:autoSpaceDE w:val="0"/>
              <w:autoSpaceDN w:val="0"/>
              <w:spacing w:line="247" w:lineRule="auto"/>
              <w:ind w:right="506"/>
              <w:jc w:val="center"/>
              <w:rPr>
                <w:sz w:val="22"/>
                <w:szCs w:val="22"/>
                <w:lang w:val="en-GB"/>
              </w:rPr>
            </w:pPr>
            <w:r>
              <w:rPr>
                <w:sz w:val="22"/>
                <w:szCs w:val="22"/>
                <w:lang w:val="en-GB"/>
              </w:rPr>
              <w:t xml:space="preserve">     </w:t>
            </w:r>
            <w:r w:rsidRPr="008D584F">
              <w:rPr>
                <w:sz w:val="22"/>
                <w:szCs w:val="22"/>
                <w:lang w:val="en-GB"/>
              </w:rPr>
              <w:t>(n = 45)</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Default="004F3D93" w:rsidP="004F3D93">
            <w:pPr>
              <w:widowControl w:val="0"/>
              <w:autoSpaceDE w:val="0"/>
              <w:autoSpaceDN w:val="0"/>
              <w:spacing w:line="247" w:lineRule="auto"/>
              <w:ind w:right="506"/>
              <w:jc w:val="center"/>
              <w:rPr>
                <w:sz w:val="22"/>
                <w:szCs w:val="22"/>
                <w:lang w:val="en-GB"/>
              </w:rPr>
            </w:pPr>
            <w:r>
              <w:rPr>
                <w:sz w:val="22"/>
                <w:szCs w:val="22"/>
                <w:lang w:val="en-GB"/>
              </w:rPr>
              <w:t>Entek</w:t>
            </w:r>
            <w:r w:rsidRPr="008D584F">
              <w:rPr>
                <w:sz w:val="22"/>
                <w:szCs w:val="22"/>
                <w:lang w:val="en-GB"/>
              </w:rPr>
              <w:t>avir</w:t>
            </w:r>
          </w:p>
          <w:p w:rsidR="004F3D93"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(0.5 mg or 1 mg)</w:t>
            </w:r>
          </w:p>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n = 22</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rPr>
                <w:sz w:val="22"/>
                <w:szCs w:val="22"/>
                <w:lang w:val="en-GB"/>
              </w:rPr>
            </w:pPr>
            <w:r>
              <w:rPr>
                <w:b/>
                <w:bCs/>
                <w:sz w:val="22"/>
                <w:szCs w:val="22"/>
                <w:lang w:val="en-GB"/>
              </w:rPr>
              <w:t>Neuspjeh tolerancije (</w:t>
            </w:r>
            <w:r w:rsidRPr="00810F7D">
              <w:rPr>
                <w:b/>
                <w:w w:val="105"/>
                <w:sz w:val="22"/>
                <w:szCs w:val="22"/>
              </w:rPr>
              <w:t>trajna obustava lijeka zbog neželjenog dejstva</w:t>
            </w:r>
            <w:r w:rsidRPr="008D584F">
              <w:rPr>
                <w:b/>
                <w:bCs/>
                <w:sz w:val="22"/>
                <w:szCs w:val="22"/>
                <w:lang w:val="en-GB"/>
              </w:rPr>
              <w:t>)</w:t>
            </w:r>
          </w:p>
          <w:p w:rsidR="004F3D93" w:rsidRPr="008D584F" w:rsidRDefault="004F3D93" w:rsidP="004F3D93">
            <w:pPr>
              <w:widowControl w:val="0"/>
              <w:autoSpaceDE w:val="0"/>
              <w:autoSpaceDN w:val="0"/>
              <w:spacing w:line="247" w:lineRule="auto"/>
              <w:ind w:right="506"/>
              <w:rPr>
                <w:sz w:val="22"/>
                <w:szCs w:val="22"/>
                <w:lang w:val="en-GB"/>
              </w:rPr>
            </w:pPr>
            <w:r w:rsidRPr="008D584F">
              <w:rPr>
                <w:sz w:val="22"/>
                <w:szCs w:val="22"/>
                <w:lang w:val="en-GB"/>
              </w:rPr>
              <w:t>n (%)</w:t>
            </w:r>
            <w:r w:rsidRPr="008D584F">
              <w:rPr>
                <w:sz w:val="22"/>
                <w:szCs w:val="22"/>
                <w:vertAlign w:val="superscript"/>
                <w:lang w:val="en-GB"/>
              </w:rPr>
              <w:t>a</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3 (7%)</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2 (4%)</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2 (9%)</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CE7EF7" w:rsidRDefault="004F3D93" w:rsidP="004F3D93">
            <w:pPr>
              <w:widowControl w:val="0"/>
              <w:autoSpaceDE w:val="0"/>
              <w:autoSpaceDN w:val="0"/>
              <w:spacing w:line="247" w:lineRule="auto"/>
              <w:ind w:right="506"/>
              <w:rPr>
                <w:b/>
                <w:bCs/>
                <w:sz w:val="22"/>
                <w:szCs w:val="22"/>
              </w:rPr>
            </w:pPr>
            <w:r w:rsidRPr="00CE7EF7">
              <w:rPr>
                <w:b/>
                <w:bCs/>
                <w:sz w:val="22"/>
                <w:szCs w:val="22"/>
              </w:rPr>
              <w:t>Potvrđeno povećanje serumskog kreatinina</w:t>
            </w:r>
          </w:p>
          <w:p w:rsidR="004F3D93" w:rsidRPr="008D584F" w:rsidRDefault="004F3D93" w:rsidP="004F3D93">
            <w:pPr>
              <w:widowControl w:val="0"/>
              <w:autoSpaceDE w:val="0"/>
              <w:autoSpaceDN w:val="0"/>
              <w:spacing w:line="247" w:lineRule="auto"/>
              <w:ind w:right="506"/>
              <w:rPr>
                <w:sz w:val="22"/>
                <w:szCs w:val="22"/>
                <w:lang w:val="en-GB"/>
              </w:rPr>
            </w:pPr>
            <w:r w:rsidRPr="008D584F">
              <w:rPr>
                <w:b/>
                <w:bCs/>
                <w:sz w:val="22"/>
                <w:szCs w:val="22"/>
                <w:lang w:val="en-GB"/>
              </w:rPr>
              <w:t>≥ 0.5 mg/dl &lt;</w:t>
            </w:r>
            <w:r w:rsidRPr="001F30F9">
              <w:rPr>
                <w:b/>
                <w:w w:val="105"/>
                <w:sz w:val="20"/>
                <w:szCs w:val="22"/>
              </w:rPr>
              <w:t xml:space="preserve"> </w:t>
            </w:r>
            <w:r w:rsidRPr="001F30F9">
              <w:rPr>
                <w:b/>
                <w:bCs/>
                <w:sz w:val="22"/>
                <w:szCs w:val="22"/>
              </w:rPr>
              <w:t>u odnosu na početni nivo ili potvrđen nivo fosfata</w:t>
            </w:r>
            <w:r w:rsidRPr="008D584F">
              <w:rPr>
                <w:b/>
                <w:bCs/>
                <w:sz w:val="22"/>
                <w:szCs w:val="22"/>
                <w:lang w:val="en-GB"/>
              </w:rPr>
              <w:t xml:space="preserve"> 2 mg/dl</w:t>
            </w:r>
          </w:p>
          <w:p w:rsidR="004F3D93" w:rsidRPr="008D584F" w:rsidRDefault="004F3D93" w:rsidP="004F3D93">
            <w:pPr>
              <w:widowControl w:val="0"/>
              <w:autoSpaceDE w:val="0"/>
              <w:autoSpaceDN w:val="0"/>
              <w:spacing w:line="247" w:lineRule="auto"/>
              <w:ind w:right="506"/>
              <w:rPr>
                <w:sz w:val="22"/>
                <w:szCs w:val="22"/>
                <w:lang w:val="en-GB"/>
              </w:rPr>
            </w:pPr>
            <w:r w:rsidRPr="008D584F">
              <w:rPr>
                <w:sz w:val="22"/>
                <w:szCs w:val="22"/>
                <w:lang w:val="en-GB"/>
              </w:rPr>
              <w:t>n (%)</w:t>
            </w:r>
            <w:r w:rsidRPr="008D584F">
              <w:rPr>
                <w:sz w:val="22"/>
                <w:szCs w:val="22"/>
                <w:vertAlign w:val="superscript"/>
                <w:lang w:val="en-GB"/>
              </w:rPr>
              <w:t>b</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4 (9%)</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3 (7%)</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1 (5%)</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rPr>
                <w:sz w:val="22"/>
                <w:szCs w:val="22"/>
                <w:lang w:val="en-GB"/>
              </w:rPr>
            </w:pPr>
            <w:r>
              <w:rPr>
                <w:b/>
                <w:bCs/>
                <w:sz w:val="22"/>
                <w:szCs w:val="22"/>
                <w:lang w:val="en-GB"/>
              </w:rPr>
              <w:t>HBV DNK</w:t>
            </w:r>
            <w:r w:rsidRPr="008D584F">
              <w:rPr>
                <w:b/>
                <w:bCs/>
                <w:sz w:val="22"/>
                <w:szCs w:val="22"/>
                <w:lang w:val="en-GB"/>
              </w:rPr>
              <w:t xml:space="preserve"> n (%) </w:t>
            </w:r>
            <w:r>
              <w:rPr>
                <w:sz w:val="22"/>
                <w:szCs w:val="22"/>
                <w:lang w:val="en-GB"/>
              </w:rPr>
              <w:t>&lt; 400 kopija</w:t>
            </w:r>
            <w:r w:rsidRPr="008D584F">
              <w:rPr>
                <w:sz w:val="22"/>
                <w:szCs w:val="22"/>
                <w:lang w:val="en-GB"/>
              </w:rPr>
              <w:t>/</w:t>
            </w:r>
            <w:r w:rsidR="00B83CAB">
              <w:rPr>
                <w:sz w:val="22"/>
                <w:szCs w:val="22"/>
                <w:lang w:val="en-GB"/>
              </w:rPr>
              <w:t>ml</w:t>
            </w:r>
          </w:p>
          <w:p w:rsidR="004F3D93" w:rsidRPr="008D584F" w:rsidRDefault="004F3D93" w:rsidP="004F3D93">
            <w:pPr>
              <w:widowControl w:val="0"/>
              <w:autoSpaceDE w:val="0"/>
              <w:autoSpaceDN w:val="0"/>
              <w:spacing w:line="247" w:lineRule="auto"/>
              <w:ind w:right="506"/>
              <w:rPr>
                <w:sz w:val="22"/>
                <w:szCs w:val="22"/>
                <w:lang w:val="en-GB"/>
              </w:rPr>
            </w:pPr>
            <w:r w:rsidRPr="008D584F">
              <w:rPr>
                <w:sz w:val="22"/>
                <w:szCs w:val="22"/>
                <w:lang w:val="en-GB"/>
              </w:rPr>
              <w:t>n (%)</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31/44 (70%)</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36/41 (88%)</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16/22 (73%)</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rPr>
                <w:sz w:val="22"/>
                <w:szCs w:val="22"/>
                <w:lang w:val="en-GB"/>
              </w:rPr>
            </w:pPr>
            <w:r w:rsidRPr="008D584F">
              <w:rPr>
                <w:b/>
                <w:bCs/>
                <w:sz w:val="22"/>
                <w:szCs w:val="22"/>
                <w:lang w:val="en-GB"/>
              </w:rPr>
              <w:t>ALT n (%)</w:t>
            </w:r>
          </w:p>
          <w:p w:rsidR="004F3D93" w:rsidRPr="008D584F" w:rsidRDefault="004F3D93" w:rsidP="004F3D93">
            <w:pPr>
              <w:widowControl w:val="0"/>
              <w:autoSpaceDE w:val="0"/>
              <w:autoSpaceDN w:val="0"/>
              <w:spacing w:line="247" w:lineRule="auto"/>
              <w:ind w:right="506"/>
              <w:rPr>
                <w:sz w:val="22"/>
                <w:szCs w:val="22"/>
                <w:lang w:val="en-GB"/>
              </w:rPr>
            </w:pPr>
            <w:r w:rsidRPr="008D584F">
              <w:rPr>
                <w:sz w:val="22"/>
                <w:szCs w:val="22"/>
                <w:lang w:val="en-GB"/>
              </w:rPr>
              <w:t>Normal</w:t>
            </w:r>
            <w:r>
              <w:rPr>
                <w:sz w:val="22"/>
                <w:szCs w:val="22"/>
                <w:lang w:val="en-GB"/>
              </w:rPr>
              <w:t>ni</w:t>
            </w:r>
            <w:r w:rsidRPr="008D584F">
              <w:rPr>
                <w:sz w:val="22"/>
                <w:szCs w:val="22"/>
                <w:lang w:val="en-GB"/>
              </w:rPr>
              <w:t xml:space="preserve"> ALT</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25/44 (57%)</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31/41 (76%)</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12/22 (55%)</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E34588" w:rsidRDefault="004F3D93" w:rsidP="004F3D93">
            <w:pPr>
              <w:widowControl w:val="0"/>
              <w:autoSpaceDE w:val="0"/>
              <w:autoSpaceDN w:val="0"/>
              <w:spacing w:line="247" w:lineRule="auto"/>
              <w:ind w:right="506"/>
              <w:rPr>
                <w:b/>
                <w:bCs/>
                <w:sz w:val="22"/>
                <w:szCs w:val="22"/>
              </w:rPr>
            </w:pPr>
            <w:r w:rsidRPr="00E34588">
              <w:rPr>
                <w:b/>
                <w:bCs/>
                <w:sz w:val="22"/>
                <w:szCs w:val="22"/>
              </w:rPr>
              <w:t>Smanjenje CPT skora</w:t>
            </w:r>
          </w:p>
          <w:p w:rsidR="004F3D93" w:rsidRPr="008D584F" w:rsidRDefault="004F3D93" w:rsidP="004F3D93">
            <w:pPr>
              <w:widowControl w:val="0"/>
              <w:autoSpaceDE w:val="0"/>
              <w:autoSpaceDN w:val="0"/>
              <w:spacing w:line="247" w:lineRule="auto"/>
              <w:ind w:right="506"/>
              <w:rPr>
                <w:sz w:val="22"/>
                <w:szCs w:val="22"/>
                <w:lang w:val="en-GB"/>
              </w:rPr>
            </w:pPr>
            <w:r w:rsidRPr="008D584F">
              <w:rPr>
                <w:b/>
                <w:bCs/>
                <w:sz w:val="22"/>
                <w:szCs w:val="22"/>
                <w:lang w:val="en-GB"/>
              </w:rPr>
              <w:t xml:space="preserve">≥ 2 </w:t>
            </w:r>
            <w:r>
              <w:rPr>
                <w:b/>
                <w:bCs/>
                <w:sz w:val="22"/>
                <w:szCs w:val="22"/>
                <w:lang w:val="en-GB"/>
              </w:rPr>
              <w:t>u odnosu na početni</w:t>
            </w:r>
          </w:p>
          <w:p w:rsidR="004F3D93" w:rsidRPr="008D584F" w:rsidRDefault="004F3D93" w:rsidP="004F3D93">
            <w:pPr>
              <w:widowControl w:val="0"/>
              <w:autoSpaceDE w:val="0"/>
              <w:autoSpaceDN w:val="0"/>
              <w:spacing w:line="247" w:lineRule="auto"/>
              <w:ind w:right="506"/>
              <w:rPr>
                <w:sz w:val="22"/>
                <w:szCs w:val="22"/>
                <w:lang w:val="en-GB"/>
              </w:rPr>
            </w:pPr>
            <w:r w:rsidRPr="008D584F">
              <w:rPr>
                <w:sz w:val="22"/>
                <w:szCs w:val="22"/>
                <w:lang w:val="en-GB"/>
              </w:rPr>
              <w:t>n (%)</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7/27 (26%)</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12/25 (48%)</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5/12 (42%)</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0E152E" w:rsidRDefault="004F3D93" w:rsidP="004F3D93">
            <w:pPr>
              <w:widowControl w:val="0"/>
              <w:autoSpaceDE w:val="0"/>
              <w:autoSpaceDN w:val="0"/>
              <w:spacing w:line="247" w:lineRule="auto"/>
              <w:ind w:right="506"/>
              <w:rPr>
                <w:b/>
                <w:bCs/>
                <w:sz w:val="22"/>
                <w:szCs w:val="22"/>
              </w:rPr>
            </w:pPr>
            <w:r w:rsidRPr="000E152E">
              <w:rPr>
                <w:b/>
                <w:bCs/>
                <w:sz w:val="22"/>
                <w:szCs w:val="22"/>
              </w:rPr>
              <w:t>Srednja razlika CPT skora u odnosu na</w:t>
            </w:r>
          </w:p>
          <w:p w:rsidR="004F3D93" w:rsidRPr="008D584F" w:rsidRDefault="004F3D93" w:rsidP="004F3D93">
            <w:pPr>
              <w:widowControl w:val="0"/>
              <w:autoSpaceDE w:val="0"/>
              <w:autoSpaceDN w:val="0"/>
              <w:spacing w:line="247" w:lineRule="auto"/>
              <w:ind w:right="506"/>
              <w:rPr>
                <w:sz w:val="22"/>
                <w:szCs w:val="22"/>
                <w:lang w:val="en-GB"/>
              </w:rPr>
            </w:pPr>
            <w:r w:rsidRPr="000E152E">
              <w:rPr>
                <w:b/>
                <w:bCs/>
                <w:sz w:val="22"/>
                <w:szCs w:val="22"/>
              </w:rPr>
              <w:t>početni</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-0.8</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-0.9</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-1.3</w:t>
            </w:r>
          </w:p>
        </w:tc>
      </w:tr>
      <w:tr w:rsidR="004F3D93" w:rsidRPr="008D584F" w:rsidTr="004F3D93">
        <w:tc>
          <w:tcPr>
            <w:tcW w:w="13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B4FFD" w:rsidRDefault="004F3D93" w:rsidP="004F3D93">
            <w:pPr>
              <w:widowControl w:val="0"/>
              <w:autoSpaceDE w:val="0"/>
              <w:autoSpaceDN w:val="0"/>
              <w:spacing w:line="247" w:lineRule="auto"/>
              <w:ind w:right="506"/>
              <w:rPr>
                <w:b/>
                <w:sz w:val="22"/>
                <w:szCs w:val="22"/>
                <w:lang w:val="en-GB"/>
              </w:rPr>
            </w:pPr>
            <w:r w:rsidRPr="008B4FFD">
              <w:rPr>
                <w:b/>
                <w:sz w:val="22"/>
                <w:szCs w:val="22"/>
                <w:lang w:val="en-GB"/>
              </w:rPr>
              <w:t>Srednja razlika MELD</w:t>
            </w:r>
            <w:r w:rsidRPr="008B4FFD">
              <w:rPr>
                <w:b/>
              </w:rPr>
              <w:t xml:space="preserve"> </w:t>
            </w:r>
            <w:r w:rsidRPr="008B4FFD">
              <w:rPr>
                <w:b/>
                <w:sz w:val="22"/>
                <w:szCs w:val="22"/>
                <w:lang w:val="en-GB"/>
              </w:rPr>
              <w:t>skora u odnosu na početni</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-1.8</w:t>
            </w:r>
          </w:p>
        </w:tc>
        <w:tc>
          <w:tcPr>
            <w:tcW w:w="125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-2.3</w:t>
            </w:r>
          </w:p>
        </w:tc>
        <w:tc>
          <w:tcPr>
            <w:tcW w:w="1200" w:type="pct"/>
            <w:tcBorders>
              <w:top w:val="outset" w:sz="6" w:space="0" w:color="7B7B7B"/>
              <w:left w:val="outset" w:sz="6" w:space="0" w:color="7B7B7B"/>
              <w:bottom w:val="outset" w:sz="6" w:space="0" w:color="7B7B7B"/>
              <w:right w:val="outset" w:sz="6" w:space="0" w:color="7B7B7B"/>
            </w:tcBorders>
            <w:shd w:val="clear" w:color="auto" w:fill="FFFFFF"/>
            <w:hideMark/>
          </w:tcPr>
          <w:p w:rsidR="004F3D93" w:rsidRPr="008D584F" w:rsidRDefault="004F3D93" w:rsidP="004F3D93">
            <w:pPr>
              <w:widowControl w:val="0"/>
              <w:autoSpaceDE w:val="0"/>
              <w:autoSpaceDN w:val="0"/>
              <w:spacing w:line="247" w:lineRule="auto"/>
              <w:ind w:right="506"/>
              <w:jc w:val="center"/>
              <w:rPr>
                <w:sz w:val="22"/>
                <w:szCs w:val="22"/>
                <w:lang w:val="en-GB"/>
              </w:rPr>
            </w:pPr>
            <w:r w:rsidRPr="008D584F">
              <w:rPr>
                <w:sz w:val="22"/>
                <w:szCs w:val="22"/>
                <w:lang w:val="en-GB"/>
              </w:rPr>
              <w:t>-2.6</w:t>
            </w:r>
          </w:p>
        </w:tc>
      </w:tr>
    </w:tbl>
    <w:p w:rsidR="004F3D93" w:rsidRPr="004F3D93" w:rsidRDefault="004F3D93" w:rsidP="004F3D93">
      <w:pPr>
        <w:tabs>
          <w:tab w:val="left" w:pos="540"/>
          <w:tab w:val="left" w:pos="569"/>
        </w:tabs>
        <w:jc w:val="both"/>
        <w:rPr>
          <w:bCs/>
          <w:sz w:val="20"/>
          <w:szCs w:val="20"/>
        </w:rPr>
      </w:pPr>
      <w:r w:rsidRPr="004F3D93">
        <w:rPr>
          <w:bCs/>
          <w:sz w:val="20"/>
          <w:szCs w:val="20"/>
          <w:vertAlign w:val="superscript"/>
        </w:rPr>
        <w:t>a</w:t>
      </w:r>
      <w:r w:rsidRPr="004F3D93">
        <w:rPr>
          <w:bCs/>
          <w:sz w:val="20"/>
          <w:szCs w:val="20"/>
        </w:rPr>
        <w:t>p-vr</w:t>
      </w:r>
      <w:r>
        <w:rPr>
          <w:bCs/>
          <w:sz w:val="20"/>
          <w:szCs w:val="20"/>
        </w:rPr>
        <w:t>ij</w:t>
      </w:r>
      <w:r w:rsidRPr="004F3D93">
        <w:rPr>
          <w:bCs/>
          <w:sz w:val="20"/>
          <w:szCs w:val="20"/>
        </w:rPr>
        <w:t>ednost poredeći kombinovane tenofovirske grupe sa entakavirskom grupom = 0,622</w:t>
      </w:r>
    </w:p>
    <w:p w:rsidR="004F3D93" w:rsidRPr="004F3D93" w:rsidRDefault="004F3D93" w:rsidP="004F3D93">
      <w:pPr>
        <w:tabs>
          <w:tab w:val="left" w:pos="540"/>
          <w:tab w:val="left" w:pos="569"/>
        </w:tabs>
        <w:jc w:val="both"/>
        <w:rPr>
          <w:bCs/>
          <w:sz w:val="20"/>
          <w:szCs w:val="20"/>
        </w:rPr>
      </w:pPr>
      <w:r w:rsidRPr="004F3D93">
        <w:rPr>
          <w:bCs/>
          <w:sz w:val="20"/>
          <w:szCs w:val="20"/>
          <w:vertAlign w:val="superscript"/>
        </w:rPr>
        <w:t>b</w:t>
      </w:r>
      <w:r w:rsidRPr="004F3D93">
        <w:rPr>
          <w:bCs/>
          <w:sz w:val="20"/>
          <w:szCs w:val="20"/>
        </w:rPr>
        <w:t>p-vr</w:t>
      </w:r>
      <w:r>
        <w:rPr>
          <w:bCs/>
          <w:sz w:val="20"/>
          <w:szCs w:val="20"/>
        </w:rPr>
        <w:t>ij</w:t>
      </w:r>
      <w:r w:rsidRPr="004F3D93">
        <w:rPr>
          <w:bCs/>
          <w:sz w:val="20"/>
          <w:szCs w:val="20"/>
        </w:rPr>
        <w:t>ednost poredeći kombinovane tenofovirske grupe sa entakavirskom grupom = 1,000</w:t>
      </w:r>
    </w:p>
    <w:p w:rsidR="00E4312F" w:rsidRPr="004F3D93" w:rsidRDefault="00E4312F" w:rsidP="0074527F">
      <w:pPr>
        <w:tabs>
          <w:tab w:val="left" w:pos="540"/>
          <w:tab w:val="left" w:pos="569"/>
        </w:tabs>
        <w:jc w:val="both"/>
        <w:rPr>
          <w:bCs/>
          <w:sz w:val="20"/>
          <w:szCs w:val="20"/>
        </w:rPr>
      </w:pPr>
    </w:p>
    <w:p w:rsidR="00140452" w:rsidRDefault="00140452" w:rsidP="00750368">
      <w:pPr>
        <w:tabs>
          <w:tab w:val="left" w:pos="540"/>
          <w:tab w:val="left" w:pos="569"/>
        </w:tabs>
        <w:jc w:val="both"/>
        <w:rPr>
          <w:bCs/>
          <w:i/>
          <w:sz w:val="22"/>
          <w:szCs w:val="22"/>
        </w:rPr>
      </w:pPr>
    </w:p>
    <w:p w:rsidR="00140452" w:rsidRDefault="00140452" w:rsidP="00750368">
      <w:pPr>
        <w:tabs>
          <w:tab w:val="left" w:pos="540"/>
          <w:tab w:val="left" w:pos="569"/>
        </w:tabs>
        <w:jc w:val="both"/>
        <w:rPr>
          <w:bCs/>
          <w:i/>
          <w:sz w:val="22"/>
          <w:szCs w:val="22"/>
        </w:rPr>
      </w:pPr>
    </w:p>
    <w:p w:rsidR="00750368" w:rsidRPr="00750368" w:rsidRDefault="00750368" w:rsidP="00750368">
      <w:pPr>
        <w:tabs>
          <w:tab w:val="left" w:pos="540"/>
          <w:tab w:val="left" w:pos="569"/>
        </w:tabs>
        <w:jc w:val="both"/>
        <w:rPr>
          <w:bCs/>
          <w:i/>
          <w:sz w:val="22"/>
          <w:szCs w:val="22"/>
        </w:rPr>
      </w:pPr>
      <w:r w:rsidRPr="00750368">
        <w:rPr>
          <w:bCs/>
          <w:i/>
          <w:sz w:val="22"/>
          <w:szCs w:val="22"/>
        </w:rPr>
        <w:t>Iskustvo nakon 48 ned</w:t>
      </w:r>
      <w:r w:rsidR="00243148">
        <w:rPr>
          <w:bCs/>
          <w:i/>
          <w:sz w:val="22"/>
          <w:szCs w:val="22"/>
        </w:rPr>
        <w:t>j</w:t>
      </w:r>
      <w:r w:rsidRPr="00750368">
        <w:rPr>
          <w:bCs/>
          <w:i/>
          <w:sz w:val="22"/>
          <w:szCs w:val="22"/>
        </w:rPr>
        <w:t>elja u studiji GS-US-174-0108</w:t>
      </w:r>
    </w:p>
    <w:p w:rsidR="00750368" w:rsidRPr="00750368" w:rsidRDefault="00140452" w:rsidP="00750368">
      <w:pPr>
        <w:tabs>
          <w:tab w:val="left" w:pos="540"/>
          <w:tab w:val="left" w:pos="569"/>
        </w:tabs>
        <w:jc w:val="both"/>
        <w:rPr>
          <w:bCs/>
          <w:sz w:val="22"/>
          <w:szCs w:val="22"/>
        </w:rPr>
      </w:pPr>
      <w:r>
        <w:rPr>
          <w:bCs/>
          <w:sz w:val="22"/>
          <w:szCs w:val="22"/>
        </w:rPr>
        <w:t>A</w:t>
      </w:r>
      <w:r w:rsidR="00750368" w:rsidRPr="00750368">
        <w:rPr>
          <w:bCs/>
          <w:sz w:val="22"/>
          <w:szCs w:val="22"/>
        </w:rPr>
        <w:t>naliz</w:t>
      </w:r>
      <w:r>
        <w:rPr>
          <w:bCs/>
          <w:sz w:val="22"/>
          <w:szCs w:val="22"/>
        </w:rPr>
        <w:t>a podataka o ispitanicima koji nijesu dovršili ispitivanje/promjeni terapije=neuspjeh</w:t>
      </w:r>
      <w:r w:rsidR="00750368" w:rsidRPr="00750368">
        <w:rPr>
          <w:bCs/>
          <w:sz w:val="22"/>
          <w:szCs w:val="22"/>
        </w:rPr>
        <w:t xml:space="preserve"> (engl. </w:t>
      </w:r>
      <w:r w:rsidR="00750368" w:rsidRPr="00750368">
        <w:rPr>
          <w:bCs/>
          <w:i/>
          <w:sz w:val="22"/>
          <w:szCs w:val="22"/>
        </w:rPr>
        <w:t>noncompleter/switch = failure)</w:t>
      </w:r>
      <w:r w:rsidR="0020581D">
        <w:rPr>
          <w:bCs/>
          <w:i/>
          <w:sz w:val="22"/>
          <w:szCs w:val="22"/>
        </w:rPr>
        <w:t xml:space="preserve">, </w:t>
      </w:r>
      <w:r>
        <w:rPr>
          <w:bCs/>
          <w:sz w:val="22"/>
          <w:szCs w:val="22"/>
        </w:rPr>
        <w:t>pokazala je da su</w:t>
      </w:r>
      <w:r w:rsidR="00750368" w:rsidRPr="00750368">
        <w:rPr>
          <w:bCs/>
          <w:sz w:val="22"/>
          <w:szCs w:val="22"/>
        </w:rPr>
        <w:t xml:space="preserve"> 50% (21/42) ispitanika na terapiji tenofovir</w:t>
      </w:r>
      <w:r w:rsidR="00750368">
        <w:rPr>
          <w:bCs/>
          <w:sz w:val="22"/>
          <w:szCs w:val="22"/>
        </w:rPr>
        <w:t xml:space="preserve"> </w:t>
      </w:r>
      <w:r w:rsidR="00750368" w:rsidRPr="00750368">
        <w:rPr>
          <w:bCs/>
          <w:sz w:val="22"/>
          <w:szCs w:val="22"/>
        </w:rPr>
        <w:t>dizoproksilom, 76% (28/37) na terapiji emtricitabinom i tenofovir</w:t>
      </w:r>
      <w:r w:rsidR="00750368">
        <w:rPr>
          <w:bCs/>
          <w:sz w:val="22"/>
          <w:szCs w:val="22"/>
        </w:rPr>
        <w:t xml:space="preserve"> </w:t>
      </w:r>
      <w:r w:rsidR="00750368" w:rsidRPr="00750368">
        <w:rPr>
          <w:bCs/>
          <w:sz w:val="22"/>
          <w:szCs w:val="22"/>
        </w:rPr>
        <w:t>dizoproksilom i 52% (11/21) na terapiji entakavirom</w:t>
      </w:r>
      <w:r w:rsidR="00627A6E">
        <w:rPr>
          <w:bCs/>
          <w:sz w:val="22"/>
          <w:szCs w:val="22"/>
        </w:rPr>
        <w:t>,</w:t>
      </w:r>
      <w:r w:rsidR="00750368" w:rsidRPr="00750368">
        <w:rPr>
          <w:bCs/>
          <w:sz w:val="22"/>
          <w:szCs w:val="22"/>
        </w:rPr>
        <w:t xml:space="preserve"> postigli HBV DNK &lt; 400 kopija/</w:t>
      </w:r>
      <w:r w:rsidR="00B83CAB">
        <w:rPr>
          <w:bCs/>
          <w:sz w:val="22"/>
          <w:szCs w:val="22"/>
        </w:rPr>
        <w:t>ml</w:t>
      </w:r>
      <w:r w:rsidR="00750368" w:rsidRPr="00750368">
        <w:rPr>
          <w:bCs/>
          <w:sz w:val="22"/>
          <w:szCs w:val="22"/>
        </w:rPr>
        <w:t xml:space="preserve"> u 168. ned</w:t>
      </w:r>
      <w:r w:rsidR="00750368">
        <w:rPr>
          <w:bCs/>
          <w:sz w:val="22"/>
          <w:szCs w:val="22"/>
        </w:rPr>
        <w:t>j</w:t>
      </w:r>
      <w:r w:rsidR="00750368" w:rsidRPr="00750368">
        <w:rPr>
          <w:bCs/>
          <w:sz w:val="22"/>
          <w:szCs w:val="22"/>
        </w:rPr>
        <w:t>elji.</w:t>
      </w:r>
    </w:p>
    <w:p w:rsidR="00750368" w:rsidRPr="00750368" w:rsidRDefault="00750368" w:rsidP="00750368">
      <w:pPr>
        <w:tabs>
          <w:tab w:val="left" w:pos="540"/>
          <w:tab w:val="left" w:pos="569"/>
        </w:tabs>
        <w:jc w:val="both"/>
        <w:rPr>
          <w:bCs/>
          <w:sz w:val="22"/>
          <w:szCs w:val="22"/>
        </w:rPr>
      </w:pPr>
    </w:p>
    <w:p w:rsidR="00750368" w:rsidRDefault="00750368" w:rsidP="00750368">
      <w:pPr>
        <w:tabs>
          <w:tab w:val="left" w:pos="540"/>
          <w:tab w:val="left" w:pos="569"/>
        </w:tabs>
        <w:jc w:val="both"/>
        <w:rPr>
          <w:bCs/>
          <w:i/>
          <w:sz w:val="22"/>
          <w:szCs w:val="22"/>
        </w:rPr>
      </w:pPr>
      <w:r w:rsidRPr="00750368">
        <w:rPr>
          <w:bCs/>
          <w:i/>
          <w:sz w:val="22"/>
          <w:szCs w:val="22"/>
        </w:rPr>
        <w:t>Iskustva kod pacijenata sa HBV –om rezistentnim na lamivudin u 240. ned</w:t>
      </w:r>
      <w:r>
        <w:rPr>
          <w:bCs/>
          <w:i/>
          <w:sz w:val="22"/>
          <w:szCs w:val="22"/>
        </w:rPr>
        <w:t>j</w:t>
      </w:r>
      <w:r w:rsidRPr="00750368">
        <w:rPr>
          <w:bCs/>
          <w:i/>
          <w:sz w:val="22"/>
          <w:szCs w:val="22"/>
        </w:rPr>
        <w:t xml:space="preserve">elji (studija GS-US-174-0121) </w:t>
      </w:r>
    </w:p>
    <w:p w:rsidR="00750368" w:rsidRPr="00750368" w:rsidRDefault="00750368" w:rsidP="00750368">
      <w:pPr>
        <w:tabs>
          <w:tab w:val="left" w:pos="540"/>
          <w:tab w:val="left" w:pos="569"/>
        </w:tabs>
        <w:jc w:val="both"/>
        <w:rPr>
          <w:bCs/>
          <w:sz w:val="22"/>
          <w:szCs w:val="22"/>
        </w:rPr>
      </w:pPr>
      <w:r w:rsidRPr="00750368">
        <w:rPr>
          <w:bCs/>
          <w:sz w:val="22"/>
          <w:szCs w:val="22"/>
        </w:rPr>
        <w:t>Efikasnost i bezb</w:t>
      </w:r>
      <w:r>
        <w:rPr>
          <w:bCs/>
          <w:sz w:val="22"/>
          <w:szCs w:val="22"/>
        </w:rPr>
        <w:t>j</w:t>
      </w:r>
      <w:r w:rsidRPr="00750368">
        <w:rPr>
          <w:bCs/>
          <w:sz w:val="22"/>
          <w:szCs w:val="22"/>
        </w:rPr>
        <w:t>ednost 245 mg tenofovir</w:t>
      </w:r>
      <w:r>
        <w:rPr>
          <w:bCs/>
          <w:sz w:val="22"/>
          <w:szCs w:val="22"/>
        </w:rPr>
        <w:t xml:space="preserve"> </w:t>
      </w:r>
      <w:r w:rsidRPr="00750368">
        <w:rPr>
          <w:bCs/>
          <w:sz w:val="22"/>
          <w:szCs w:val="22"/>
        </w:rPr>
        <w:t>dizoproksila je proc</w:t>
      </w:r>
      <w:r>
        <w:rPr>
          <w:bCs/>
          <w:sz w:val="22"/>
          <w:szCs w:val="22"/>
        </w:rPr>
        <w:t>j</w:t>
      </w:r>
      <w:r w:rsidRPr="00750368">
        <w:rPr>
          <w:bCs/>
          <w:sz w:val="22"/>
          <w:szCs w:val="22"/>
        </w:rPr>
        <w:t>enjivana u randomizovanoj dvostruko sl</w:t>
      </w:r>
      <w:r>
        <w:rPr>
          <w:bCs/>
          <w:sz w:val="22"/>
          <w:szCs w:val="22"/>
        </w:rPr>
        <w:t>ij</w:t>
      </w:r>
      <w:r w:rsidRPr="00750368">
        <w:rPr>
          <w:bCs/>
          <w:sz w:val="22"/>
          <w:szCs w:val="22"/>
        </w:rPr>
        <w:t xml:space="preserve">epoj </w:t>
      </w:r>
      <w:r>
        <w:rPr>
          <w:bCs/>
          <w:sz w:val="22"/>
          <w:szCs w:val="22"/>
        </w:rPr>
        <w:t xml:space="preserve">studiji (GS-US-174-0121) </w:t>
      </w:r>
      <w:r w:rsidRPr="00750368">
        <w:rPr>
          <w:bCs/>
          <w:sz w:val="22"/>
          <w:szCs w:val="22"/>
        </w:rPr>
        <w:t xml:space="preserve">kod HBeAg </w:t>
      </w:r>
      <w:r>
        <w:rPr>
          <w:bCs/>
          <w:sz w:val="22"/>
          <w:szCs w:val="22"/>
        </w:rPr>
        <w:t xml:space="preserve">pozitivnih i </w:t>
      </w:r>
      <w:r w:rsidRPr="00750368">
        <w:rPr>
          <w:bCs/>
          <w:sz w:val="22"/>
          <w:szCs w:val="22"/>
        </w:rPr>
        <w:t xml:space="preserve">HBeAg </w:t>
      </w:r>
      <w:r>
        <w:rPr>
          <w:bCs/>
          <w:sz w:val="22"/>
          <w:szCs w:val="22"/>
        </w:rPr>
        <w:t xml:space="preserve">negativnih </w:t>
      </w:r>
      <w:r w:rsidRPr="00750368">
        <w:rPr>
          <w:bCs/>
          <w:sz w:val="22"/>
          <w:szCs w:val="22"/>
        </w:rPr>
        <w:t>pacijenata (n = 280) sa    kompenzovanim oboljenjem jetre, viremijom (vr</w:t>
      </w:r>
      <w:r>
        <w:rPr>
          <w:bCs/>
          <w:sz w:val="22"/>
          <w:szCs w:val="22"/>
        </w:rPr>
        <w:t>ij</w:t>
      </w:r>
      <w:r w:rsidRPr="00750368">
        <w:rPr>
          <w:bCs/>
          <w:sz w:val="22"/>
          <w:szCs w:val="22"/>
        </w:rPr>
        <w:t>ednosti HBV DNK ≥ 1000 i.j./</w:t>
      </w:r>
      <w:r w:rsidR="00B83CAB">
        <w:rPr>
          <w:bCs/>
          <w:sz w:val="22"/>
          <w:szCs w:val="22"/>
        </w:rPr>
        <w:t>ml</w:t>
      </w:r>
      <w:r w:rsidRPr="00750368">
        <w:rPr>
          <w:bCs/>
          <w:sz w:val="22"/>
          <w:szCs w:val="22"/>
        </w:rPr>
        <w:t>) i genotipskim dokazom  o rezistenciji na lamivudin (rtM204I/V +/- rtL180M). Samo pet pacijenata je imalo mutacije povezane sa rezistencijom na adefovir na početku. Sto četrdeset i jedan odrasli pacijent je randomizovan za l</w:t>
      </w:r>
      <w:r>
        <w:rPr>
          <w:bCs/>
          <w:sz w:val="22"/>
          <w:szCs w:val="22"/>
        </w:rPr>
        <w:t>ij</w:t>
      </w:r>
      <w:r w:rsidRPr="00750368">
        <w:rPr>
          <w:bCs/>
          <w:sz w:val="22"/>
          <w:szCs w:val="22"/>
        </w:rPr>
        <w:t>ečenje</w:t>
      </w:r>
      <w:r>
        <w:rPr>
          <w:bCs/>
          <w:sz w:val="22"/>
          <w:szCs w:val="22"/>
        </w:rPr>
        <w:t xml:space="preserve"> </w:t>
      </w:r>
      <w:r w:rsidRPr="00750368">
        <w:rPr>
          <w:bCs/>
          <w:sz w:val="22"/>
          <w:szCs w:val="22"/>
        </w:rPr>
        <w:t>tenofovir</w:t>
      </w:r>
      <w:r>
        <w:rPr>
          <w:bCs/>
          <w:sz w:val="22"/>
          <w:szCs w:val="22"/>
        </w:rPr>
        <w:t xml:space="preserve"> </w:t>
      </w:r>
      <w:r w:rsidRPr="00750368">
        <w:rPr>
          <w:bCs/>
          <w:sz w:val="22"/>
          <w:szCs w:val="22"/>
        </w:rPr>
        <w:t>dizoproksilom, a 139 odraslih pacijenata je randomizovano za l</w:t>
      </w:r>
      <w:r>
        <w:rPr>
          <w:bCs/>
          <w:sz w:val="22"/>
          <w:szCs w:val="22"/>
        </w:rPr>
        <w:t>ij</w:t>
      </w:r>
      <w:r w:rsidRPr="00750368">
        <w:rPr>
          <w:bCs/>
          <w:sz w:val="22"/>
          <w:szCs w:val="22"/>
        </w:rPr>
        <w:t>ečenje kombinacijom emtricitabina i tenofovir</w:t>
      </w:r>
      <w:r>
        <w:rPr>
          <w:bCs/>
          <w:sz w:val="22"/>
          <w:szCs w:val="22"/>
        </w:rPr>
        <w:t xml:space="preserve"> </w:t>
      </w:r>
      <w:r w:rsidRPr="00750368">
        <w:rPr>
          <w:bCs/>
          <w:sz w:val="22"/>
          <w:szCs w:val="22"/>
        </w:rPr>
        <w:t>dizoproksila. Početni demografski podaci ob</w:t>
      </w:r>
      <w:r>
        <w:rPr>
          <w:bCs/>
          <w:sz w:val="22"/>
          <w:szCs w:val="22"/>
        </w:rPr>
        <w:t>j</w:t>
      </w:r>
      <w:r w:rsidRPr="00750368">
        <w:rPr>
          <w:bCs/>
          <w:sz w:val="22"/>
          <w:szCs w:val="22"/>
        </w:rPr>
        <w:t>e grupe su bili slični: na početnom pregledu, 52,5% pacijenata je bilo HBeAg negativno, 47,5% je bilo HBeAg pozitivno, srednja vr</w:t>
      </w:r>
      <w:r>
        <w:rPr>
          <w:bCs/>
          <w:sz w:val="22"/>
          <w:szCs w:val="22"/>
        </w:rPr>
        <w:t>ij</w:t>
      </w:r>
      <w:r w:rsidRPr="00750368">
        <w:rPr>
          <w:bCs/>
          <w:sz w:val="22"/>
          <w:szCs w:val="22"/>
        </w:rPr>
        <w:t>ednost HBV DNK je bila  6,5 log</w:t>
      </w:r>
      <w:r w:rsidRPr="00750368">
        <w:rPr>
          <w:bCs/>
          <w:sz w:val="22"/>
          <w:szCs w:val="22"/>
          <w:vertAlign w:val="subscript"/>
        </w:rPr>
        <w:t>10</w:t>
      </w:r>
      <w:r w:rsidRPr="00750368">
        <w:rPr>
          <w:bCs/>
          <w:sz w:val="22"/>
          <w:szCs w:val="22"/>
        </w:rPr>
        <w:t xml:space="preserve"> kopija/</w:t>
      </w:r>
      <w:r w:rsidR="00B83CAB">
        <w:rPr>
          <w:bCs/>
          <w:sz w:val="22"/>
          <w:szCs w:val="22"/>
        </w:rPr>
        <w:t>ml</w:t>
      </w:r>
      <w:r w:rsidRPr="00750368">
        <w:rPr>
          <w:bCs/>
          <w:sz w:val="22"/>
          <w:szCs w:val="22"/>
        </w:rPr>
        <w:t>, a srednja vr</w:t>
      </w:r>
      <w:r>
        <w:rPr>
          <w:bCs/>
          <w:sz w:val="22"/>
          <w:szCs w:val="22"/>
        </w:rPr>
        <w:t>ij</w:t>
      </w:r>
      <w:r w:rsidRPr="00750368">
        <w:rPr>
          <w:bCs/>
          <w:sz w:val="22"/>
          <w:szCs w:val="22"/>
        </w:rPr>
        <w:t>ednost ALT je bila 79 jedinica/</w:t>
      </w:r>
      <w:r w:rsidR="00140452">
        <w:rPr>
          <w:bCs/>
          <w:sz w:val="22"/>
          <w:szCs w:val="22"/>
        </w:rPr>
        <w:t>l</w:t>
      </w:r>
      <w:r w:rsidRPr="00750368">
        <w:rPr>
          <w:bCs/>
          <w:sz w:val="22"/>
          <w:szCs w:val="22"/>
        </w:rPr>
        <w:t>, tim redosl</w:t>
      </w:r>
      <w:r w:rsidR="00140452">
        <w:rPr>
          <w:bCs/>
          <w:sz w:val="22"/>
          <w:szCs w:val="22"/>
        </w:rPr>
        <w:t>j</w:t>
      </w:r>
      <w:r w:rsidRPr="00750368">
        <w:rPr>
          <w:bCs/>
          <w:sz w:val="22"/>
          <w:szCs w:val="22"/>
        </w:rPr>
        <w:t>edom.</w:t>
      </w:r>
    </w:p>
    <w:p w:rsidR="00750368" w:rsidRPr="00750368" w:rsidRDefault="00750368" w:rsidP="00750368">
      <w:pPr>
        <w:tabs>
          <w:tab w:val="left" w:pos="540"/>
          <w:tab w:val="left" w:pos="569"/>
        </w:tabs>
        <w:jc w:val="both"/>
        <w:rPr>
          <w:bCs/>
          <w:sz w:val="22"/>
          <w:szCs w:val="22"/>
        </w:rPr>
      </w:pPr>
    </w:p>
    <w:p w:rsidR="00750368" w:rsidRPr="00750368" w:rsidRDefault="00750368" w:rsidP="00750368">
      <w:pPr>
        <w:tabs>
          <w:tab w:val="left" w:pos="540"/>
          <w:tab w:val="left" w:pos="569"/>
        </w:tabs>
        <w:jc w:val="both"/>
        <w:rPr>
          <w:bCs/>
          <w:sz w:val="22"/>
          <w:szCs w:val="22"/>
        </w:rPr>
      </w:pPr>
      <w:r w:rsidRPr="00750368">
        <w:rPr>
          <w:bCs/>
          <w:sz w:val="22"/>
          <w:szCs w:val="22"/>
        </w:rPr>
        <w:t>Nakon 240 ned</w:t>
      </w:r>
      <w:r>
        <w:rPr>
          <w:bCs/>
          <w:sz w:val="22"/>
          <w:szCs w:val="22"/>
        </w:rPr>
        <w:t>j</w:t>
      </w:r>
      <w:r w:rsidRPr="00750368">
        <w:rPr>
          <w:bCs/>
          <w:sz w:val="22"/>
          <w:szCs w:val="22"/>
        </w:rPr>
        <w:t>elja l</w:t>
      </w:r>
      <w:r>
        <w:rPr>
          <w:bCs/>
          <w:sz w:val="22"/>
          <w:szCs w:val="22"/>
        </w:rPr>
        <w:t>ij</w:t>
      </w:r>
      <w:r w:rsidRPr="00750368">
        <w:rPr>
          <w:bCs/>
          <w:sz w:val="22"/>
          <w:szCs w:val="22"/>
        </w:rPr>
        <w:t>ečenja, 117 od 141 pacijenta (83%) randomizovanog za l</w:t>
      </w:r>
      <w:r>
        <w:rPr>
          <w:bCs/>
          <w:sz w:val="22"/>
          <w:szCs w:val="22"/>
        </w:rPr>
        <w:t>ij</w:t>
      </w:r>
      <w:r w:rsidRPr="00750368">
        <w:rPr>
          <w:bCs/>
          <w:sz w:val="22"/>
          <w:szCs w:val="22"/>
        </w:rPr>
        <w:t>ečenje tenofovir</w:t>
      </w:r>
      <w:r>
        <w:rPr>
          <w:bCs/>
          <w:sz w:val="22"/>
          <w:szCs w:val="22"/>
        </w:rPr>
        <w:t xml:space="preserve"> </w:t>
      </w:r>
      <w:r w:rsidRPr="00750368">
        <w:rPr>
          <w:bCs/>
          <w:sz w:val="22"/>
          <w:szCs w:val="22"/>
        </w:rPr>
        <w:t>dizoproksilom je imalo HBV DNK &lt; 400 kopija/</w:t>
      </w:r>
      <w:r w:rsidR="00B83CAB">
        <w:rPr>
          <w:bCs/>
          <w:sz w:val="22"/>
          <w:szCs w:val="22"/>
        </w:rPr>
        <w:t>ml</w:t>
      </w:r>
      <w:r w:rsidRPr="00750368">
        <w:rPr>
          <w:bCs/>
          <w:sz w:val="22"/>
          <w:szCs w:val="22"/>
        </w:rPr>
        <w:t>, a 51 od 79 pacijenata (65%) je imalo normalizaciju ALT-a. Nakon 240 ned</w:t>
      </w:r>
      <w:r>
        <w:rPr>
          <w:bCs/>
          <w:sz w:val="22"/>
          <w:szCs w:val="22"/>
        </w:rPr>
        <w:t>j</w:t>
      </w:r>
      <w:r w:rsidRPr="00750368">
        <w:rPr>
          <w:bCs/>
          <w:sz w:val="22"/>
          <w:szCs w:val="22"/>
        </w:rPr>
        <w:t>elja l</w:t>
      </w:r>
      <w:r>
        <w:rPr>
          <w:bCs/>
          <w:sz w:val="22"/>
          <w:szCs w:val="22"/>
        </w:rPr>
        <w:t>ij</w:t>
      </w:r>
      <w:r w:rsidRPr="00750368">
        <w:rPr>
          <w:bCs/>
          <w:sz w:val="22"/>
          <w:szCs w:val="22"/>
        </w:rPr>
        <w:t>ečenja kombinacijom emtricitabina i tenofovir</w:t>
      </w:r>
      <w:r>
        <w:rPr>
          <w:bCs/>
          <w:sz w:val="22"/>
          <w:szCs w:val="22"/>
        </w:rPr>
        <w:t xml:space="preserve"> </w:t>
      </w:r>
      <w:r w:rsidRPr="00750368">
        <w:rPr>
          <w:bCs/>
          <w:sz w:val="22"/>
          <w:szCs w:val="22"/>
        </w:rPr>
        <w:t>dizoproksila, 115 od 139 pacijenata (83%) je imalo vr</w:t>
      </w:r>
      <w:r>
        <w:rPr>
          <w:bCs/>
          <w:sz w:val="22"/>
          <w:szCs w:val="22"/>
        </w:rPr>
        <w:t>ij</w:t>
      </w:r>
      <w:r w:rsidRPr="00750368">
        <w:rPr>
          <w:bCs/>
          <w:sz w:val="22"/>
          <w:szCs w:val="22"/>
        </w:rPr>
        <w:t>ednosti HBV DNK &lt; 400 kopija/</w:t>
      </w:r>
      <w:r w:rsidR="00B83CAB">
        <w:rPr>
          <w:bCs/>
          <w:sz w:val="22"/>
          <w:szCs w:val="22"/>
        </w:rPr>
        <w:t>ml</w:t>
      </w:r>
      <w:r w:rsidRPr="00750368">
        <w:rPr>
          <w:bCs/>
          <w:sz w:val="22"/>
          <w:szCs w:val="22"/>
        </w:rPr>
        <w:t>, a 59 od 83 pacijenta (71%) je imalo normalizaciju ALT-a. Među HBeAg pozitivnim pacijentima randomizovanim za l</w:t>
      </w:r>
      <w:r>
        <w:rPr>
          <w:bCs/>
          <w:sz w:val="22"/>
          <w:szCs w:val="22"/>
        </w:rPr>
        <w:t>ij</w:t>
      </w:r>
      <w:r w:rsidRPr="00750368">
        <w:rPr>
          <w:bCs/>
          <w:sz w:val="22"/>
          <w:szCs w:val="22"/>
        </w:rPr>
        <w:t>ečenje tenofovir</w:t>
      </w:r>
      <w:r>
        <w:rPr>
          <w:bCs/>
          <w:sz w:val="22"/>
          <w:szCs w:val="22"/>
        </w:rPr>
        <w:t xml:space="preserve"> </w:t>
      </w:r>
      <w:r w:rsidRPr="00750368">
        <w:rPr>
          <w:bCs/>
          <w:sz w:val="22"/>
          <w:szCs w:val="22"/>
        </w:rPr>
        <w:t>dizoproksilom,   kod 16 od 65 pacijenata (25%) došlo je do nestanka HBeAg, a kod 8 od 65 pacijenata (12%) je došlo do anti-HBe serokonverzije do 240. ned</w:t>
      </w:r>
      <w:r>
        <w:rPr>
          <w:bCs/>
          <w:sz w:val="22"/>
          <w:szCs w:val="22"/>
        </w:rPr>
        <w:t>j</w:t>
      </w:r>
      <w:r w:rsidRPr="00750368">
        <w:rPr>
          <w:bCs/>
          <w:sz w:val="22"/>
          <w:szCs w:val="22"/>
        </w:rPr>
        <w:t>elje. Kod HBeAg pozitivnih pacijenata randomizovanih za l</w:t>
      </w:r>
      <w:r>
        <w:rPr>
          <w:bCs/>
          <w:sz w:val="22"/>
          <w:szCs w:val="22"/>
        </w:rPr>
        <w:t>ij</w:t>
      </w:r>
      <w:r w:rsidRPr="00750368">
        <w:rPr>
          <w:bCs/>
          <w:sz w:val="22"/>
          <w:szCs w:val="22"/>
        </w:rPr>
        <w:t>ečenje kombinacijom emtricitabina i tenofovir</w:t>
      </w:r>
      <w:r>
        <w:rPr>
          <w:bCs/>
          <w:sz w:val="22"/>
          <w:szCs w:val="22"/>
        </w:rPr>
        <w:t xml:space="preserve"> </w:t>
      </w:r>
      <w:r w:rsidRPr="00750368">
        <w:rPr>
          <w:bCs/>
          <w:sz w:val="22"/>
          <w:szCs w:val="22"/>
        </w:rPr>
        <w:t>dizoproksila, kod 13 od 68 pacijenata (19%) došlo je do nestanka HBeAg, a kod 7 od 68 pacijenata (10%) došlo je do anti-HBe serokonverzije do 240. ned</w:t>
      </w:r>
      <w:r>
        <w:rPr>
          <w:bCs/>
          <w:sz w:val="22"/>
          <w:szCs w:val="22"/>
        </w:rPr>
        <w:t>j</w:t>
      </w:r>
      <w:r w:rsidRPr="00750368">
        <w:rPr>
          <w:bCs/>
          <w:sz w:val="22"/>
          <w:szCs w:val="22"/>
        </w:rPr>
        <w:t>elje. Kod dva pacijenta radnomizovana za l</w:t>
      </w:r>
      <w:r>
        <w:rPr>
          <w:bCs/>
          <w:sz w:val="22"/>
          <w:szCs w:val="22"/>
        </w:rPr>
        <w:t>ij</w:t>
      </w:r>
      <w:r w:rsidRPr="00750368">
        <w:rPr>
          <w:bCs/>
          <w:sz w:val="22"/>
          <w:szCs w:val="22"/>
        </w:rPr>
        <w:t>ečenje tenofovir</w:t>
      </w:r>
      <w:r>
        <w:rPr>
          <w:bCs/>
          <w:sz w:val="22"/>
          <w:szCs w:val="22"/>
        </w:rPr>
        <w:t xml:space="preserve"> </w:t>
      </w:r>
      <w:r w:rsidRPr="00750368">
        <w:rPr>
          <w:bCs/>
          <w:sz w:val="22"/>
          <w:szCs w:val="22"/>
        </w:rPr>
        <w:t>dizoproksilom došlo je do nestanka HBsAg do 240. ned</w:t>
      </w:r>
      <w:r>
        <w:rPr>
          <w:bCs/>
          <w:sz w:val="22"/>
          <w:szCs w:val="22"/>
        </w:rPr>
        <w:t>j</w:t>
      </w:r>
      <w:r w:rsidRPr="00750368">
        <w:rPr>
          <w:bCs/>
          <w:sz w:val="22"/>
          <w:szCs w:val="22"/>
        </w:rPr>
        <w:t>elje, ali ne i serokonverzije u anti-HBs. Kod pet pacijenata randomizovanih za l</w:t>
      </w:r>
      <w:r>
        <w:rPr>
          <w:bCs/>
          <w:sz w:val="22"/>
          <w:szCs w:val="22"/>
        </w:rPr>
        <w:t>ij</w:t>
      </w:r>
      <w:r w:rsidRPr="00750368">
        <w:rPr>
          <w:bCs/>
          <w:sz w:val="22"/>
          <w:szCs w:val="22"/>
        </w:rPr>
        <w:t>ečenje kombinacijom emtricitabina i tenofovir</w:t>
      </w:r>
      <w:r>
        <w:rPr>
          <w:bCs/>
          <w:sz w:val="22"/>
          <w:szCs w:val="22"/>
        </w:rPr>
        <w:t xml:space="preserve"> </w:t>
      </w:r>
      <w:r w:rsidRPr="00750368">
        <w:rPr>
          <w:bCs/>
          <w:sz w:val="22"/>
          <w:szCs w:val="22"/>
        </w:rPr>
        <w:t>dizoproksila došlo je do nestanka HBsAg, pri čemu je kod 2 od tih 5 pacijenata došlo do serokonverzije u anti-HBs.</w:t>
      </w:r>
    </w:p>
    <w:p w:rsidR="00750368" w:rsidRPr="00750368" w:rsidRDefault="00750368" w:rsidP="00750368">
      <w:pPr>
        <w:tabs>
          <w:tab w:val="left" w:pos="540"/>
          <w:tab w:val="left" w:pos="569"/>
        </w:tabs>
        <w:jc w:val="both"/>
        <w:rPr>
          <w:bCs/>
          <w:sz w:val="22"/>
          <w:szCs w:val="22"/>
        </w:rPr>
      </w:pPr>
    </w:p>
    <w:p w:rsidR="00750368" w:rsidRPr="00750368" w:rsidRDefault="00750368" w:rsidP="00750368">
      <w:pPr>
        <w:tabs>
          <w:tab w:val="left" w:pos="540"/>
          <w:tab w:val="left" w:pos="569"/>
        </w:tabs>
        <w:jc w:val="both"/>
        <w:rPr>
          <w:bCs/>
          <w:i/>
          <w:sz w:val="22"/>
          <w:szCs w:val="22"/>
        </w:rPr>
      </w:pPr>
      <w:r w:rsidRPr="00750368">
        <w:rPr>
          <w:bCs/>
          <w:i/>
          <w:sz w:val="22"/>
          <w:szCs w:val="22"/>
        </w:rPr>
        <w:t>Klinička rezistencija</w:t>
      </w:r>
    </w:p>
    <w:p w:rsidR="00750368" w:rsidRPr="00750368" w:rsidRDefault="00750368" w:rsidP="00750368">
      <w:pPr>
        <w:tabs>
          <w:tab w:val="left" w:pos="540"/>
          <w:tab w:val="left" w:pos="569"/>
        </w:tabs>
        <w:jc w:val="both"/>
        <w:rPr>
          <w:bCs/>
          <w:sz w:val="22"/>
          <w:szCs w:val="22"/>
        </w:rPr>
      </w:pPr>
      <w:r w:rsidRPr="00750368">
        <w:rPr>
          <w:bCs/>
          <w:sz w:val="22"/>
          <w:szCs w:val="22"/>
        </w:rPr>
        <w:t>Kod 426 HBeAg negativnih pacijenata (GS-US-174-0102, n=250) i HBeAg pozitivnih pacijenata (GS-US-174-0103, n=176) prvobitno randomizovanih u dvostruko sl</w:t>
      </w:r>
      <w:r>
        <w:rPr>
          <w:bCs/>
          <w:sz w:val="22"/>
          <w:szCs w:val="22"/>
        </w:rPr>
        <w:t>ij</w:t>
      </w:r>
      <w:r w:rsidRPr="00750368">
        <w:rPr>
          <w:bCs/>
          <w:sz w:val="22"/>
          <w:szCs w:val="22"/>
        </w:rPr>
        <w:t>epoj studiji sa tenofovir</w:t>
      </w:r>
      <w:r>
        <w:rPr>
          <w:bCs/>
          <w:sz w:val="22"/>
          <w:szCs w:val="22"/>
        </w:rPr>
        <w:t xml:space="preserve"> </w:t>
      </w:r>
      <w:r w:rsidRPr="00750368">
        <w:rPr>
          <w:bCs/>
          <w:sz w:val="22"/>
          <w:szCs w:val="22"/>
        </w:rPr>
        <w:t>dizoproksilom, a zatim prebačenih na otvoreno l</w:t>
      </w:r>
      <w:r>
        <w:rPr>
          <w:bCs/>
          <w:sz w:val="22"/>
          <w:szCs w:val="22"/>
        </w:rPr>
        <w:t>ij</w:t>
      </w:r>
      <w:r w:rsidRPr="00750368">
        <w:rPr>
          <w:bCs/>
          <w:sz w:val="22"/>
          <w:szCs w:val="22"/>
        </w:rPr>
        <w:t>ečenje tenofovir</w:t>
      </w:r>
      <w:r>
        <w:rPr>
          <w:bCs/>
          <w:sz w:val="22"/>
          <w:szCs w:val="22"/>
        </w:rPr>
        <w:t xml:space="preserve"> </w:t>
      </w:r>
      <w:r w:rsidRPr="00750368">
        <w:rPr>
          <w:bCs/>
          <w:sz w:val="22"/>
          <w:szCs w:val="22"/>
        </w:rPr>
        <w:t>dizoproksilom, podvrgnuti su proc</w:t>
      </w:r>
      <w:r>
        <w:rPr>
          <w:bCs/>
          <w:sz w:val="22"/>
          <w:szCs w:val="22"/>
        </w:rPr>
        <w:t>j</w:t>
      </w:r>
      <w:r w:rsidRPr="00750368">
        <w:rPr>
          <w:bCs/>
          <w:sz w:val="22"/>
          <w:szCs w:val="22"/>
        </w:rPr>
        <w:t>eni prom</w:t>
      </w:r>
      <w:r>
        <w:rPr>
          <w:bCs/>
          <w:sz w:val="22"/>
          <w:szCs w:val="22"/>
        </w:rPr>
        <w:t>j</w:t>
      </w:r>
      <w:r w:rsidRPr="00750368">
        <w:rPr>
          <w:bCs/>
          <w:sz w:val="22"/>
          <w:szCs w:val="22"/>
        </w:rPr>
        <w:t>ena u genotipu HBV polimeraze u odnosu na početne rezultate. Proc</w:t>
      </w:r>
      <w:r>
        <w:rPr>
          <w:bCs/>
          <w:sz w:val="22"/>
          <w:szCs w:val="22"/>
        </w:rPr>
        <w:t>j</w:t>
      </w:r>
      <w:r w:rsidRPr="00750368">
        <w:rPr>
          <w:bCs/>
          <w:sz w:val="22"/>
          <w:szCs w:val="22"/>
        </w:rPr>
        <w:t>ene genotipa koje su sprovedene nad svim pacijentima sa vr</w:t>
      </w:r>
      <w:r>
        <w:rPr>
          <w:bCs/>
          <w:sz w:val="22"/>
          <w:szCs w:val="22"/>
        </w:rPr>
        <w:t>ij</w:t>
      </w:r>
      <w:r w:rsidRPr="00750368">
        <w:rPr>
          <w:bCs/>
          <w:sz w:val="22"/>
          <w:szCs w:val="22"/>
        </w:rPr>
        <w:t>ednostima HBV DNK &gt; 400 kopija/</w:t>
      </w:r>
      <w:r w:rsidR="00B83CAB">
        <w:rPr>
          <w:bCs/>
          <w:sz w:val="22"/>
          <w:szCs w:val="22"/>
        </w:rPr>
        <w:t>ml</w:t>
      </w:r>
      <w:r w:rsidRPr="00750368">
        <w:rPr>
          <w:bCs/>
          <w:sz w:val="22"/>
          <w:szCs w:val="22"/>
        </w:rPr>
        <w:t xml:space="preserve"> u 48. ned</w:t>
      </w:r>
      <w:r>
        <w:rPr>
          <w:bCs/>
          <w:sz w:val="22"/>
          <w:szCs w:val="22"/>
        </w:rPr>
        <w:t>j</w:t>
      </w:r>
      <w:r w:rsidRPr="00750368">
        <w:rPr>
          <w:bCs/>
          <w:sz w:val="22"/>
          <w:szCs w:val="22"/>
        </w:rPr>
        <w:t>elji (n=39), 96. ned</w:t>
      </w:r>
      <w:r>
        <w:rPr>
          <w:bCs/>
          <w:sz w:val="22"/>
          <w:szCs w:val="22"/>
        </w:rPr>
        <w:t>j</w:t>
      </w:r>
      <w:r w:rsidRPr="00750368">
        <w:rPr>
          <w:bCs/>
          <w:sz w:val="22"/>
          <w:szCs w:val="22"/>
        </w:rPr>
        <w:t>elji (n=24), 144. ned</w:t>
      </w:r>
      <w:r>
        <w:rPr>
          <w:bCs/>
          <w:sz w:val="22"/>
          <w:szCs w:val="22"/>
        </w:rPr>
        <w:t>j</w:t>
      </w:r>
      <w:r w:rsidRPr="00750368">
        <w:rPr>
          <w:bCs/>
          <w:sz w:val="22"/>
          <w:szCs w:val="22"/>
        </w:rPr>
        <w:t>elji (n=6), 192. ned</w:t>
      </w:r>
      <w:r>
        <w:rPr>
          <w:bCs/>
          <w:sz w:val="22"/>
          <w:szCs w:val="22"/>
        </w:rPr>
        <w:t>j</w:t>
      </w:r>
      <w:r w:rsidRPr="00750368">
        <w:rPr>
          <w:bCs/>
          <w:sz w:val="22"/>
          <w:szCs w:val="22"/>
        </w:rPr>
        <w:t>elji (n=5), 240. ned</w:t>
      </w:r>
      <w:r>
        <w:rPr>
          <w:bCs/>
          <w:sz w:val="22"/>
          <w:szCs w:val="22"/>
        </w:rPr>
        <w:t>j</w:t>
      </w:r>
      <w:r w:rsidRPr="00750368">
        <w:rPr>
          <w:bCs/>
          <w:sz w:val="22"/>
          <w:szCs w:val="22"/>
        </w:rPr>
        <w:t>elji (n=4) , 288. ned</w:t>
      </w:r>
      <w:r>
        <w:rPr>
          <w:bCs/>
          <w:sz w:val="22"/>
          <w:szCs w:val="22"/>
        </w:rPr>
        <w:t>j</w:t>
      </w:r>
      <w:r w:rsidRPr="00750368">
        <w:rPr>
          <w:bCs/>
          <w:sz w:val="22"/>
          <w:szCs w:val="22"/>
        </w:rPr>
        <w:t>elji (n=6) i 384. ned</w:t>
      </w:r>
      <w:r>
        <w:rPr>
          <w:bCs/>
          <w:sz w:val="22"/>
          <w:szCs w:val="22"/>
        </w:rPr>
        <w:t>j</w:t>
      </w:r>
      <w:r w:rsidRPr="00750368">
        <w:rPr>
          <w:bCs/>
          <w:sz w:val="22"/>
          <w:szCs w:val="22"/>
        </w:rPr>
        <w:t>elji (n=2) monoterapije tenofovir</w:t>
      </w:r>
      <w:r>
        <w:rPr>
          <w:bCs/>
          <w:sz w:val="22"/>
          <w:szCs w:val="22"/>
        </w:rPr>
        <w:t xml:space="preserve"> </w:t>
      </w:r>
      <w:r w:rsidRPr="00750368">
        <w:rPr>
          <w:bCs/>
          <w:sz w:val="22"/>
          <w:szCs w:val="22"/>
        </w:rPr>
        <w:t>dizoproksilom, ni</w:t>
      </w:r>
      <w:r w:rsidR="00140452">
        <w:rPr>
          <w:bCs/>
          <w:sz w:val="22"/>
          <w:szCs w:val="22"/>
        </w:rPr>
        <w:t>je</w:t>
      </w:r>
      <w:r w:rsidRPr="00750368">
        <w:rPr>
          <w:bCs/>
          <w:sz w:val="22"/>
          <w:szCs w:val="22"/>
        </w:rPr>
        <w:t>su pokazale mutacije povezane sa rezistencijom na tenofovir</w:t>
      </w:r>
      <w:r>
        <w:rPr>
          <w:bCs/>
          <w:sz w:val="22"/>
          <w:szCs w:val="22"/>
        </w:rPr>
        <w:t xml:space="preserve"> </w:t>
      </w:r>
      <w:r w:rsidRPr="00750368">
        <w:rPr>
          <w:bCs/>
          <w:sz w:val="22"/>
          <w:szCs w:val="22"/>
        </w:rPr>
        <w:t>dizoproksil.</w:t>
      </w:r>
    </w:p>
    <w:p w:rsidR="00750368" w:rsidRPr="00750368" w:rsidRDefault="00750368" w:rsidP="00750368">
      <w:pPr>
        <w:tabs>
          <w:tab w:val="left" w:pos="540"/>
          <w:tab w:val="left" w:pos="569"/>
        </w:tabs>
        <w:jc w:val="both"/>
        <w:rPr>
          <w:bCs/>
          <w:sz w:val="22"/>
          <w:szCs w:val="22"/>
        </w:rPr>
      </w:pPr>
    </w:p>
    <w:p w:rsidR="00750368" w:rsidRPr="00750368" w:rsidRDefault="00750368" w:rsidP="00750368">
      <w:pPr>
        <w:tabs>
          <w:tab w:val="left" w:pos="540"/>
          <w:tab w:val="left" w:pos="569"/>
        </w:tabs>
        <w:jc w:val="both"/>
        <w:rPr>
          <w:bCs/>
          <w:sz w:val="22"/>
          <w:szCs w:val="22"/>
        </w:rPr>
      </w:pPr>
      <w:r w:rsidRPr="00750368">
        <w:rPr>
          <w:bCs/>
          <w:sz w:val="22"/>
          <w:szCs w:val="22"/>
        </w:rPr>
        <w:t>Kod 215 HBeAg negativnih pacijenata (GS-US-174-0102, n=125) i HBeAg pozitivnih pacijenata (GS-US-174- 0103, n=90) prvobitno randomizovanih u dvostruko sl</w:t>
      </w:r>
      <w:r>
        <w:rPr>
          <w:bCs/>
          <w:sz w:val="22"/>
          <w:szCs w:val="22"/>
        </w:rPr>
        <w:t>ij</w:t>
      </w:r>
      <w:r w:rsidRPr="00750368">
        <w:rPr>
          <w:bCs/>
          <w:sz w:val="22"/>
          <w:szCs w:val="22"/>
        </w:rPr>
        <w:t>epoj studiji sa adefovir</w:t>
      </w:r>
      <w:r>
        <w:rPr>
          <w:bCs/>
          <w:sz w:val="22"/>
          <w:szCs w:val="22"/>
        </w:rPr>
        <w:t xml:space="preserve"> </w:t>
      </w:r>
      <w:r w:rsidRPr="00750368">
        <w:rPr>
          <w:bCs/>
          <w:sz w:val="22"/>
          <w:szCs w:val="22"/>
        </w:rPr>
        <w:t>dipivoksilom, a zatim prebačenih na otvoreno l</w:t>
      </w:r>
      <w:r>
        <w:rPr>
          <w:bCs/>
          <w:sz w:val="22"/>
          <w:szCs w:val="22"/>
        </w:rPr>
        <w:t>ij</w:t>
      </w:r>
      <w:r w:rsidRPr="00750368">
        <w:rPr>
          <w:bCs/>
          <w:sz w:val="22"/>
          <w:szCs w:val="22"/>
        </w:rPr>
        <w:t>ečenje tenofovir</w:t>
      </w:r>
      <w:r>
        <w:rPr>
          <w:bCs/>
          <w:sz w:val="22"/>
          <w:szCs w:val="22"/>
        </w:rPr>
        <w:t xml:space="preserve"> </w:t>
      </w:r>
      <w:r w:rsidRPr="00750368">
        <w:rPr>
          <w:bCs/>
          <w:sz w:val="22"/>
          <w:szCs w:val="22"/>
        </w:rPr>
        <w:t>dizoproksilom, podvrgnuti su proc</w:t>
      </w:r>
      <w:r>
        <w:rPr>
          <w:bCs/>
          <w:sz w:val="22"/>
          <w:szCs w:val="22"/>
        </w:rPr>
        <w:t>j</w:t>
      </w:r>
      <w:r w:rsidRPr="00750368">
        <w:rPr>
          <w:bCs/>
          <w:sz w:val="22"/>
          <w:szCs w:val="22"/>
        </w:rPr>
        <w:t>eni prom</w:t>
      </w:r>
      <w:r>
        <w:rPr>
          <w:bCs/>
          <w:sz w:val="22"/>
          <w:szCs w:val="22"/>
        </w:rPr>
        <w:t>j</w:t>
      </w:r>
      <w:r w:rsidRPr="00750368">
        <w:rPr>
          <w:bCs/>
          <w:sz w:val="22"/>
          <w:szCs w:val="22"/>
        </w:rPr>
        <w:t>ena u genotipu HBV polimeraze u odnosu na početne rezultate. Proc</w:t>
      </w:r>
      <w:r>
        <w:rPr>
          <w:bCs/>
          <w:sz w:val="22"/>
          <w:szCs w:val="22"/>
        </w:rPr>
        <w:t>j</w:t>
      </w:r>
      <w:r w:rsidRPr="00750368">
        <w:rPr>
          <w:bCs/>
          <w:sz w:val="22"/>
          <w:szCs w:val="22"/>
        </w:rPr>
        <w:t>ene genotipa koje su sprovedene nad svim pacijentima sa vr</w:t>
      </w:r>
      <w:r>
        <w:rPr>
          <w:bCs/>
          <w:sz w:val="22"/>
          <w:szCs w:val="22"/>
        </w:rPr>
        <w:t>ij</w:t>
      </w:r>
      <w:r w:rsidRPr="00750368">
        <w:rPr>
          <w:bCs/>
          <w:sz w:val="22"/>
          <w:szCs w:val="22"/>
        </w:rPr>
        <w:t>ednostima HBV DNK &gt; 400 kopija/</w:t>
      </w:r>
      <w:r w:rsidR="00B83CAB">
        <w:rPr>
          <w:bCs/>
          <w:sz w:val="22"/>
          <w:szCs w:val="22"/>
        </w:rPr>
        <w:t>ml</w:t>
      </w:r>
      <w:r w:rsidRPr="00750368">
        <w:rPr>
          <w:bCs/>
          <w:sz w:val="22"/>
          <w:szCs w:val="22"/>
        </w:rPr>
        <w:t xml:space="preserve"> u 48. ned</w:t>
      </w:r>
      <w:r>
        <w:rPr>
          <w:bCs/>
          <w:sz w:val="22"/>
          <w:szCs w:val="22"/>
        </w:rPr>
        <w:t>j</w:t>
      </w:r>
      <w:r w:rsidRPr="00750368">
        <w:rPr>
          <w:bCs/>
          <w:sz w:val="22"/>
          <w:szCs w:val="22"/>
        </w:rPr>
        <w:t>elji (n=16), 96. ned</w:t>
      </w:r>
      <w:r>
        <w:rPr>
          <w:bCs/>
          <w:sz w:val="22"/>
          <w:szCs w:val="22"/>
        </w:rPr>
        <w:t>j</w:t>
      </w:r>
      <w:r w:rsidRPr="00750368">
        <w:rPr>
          <w:bCs/>
          <w:sz w:val="22"/>
          <w:szCs w:val="22"/>
        </w:rPr>
        <w:t>elji (n=5), 144. ned</w:t>
      </w:r>
      <w:r>
        <w:rPr>
          <w:bCs/>
          <w:sz w:val="22"/>
          <w:szCs w:val="22"/>
        </w:rPr>
        <w:t>j</w:t>
      </w:r>
      <w:r w:rsidRPr="00750368">
        <w:rPr>
          <w:bCs/>
          <w:sz w:val="22"/>
          <w:szCs w:val="22"/>
        </w:rPr>
        <w:t>elji (n=1), 192. ned</w:t>
      </w:r>
      <w:r>
        <w:rPr>
          <w:bCs/>
          <w:sz w:val="22"/>
          <w:szCs w:val="22"/>
        </w:rPr>
        <w:t>j</w:t>
      </w:r>
      <w:r w:rsidRPr="00750368">
        <w:rPr>
          <w:bCs/>
          <w:sz w:val="22"/>
          <w:szCs w:val="22"/>
        </w:rPr>
        <w:t>elji (n=2), 240. ned</w:t>
      </w:r>
      <w:r>
        <w:rPr>
          <w:bCs/>
          <w:sz w:val="22"/>
          <w:szCs w:val="22"/>
        </w:rPr>
        <w:t>j</w:t>
      </w:r>
      <w:r w:rsidRPr="00750368">
        <w:rPr>
          <w:bCs/>
          <w:sz w:val="22"/>
          <w:szCs w:val="22"/>
        </w:rPr>
        <w:t>elji (n=1), 288. ned</w:t>
      </w:r>
      <w:r>
        <w:rPr>
          <w:bCs/>
          <w:sz w:val="22"/>
          <w:szCs w:val="22"/>
        </w:rPr>
        <w:t>j</w:t>
      </w:r>
      <w:r w:rsidRPr="00750368">
        <w:rPr>
          <w:bCs/>
          <w:sz w:val="22"/>
          <w:szCs w:val="22"/>
        </w:rPr>
        <w:t>elji (n=1) i 384. ned</w:t>
      </w:r>
      <w:r>
        <w:rPr>
          <w:bCs/>
          <w:sz w:val="22"/>
          <w:szCs w:val="22"/>
        </w:rPr>
        <w:t>j</w:t>
      </w:r>
      <w:r w:rsidRPr="00750368">
        <w:rPr>
          <w:bCs/>
          <w:sz w:val="22"/>
          <w:szCs w:val="22"/>
        </w:rPr>
        <w:t>elji (n=2) monoterapije tenofovir</w:t>
      </w:r>
      <w:r>
        <w:rPr>
          <w:bCs/>
          <w:sz w:val="22"/>
          <w:szCs w:val="22"/>
        </w:rPr>
        <w:t xml:space="preserve"> </w:t>
      </w:r>
      <w:r w:rsidRPr="00750368">
        <w:rPr>
          <w:bCs/>
          <w:sz w:val="22"/>
          <w:szCs w:val="22"/>
        </w:rPr>
        <w:t>dizoproksilom, ni</w:t>
      </w:r>
      <w:r w:rsidR="00140452">
        <w:rPr>
          <w:bCs/>
          <w:sz w:val="22"/>
          <w:szCs w:val="22"/>
        </w:rPr>
        <w:t>je</w:t>
      </w:r>
      <w:r w:rsidRPr="00750368">
        <w:rPr>
          <w:bCs/>
          <w:sz w:val="22"/>
          <w:szCs w:val="22"/>
        </w:rPr>
        <w:t>su pokazale mutacije povezane sa rezistencijom na tenofovir</w:t>
      </w:r>
      <w:r>
        <w:rPr>
          <w:bCs/>
          <w:sz w:val="22"/>
          <w:szCs w:val="22"/>
        </w:rPr>
        <w:t xml:space="preserve"> </w:t>
      </w:r>
      <w:r w:rsidRPr="00750368">
        <w:rPr>
          <w:bCs/>
          <w:sz w:val="22"/>
          <w:szCs w:val="22"/>
        </w:rPr>
        <w:t>dizoproksil.</w:t>
      </w:r>
    </w:p>
    <w:p w:rsidR="00750368" w:rsidRPr="00750368" w:rsidRDefault="00750368" w:rsidP="00750368">
      <w:pPr>
        <w:tabs>
          <w:tab w:val="left" w:pos="540"/>
          <w:tab w:val="left" w:pos="569"/>
        </w:tabs>
        <w:jc w:val="both"/>
        <w:rPr>
          <w:bCs/>
          <w:sz w:val="22"/>
          <w:szCs w:val="22"/>
        </w:rPr>
      </w:pPr>
    </w:p>
    <w:p w:rsidR="00750368" w:rsidRPr="00750368" w:rsidRDefault="00750368" w:rsidP="00750368">
      <w:pPr>
        <w:tabs>
          <w:tab w:val="left" w:pos="540"/>
          <w:tab w:val="left" w:pos="569"/>
        </w:tabs>
        <w:jc w:val="both"/>
        <w:rPr>
          <w:bCs/>
          <w:sz w:val="22"/>
          <w:szCs w:val="22"/>
        </w:rPr>
      </w:pPr>
      <w:r w:rsidRPr="00750368">
        <w:rPr>
          <w:bCs/>
          <w:sz w:val="22"/>
          <w:szCs w:val="22"/>
        </w:rPr>
        <w:t>U studiji GS-US-174-0108, 45 pacijenata (uključujući njih 9 sa mutacijama povezanim sa rezistencijom na lamivudin i/ili adefovir</w:t>
      </w:r>
      <w:r>
        <w:rPr>
          <w:bCs/>
          <w:sz w:val="22"/>
          <w:szCs w:val="22"/>
        </w:rPr>
        <w:t xml:space="preserve"> </w:t>
      </w:r>
      <w:r w:rsidRPr="00750368">
        <w:rPr>
          <w:bCs/>
          <w:sz w:val="22"/>
          <w:szCs w:val="22"/>
        </w:rPr>
        <w:t>dipivoksil na početku studije), l</w:t>
      </w:r>
      <w:r>
        <w:rPr>
          <w:bCs/>
          <w:sz w:val="22"/>
          <w:szCs w:val="22"/>
        </w:rPr>
        <w:t>ij</w:t>
      </w:r>
      <w:r w:rsidRPr="00750368">
        <w:rPr>
          <w:bCs/>
          <w:sz w:val="22"/>
          <w:szCs w:val="22"/>
        </w:rPr>
        <w:t>ečeni su tenofovir</w:t>
      </w:r>
      <w:r>
        <w:rPr>
          <w:bCs/>
          <w:sz w:val="22"/>
          <w:szCs w:val="22"/>
        </w:rPr>
        <w:t xml:space="preserve"> </w:t>
      </w:r>
      <w:r w:rsidRPr="00750368">
        <w:rPr>
          <w:bCs/>
          <w:sz w:val="22"/>
          <w:szCs w:val="22"/>
        </w:rPr>
        <w:t>dizoproksilom do 168 ned</w:t>
      </w:r>
      <w:r>
        <w:rPr>
          <w:bCs/>
          <w:sz w:val="22"/>
          <w:szCs w:val="22"/>
        </w:rPr>
        <w:t>j</w:t>
      </w:r>
      <w:r w:rsidRPr="00750368">
        <w:rPr>
          <w:bCs/>
          <w:sz w:val="22"/>
          <w:szCs w:val="22"/>
        </w:rPr>
        <w:t>elja. Genotipski podaci iz uparenih HBV izolata sa početka i tokom l</w:t>
      </w:r>
      <w:r>
        <w:rPr>
          <w:bCs/>
          <w:sz w:val="22"/>
          <w:szCs w:val="22"/>
        </w:rPr>
        <w:t>ij</w:t>
      </w:r>
      <w:r w:rsidRPr="00750368">
        <w:rPr>
          <w:bCs/>
          <w:sz w:val="22"/>
          <w:szCs w:val="22"/>
        </w:rPr>
        <w:t>ečenja su bili dostupni za 6/8 pacijenata sa HBV DNK &gt; 400 kopija/</w:t>
      </w:r>
      <w:r w:rsidR="00B83CAB">
        <w:rPr>
          <w:bCs/>
          <w:sz w:val="22"/>
          <w:szCs w:val="22"/>
        </w:rPr>
        <w:t>ml</w:t>
      </w:r>
      <w:r w:rsidRPr="00750368">
        <w:rPr>
          <w:bCs/>
          <w:sz w:val="22"/>
          <w:szCs w:val="22"/>
        </w:rPr>
        <w:t xml:space="preserve"> u 48. ned</w:t>
      </w:r>
      <w:r>
        <w:rPr>
          <w:bCs/>
          <w:sz w:val="22"/>
          <w:szCs w:val="22"/>
        </w:rPr>
        <w:t>j</w:t>
      </w:r>
      <w:r w:rsidRPr="00750368">
        <w:rPr>
          <w:bCs/>
          <w:sz w:val="22"/>
          <w:szCs w:val="22"/>
        </w:rPr>
        <w:t xml:space="preserve">elji. U njima nije bilo </w:t>
      </w:r>
      <w:r>
        <w:rPr>
          <w:bCs/>
          <w:sz w:val="22"/>
          <w:szCs w:val="22"/>
        </w:rPr>
        <w:t>zabiljež</w:t>
      </w:r>
      <w:r w:rsidRPr="00750368">
        <w:rPr>
          <w:bCs/>
          <w:sz w:val="22"/>
          <w:szCs w:val="22"/>
        </w:rPr>
        <w:t>enih supstitucija aminokis</w:t>
      </w:r>
      <w:r>
        <w:rPr>
          <w:bCs/>
          <w:sz w:val="22"/>
          <w:szCs w:val="22"/>
        </w:rPr>
        <w:t>j</w:t>
      </w:r>
      <w:r w:rsidRPr="00750368">
        <w:rPr>
          <w:bCs/>
          <w:sz w:val="22"/>
          <w:szCs w:val="22"/>
        </w:rPr>
        <w:t>elina povezanih sa rezistencijom na tenofovir</w:t>
      </w:r>
      <w:r>
        <w:rPr>
          <w:bCs/>
          <w:sz w:val="22"/>
          <w:szCs w:val="22"/>
        </w:rPr>
        <w:t xml:space="preserve"> </w:t>
      </w:r>
      <w:r w:rsidRPr="00750368">
        <w:rPr>
          <w:bCs/>
          <w:sz w:val="22"/>
          <w:szCs w:val="22"/>
        </w:rPr>
        <w:t>dizoproksil. Genotipska analiza je sprovedena kod 5 ispitanika u tenofovir</w:t>
      </w:r>
      <w:r>
        <w:rPr>
          <w:bCs/>
          <w:sz w:val="22"/>
          <w:szCs w:val="22"/>
        </w:rPr>
        <w:t xml:space="preserve"> </w:t>
      </w:r>
      <w:r w:rsidRPr="00750368">
        <w:rPr>
          <w:bCs/>
          <w:sz w:val="22"/>
          <w:szCs w:val="22"/>
        </w:rPr>
        <w:t>dizoproksil grupi nakon 48. ned</w:t>
      </w:r>
      <w:r>
        <w:rPr>
          <w:bCs/>
          <w:sz w:val="22"/>
          <w:szCs w:val="22"/>
        </w:rPr>
        <w:t>j</w:t>
      </w:r>
      <w:r w:rsidRPr="00750368">
        <w:rPr>
          <w:bCs/>
          <w:sz w:val="22"/>
          <w:szCs w:val="22"/>
        </w:rPr>
        <w:t xml:space="preserve">elje. Ni kod jednog nije </w:t>
      </w:r>
      <w:r>
        <w:rPr>
          <w:bCs/>
          <w:sz w:val="22"/>
          <w:szCs w:val="22"/>
        </w:rPr>
        <w:t>zabilje</w:t>
      </w:r>
      <w:r w:rsidRPr="00750368">
        <w:rPr>
          <w:bCs/>
          <w:sz w:val="22"/>
          <w:szCs w:val="22"/>
        </w:rPr>
        <w:t>žena supstitucija aminokis</w:t>
      </w:r>
      <w:r>
        <w:rPr>
          <w:bCs/>
          <w:sz w:val="22"/>
          <w:szCs w:val="22"/>
        </w:rPr>
        <w:t>j</w:t>
      </w:r>
      <w:r w:rsidRPr="00750368">
        <w:rPr>
          <w:bCs/>
          <w:sz w:val="22"/>
          <w:szCs w:val="22"/>
        </w:rPr>
        <w:t>elina povezana sa rezistencijom na tenofovir</w:t>
      </w:r>
      <w:r>
        <w:rPr>
          <w:bCs/>
          <w:sz w:val="22"/>
          <w:szCs w:val="22"/>
        </w:rPr>
        <w:t xml:space="preserve"> </w:t>
      </w:r>
      <w:r w:rsidRPr="00750368">
        <w:rPr>
          <w:bCs/>
          <w:sz w:val="22"/>
          <w:szCs w:val="22"/>
        </w:rPr>
        <w:t>dizoproksil.</w:t>
      </w:r>
    </w:p>
    <w:p w:rsidR="00750368" w:rsidRPr="00750368" w:rsidRDefault="00750368" w:rsidP="00750368">
      <w:pPr>
        <w:tabs>
          <w:tab w:val="left" w:pos="540"/>
          <w:tab w:val="left" w:pos="569"/>
        </w:tabs>
        <w:jc w:val="both"/>
        <w:rPr>
          <w:bCs/>
          <w:sz w:val="22"/>
          <w:szCs w:val="22"/>
        </w:rPr>
      </w:pPr>
    </w:p>
    <w:p w:rsidR="00750368" w:rsidRPr="00750368" w:rsidRDefault="00750368" w:rsidP="00750368">
      <w:pPr>
        <w:tabs>
          <w:tab w:val="left" w:pos="540"/>
          <w:tab w:val="left" w:pos="569"/>
        </w:tabs>
        <w:jc w:val="both"/>
        <w:rPr>
          <w:bCs/>
          <w:sz w:val="22"/>
          <w:szCs w:val="22"/>
        </w:rPr>
      </w:pPr>
      <w:r w:rsidRPr="00750368">
        <w:rPr>
          <w:bCs/>
          <w:sz w:val="22"/>
          <w:szCs w:val="22"/>
        </w:rPr>
        <w:t>U studiji GS-US-174-0121, 141 pacijent sa supstitucijama povezanim sa rezistencijom na lamivudin na početku studije, primao je tenofovir</w:t>
      </w:r>
      <w:r w:rsidR="00D95E36">
        <w:rPr>
          <w:bCs/>
          <w:sz w:val="22"/>
          <w:szCs w:val="22"/>
        </w:rPr>
        <w:t xml:space="preserve"> </w:t>
      </w:r>
      <w:r w:rsidRPr="00750368">
        <w:rPr>
          <w:bCs/>
          <w:sz w:val="22"/>
          <w:szCs w:val="22"/>
        </w:rPr>
        <w:t>dizoproksil u trajanju do 240 ned</w:t>
      </w:r>
      <w:r w:rsidR="00D95E36">
        <w:rPr>
          <w:bCs/>
          <w:sz w:val="22"/>
          <w:szCs w:val="22"/>
        </w:rPr>
        <w:t>j</w:t>
      </w:r>
      <w:r w:rsidRPr="00750368">
        <w:rPr>
          <w:bCs/>
          <w:sz w:val="22"/>
          <w:szCs w:val="22"/>
        </w:rPr>
        <w:t>elja. Kumulativno, bilo je 4 pacijenta koji su imali epizodu viremije (vr</w:t>
      </w:r>
      <w:r w:rsidR="00D95E36">
        <w:rPr>
          <w:bCs/>
          <w:sz w:val="22"/>
          <w:szCs w:val="22"/>
        </w:rPr>
        <w:t>ij</w:t>
      </w:r>
      <w:r w:rsidRPr="00750368">
        <w:rPr>
          <w:bCs/>
          <w:sz w:val="22"/>
          <w:szCs w:val="22"/>
        </w:rPr>
        <w:t>ednost HBV DNK &gt; 400 kopija/</w:t>
      </w:r>
      <w:r w:rsidR="00B83CAB">
        <w:rPr>
          <w:bCs/>
          <w:sz w:val="22"/>
          <w:szCs w:val="22"/>
        </w:rPr>
        <w:t>ml</w:t>
      </w:r>
      <w:r w:rsidRPr="00750368">
        <w:rPr>
          <w:bCs/>
          <w:sz w:val="22"/>
          <w:szCs w:val="22"/>
        </w:rPr>
        <w:t>) u krajnjoj vremenskoj tački uzimanja tenofovir</w:t>
      </w:r>
      <w:r w:rsidR="00D95E36">
        <w:rPr>
          <w:bCs/>
          <w:sz w:val="22"/>
          <w:szCs w:val="22"/>
        </w:rPr>
        <w:t xml:space="preserve"> </w:t>
      </w:r>
      <w:r w:rsidRPr="00750368">
        <w:rPr>
          <w:bCs/>
          <w:sz w:val="22"/>
          <w:szCs w:val="22"/>
        </w:rPr>
        <w:t>dizoproksila. Među njima, podaci o sekvencama iz uparenih HBV izolata sa početka i tokom l</w:t>
      </w:r>
      <w:r w:rsidR="00D95E36">
        <w:rPr>
          <w:bCs/>
          <w:sz w:val="22"/>
          <w:szCs w:val="22"/>
        </w:rPr>
        <w:t>ij</w:t>
      </w:r>
      <w:r w:rsidRPr="00750368">
        <w:rPr>
          <w:bCs/>
          <w:sz w:val="22"/>
          <w:szCs w:val="22"/>
        </w:rPr>
        <w:t>ečenja, bili su dostupni za 2 od 4 pacijenta. U ovim izolatima ni</w:t>
      </w:r>
      <w:r w:rsidR="00BF6D2A">
        <w:rPr>
          <w:bCs/>
          <w:sz w:val="22"/>
          <w:szCs w:val="22"/>
        </w:rPr>
        <w:t>je</w:t>
      </w:r>
      <w:r w:rsidRPr="00750368">
        <w:rPr>
          <w:bCs/>
          <w:sz w:val="22"/>
          <w:szCs w:val="22"/>
        </w:rPr>
        <w:t>su identifikovane supstitucije aminokis</w:t>
      </w:r>
      <w:r w:rsidR="00D95E36">
        <w:rPr>
          <w:bCs/>
          <w:sz w:val="22"/>
          <w:szCs w:val="22"/>
        </w:rPr>
        <w:t>j</w:t>
      </w:r>
      <w:r w:rsidRPr="00750368">
        <w:rPr>
          <w:bCs/>
          <w:sz w:val="22"/>
          <w:szCs w:val="22"/>
        </w:rPr>
        <w:t>elina povezane sa rezistencijom na tenofovir</w:t>
      </w:r>
      <w:r w:rsidR="00D95E36">
        <w:rPr>
          <w:bCs/>
          <w:sz w:val="22"/>
          <w:szCs w:val="22"/>
        </w:rPr>
        <w:t xml:space="preserve"> </w:t>
      </w:r>
      <w:r w:rsidRPr="00750368">
        <w:rPr>
          <w:bCs/>
          <w:sz w:val="22"/>
          <w:szCs w:val="22"/>
        </w:rPr>
        <w:t>dizoproksil.</w:t>
      </w:r>
    </w:p>
    <w:p w:rsidR="00750368" w:rsidRPr="00750368" w:rsidRDefault="00750368" w:rsidP="00750368">
      <w:pPr>
        <w:tabs>
          <w:tab w:val="left" w:pos="540"/>
          <w:tab w:val="left" w:pos="569"/>
        </w:tabs>
        <w:jc w:val="both"/>
        <w:rPr>
          <w:bCs/>
          <w:sz w:val="22"/>
          <w:szCs w:val="22"/>
        </w:rPr>
      </w:pPr>
    </w:p>
    <w:p w:rsidR="00750368" w:rsidRPr="00750368" w:rsidRDefault="00750368" w:rsidP="00750368">
      <w:pPr>
        <w:tabs>
          <w:tab w:val="left" w:pos="540"/>
          <w:tab w:val="left" w:pos="569"/>
        </w:tabs>
        <w:jc w:val="both"/>
        <w:rPr>
          <w:bCs/>
          <w:sz w:val="22"/>
          <w:szCs w:val="22"/>
        </w:rPr>
      </w:pPr>
      <w:r w:rsidRPr="00750368">
        <w:rPr>
          <w:bCs/>
          <w:sz w:val="22"/>
          <w:szCs w:val="22"/>
        </w:rPr>
        <w:t>U pedijatrijskoj studiji (GS-US-174-0115), 52 pacijenta (uključujući njih 6 sa početnom mutacijom povezanom sa rezistencijom na lamivudin) inicijalno je u sl</w:t>
      </w:r>
      <w:r w:rsidR="00D95E36">
        <w:rPr>
          <w:bCs/>
          <w:sz w:val="22"/>
          <w:szCs w:val="22"/>
        </w:rPr>
        <w:t>ij</w:t>
      </w:r>
      <w:r w:rsidRPr="00750368">
        <w:rPr>
          <w:bCs/>
          <w:sz w:val="22"/>
          <w:szCs w:val="22"/>
        </w:rPr>
        <w:t>epom ispitivanju primalo tenofovir</w:t>
      </w:r>
      <w:r w:rsidR="00D95E36">
        <w:rPr>
          <w:bCs/>
          <w:sz w:val="22"/>
          <w:szCs w:val="22"/>
        </w:rPr>
        <w:t xml:space="preserve"> </w:t>
      </w:r>
      <w:r w:rsidRPr="00750368">
        <w:rPr>
          <w:bCs/>
          <w:sz w:val="22"/>
          <w:szCs w:val="22"/>
        </w:rPr>
        <w:t>dizoproksil u trajanju od najviše 72 ned</w:t>
      </w:r>
      <w:r w:rsidR="00D95E36">
        <w:rPr>
          <w:bCs/>
          <w:sz w:val="22"/>
          <w:szCs w:val="22"/>
        </w:rPr>
        <w:t>j</w:t>
      </w:r>
      <w:r w:rsidRPr="00750368">
        <w:rPr>
          <w:bCs/>
          <w:sz w:val="22"/>
          <w:szCs w:val="22"/>
        </w:rPr>
        <w:t>elje, a zatim je 51/52 pacijenta prebačeno na otvoreno ispitivanje sa tenofovir</w:t>
      </w:r>
      <w:r w:rsidR="00D95E36">
        <w:rPr>
          <w:bCs/>
          <w:sz w:val="22"/>
          <w:szCs w:val="22"/>
        </w:rPr>
        <w:t xml:space="preserve"> </w:t>
      </w:r>
      <w:r w:rsidRPr="00750368">
        <w:rPr>
          <w:bCs/>
          <w:sz w:val="22"/>
          <w:szCs w:val="22"/>
        </w:rPr>
        <w:t>dizoproksilom (tenofovir</w:t>
      </w:r>
      <w:r w:rsidR="00D95E36">
        <w:rPr>
          <w:bCs/>
          <w:sz w:val="22"/>
          <w:szCs w:val="22"/>
        </w:rPr>
        <w:t xml:space="preserve"> </w:t>
      </w:r>
      <w:r w:rsidRPr="00750368">
        <w:rPr>
          <w:bCs/>
          <w:sz w:val="22"/>
          <w:szCs w:val="22"/>
        </w:rPr>
        <w:t>dizoproksil-tenofovir</w:t>
      </w:r>
      <w:r w:rsidR="00D95E36">
        <w:rPr>
          <w:bCs/>
          <w:sz w:val="22"/>
          <w:szCs w:val="22"/>
        </w:rPr>
        <w:t xml:space="preserve"> </w:t>
      </w:r>
      <w:r w:rsidRPr="00750368">
        <w:rPr>
          <w:bCs/>
          <w:sz w:val="22"/>
          <w:szCs w:val="22"/>
        </w:rPr>
        <w:t>dizoproksil grupa). Genotipske proc</w:t>
      </w:r>
      <w:r w:rsidR="00D95E36">
        <w:rPr>
          <w:bCs/>
          <w:sz w:val="22"/>
          <w:szCs w:val="22"/>
        </w:rPr>
        <w:t>j</w:t>
      </w:r>
      <w:r w:rsidRPr="00750368">
        <w:rPr>
          <w:bCs/>
          <w:sz w:val="22"/>
          <w:szCs w:val="22"/>
        </w:rPr>
        <w:t>ene su obavljene kod svih pacijenata unutar ove grupe sa vr</w:t>
      </w:r>
      <w:r w:rsidR="00D95E36">
        <w:rPr>
          <w:bCs/>
          <w:sz w:val="22"/>
          <w:szCs w:val="22"/>
        </w:rPr>
        <w:t>ij</w:t>
      </w:r>
      <w:r w:rsidRPr="00750368">
        <w:rPr>
          <w:bCs/>
          <w:sz w:val="22"/>
          <w:szCs w:val="22"/>
        </w:rPr>
        <w:t>ednostima HBV DNK &gt; 400 kopija/</w:t>
      </w:r>
      <w:r w:rsidR="00B83CAB">
        <w:rPr>
          <w:bCs/>
          <w:sz w:val="22"/>
          <w:szCs w:val="22"/>
        </w:rPr>
        <w:t>ml</w:t>
      </w:r>
      <w:r w:rsidRPr="00750368">
        <w:rPr>
          <w:bCs/>
          <w:sz w:val="22"/>
          <w:szCs w:val="22"/>
        </w:rPr>
        <w:t xml:space="preserve"> u 48.</w:t>
      </w:r>
      <w:r w:rsidR="00BF6D2A">
        <w:rPr>
          <w:bCs/>
          <w:sz w:val="22"/>
          <w:szCs w:val="22"/>
        </w:rPr>
        <w:t xml:space="preserve"> </w:t>
      </w:r>
      <w:r w:rsidRPr="00750368">
        <w:rPr>
          <w:bCs/>
          <w:sz w:val="22"/>
          <w:szCs w:val="22"/>
        </w:rPr>
        <w:t>ned</w:t>
      </w:r>
      <w:r w:rsidR="00D95E36">
        <w:rPr>
          <w:bCs/>
          <w:sz w:val="22"/>
          <w:szCs w:val="22"/>
        </w:rPr>
        <w:t>j</w:t>
      </w:r>
      <w:r w:rsidRPr="00750368">
        <w:rPr>
          <w:bCs/>
          <w:sz w:val="22"/>
          <w:szCs w:val="22"/>
        </w:rPr>
        <w:t>elji (n = 6), 72. ned</w:t>
      </w:r>
      <w:r w:rsidR="00D95E36">
        <w:rPr>
          <w:bCs/>
          <w:sz w:val="22"/>
          <w:szCs w:val="22"/>
        </w:rPr>
        <w:t>j</w:t>
      </w:r>
      <w:r w:rsidRPr="00750368">
        <w:rPr>
          <w:bCs/>
          <w:sz w:val="22"/>
          <w:szCs w:val="22"/>
        </w:rPr>
        <w:t>elji (n = 5), 96. ned</w:t>
      </w:r>
      <w:r w:rsidR="00D95E36">
        <w:rPr>
          <w:bCs/>
          <w:sz w:val="22"/>
          <w:szCs w:val="22"/>
        </w:rPr>
        <w:t>j</w:t>
      </w:r>
      <w:r w:rsidRPr="00750368">
        <w:rPr>
          <w:bCs/>
          <w:sz w:val="22"/>
          <w:szCs w:val="22"/>
        </w:rPr>
        <w:t>elji (n = 4), 144. ned</w:t>
      </w:r>
      <w:r w:rsidR="00D95E36">
        <w:rPr>
          <w:bCs/>
          <w:sz w:val="22"/>
          <w:szCs w:val="22"/>
        </w:rPr>
        <w:t>j</w:t>
      </w:r>
      <w:r w:rsidRPr="00750368">
        <w:rPr>
          <w:bCs/>
          <w:sz w:val="22"/>
          <w:szCs w:val="22"/>
        </w:rPr>
        <w:t>elji (n = 2) i 192. ned</w:t>
      </w:r>
      <w:r w:rsidR="00D95E36">
        <w:rPr>
          <w:bCs/>
          <w:sz w:val="22"/>
          <w:szCs w:val="22"/>
        </w:rPr>
        <w:t>j</w:t>
      </w:r>
      <w:r w:rsidRPr="00750368">
        <w:rPr>
          <w:bCs/>
          <w:sz w:val="22"/>
          <w:szCs w:val="22"/>
        </w:rPr>
        <w:t>elji (n = 3). Pedeset četiri pacijenta (uključujući 2 pacijenta sa mutacijama povezanim sa rezistencijom na lamivudin na početku ispitivanja) inicijalno su primali placebo u sl</w:t>
      </w:r>
      <w:r w:rsidR="00D95E36">
        <w:rPr>
          <w:bCs/>
          <w:sz w:val="22"/>
          <w:szCs w:val="22"/>
        </w:rPr>
        <w:t>ij</w:t>
      </w:r>
      <w:r w:rsidRPr="00750368">
        <w:rPr>
          <w:bCs/>
          <w:sz w:val="22"/>
          <w:szCs w:val="22"/>
        </w:rPr>
        <w:t>epom ispitivanju u trajanju od 72 ned</w:t>
      </w:r>
      <w:r w:rsidR="00D95E36">
        <w:rPr>
          <w:bCs/>
          <w:sz w:val="22"/>
          <w:szCs w:val="22"/>
        </w:rPr>
        <w:t>j</w:t>
      </w:r>
      <w:r w:rsidRPr="00750368">
        <w:rPr>
          <w:bCs/>
          <w:sz w:val="22"/>
          <w:szCs w:val="22"/>
        </w:rPr>
        <w:t>elje, a 52/54 pacijenta je nakon toga nastavilo sa prim</w:t>
      </w:r>
      <w:r w:rsidR="00D95E36">
        <w:rPr>
          <w:bCs/>
          <w:sz w:val="22"/>
          <w:szCs w:val="22"/>
        </w:rPr>
        <w:t>j</w:t>
      </w:r>
      <w:r w:rsidRPr="00750368">
        <w:rPr>
          <w:bCs/>
          <w:sz w:val="22"/>
          <w:szCs w:val="22"/>
        </w:rPr>
        <w:t>enom tenofovir</w:t>
      </w:r>
      <w:r w:rsidR="00D95E36">
        <w:rPr>
          <w:bCs/>
          <w:sz w:val="22"/>
          <w:szCs w:val="22"/>
        </w:rPr>
        <w:t xml:space="preserve"> </w:t>
      </w:r>
      <w:r w:rsidRPr="00750368">
        <w:rPr>
          <w:bCs/>
          <w:sz w:val="22"/>
          <w:szCs w:val="22"/>
        </w:rPr>
        <w:t>dizoproksila (placebo-tenofovir</w:t>
      </w:r>
      <w:r w:rsidR="00D95E36">
        <w:rPr>
          <w:bCs/>
          <w:sz w:val="22"/>
          <w:szCs w:val="22"/>
        </w:rPr>
        <w:t xml:space="preserve"> </w:t>
      </w:r>
      <w:r w:rsidRPr="00750368">
        <w:rPr>
          <w:bCs/>
          <w:sz w:val="22"/>
          <w:szCs w:val="22"/>
        </w:rPr>
        <w:t>dizoproksil grupa). Genotipske proc</w:t>
      </w:r>
      <w:r w:rsidR="00D95E36">
        <w:rPr>
          <w:bCs/>
          <w:sz w:val="22"/>
          <w:szCs w:val="22"/>
        </w:rPr>
        <w:t>j</w:t>
      </w:r>
      <w:r w:rsidRPr="00750368">
        <w:rPr>
          <w:bCs/>
          <w:sz w:val="22"/>
          <w:szCs w:val="22"/>
        </w:rPr>
        <w:t>ene su obavljene kod svih pacijenata unutar ove grupe sa vr</w:t>
      </w:r>
      <w:r w:rsidR="00D95E36">
        <w:rPr>
          <w:bCs/>
          <w:sz w:val="22"/>
          <w:szCs w:val="22"/>
        </w:rPr>
        <w:t>ij</w:t>
      </w:r>
      <w:r w:rsidRPr="00750368">
        <w:rPr>
          <w:bCs/>
          <w:sz w:val="22"/>
          <w:szCs w:val="22"/>
        </w:rPr>
        <w:t>ednostima HBV DNK &gt; 400 kopija/</w:t>
      </w:r>
      <w:r w:rsidR="00B83CAB">
        <w:rPr>
          <w:bCs/>
          <w:sz w:val="22"/>
          <w:szCs w:val="22"/>
        </w:rPr>
        <w:t>ml</w:t>
      </w:r>
      <w:r w:rsidRPr="00750368">
        <w:rPr>
          <w:bCs/>
          <w:sz w:val="22"/>
          <w:szCs w:val="22"/>
        </w:rPr>
        <w:t xml:space="preserve"> u 96. ned</w:t>
      </w:r>
      <w:r w:rsidR="00D95E36">
        <w:rPr>
          <w:bCs/>
          <w:sz w:val="22"/>
          <w:szCs w:val="22"/>
        </w:rPr>
        <w:t>j</w:t>
      </w:r>
      <w:r w:rsidRPr="00750368">
        <w:rPr>
          <w:bCs/>
          <w:sz w:val="22"/>
          <w:szCs w:val="22"/>
        </w:rPr>
        <w:t>elji  (n = 17), 144. ned</w:t>
      </w:r>
      <w:r w:rsidR="00D95E36">
        <w:rPr>
          <w:bCs/>
          <w:sz w:val="22"/>
          <w:szCs w:val="22"/>
        </w:rPr>
        <w:t>j</w:t>
      </w:r>
      <w:r w:rsidRPr="00750368">
        <w:rPr>
          <w:bCs/>
          <w:sz w:val="22"/>
          <w:szCs w:val="22"/>
        </w:rPr>
        <w:t>elji (n = 7) i 192. ned</w:t>
      </w:r>
      <w:r w:rsidR="00D95E36">
        <w:rPr>
          <w:bCs/>
          <w:sz w:val="22"/>
          <w:szCs w:val="22"/>
        </w:rPr>
        <w:t>j</w:t>
      </w:r>
      <w:r w:rsidRPr="00750368">
        <w:rPr>
          <w:bCs/>
          <w:sz w:val="22"/>
          <w:szCs w:val="22"/>
        </w:rPr>
        <w:t>elji (n = 8). U ovim izolatima ni</w:t>
      </w:r>
      <w:r w:rsidR="0020581D">
        <w:rPr>
          <w:bCs/>
          <w:sz w:val="22"/>
          <w:szCs w:val="22"/>
        </w:rPr>
        <w:t>je</w:t>
      </w:r>
      <w:r w:rsidRPr="00750368">
        <w:rPr>
          <w:bCs/>
          <w:sz w:val="22"/>
          <w:szCs w:val="22"/>
        </w:rPr>
        <w:t>su identifikovane supstitucije aminokis</w:t>
      </w:r>
      <w:r w:rsidR="00D95E36">
        <w:rPr>
          <w:bCs/>
          <w:sz w:val="22"/>
          <w:szCs w:val="22"/>
        </w:rPr>
        <w:t>j</w:t>
      </w:r>
      <w:r w:rsidRPr="00750368">
        <w:rPr>
          <w:bCs/>
          <w:sz w:val="22"/>
          <w:szCs w:val="22"/>
        </w:rPr>
        <w:t>elina povezane sa rezistencijom na tenofovir</w:t>
      </w:r>
      <w:r w:rsidR="00D95E36">
        <w:rPr>
          <w:bCs/>
          <w:sz w:val="22"/>
          <w:szCs w:val="22"/>
        </w:rPr>
        <w:t xml:space="preserve"> </w:t>
      </w:r>
      <w:r w:rsidRPr="00750368">
        <w:rPr>
          <w:bCs/>
          <w:sz w:val="22"/>
          <w:szCs w:val="22"/>
        </w:rPr>
        <w:t>dizoproksil.</w:t>
      </w:r>
    </w:p>
    <w:p w:rsidR="00750368" w:rsidRPr="00750368" w:rsidRDefault="00750368" w:rsidP="00750368">
      <w:pPr>
        <w:tabs>
          <w:tab w:val="left" w:pos="540"/>
          <w:tab w:val="left" w:pos="569"/>
        </w:tabs>
        <w:jc w:val="both"/>
        <w:rPr>
          <w:bCs/>
          <w:sz w:val="22"/>
          <w:szCs w:val="22"/>
        </w:rPr>
      </w:pPr>
    </w:p>
    <w:p w:rsidR="00750368" w:rsidRDefault="00750368" w:rsidP="00750368">
      <w:pPr>
        <w:tabs>
          <w:tab w:val="left" w:pos="540"/>
          <w:tab w:val="left" w:pos="569"/>
        </w:tabs>
        <w:jc w:val="both"/>
        <w:rPr>
          <w:bCs/>
          <w:sz w:val="22"/>
          <w:szCs w:val="22"/>
        </w:rPr>
      </w:pPr>
      <w:r w:rsidRPr="00750368">
        <w:rPr>
          <w:bCs/>
          <w:sz w:val="22"/>
          <w:szCs w:val="22"/>
        </w:rPr>
        <w:t>U pedijatrijskoj studiji (GS-US-174-0144), genotipski podaci iz uparenih izolata HBV na početku i tokom terapije pacijenata koji su primali tenofovir</w:t>
      </w:r>
      <w:r w:rsidR="00D95E36">
        <w:rPr>
          <w:bCs/>
          <w:sz w:val="22"/>
          <w:szCs w:val="22"/>
        </w:rPr>
        <w:t xml:space="preserve"> </w:t>
      </w:r>
      <w:r w:rsidRPr="00750368">
        <w:rPr>
          <w:bCs/>
          <w:sz w:val="22"/>
          <w:szCs w:val="22"/>
        </w:rPr>
        <w:t>dizoproksil bili su dostupni za 9 od 10 pacijenata koji su imali HBV DNK u plazmi &gt; 400 kopija/</w:t>
      </w:r>
      <w:r w:rsidR="00B83CAB">
        <w:rPr>
          <w:bCs/>
          <w:sz w:val="22"/>
          <w:szCs w:val="22"/>
        </w:rPr>
        <w:t>ml</w:t>
      </w:r>
      <w:r w:rsidRPr="00750368">
        <w:rPr>
          <w:bCs/>
          <w:sz w:val="22"/>
          <w:szCs w:val="22"/>
        </w:rPr>
        <w:t>. Ni</w:t>
      </w:r>
      <w:r w:rsidR="00BF6D2A">
        <w:rPr>
          <w:bCs/>
          <w:sz w:val="22"/>
          <w:szCs w:val="22"/>
        </w:rPr>
        <w:t>je</w:t>
      </w:r>
      <w:r w:rsidRPr="00750368">
        <w:rPr>
          <w:bCs/>
          <w:sz w:val="22"/>
          <w:szCs w:val="22"/>
        </w:rPr>
        <w:t>su identifikovane supstitucije aminokis</w:t>
      </w:r>
      <w:r w:rsidR="00D95E36">
        <w:rPr>
          <w:bCs/>
          <w:sz w:val="22"/>
          <w:szCs w:val="22"/>
        </w:rPr>
        <w:t>j</w:t>
      </w:r>
      <w:r w:rsidRPr="00750368">
        <w:rPr>
          <w:bCs/>
          <w:sz w:val="22"/>
          <w:szCs w:val="22"/>
        </w:rPr>
        <w:t>elina povezane sa rezistencijom na tenofovir</w:t>
      </w:r>
      <w:r w:rsidR="00D95E36">
        <w:rPr>
          <w:bCs/>
          <w:sz w:val="22"/>
          <w:szCs w:val="22"/>
        </w:rPr>
        <w:t xml:space="preserve"> </w:t>
      </w:r>
      <w:r w:rsidRPr="00750368">
        <w:rPr>
          <w:bCs/>
          <w:sz w:val="22"/>
          <w:szCs w:val="22"/>
        </w:rPr>
        <w:t>dizoproksil u tim izolatima do 48. ned</w:t>
      </w:r>
      <w:r w:rsidR="00D95E36">
        <w:rPr>
          <w:bCs/>
          <w:sz w:val="22"/>
          <w:szCs w:val="22"/>
        </w:rPr>
        <w:t>j</w:t>
      </w:r>
      <w:r w:rsidRPr="00750368">
        <w:rPr>
          <w:bCs/>
          <w:sz w:val="22"/>
          <w:szCs w:val="22"/>
        </w:rPr>
        <w:t>elje.</w:t>
      </w:r>
    </w:p>
    <w:p w:rsidR="00F92A3C" w:rsidRDefault="00F92A3C" w:rsidP="00750368">
      <w:pPr>
        <w:tabs>
          <w:tab w:val="left" w:pos="540"/>
          <w:tab w:val="left" w:pos="569"/>
        </w:tabs>
        <w:jc w:val="both"/>
        <w:rPr>
          <w:bCs/>
          <w:sz w:val="22"/>
          <w:szCs w:val="22"/>
        </w:rPr>
      </w:pPr>
    </w:p>
    <w:p w:rsidR="00F92A3C" w:rsidRPr="00F92A3C" w:rsidRDefault="00F92A3C" w:rsidP="00F92A3C">
      <w:pPr>
        <w:tabs>
          <w:tab w:val="left" w:pos="540"/>
          <w:tab w:val="left" w:pos="569"/>
        </w:tabs>
        <w:jc w:val="both"/>
        <w:rPr>
          <w:b/>
          <w:bCs/>
          <w:i/>
          <w:sz w:val="22"/>
          <w:szCs w:val="22"/>
        </w:rPr>
      </w:pPr>
      <w:r w:rsidRPr="00F92A3C">
        <w:rPr>
          <w:b/>
          <w:bCs/>
          <w:i/>
          <w:sz w:val="22"/>
          <w:szCs w:val="22"/>
        </w:rPr>
        <w:t>Pedijatrijska populacija</w:t>
      </w:r>
    </w:p>
    <w:p w:rsidR="00F92A3C" w:rsidRPr="00F92A3C" w:rsidRDefault="00F92A3C" w:rsidP="00F92A3C">
      <w:pPr>
        <w:tabs>
          <w:tab w:val="left" w:pos="540"/>
          <w:tab w:val="left" w:pos="569"/>
        </w:tabs>
        <w:jc w:val="both"/>
        <w:rPr>
          <w:bCs/>
          <w:i/>
          <w:sz w:val="22"/>
          <w:szCs w:val="22"/>
        </w:rPr>
      </w:pPr>
      <w:r w:rsidRPr="00F92A3C">
        <w:rPr>
          <w:bCs/>
          <w:i/>
          <w:sz w:val="22"/>
          <w:szCs w:val="22"/>
        </w:rPr>
        <w:t>HIV-1</w:t>
      </w:r>
    </w:p>
    <w:p w:rsidR="00F92A3C" w:rsidRPr="00F92A3C" w:rsidRDefault="00F92A3C" w:rsidP="00F92A3C">
      <w:pPr>
        <w:tabs>
          <w:tab w:val="left" w:pos="540"/>
          <w:tab w:val="left" w:pos="569"/>
        </w:tabs>
        <w:jc w:val="both"/>
        <w:rPr>
          <w:bCs/>
          <w:sz w:val="22"/>
          <w:szCs w:val="22"/>
        </w:rPr>
      </w:pPr>
      <w:r w:rsidRPr="00F92A3C">
        <w:rPr>
          <w:bCs/>
          <w:sz w:val="22"/>
          <w:szCs w:val="22"/>
        </w:rPr>
        <w:t>U studiji GS-US-104-0321, 87 prethodno l</w:t>
      </w:r>
      <w:r>
        <w:rPr>
          <w:bCs/>
          <w:sz w:val="22"/>
          <w:szCs w:val="22"/>
        </w:rPr>
        <w:t>ij</w:t>
      </w:r>
      <w:r w:rsidRPr="00F92A3C">
        <w:rPr>
          <w:bCs/>
          <w:sz w:val="22"/>
          <w:szCs w:val="22"/>
        </w:rPr>
        <w:t>ečene HIV-1 pozitivne d</w:t>
      </w:r>
      <w:r>
        <w:rPr>
          <w:bCs/>
          <w:sz w:val="22"/>
          <w:szCs w:val="22"/>
        </w:rPr>
        <w:t>j</w:t>
      </w:r>
      <w:r w:rsidRPr="00F92A3C">
        <w:rPr>
          <w:bCs/>
          <w:sz w:val="22"/>
          <w:szCs w:val="22"/>
        </w:rPr>
        <w:t>ece uzrasta od 12 do &lt; 18 godina bilo je l</w:t>
      </w:r>
      <w:r>
        <w:rPr>
          <w:bCs/>
          <w:sz w:val="22"/>
          <w:szCs w:val="22"/>
        </w:rPr>
        <w:t>ij</w:t>
      </w:r>
      <w:r w:rsidRPr="00F92A3C">
        <w:rPr>
          <w:bCs/>
          <w:sz w:val="22"/>
          <w:szCs w:val="22"/>
        </w:rPr>
        <w:t>ečeno tenofovir</w:t>
      </w:r>
      <w:r>
        <w:rPr>
          <w:bCs/>
          <w:sz w:val="22"/>
          <w:szCs w:val="22"/>
        </w:rPr>
        <w:t xml:space="preserve"> </w:t>
      </w:r>
      <w:r w:rsidRPr="00F92A3C">
        <w:rPr>
          <w:bCs/>
          <w:sz w:val="22"/>
          <w:szCs w:val="22"/>
        </w:rPr>
        <w:t>dizoproksilom (n=45) ili je primalo placebo (n=42) u kombinaciji sa optimizovanim pozadinskim režimom l</w:t>
      </w:r>
      <w:r>
        <w:rPr>
          <w:bCs/>
          <w:sz w:val="22"/>
          <w:szCs w:val="22"/>
        </w:rPr>
        <w:t>ij</w:t>
      </w:r>
      <w:r w:rsidRPr="00F92A3C">
        <w:rPr>
          <w:bCs/>
          <w:sz w:val="22"/>
          <w:szCs w:val="22"/>
        </w:rPr>
        <w:t xml:space="preserve">ečenja OBR (engl. </w:t>
      </w:r>
      <w:r w:rsidRPr="00F92A3C">
        <w:rPr>
          <w:bCs/>
          <w:i/>
          <w:sz w:val="22"/>
          <w:szCs w:val="22"/>
        </w:rPr>
        <w:t>optimized background regimen,</w:t>
      </w:r>
      <w:r w:rsidRPr="00F92A3C">
        <w:rPr>
          <w:bCs/>
          <w:sz w:val="22"/>
          <w:szCs w:val="22"/>
        </w:rPr>
        <w:t xml:space="preserve"> OBR) tokom 48 ned</w:t>
      </w:r>
      <w:r>
        <w:rPr>
          <w:bCs/>
          <w:sz w:val="22"/>
          <w:szCs w:val="22"/>
        </w:rPr>
        <w:t>j</w:t>
      </w:r>
      <w:r w:rsidRPr="00F92A3C">
        <w:rPr>
          <w:bCs/>
          <w:sz w:val="22"/>
          <w:szCs w:val="22"/>
        </w:rPr>
        <w:t>elja. Zbog ograničenja studije, korist od tenofovir</w:t>
      </w:r>
      <w:r>
        <w:rPr>
          <w:bCs/>
          <w:sz w:val="22"/>
          <w:szCs w:val="22"/>
        </w:rPr>
        <w:t xml:space="preserve"> </w:t>
      </w:r>
      <w:r w:rsidRPr="00F92A3C">
        <w:rPr>
          <w:bCs/>
          <w:sz w:val="22"/>
          <w:szCs w:val="22"/>
        </w:rPr>
        <w:t>dizoproksila u odnosu na placebo nije mogla da se dokaže na osnovu vr</w:t>
      </w:r>
      <w:r>
        <w:rPr>
          <w:bCs/>
          <w:sz w:val="22"/>
          <w:szCs w:val="22"/>
        </w:rPr>
        <w:t>ij</w:t>
      </w:r>
      <w:r w:rsidRPr="00F92A3C">
        <w:rPr>
          <w:bCs/>
          <w:sz w:val="22"/>
          <w:szCs w:val="22"/>
        </w:rPr>
        <w:t>ednosti HIV-1 RNK u plazmi u 24. ned</w:t>
      </w:r>
      <w:r>
        <w:rPr>
          <w:bCs/>
          <w:sz w:val="22"/>
          <w:szCs w:val="22"/>
        </w:rPr>
        <w:t>j</w:t>
      </w:r>
      <w:r w:rsidRPr="00F92A3C">
        <w:rPr>
          <w:bCs/>
          <w:sz w:val="22"/>
          <w:szCs w:val="22"/>
        </w:rPr>
        <w:t>elji. Ipak, očekuje se korist među adolescentima na osnovu ekstrapolacije rezultata iz populacije odraslih i poređenja farmakokinetičkih podataka (vid</w:t>
      </w:r>
      <w:r>
        <w:rPr>
          <w:bCs/>
          <w:sz w:val="22"/>
          <w:szCs w:val="22"/>
        </w:rPr>
        <w:t>j</w:t>
      </w:r>
      <w:r w:rsidRPr="00F92A3C">
        <w:rPr>
          <w:bCs/>
          <w:sz w:val="22"/>
          <w:szCs w:val="22"/>
        </w:rPr>
        <w:t>eti od</w:t>
      </w:r>
      <w:r>
        <w:rPr>
          <w:bCs/>
          <w:sz w:val="22"/>
          <w:szCs w:val="22"/>
        </w:rPr>
        <w:t>j</w:t>
      </w:r>
      <w:r w:rsidRPr="00F92A3C">
        <w:rPr>
          <w:bCs/>
          <w:sz w:val="22"/>
          <w:szCs w:val="22"/>
        </w:rPr>
        <w:t>eljak 5.2).</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sz w:val="22"/>
          <w:szCs w:val="22"/>
        </w:rPr>
      </w:pPr>
      <w:r w:rsidRPr="00F92A3C">
        <w:rPr>
          <w:bCs/>
          <w:sz w:val="22"/>
          <w:szCs w:val="22"/>
        </w:rPr>
        <w:t>Kod pacijenata koji su primili terapiju sa tenofovir</w:t>
      </w:r>
      <w:r>
        <w:rPr>
          <w:bCs/>
          <w:sz w:val="22"/>
          <w:szCs w:val="22"/>
        </w:rPr>
        <w:t xml:space="preserve"> </w:t>
      </w:r>
      <w:r w:rsidRPr="00F92A3C">
        <w:rPr>
          <w:bCs/>
          <w:sz w:val="22"/>
          <w:szCs w:val="22"/>
        </w:rPr>
        <w:t>dizoproksilom ili placebo, srednji BMD Z-skor lumbalnog  d</w:t>
      </w:r>
      <w:r>
        <w:rPr>
          <w:bCs/>
          <w:sz w:val="22"/>
          <w:szCs w:val="22"/>
        </w:rPr>
        <w:t>ij</w:t>
      </w:r>
      <w:r w:rsidRPr="00F92A3C">
        <w:rPr>
          <w:bCs/>
          <w:sz w:val="22"/>
          <w:szCs w:val="22"/>
        </w:rPr>
        <w:t>ela kičme iznosio je -1,004 odnosno -0,809, a srednji BMD Z-skor c</w:t>
      </w:r>
      <w:r>
        <w:rPr>
          <w:bCs/>
          <w:sz w:val="22"/>
          <w:szCs w:val="22"/>
        </w:rPr>
        <w:t>ij</w:t>
      </w:r>
      <w:r w:rsidRPr="00F92A3C">
        <w:rPr>
          <w:bCs/>
          <w:sz w:val="22"/>
          <w:szCs w:val="22"/>
        </w:rPr>
        <w:t>elog t</w:t>
      </w:r>
      <w:r>
        <w:rPr>
          <w:bCs/>
          <w:sz w:val="22"/>
          <w:szCs w:val="22"/>
        </w:rPr>
        <w:t>ij</w:t>
      </w:r>
      <w:r w:rsidRPr="00F92A3C">
        <w:rPr>
          <w:bCs/>
          <w:sz w:val="22"/>
          <w:szCs w:val="22"/>
        </w:rPr>
        <w:t>ela bio je -0,866, odnosno -0,584 na početku studije. Srednje prom</w:t>
      </w:r>
      <w:r>
        <w:rPr>
          <w:bCs/>
          <w:sz w:val="22"/>
          <w:szCs w:val="22"/>
        </w:rPr>
        <w:t>j</w:t>
      </w:r>
      <w:r w:rsidRPr="00F92A3C">
        <w:rPr>
          <w:bCs/>
          <w:sz w:val="22"/>
          <w:szCs w:val="22"/>
        </w:rPr>
        <w:t>ene u 48. ned</w:t>
      </w:r>
      <w:r>
        <w:rPr>
          <w:bCs/>
          <w:sz w:val="22"/>
          <w:szCs w:val="22"/>
        </w:rPr>
        <w:t>j</w:t>
      </w:r>
      <w:r w:rsidRPr="00F92A3C">
        <w:rPr>
          <w:bCs/>
          <w:sz w:val="22"/>
          <w:szCs w:val="22"/>
        </w:rPr>
        <w:t>elji (na kraju dvostruko sl</w:t>
      </w:r>
      <w:r>
        <w:rPr>
          <w:bCs/>
          <w:sz w:val="22"/>
          <w:szCs w:val="22"/>
        </w:rPr>
        <w:t>ij</w:t>
      </w:r>
      <w:r w:rsidRPr="00F92A3C">
        <w:rPr>
          <w:bCs/>
          <w:sz w:val="22"/>
          <w:szCs w:val="22"/>
        </w:rPr>
        <w:t>epe faze) iznosile su -0,215, odnosno -0,165 za BMD Z-skor za lumbalni d</w:t>
      </w:r>
      <w:r w:rsidR="00BF6D2A">
        <w:rPr>
          <w:bCs/>
          <w:sz w:val="22"/>
          <w:szCs w:val="22"/>
        </w:rPr>
        <w:t>i</w:t>
      </w:r>
      <w:r w:rsidRPr="00F92A3C">
        <w:rPr>
          <w:bCs/>
          <w:sz w:val="22"/>
          <w:szCs w:val="22"/>
        </w:rPr>
        <w:t>o kičme, i -0,254, odnosno -0,179 za BMD Z-skor c</w:t>
      </w:r>
      <w:r>
        <w:rPr>
          <w:bCs/>
          <w:sz w:val="22"/>
          <w:szCs w:val="22"/>
        </w:rPr>
        <w:t>ij</w:t>
      </w:r>
      <w:r w:rsidRPr="00F92A3C">
        <w:rPr>
          <w:bCs/>
          <w:sz w:val="22"/>
          <w:szCs w:val="22"/>
        </w:rPr>
        <w:t>elog t</w:t>
      </w:r>
      <w:r>
        <w:rPr>
          <w:bCs/>
          <w:sz w:val="22"/>
          <w:szCs w:val="22"/>
        </w:rPr>
        <w:t>ij</w:t>
      </w:r>
      <w:r w:rsidRPr="00F92A3C">
        <w:rPr>
          <w:bCs/>
          <w:sz w:val="22"/>
          <w:szCs w:val="22"/>
        </w:rPr>
        <w:t>ela za grupe koje su primale tenofovir</w:t>
      </w:r>
      <w:r>
        <w:rPr>
          <w:bCs/>
          <w:sz w:val="22"/>
          <w:szCs w:val="22"/>
        </w:rPr>
        <w:t xml:space="preserve"> </w:t>
      </w:r>
      <w:r w:rsidRPr="00F92A3C">
        <w:rPr>
          <w:bCs/>
          <w:sz w:val="22"/>
          <w:szCs w:val="22"/>
        </w:rPr>
        <w:t>dizoproksil, odnosno placebo. Srednja stopa porasta BMD-a bila je manja u grupi koja je primala tenofovir</w:t>
      </w:r>
      <w:r>
        <w:rPr>
          <w:bCs/>
          <w:sz w:val="22"/>
          <w:szCs w:val="22"/>
        </w:rPr>
        <w:t xml:space="preserve"> </w:t>
      </w:r>
      <w:r w:rsidRPr="00F92A3C">
        <w:rPr>
          <w:bCs/>
          <w:sz w:val="22"/>
          <w:szCs w:val="22"/>
        </w:rPr>
        <w:t>dizoproksil u poređenju sa grupom koja je primala placebo. U 48. ned</w:t>
      </w:r>
      <w:r>
        <w:rPr>
          <w:bCs/>
          <w:sz w:val="22"/>
          <w:szCs w:val="22"/>
        </w:rPr>
        <w:t>j</w:t>
      </w:r>
      <w:r w:rsidRPr="00F92A3C">
        <w:rPr>
          <w:bCs/>
          <w:sz w:val="22"/>
          <w:szCs w:val="22"/>
        </w:rPr>
        <w:t>elji, šest adolescenata u grupi koja je primala tenofovir</w:t>
      </w:r>
      <w:r>
        <w:rPr>
          <w:bCs/>
          <w:sz w:val="22"/>
          <w:szCs w:val="22"/>
        </w:rPr>
        <w:t xml:space="preserve"> </w:t>
      </w:r>
      <w:r w:rsidRPr="00F92A3C">
        <w:rPr>
          <w:bCs/>
          <w:sz w:val="22"/>
          <w:szCs w:val="22"/>
        </w:rPr>
        <w:t>dizoproksil i jedan adolescent u grupi koja je primala placebo, imali su značajan gubitak BMD-a lumbalnog d</w:t>
      </w:r>
      <w:r>
        <w:rPr>
          <w:bCs/>
          <w:sz w:val="22"/>
          <w:szCs w:val="22"/>
        </w:rPr>
        <w:t>ij</w:t>
      </w:r>
      <w:r w:rsidRPr="00F92A3C">
        <w:rPr>
          <w:bCs/>
          <w:sz w:val="22"/>
          <w:szCs w:val="22"/>
        </w:rPr>
        <w:t>ela kičme (definisan kao gubitak &gt; 4%). Kod  28 pacijenata koji su tokom 96 ned</w:t>
      </w:r>
      <w:r>
        <w:rPr>
          <w:bCs/>
          <w:sz w:val="22"/>
          <w:szCs w:val="22"/>
        </w:rPr>
        <w:t>j</w:t>
      </w:r>
      <w:r w:rsidRPr="00F92A3C">
        <w:rPr>
          <w:bCs/>
          <w:sz w:val="22"/>
          <w:szCs w:val="22"/>
        </w:rPr>
        <w:t>elja primali terapiju tenofovir</w:t>
      </w:r>
      <w:r>
        <w:rPr>
          <w:bCs/>
          <w:sz w:val="22"/>
          <w:szCs w:val="22"/>
        </w:rPr>
        <w:t xml:space="preserve"> </w:t>
      </w:r>
      <w:r w:rsidRPr="00F92A3C">
        <w:rPr>
          <w:bCs/>
          <w:sz w:val="22"/>
          <w:szCs w:val="22"/>
        </w:rPr>
        <w:t xml:space="preserve">dizoproksilom, smanjenje BMD Z-skora je bilo -0,341 za lumbalni </w:t>
      </w:r>
      <w:r>
        <w:rPr>
          <w:bCs/>
          <w:sz w:val="22"/>
          <w:szCs w:val="22"/>
        </w:rPr>
        <w:t>di</w:t>
      </w:r>
      <w:r w:rsidRPr="00F92A3C">
        <w:rPr>
          <w:bCs/>
          <w:sz w:val="22"/>
          <w:szCs w:val="22"/>
        </w:rPr>
        <w:t>o kičme i -0,458 za c</w:t>
      </w:r>
      <w:r>
        <w:rPr>
          <w:bCs/>
          <w:sz w:val="22"/>
          <w:szCs w:val="22"/>
        </w:rPr>
        <w:t>ij</w:t>
      </w:r>
      <w:r w:rsidRPr="00F92A3C">
        <w:rPr>
          <w:bCs/>
          <w:sz w:val="22"/>
          <w:szCs w:val="22"/>
        </w:rPr>
        <w:t>elo t</w:t>
      </w:r>
      <w:r>
        <w:rPr>
          <w:bCs/>
          <w:sz w:val="22"/>
          <w:szCs w:val="22"/>
        </w:rPr>
        <w:t>ij</w:t>
      </w:r>
      <w:r w:rsidRPr="00F92A3C">
        <w:rPr>
          <w:bCs/>
          <w:sz w:val="22"/>
          <w:szCs w:val="22"/>
        </w:rPr>
        <w:t>elo.</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sz w:val="22"/>
          <w:szCs w:val="22"/>
        </w:rPr>
      </w:pPr>
      <w:r w:rsidRPr="00F92A3C">
        <w:rPr>
          <w:bCs/>
          <w:sz w:val="22"/>
          <w:szCs w:val="22"/>
        </w:rPr>
        <w:t>U studiji GS-US-104-0352, 97 prethodno l</w:t>
      </w:r>
      <w:r>
        <w:rPr>
          <w:bCs/>
          <w:sz w:val="22"/>
          <w:szCs w:val="22"/>
        </w:rPr>
        <w:t>ij</w:t>
      </w:r>
      <w:r w:rsidRPr="00F92A3C">
        <w:rPr>
          <w:bCs/>
          <w:sz w:val="22"/>
          <w:szCs w:val="22"/>
        </w:rPr>
        <w:t>ečenih pacijenata uzrasta od 2 do &lt; 12 godina, sa stabilnom virusološkom supresijom, koji su prethodno bili l</w:t>
      </w:r>
      <w:r>
        <w:rPr>
          <w:bCs/>
          <w:sz w:val="22"/>
          <w:szCs w:val="22"/>
        </w:rPr>
        <w:t>ij</w:t>
      </w:r>
      <w:r w:rsidRPr="00F92A3C">
        <w:rPr>
          <w:bCs/>
          <w:sz w:val="22"/>
          <w:szCs w:val="22"/>
        </w:rPr>
        <w:t>ečeni režimima koji su sadržali stavudin ili zidovudin, bilo je randomizovano u grupu u kojima se stavudin ili zidovudin zam</w:t>
      </w:r>
      <w:r>
        <w:rPr>
          <w:bCs/>
          <w:sz w:val="22"/>
          <w:szCs w:val="22"/>
        </w:rPr>
        <w:t>j</w:t>
      </w:r>
      <w:r w:rsidRPr="00F92A3C">
        <w:rPr>
          <w:bCs/>
          <w:sz w:val="22"/>
          <w:szCs w:val="22"/>
        </w:rPr>
        <w:t>enjivao tenofovir</w:t>
      </w:r>
      <w:r>
        <w:rPr>
          <w:bCs/>
          <w:sz w:val="22"/>
          <w:szCs w:val="22"/>
        </w:rPr>
        <w:t xml:space="preserve"> </w:t>
      </w:r>
      <w:r w:rsidRPr="00F92A3C">
        <w:rPr>
          <w:bCs/>
          <w:sz w:val="22"/>
          <w:szCs w:val="22"/>
        </w:rPr>
        <w:t>dizoproksilom (n = 48) ili u grupe koje su nastavile da primaju prvobitni režim (n = 49) tokom 48 ned</w:t>
      </w:r>
      <w:r>
        <w:rPr>
          <w:bCs/>
          <w:sz w:val="22"/>
          <w:szCs w:val="22"/>
        </w:rPr>
        <w:t>j</w:t>
      </w:r>
      <w:r w:rsidRPr="00F92A3C">
        <w:rPr>
          <w:bCs/>
          <w:sz w:val="22"/>
          <w:szCs w:val="22"/>
        </w:rPr>
        <w:t>elja. U 48. ned</w:t>
      </w:r>
      <w:r>
        <w:rPr>
          <w:bCs/>
          <w:sz w:val="22"/>
          <w:szCs w:val="22"/>
        </w:rPr>
        <w:t>j</w:t>
      </w:r>
      <w:r w:rsidRPr="00F92A3C">
        <w:rPr>
          <w:bCs/>
          <w:sz w:val="22"/>
          <w:szCs w:val="22"/>
        </w:rPr>
        <w:t>elji, 83% pacijenata u grupi sa tenofovir</w:t>
      </w:r>
      <w:r>
        <w:rPr>
          <w:bCs/>
          <w:sz w:val="22"/>
          <w:szCs w:val="22"/>
        </w:rPr>
        <w:t xml:space="preserve"> </w:t>
      </w:r>
      <w:r w:rsidRPr="00F92A3C">
        <w:rPr>
          <w:bCs/>
          <w:sz w:val="22"/>
          <w:szCs w:val="22"/>
        </w:rPr>
        <w:t>dizoproksilom i 92% pacijenta u grupi sa stavudinom ili zidovudinom, imalo</w:t>
      </w:r>
      <w:r>
        <w:rPr>
          <w:bCs/>
          <w:sz w:val="22"/>
          <w:szCs w:val="22"/>
        </w:rPr>
        <w:t xml:space="preserve"> </w:t>
      </w:r>
      <w:r w:rsidRPr="00F92A3C">
        <w:rPr>
          <w:bCs/>
          <w:sz w:val="22"/>
          <w:szCs w:val="22"/>
        </w:rPr>
        <w:t>je koncentracije HIV-1 RNK &lt; 400 kopija/</w:t>
      </w:r>
      <w:r w:rsidR="00B83CAB">
        <w:rPr>
          <w:bCs/>
          <w:sz w:val="22"/>
          <w:szCs w:val="22"/>
        </w:rPr>
        <w:t>ml</w:t>
      </w:r>
      <w:r w:rsidRPr="00F92A3C">
        <w:rPr>
          <w:bCs/>
          <w:sz w:val="22"/>
          <w:szCs w:val="22"/>
        </w:rPr>
        <w:t>. Razlika u procentu pacijenta kod kojih se zadržalo &lt; 400 kopija/</w:t>
      </w:r>
      <w:r w:rsidR="00B83CAB">
        <w:rPr>
          <w:bCs/>
          <w:sz w:val="22"/>
          <w:szCs w:val="22"/>
        </w:rPr>
        <w:t>ml</w:t>
      </w:r>
      <w:r w:rsidRPr="00F92A3C">
        <w:rPr>
          <w:bCs/>
          <w:sz w:val="22"/>
          <w:szCs w:val="22"/>
        </w:rPr>
        <w:t xml:space="preserve"> u 48. ned</w:t>
      </w:r>
      <w:r>
        <w:rPr>
          <w:bCs/>
          <w:sz w:val="22"/>
          <w:szCs w:val="22"/>
        </w:rPr>
        <w:t>j</w:t>
      </w:r>
      <w:r w:rsidRPr="00F92A3C">
        <w:rPr>
          <w:bCs/>
          <w:sz w:val="22"/>
          <w:szCs w:val="22"/>
        </w:rPr>
        <w:t>elji uglavnom je poticala od većeg broj prekida terapije u grupi koja je primala tenofovir</w:t>
      </w:r>
      <w:r>
        <w:rPr>
          <w:bCs/>
          <w:sz w:val="22"/>
          <w:szCs w:val="22"/>
        </w:rPr>
        <w:t xml:space="preserve"> </w:t>
      </w:r>
      <w:r w:rsidRPr="00F92A3C">
        <w:rPr>
          <w:bCs/>
          <w:sz w:val="22"/>
          <w:szCs w:val="22"/>
        </w:rPr>
        <w:t>dizoproksil. Kada su isključeni podaci koji su nedostajali, 91% pacijenata u grupi koja je primala tenofovir</w:t>
      </w:r>
      <w:r>
        <w:rPr>
          <w:bCs/>
          <w:sz w:val="22"/>
          <w:szCs w:val="22"/>
        </w:rPr>
        <w:t xml:space="preserve"> </w:t>
      </w:r>
      <w:r w:rsidRPr="00F92A3C">
        <w:rPr>
          <w:bCs/>
          <w:sz w:val="22"/>
          <w:szCs w:val="22"/>
        </w:rPr>
        <w:t>dizoproksil i 94% pacijenata u grupi koja je primala stavudin ili zidovudin imalo je vr</w:t>
      </w:r>
      <w:r>
        <w:rPr>
          <w:bCs/>
          <w:sz w:val="22"/>
          <w:szCs w:val="22"/>
        </w:rPr>
        <w:t>ij</w:t>
      </w:r>
      <w:r w:rsidRPr="00F92A3C">
        <w:rPr>
          <w:bCs/>
          <w:sz w:val="22"/>
          <w:szCs w:val="22"/>
        </w:rPr>
        <w:t>ednosti HIV-1 RNK &lt; 400 kopija/</w:t>
      </w:r>
      <w:r w:rsidR="00B83CAB">
        <w:rPr>
          <w:bCs/>
          <w:sz w:val="22"/>
          <w:szCs w:val="22"/>
        </w:rPr>
        <w:t>ml</w:t>
      </w:r>
      <w:r w:rsidRPr="00F92A3C">
        <w:rPr>
          <w:bCs/>
          <w:sz w:val="22"/>
          <w:szCs w:val="22"/>
        </w:rPr>
        <w:t xml:space="preserve"> u 48. ned</w:t>
      </w:r>
      <w:r>
        <w:rPr>
          <w:bCs/>
          <w:sz w:val="22"/>
          <w:szCs w:val="22"/>
        </w:rPr>
        <w:t>j</w:t>
      </w:r>
      <w:r w:rsidRPr="00F92A3C">
        <w:rPr>
          <w:bCs/>
          <w:sz w:val="22"/>
          <w:szCs w:val="22"/>
        </w:rPr>
        <w:t>elji.</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sz w:val="22"/>
          <w:szCs w:val="22"/>
        </w:rPr>
      </w:pPr>
      <w:r w:rsidRPr="00F92A3C">
        <w:rPr>
          <w:bCs/>
          <w:sz w:val="22"/>
          <w:szCs w:val="22"/>
        </w:rPr>
        <w:t xml:space="preserve">Kod pedijatrijskih pacijenata </w:t>
      </w:r>
      <w:r>
        <w:rPr>
          <w:bCs/>
          <w:sz w:val="22"/>
          <w:szCs w:val="22"/>
        </w:rPr>
        <w:t>zabilje</w:t>
      </w:r>
      <w:r w:rsidRPr="00F92A3C">
        <w:rPr>
          <w:bCs/>
          <w:sz w:val="22"/>
          <w:szCs w:val="22"/>
        </w:rPr>
        <w:t>žena su sniženja BMD-a. Srednja vr</w:t>
      </w:r>
      <w:r>
        <w:rPr>
          <w:bCs/>
          <w:sz w:val="22"/>
          <w:szCs w:val="22"/>
        </w:rPr>
        <w:t>ij</w:t>
      </w:r>
      <w:r w:rsidRPr="00F92A3C">
        <w:rPr>
          <w:bCs/>
          <w:sz w:val="22"/>
          <w:szCs w:val="22"/>
        </w:rPr>
        <w:t>ednost BMD Z-skora lumbalne kičme kod pacijenata koji su bili l</w:t>
      </w:r>
      <w:r>
        <w:rPr>
          <w:bCs/>
          <w:sz w:val="22"/>
          <w:szCs w:val="22"/>
        </w:rPr>
        <w:t>ij</w:t>
      </w:r>
      <w:r w:rsidRPr="00F92A3C">
        <w:rPr>
          <w:bCs/>
          <w:sz w:val="22"/>
          <w:szCs w:val="22"/>
        </w:rPr>
        <w:t>ečeni tenofovir</w:t>
      </w:r>
      <w:r>
        <w:rPr>
          <w:bCs/>
          <w:sz w:val="22"/>
          <w:szCs w:val="22"/>
        </w:rPr>
        <w:t xml:space="preserve"> </w:t>
      </w:r>
      <w:r w:rsidRPr="00F92A3C">
        <w:rPr>
          <w:bCs/>
          <w:sz w:val="22"/>
          <w:szCs w:val="22"/>
        </w:rPr>
        <w:t>dizoproksilom na početku je iznosila -1,034, a kod l</w:t>
      </w:r>
      <w:r>
        <w:rPr>
          <w:bCs/>
          <w:sz w:val="22"/>
          <w:szCs w:val="22"/>
        </w:rPr>
        <w:t>ij</w:t>
      </w:r>
      <w:r w:rsidRPr="00F92A3C">
        <w:rPr>
          <w:bCs/>
          <w:sz w:val="22"/>
          <w:szCs w:val="22"/>
        </w:rPr>
        <w:t>ečenih stavudinom ili zidovudinom -0,498, dok je srednja vr</w:t>
      </w:r>
      <w:r>
        <w:rPr>
          <w:bCs/>
          <w:sz w:val="22"/>
          <w:szCs w:val="22"/>
        </w:rPr>
        <w:t>ij</w:t>
      </w:r>
      <w:r w:rsidRPr="00F92A3C">
        <w:rPr>
          <w:bCs/>
          <w:sz w:val="22"/>
          <w:szCs w:val="22"/>
        </w:rPr>
        <w:t>ednost BMD Z-skora c</w:t>
      </w:r>
      <w:r>
        <w:rPr>
          <w:bCs/>
          <w:sz w:val="22"/>
          <w:szCs w:val="22"/>
        </w:rPr>
        <w:t>ij</w:t>
      </w:r>
      <w:r w:rsidRPr="00F92A3C">
        <w:rPr>
          <w:bCs/>
          <w:sz w:val="22"/>
          <w:szCs w:val="22"/>
        </w:rPr>
        <w:t>elog t</w:t>
      </w:r>
      <w:r>
        <w:rPr>
          <w:bCs/>
          <w:sz w:val="22"/>
          <w:szCs w:val="22"/>
        </w:rPr>
        <w:t>ij</w:t>
      </w:r>
      <w:r w:rsidRPr="00F92A3C">
        <w:rPr>
          <w:bCs/>
          <w:sz w:val="22"/>
          <w:szCs w:val="22"/>
        </w:rPr>
        <w:t>ela kod l</w:t>
      </w:r>
      <w:r>
        <w:rPr>
          <w:bCs/>
          <w:sz w:val="22"/>
          <w:szCs w:val="22"/>
        </w:rPr>
        <w:t>ij</w:t>
      </w:r>
      <w:r w:rsidRPr="00F92A3C">
        <w:rPr>
          <w:bCs/>
          <w:sz w:val="22"/>
          <w:szCs w:val="22"/>
        </w:rPr>
        <w:t>ečenih tenofovir</w:t>
      </w:r>
      <w:r>
        <w:rPr>
          <w:bCs/>
          <w:sz w:val="22"/>
          <w:szCs w:val="22"/>
        </w:rPr>
        <w:t xml:space="preserve"> </w:t>
      </w:r>
      <w:r w:rsidRPr="00F92A3C">
        <w:rPr>
          <w:bCs/>
          <w:sz w:val="22"/>
          <w:szCs w:val="22"/>
        </w:rPr>
        <w:t>dizoproksilom iznosila -0,471, a kod l</w:t>
      </w:r>
      <w:r>
        <w:rPr>
          <w:bCs/>
          <w:sz w:val="22"/>
          <w:szCs w:val="22"/>
        </w:rPr>
        <w:t>ij</w:t>
      </w:r>
      <w:r w:rsidRPr="00F92A3C">
        <w:rPr>
          <w:bCs/>
          <w:sz w:val="22"/>
          <w:szCs w:val="22"/>
        </w:rPr>
        <w:t>ečenih stavudinom ili zidovudinom -0,386. Srednje vr</w:t>
      </w:r>
      <w:r>
        <w:rPr>
          <w:bCs/>
          <w:sz w:val="22"/>
          <w:szCs w:val="22"/>
        </w:rPr>
        <w:t>ij</w:t>
      </w:r>
      <w:r w:rsidRPr="00F92A3C">
        <w:rPr>
          <w:bCs/>
          <w:sz w:val="22"/>
          <w:szCs w:val="22"/>
        </w:rPr>
        <w:t>ednosti prom</w:t>
      </w:r>
      <w:r>
        <w:rPr>
          <w:bCs/>
          <w:sz w:val="22"/>
          <w:szCs w:val="22"/>
        </w:rPr>
        <w:t>j</w:t>
      </w:r>
      <w:r w:rsidRPr="00F92A3C">
        <w:rPr>
          <w:bCs/>
          <w:sz w:val="22"/>
          <w:szCs w:val="22"/>
        </w:rPr>
        <w:t>ene u 48. ned</w:t>
      </w:r>
      <w:r>
        <w:rPr>
          <w:bCs/>
          <w:sz w:val="22"/>
          <w:szCs w:val="22"/>
        </w:rPr>
        <w:t>j</w:t>
      </w:r>
      <w:r w:rsidRPr="00F92A3C">
        <w:rPr>
          <w:bCs/>
          <w:sz w:val="22"/>
          <w:szCs w:val="22"/>
        </w:rPr>
        <w:t>elji (na kraju randomizovane faze) iznosile su 0,032 odnosno 0,087 u BMD Z-skoru lumbalne kičme i -0,184, odnosno -0,027 u BMD Z-skoru c</w:t>
      </w:r>
      <w:r>
        <w:rPr>
          <w:bCs/>
          <w:sz w:val="22"/>
          <w:szCs w:val="22"/>
        </w:rPr>
        <w:t>ij</w:t>
      </w:r>
      <w:r w:rsidRPr="00F92A3C">
        <w:rPr>
          <w:bCs/>
          <w:sz w:val="22"/>
          <w:szCs w:val="22"/>
        </w:rPr>
        <w:t>elog t</w:t>
      </w:r>
      <w:r>
        <w:rPr>
          <w:bCs/>
          <w:sz w:val="22"/>
          <w:szCs w:val="22"/>
        </w:rPr>
        <w:t>ij</w:t>
      </w:r>
      <w:r w:rsidRPr="00F92A3C">
        <w:rPr>
          <w:bCs/>
          <w:sz w:val="22"/>
          <w:szCs w:val="22"/>
        </w:rPr>
        <w:t>ela u grupama koje su l</w:t>
      </w:r>
      <w:r>
        <w:rPr>
          <w:bCs/>
          <w:sz w:val="22"/>
          <w:szCs w:val="22"/>
        </w:rPr>
        <w:t>ij</w:t>
      </w:r>
      <w:r w:rsidRPr="00F92A3C">
        <w:rPr>
          <w:bCs/>
          <w:sz w:val="22"/>
          <w:szCs w:val="22"/>
        </w:rPr>
        <w:t>ečene tenofovir</w:t>
      </w:r>
      <w:r>
        <w:rPr>
          <w:bCs/>
          <w:sz w:val="22"/>
          <w:szCs w:val="22"/>
        </w:rPr>
        <w:t xml:space="preserve"> </w:t>
      </w:r>
      <w:r w:rsidRPr="00F92A3C">
        <w:rPr>
          <w:bCs/>
          <w:sz w:val="22"/>
          <w:szCs w:val="22"/>
        </w:rPr>
        <w:t>dizoproksilom, odnosno stavudinom ili zidovudinom. Srednja vr</w:t>
      </w:r>
      <w:r>
        <w:rPr>
          <w:bCs/>
          <w:sz w:val="22"/>
          <w:szCs w:val="22"/>
        </w:rPr>
        <w:t>ij</w:t>
      </w:r>
      <w:r w:rsidRPr="00F92A3C">
        <w:rPr>
          <w:bCs/>
          <w:sz w:val="22"/>
          <w:szCs w:val="22"/>
        </w:rPr>
        <w:t>ednost brzine povećanja koštane mase lumbalne kičme u 48. ned</w:t>
      </w:r>
      <w:r>
        <w:rPr>
          <w:bCs/>
          <w:sz w:val="22"/>
          <w:szCs w:val="22"/>
        </w:rPr>
        <w:t>j</w:t>
      </w:r>
      <w:r w:rsidRPr="00F92A3C">
        <w:rPr>
          <w:bCs/>
          <w:sz w:val="22"/>
          <w:szCs w:val="22"/>
        </w:rPr>
        <w:t>elji u grupi l</w:t>
      </w:r>
      <w:r>
        <w:rPr>
          <w:bCs/>
          <w:sz w:val="22"/>
          <w:szCs w:val="22"/>
        </w:rPr>
        <w:t>ij</w:t>
      </w:r>
      <w:r w:rsidRPr="00F92A3C">
        <w:rPr>
          <w:bCs/>
          <w:sz w:val="22"/>
          <w:szCs w:val="22"/>
        </w:rPr>
        <w:t>ečenoj tenofovir</w:t>
      </w:r>
      <w:r>
        <w:rPr>
          <w:bCs/>
          <w:sz w:val="22"/>
          <w:szCs w:val="22"/>
        </w:rPr>
        <w:t xml:space="preserve"> </w:t>
      </w:r>
      <w:r w:rsidRPr="00F92A3C">
        <w:rPr>
          <w:bCs/>
          <w:sz w:val="22"/>
          <w:szCs w:val="22"/>
        </w:rPr>
        <w:t>dizoproksilom bila je slična onoj u grupi l</w:t>
      </w:r>
      <w:r>
        <w:rPr>
          <w:bCs/>
          <w:sz w:val="22"/>
          <w:szCs w:val="22"/>
        </w:rPr>
        <w:t>ij</w:t>
      </w:r>
      <w:r w:rsidRPr="00F92A3C">
        <w:rPr>
          <w:bCs/>
          <w:sz w:val="22"/>
          <w:szCs w:val="22"/>
        </w:rPr>
        <w:t>ečenoj stavudinom ili zidovudinom. Povećanje ukupne koštane mase bilo je manje u grupi l</w:t>
      </w:r>
      <w:r>
        <w:rPr>
          <w:bCs/>
          <w:sz w:val="22"/>
          <w:szCs w:val="22"/>
        </w:rPr>
        <w:t>ij</w:t>
      </w:r>
      <w:r w:rsidRPr="00F92A3C">
        <w:rPr>
          <w:bCs/>
          <w:sz w:val="22"/>
          <w:szCs w:val="22"/>
        </w:rPr>
        <w:t>ečenoj tenofovir</w:t>
      </w:r>
      <w:r>
        <w:rPr>
          <w:bCs/>
          <w:sz w:val="22"/>
          <w:szCs w:val="22"/>
        </w:rPr>
        <w:t xml:space="preserve"> </w:t>
      </w:r>
      <w:r w:rsidRPr="00F92A3C">
        <w:rPr>
          <w:bCs/>
          <w:sz w:val="22"/>
          <w:szCs w:val="22"/>
        </w:rPr>
        <w:t>dizoproksilom nego u grupi l</w:t>
      </w:r>
      <w:r>
        <w:rPr>
          <w:bCs/>
          <w:sz w:val="22"/>
          <w:szCs w:val="22"/>
        </w:rPr>
        <w:t>ij</w:t>
      </w:r>
      <w:r w:rsidRPr="00F92A3C">
        <w:rPr>
          <w:bCs/>
          <w:sz w:val="22"/>
          <w:szCs w:val="22"/>
        </w:rPr>
        <w:t>ečenoj stavudinom ili zidovudinom. Jedan ispitanik l</w:t>
      </w:r>
      <w:r>
        <w:rPr>
          <w:bCs/>
          <w:sz w:val="22"/>
          <w:szCs w:val="22"/>
        </w:rPr>
        <w:t>ij</w:t>
      </w:r>
      <w:r w:rsidRPr="00F92A3C">
        <w:rPr>
          <w:bCs/>
          <w:sz w:val="22"/>
          <w:szCs w:val="22"/>
        </w:rPr>
        <w:t>ečen tenofovir</w:t>
      </w:r>
      <w:r>
        <w:rPr>
          <w:bCs/>
          <w:sz w:val="22"/>
          <w:szCs w:val="22"/>
        </w:rPr>
        <w:t xml:space="preserve"> </w:t>
      </w:r>
      <w:r w:rsidRPr="00F92A3C">
        <w:rPr>
          <w:bCs/>
          <w:sz w:val="22"/>
          <w:szCs w:val="22"/>
        </w:rPr>
        <w:t>dizoproksilom imao je značajno (&gt; 4%) smanjenje BMD-a lumbalnog d</w:t>
      </w:r>
      <w:r>
        <w:rPr>
          <w:bCs/>
          <w:sz w:val="22"/>
          <w:szCs w:val="22"/>
        </w:rPr>
        <w:t>ij</w:t>
      </w:r>
      <w:r w:rsidRPr="00F92A3C">
        <w:rPr>
          <w:bCs/>
          <w:sz w:val="22"/>
          <w:szCs w:val="22"/>
        </w:rPr>
        <w:t>ela kičme u 48. ned</w:t>
      </w:r>
      <w:r>
        <w:rPr>
          <w:bCs/>
          <w:sz w:val="22"/>
          <w:szCs w:val="22"/>
        </w:rPr>
        <w:t>j</w:t>
      </w:r>
      <w:r w:rsidRPr="00F92A3C">
        <w:rPr>
          <w:bCs/>
          <w:sz w:val="22"/>
          <w:szCs w:val="22"/>
        </w:rPr>
        <w:t>elji, dok to nije opaženo niti kod jednog ispitanika l</w:t>
      </w:r>
      <w:r>
        <w:rPr>
          <w:bCs/>
          <w:sz w:val="22"/>
          <w:szCs w:val="22"/>
        </w:rPr>
        <w:t>ij</w:t>
      </w:r>
      <w:r w:rsidRPr="00F92A3C">
        <w:rPr>
          <w:bCs/>
          <w:sz w:val="22"/>
          <w:szCs w:val="22"/>
        </w:rPr>
        <w:t>ečenog stavudinom ili zidovudinom. BMD Z-skor opao je za -0,012 za</w:t>
      </w:r>
      <w:r>
        <w:rPr>
          <w:bCs/>
          <w:sz w:val="22"/>
          <w:szCs w:val="22"/>
        </w:rPr>
        <w:t xml:space="preserve"> lumbalni di</w:t>
      </w:r>
      <w:r w:rsidRPr="00F92A3C">
        <w:rPr>
          <w:bCs/>
          <w:sz w:val="22"/>
          <w:szCs w:val="22"/>
        </w:rPr>
        <w:t>o kičme, odnosno za -0,338 za c</w:t>
      </w:r>
      <w:r>
        <w:rPr>
          <w:bCs/>
          <w:sz w:val="22"/>
          <w:szCs w:val="22"/>
        </w:rPr>
        <w:t>ij</w:t>
      </w:r>
      <w:r w:rsidRPr="00F92A3C">
        <w:rPr>
          <w:bCs/>
          <w:sz w:val="22"/>
          <w:szCs w:val="22"/>
        </w:rPr>
        <w:t>elo t</w:t>
      </w:r>
      <w:r>
        <w:rPr>
          <w:bCs/>
          <w:sz w:val="22"/>
          <w:szCs w:val="22"/>
        </w:rPr>
        <w:t>ij</w:t>
      </w:r>
      <w:r w:rsidRPr="00F92A3C">
        <w:rPr>
          <w:bCs/>
          <w:sz w:val="22"/>
          <w:szCs w:val="22"/>
        </w:rPr>
        <w:t>elo kod 64 ispitanika koji su bili na terapiji tenofovir</w:t>
      </w:r>
      <w:r>
        <w:rPr>
          <w:bCs/>
          <w:sz w:val="22"/>
          <w:szCs w:val="22"/>
        </w:rPr>
        <w:t xml:space="preserve"> </w:t>
      </w:r>
      <w:r w:rsidRPr="00F92A3C">
        <w:rPr>
          <w:bCs/>
          <w:sz w:val="22"/>
          <w:szCs w:val="22"/>
        </w:rPr>
        <w:t>dizoproksilom tokom 96 ned</w:t>
      </w:r>
      <w:r>
        <w:rPr>
          <w:bCs/>
          <w:sz w:val="22"/>
          <w:szCs w:val="22"/>
        </w:rPr>
        <w:t>jelj</w:t>
      </w:r>
      <w:r w:rsidRPr="00F92A3C">
        <w:rPr>
          <w:bCs/>
          <w:sz w:val="22"/>
          <w:szCs w:val="22"/>
        </w:rPr>
        <w:t>a. BMD Z-skor nije bio prilagođen za t</w:t>
      </w:r>
      <w:r>
        <w:rPr>
          <w:bCs/>
          <w:sz w:val="22"/>
          <w:szCs w:val="22"/>
        </w:rPr>
        <w:t>j</w:t>
      </w:r>
      <w:r w:rsidRPr="00F92A3C">
        <w:rPr>
          <w:bCs/>
          <w:sz w:val="22"/>
          <w:szCs w:val="22"/>
        </w:rPr>
        <w:t>elesnu visinu i t</w:t>
      </w:r>
      <w:r>
        <w:rPr>
          <w:bCs/>
          <w:sz w:val="22"/>
          <w:szCs w:val="22"/>
        </w:rPr>
        <w:t>j</w:t>
      </w:r>
      <w:r w:rsidRPr="00F92A3C">
        <w:rPr>
          <w:bCs/>
          <w:sz w:val="22"/>
          <w:szCs w:val="22"/>
        </w:rPr>
        <w:t>elesnu masu.</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sz w:val="22"/>
          <w:szCs w:val="22"/>
        </w:rPr>
      </w:pPr>
      <w:r w:rsidRPr="00F92A3C">
        <w:rPr>
          <w:bCs/>
          <w:sz w:val="22"/>
          <w:szCs w:val="22"/>
        </w:rPr>
        <w:t>U studiji GS-US-104-0352, 8 od 89 pedijatrijskih pacijenata (9,0 %) izloženih tenofovir</w:t>
      </w:r>
      <w:r>
        <w:rPr>
          <w:bCs/>
          <w:sz w:val="22"/>
          <w:szCs w:val="22"/>
        </w:rPr>
        <w:t xml:space="preserve"> </w:t>
      </w:r>
      <w:r w:rsidRPr="00F92A3C">
        <w:rPr>
          <w:bCs/>
          <w:sz w:val="22"/>
          <w:szCs w:val="22"/>
        </w:rPr>
        <w:t>dizoproksilu  obustavilo je l</w:t>
      </w:r>
      <w:r>
        <w:rPr>
          <w:bCs/>
          <w:sz w:val="22"/>
          <w:szCs w:val="22"/>
        </w:rPr>
        <w:t>ij</w:t>
      </w:r>
      <w:r w:rsidRPr="00F92A3C">
        <w:rPr>
          <w:bCs/>
          <w:sz w:val="22"/>
          <w:szCs w:val="22"/>
        </w:rPr>
        <w:t>ečenje zbog neželjenih događaja povezanih sa bubrezima. Pet ispitanika (5,6%) imalo je laboratorijske nalaze koji klinički odgovaraju proksimalnoj bubrežnoj tubulopatiji, od kojih je njih 4 prekinulo terapiju tenofovir</w:t>
      </w:r>
      <w:r>
        <w:rPr>
          <w:bCs/>
          <w:sz w:val="22"/>
          <w:szCs w:val="22"/>
        </w:rPr>
        <w:t xml:space="preserve"> </w:t>
      </w:r>
      <w:r w:rsidRPr="00F92A3C">
        <w:rPr>
          <w:bCs/>
          <w:sz w:val="22"/>
          <w:szCs w:val="22"/>
        </w:rPr>
        <w:t>dizoproksilom (medijana vremena izloženosti tenofovir</w:t>
      </w:r>
      <w:r>
        <w:rPr>
          <w:bCs/>
          <w:sz w:val="22"/>
          <w:szCs w:val="22"/>
        </w:rPr>
        <w:t xml:space="preserve"> </w:t>
      </w:r>
      <w:r w:rsidRPr="00F92A3C">
        <w:rPr>
          <w:bCs/>
          <w:sz w:val="22"/>
          <w:szCs w:val="22"/>
        </w:rPr>
        <w:t>dizoproksilu iznosila je 331 ned</w:t>
      </w:r>
      <w:r>
        <w:rPr>
          <w:bCs/>
          <w:sz w:val="22"/>
          <w:szCs w:val="22"/>
        </w:rPr>
        <w:t>j</w:t>
      </w:r>
      <w:r w:rsidRPr="00F92A3C">
        <w:rPr>
          <w:bCs/>
          <w:sz w:val="22"/>
          <w:szCs w:val="22"/>
        </w:rPr>
        <w:t>elj</w:t>
      </w:r>
      <w:r w:rsidR="00BF6D2A">
        <w:rPr>
          <w:bCs/>
          <w:sz w:val="22"/>
          <w:szCs w:val="22"/>
        </w:rPr>
        <w:t>u</w:t>
      </w:r>
      <w:r w:rsidRPr="00F92A3C">
        <w:rPr>
          <w:bCs/>
          <w:sz w:val="22"/>
          <w:szCs w:val="22"/>
        </w:rPr>
        <w:t>).</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i/>
          <w:sz w:val="22"/>
          <w:szCs w:val="22"/>
        </w:rPr>
      </w:pPr>
      <w:r w:rsidRPr="00F92A3C">
        <w:rPr>
          <w:bCs/>
          <w:i/>
          <w:sz w:val="22"/>
          <w:szCs w:val="22"/>
        </w:rPr>
        <w:t>Hronični hepatitis B</w:t>
      </w:r>
    </w:p>
    <w:p w:rsidR="00F92A3C" w:rsidRPr="00F92A3C" w:rsidRDefault="00F92A3C" w:rsidP="00F92A3C">
      <w:pPr>
        <w:tabs>
          <w:tab w:val="left" w:pos="540"/>
          <w:tab w:val="left" w:pos="569"/>
        </w:tabs>
        <w:jc w:val="both"/>
        <w:rPr>
          <w:bCs/>
          <w:sz w:val="22"/>
          <w:szCs w:val="22"/>
        </w:rPr>
      </w:pPr>
      <w:r w:rsidRPr="00F92A3C">
        <w:rPr>
          <w:bCs/>
          <w:sz w:val="22"/>
          <w:szCs w:val="22"/>
        </w:rPr>
        <w:t>U studiji GS-US-174-0115, 106 HBeAg negativnih i pozitivnih pacijenata uzrasta 12 do &lt; 18 godina</w:t>
      </w:r>
      <w:r w:rsidRPr="00F92A3C" w:rsidDel="007D09D6">
        <w:rPr>
          <w:bCs/>
          <w:sz w:val="22"/>
          <w:szCs w:val="22"/>
        </w:rPr>
        <w:t xml:space="preserve"> </w:t>
      </w:r>
      <w:r w:rsidRPr="00F92A3C">
        <w:rPr>
          <w:bCs/>
          <w:sz w:val="22"/>
          <w:szCs w:val="22"/>
        </w:rPr>
        <w:t>sa hroničnom HBV infekcijom (HBV DNK ≥ 10</w:t>
      </w:r>
      <w:r w:rsidRPr="00F92A3C">
        <w:rPr>
          <w:bCs/>
          <w:sz w:val="22"/>
          <w:szCs w:val="22"/>
          <w:vertAlign w:val="superscript"/>
        </w:rPr>
        <w:t>5</w:t>
      </w:r>
      <w:r w:rsidRPr="00F92A3C">
        <w:rPr>
          <w:bCs/>
          <w:sz w:val="22"/>
          <w:szCs w:val="22"/>
        </w:rPr>
        <w:t xml:space="preserve"> kopija/</w:t>
      </w:r>
      <w:r w:rsidR="00B83CAB">
        <w:rPr>
          <w:bCs/>
          <w:sz w:val="22"/>
          <w:szCs w:val="22"/>
        </w:rPr>
        <w:t>ml</w:t>
      </w:r>
      <w:r w:rsidRPr="00F92A3C">
        <w:rPr>
          <w:bCs/>
          <w:sz w:val="22"/>
          <w:szCs w:val="22"/>
        </w:rPr>
        <w:t xml:space="preserve">, </w:t>
      </w:r>
      <w:r w:rsidRPr="00F92A3C">
        <w:rPr>
          <w:bCs/>
          <w:sz w:val="22"/>
          <w:szCs w:val="22"/>
          <w:lang w:val="sr-Latn-CS"/>
        </w:rPr>
        <w:t>povećane vr</w:t>
      </w:r>
      <w:r>
        <w:rPr>
          <w:bCs/>
          <w:sz w:val="22"/>
          <w:szCs w:val="22"/>
          <w:lang w:val="sr-Latn-CS"/>
        </w:rPr>
        <w:t>ij</w:t>
      </w:r>
      <w:r w:rsidRPr="00F92A3C">
        <w:rPr>
          <w:bCs/>
          <w:sz w:val="22"/>
          <w:szCs w:val="22"/>
          <w:lang w:val="sr-Latn-CS"/>
        </w:rPr>
        <w:t xml:space="preserve">ednosti ALT u serumu </w:t>
      </w:r>
      <w:r w:rsidRPr="00F92A3C">
        <w:rPr>
          <w:bCs/>
          <w:sz w:val="22"/>
          <w:szCs w:val="22"/>
        </w:rPr>
        <w:t xml:space="preserve">(≥ 2x ULN) ili </w:t>
      </w:r>
      <w:r w:rsidRPr="00F92A3C">
        <w:rPr>
          <w:bCs/>
          <w:sz w:val="22"/>
          <w:szCs w:val="22"/>
          <w:lang w:val="sr-Latn-CS"/>
        </w:rPr>
        <w:t>povećanim vr</w:t>
      </w:r>
      <w:r>
        <w:rPr>
          <w:bCs/>
          <w:sz w:val="22"/>
          <w:szCs w:val="22"/>
          <w:lang w:val="sr-Latn-CS"/>
        </w:rPr>
        <w:t>ij</w:t>
      </w:r>
      <w:r w:rsidRPr="00F92A3C">
        <w:rPr>
          <w:bCs/>
          <w:sz w:val="22"/>
          <w:szCs w:val="22"/>
          <w:lang w:val="sr-Latn-CS"/>
        </w:rPr>
        <w:t>ednostima ALT u serumu u poslednja 24 m</w:t>
      </w:r>
      <w:r>
        <w:rPr>
          <w:bCs/>
          <w:sz w:val="22"/>
          <w:szCs w:val="22"/>
          <w:lang w:val="sr-Latn-CS"/>
        </w:rPr>
        <w:t>j</w:t>
      </w:r>
      <w:r w:rsidRPr="00F92A3C">
        <w:rPr>
          <w:bCs/>
          <w:sz w:val="22"/>
          <w:szCs w:val="22"/>
          <w:lang w:val="sr-Latn-CS"/>
        </w:rPr>
        <w:t>eseca, u anamnezi</w:t>
      </w:r>
      <w:r w:rsidRPr="00F92A3C">
        <w:rPr>
          <w:bCs/>
          <w:sz w:val="22"/>
          <w:szCs w:val="22"/>
        </w:rPr>
        <w:t>) je bilo l</w:t>
      </w:r>
      <w:r>
        <w:rPr>
          <w:bCs/>
          <w:sz w:val="22"/>
          <w:szCs w:val="22"/>
        </w:rPr>
        <w:t>ij</w:t>
      </w:r>
      <w:r w:rsidRPr="00F92A3C">
        <w:rPr>
          <w:bCs/>
          <w:sz w:val="22"/>
          <w:szCs w:val="22"/>
        </w:rPr>
        <w:t>ečeno tenofovir</w:t>
      </w:r>
      <w:r>
        <w:rPr>
          <w:bCs/>
          <w:sz w:val="22"/>
          <w:szCs w:val="22"/>
        </w:rPr>
        <w:t xml:space="preserve"> </w:t>
      </w:r>
      <w:r w:rsidRPr="00F92A3C">
        <w:rPr>
          <w:bCs/>
          <w:sz w:val="22"/>
          <w:szCs w:val="22"/>
        </w:rPr>
        <w:t>dizoproksilom u dozi od 245 mg (n=52) ili placebom (n=54), tokom 72 ned</w:t>
      </w:r>
      <w:r>
        <w:rPr>
          <w:bCs/>
          <w:sz w:val="22"/>
          <w:szCs w:val="22"/>
        </w:rPr>
        <w:t>j</w:t>
      </w:r>
      <w:r w:rsidRPr="00F92A3C">
        <w:rPr>
          <w:bCs/>
          <w:sz w:val="22"/>
          <w:szCs w:val="22"/>
        </w:rPr>
        <w:t>elje. Ispitanici ni</w:t>
      </w:r>
      <w:r w:rsidR="00A81E6F">
        <w:rPr>
          <w:bCs/>
          <w:sz w:val="22"/>
          <w:szCs w:val="22"/>
        </w:rPr>
        <w:t>je</w:t>
      </w:r>
      <w:r w:rsidRPr="00F92A3C">
        <w:rPr>
          <w:bCs/>
          <w:sz w:val="22"/>
          <w:szCs w:val="22"/>
        </w:rPr>
        <w:t>su sm</w:t>
      </w:r>
      <w:r>
        <w:rPr>
          <w:bCs/>
          <w:sz w:val="22"/>
          <w:szCs w:val="22"/>
        </w:rPr>
        <w:t>j</w:t>
      </w:r>
      <w:r w:rsidRPr="00F92A3C">
        <w:rPr>
          <w:bCs/>
          <w:sz w:val="22"/>
          <w:szCs w:val="22"/>
        </w:rPr>
        <w:t>eli da budu prethodno l</w:t>
      </w:r>
      <w:r>
        <w:rPr>
          <w:bCs/>
          <w:sz w:val="22"/>
          <w:szCs w:val="22"/>
        </w:rPr>
        <w:t>ij</w:t>
      </w:r>
      <w:r w:rsidRPr="00F92A3C">
        <w:rPr>
          <w:bCs/>
          <w:sz w:val="22"/>
          <w:szCs w:val="22"/>
        </w:rPr>
        <w:t>ečeni tenofovir</w:t>
      </w:r>
      <w:r>
        <w:rPr>
          <w:bCs/>
          <w:sz w:val="22"/>
          <w:szCs w:val="22"/>
        </w:rPr>
        <w:t xml:space="preserve"> </w:t>
      </w:r>
      <w:r w:rsidRPr="00F92A3C">
        <w:rPr>
          <w:bCs/>
          <w:sz w:val="22"/>
          <w:szCs w:val="22"/>
        </w:rPr>
        <w:t>dizoproksilom, ali su mogli da budu na režimu koji uključuje interferon (&gt; 6 m</w:t>
      </w:r>
      <w:r>
        <w:rPr>
          <w:bCs/>
          <w:sz w:val="22"/>
          <w:szCs w:val="22"/>
        </w:rPr>
        <w:t>j</w:t>
      </w:r>
      <w:r w:rsidRPr="00F92A3C">
        <w:rPr>
          <w:bCs/>
          <w:sz w:val="22"/>
          <w:szCs w:val="22"/>
        </w:rPr>
        <w:t>eseci pr</w:t>
      </w:r>
      <w:r>
        <w:rPr>
          <w:bCs/>
          <w:sz w:val="22"/>
          <w:szCs w:val="22"/>
        </w:rPr>
        <w:t>ij</w:t>
      </w:r>
      <w:r w:rsidRPr="00F92A3C">
        <w:rPr>
          <w:bCs/>
          <w:sz w:val="22"/>
          <w:szCs w:val="22"/>
        </w:rPr>
        <w:t>e skrininga) ili na bilo kom drugom režimu oralnim anti-HBV nukleozidom/nukleotidom, izuzev tenofovir</w:t>
      </w:r>
      <w:r>
        <w:rPr>
          <w:bCs/>
          <w:sz w:val="22"/>
          <w:szCs w:val="22"/>
        </w:rPr>
        <w:t xml:space="preserve"> </w:t>
      </w:r>
      <w:r w:rsidRPr="00F92A3C">
        <w:rPr>
          <w:bCs/>
          <w:sz w:val="22"/>
          <w:szCs w:val="22"/>
        </w:rPr>
        <w:t>dizoproksila (&gt; 16 ned</w:t>
      </w:r>
      <w:r>
        <w:rPr>
          <w:bCs/>
          <w:sz w:val="22"/>
          <w:szCs w:val="22"/>
        </w:rPr>
        <w:t>j</w:t>
      </w:r>
      <w:r w:rsidRPr="00F92A3C">
        <w:rPr>
          <w:bCs/>
          <w:sz w:val="22"/>
          <w:szCs w:val="22"/>
        </w:rPr>
        <w:t>elja pr</w:t>
      </w:r>
      <w:r>
        <w:rPr>
          <w:bCs/>
          <w:sz w:val="22"/>
          <w:szCs w:val="22"/>
        </w:rPr>
        <w:t>ij</w:t>
      </w:r>
      <w:r w:rsidRPr="00F92A3C">
        <w:rPr>
          <w:bCs/>
          <w:sz w:val="22"/>
          <w:szCs w:val="22"/>
        </w:rPr>
        <w:t>e skrininga). U 72. ned</w:t>
      </w:r>
      <w:r>
        <w:rPr>
          <w:bCs/>
          <w:sz w:val="22"/>
          <w:szCs w:val="22"/>
        </w:rPr>
        <w:t>j</w:t>
      </w:r>
      <w:r w:rsidRPr="00F92A3C">
        <w:rPr>
          <w:bCs/>
          <w:sz w:val="22"/>
          <w:szCs w:val="22"/>
        </w:rPr>
        <w:t>elji, ukupno 88% (46/52) u grupi l</w:t>
      </w:r>
      <w:r>
        <w:rPr>
          <w:bCs/>
          <w:sz w:val="22"/>
          <w:szCs w:val="22"/>
        </w:rPr>
        <w:t>ij</w:t>
      </w:r>
      <w:r w:rsidRPr="00F92A3C">
        <w:rPr>
          <w:bCs/>
          <w:sz w:val="22"/>
          <w:szCs w:val="22"/>
        </w:rPr>
        <w:t>ečenoj tenofovir</w:t>
      </w:r>
      <w:r>
        <w:rPr>
          <w:bCs/>
          <w:sz w:val="22"/>
          <w:szCs w:val="22"/>
        </w:rPr>
        <w:t xml:space="preserve"> </w:t>
      </w:r>
      <w:r w:rsidRPr="00F92A3C">
        <w:rPr>
          <w:bCs/>
          <w:sz w:val="22"/>
          <w:szCs w:val="22"/>
        </w:rPr>
        <w:t>dizoproksilom i 0% (0/54) u placebo grupi su imali HBV DNK &lt; 400 kopija/</w:t>
      </w:r>
      <w:r w:rsidR="00B83CAB">
        <w:rPr>
          <w:bCs/>
          <w:sz w:val="22"/>
          <w:szCs w:val="22"/>
        </w:rPr>
        <w:t>ml</w:t>
      </w:r>
      <w:r w:rsidRPr="00F92A3C">
        <w:rPr>
          <w:bCs/>
          <w:sz w:val="22"/>
          <w:szCs w:val="22"/>
        </w:rPr>
        <w:t>. 74% (26/35) pacijenata u grupi koja je primala tenofovir</w:t>
      </w:r>
      <w:r>
        <w:rPr>
          <w:bCs/>
          <w:sz w:val="22"/>
          <w:szCs w:val="22"/>
        </w:rPr>
        <w:t xml:space="preserve"> </w:t>
      </w:r>
      <w:r w:rsidRPr="00F92A3C">
        <w:rPr>
          <w:bCs/>
          <w:sz w:val="22"/>
          <w:szCs w:val="22"/>
        </w:rPr>
        <w:t>dizoproksil je imala normalizovane vr</w:t>
      </w:r>
      <w:r>
        <w:rPr>
          <w:bCs/>
          <w:sz w:val="22"/>
          <w:szCs w:val="22"/>
        </w:rPr>
        <w:t>ij</w:t>
      </w:r>
      <w:r w:rsidRPr="00F92A3C">
        <w:rPr>
          <w:bCs/>
          <w:sz w:val="22"/>
          <w:szCs w:val="22"/>
        </w:rPr>
        <w:t>ednosti ALT-a u 72. ned</w:t>
      </w:r>
      <w:r>
        <w:rPr>
          <w:bCs/>
          <w:sz w:val="22"/>
          <w:szCs w:val="22"/>
        </w:rPr>
        <w:t>j</w:t>
      </w:r>
      <w:r w:rsidRPr="00F92A3C">
        <w:rPr>
          <w:bCs/>
          <w:sz w:val="22"/>
          <w:szCs w:val="22"/>
        </w:rPr>
        <w:t>elji, u odnosu na 31% (13/42) u grupi  koja je primala placebo. Odgovor na terapiju tenofovir</w:t>
      </w:r>
      <w:r>
        <w:rPr>
          <w:bCs/>
          <w:sz w:val="22"/>
          <w:szCs w:val="22"/>
        </w:rPr>
        <w:t xml:space="preserve"> </w:t>
      </w:r>
      <w:r w:rsidRPr="00F92A3C">
        <w:rPr>
          <w:bCs/>
          <w:sz w:val="22"/>
          <w:szCs w:val="22"/>
        </w:rPr>
        <w:t>dizoproksilom je bio uporediv kod pacijenata koji ni</w:t>
      </w:r>
      <w:r w:rsidR="00A81E6F">
        <w:rPr>
          <w:bCs/>
          <w:sz w:val="22"/>
          <w:szCs w:val="22"/>
        </w:rPr>
        <w:t>je</w:t>
      </w:r>
      <w:r w:rsidRPr="00F92A3C">
        <w:rPr>
          <w:bCs/>
          <w:sz w:val="22"/>
          <w:szCs w:val="22"/>
        </w:rPr>
        <w:t>su  ranije primali nukleoz(t)idnu terapiju (n = 20) i kod pacijenata koji jesu ranije primali nukleoz(t)idnu terapiju (n = 32), uključujući i pacijente sa rezistencijom na lamivudin (n = 6). Devedeset pet procenata pacijenata koji ni</w:t>
      </w:r>
      <w:r w:rsidR="00A81E6F">
        <w:rPr>
          <w:bCs/>
          <w:sz w:val="22"/>
          <w:szCs w:val="22"/>
        </w:rPr>
        <w:t>je</w:t>
      </w:r>
      <w:r w:rsidRPr="00F92A3C">
        <w:rPr>
          <w:bCs/>
          <w:sz w:val="22"/>
          <w:szCs w:val="22"/>
        </w:rPr>
        <w:t xml:space="preserve">su ranije primali nukleoz(t)idnu terapiju, 84% pacijenata koji su ranije primali nukleoz(t)idnu terapiju </w:t>
      </w:r>
      <w:r>
        <w:rPr>
          <w:bCs/>
          <w:sz w:val="22"/>
          <w:szCs w:val="22"/>
        </w:rPr>
        <w:t xml:space="preserve">i </w:t>
      </w:r>
      <w:r w:rsidRPr="00F92A3C">
        <w:rPr>
          <w:bCs/>
          <w:sz w:val="22"/>
          <w:szCs w:val="22"/>
        </w:rPr>
        <w:t>83% pacijenata sa rezistencijom na lamivudin su postigli vr</w:t>
      </w:r>
      <w:r>
        <w:rPr>
          <w:bCs/>
          <w:sz w:val="22"/>
          <w:szCs w:val="22"/>
        </w:rPr>
        <w:t>ijednost HBV DNK &lt; 400 kopija/</w:t>
      </w:r>
      <w:r w:rsidR="00B83CAB">
        <w:rPr>
          <w:bCs/>
          <w:sz w:val="22"/>
          <w:szCs w:val="22"/>
        </w:rPr>
        <w:t>ml</w:t>
      </w:r>
      <w:r w:rsidRPr="00F92A3C">
        <w:rPr>
          <w:bCs/>
          <w:sz w:val="22"/>
          <w:szCs w:val="22"/>
        </w:rPr>
        <w:t xml:space="preserve"> u 72. ned</w:t>
      </w:r>
      <w:r>
        <w:rPr>
          <w:bCs/>
          <w:sz w:val="22"/>
          <w:szCs w:val="22"/>
        </w:rPr>
        <w:t>j</w:t>
      </w:r>
      <w:r w:rsidRPr="00F92A3C">
        <w:rPr>
          <w:bCs/>
          <w:sz w:val="22"/>
          <w:szCs w:val="22"/>
        </w:rPr>
        <w:t>elji.  Trideset jedan od 32 pacijenta koji su ranije primali nukleoz(t)idnu terapiju je ranije imao iskustvo sa lamivudinom. U 72. ned</w:t>
      </w:r>
      <w:r>
        <w:rPr>
          <w:bCs/>
          <w:sz w:val="22"/>
          <w:szCs w:val="22"/>
        </w:rPr>
        <w:t>j</w:t>
      </w:r>
      <w:r w:rsidRPr="00F92A3C">
        <w:rPr>
          <w:bCs/>
          <w:sz w:val="22"/>
          <w:szCs w:val="22"/>
        </w:rPr>
        <w:t>elji, 96% (27/28) pacijenata čiji je imunski sistem aktivan (vr</w:t>
      </w:r>
      <w:r>
        <w:rPr>
          <w:bCs/>
          <w:sz w:val="22"/>
          <w:szCs w:val="22"/>
        </w:rPr>
        <w:t>ij</w:t>
      </w:r>
      <w:r w:rsidRPr="00F92A3C">
        <w:rPr>
          <w:bCs/>
          <w:sz w:val="22"/>
          <w:szCs w:val="22"/>
        </w:rPr>
        <w:t>ednost HBV DNK ≥ 10</w:t>
      </w:r>
      <w:r w:rsidRPr="00F92A3C">
        <w:rPr>
          <w:bCs/>
          <w:sz w:val="22"/>
          <w:szCs w:val="22"/>
          <w:vertAlign w:val="superscript"/>
        </w:rPr>
        <w:t>5</w:t>
      </w:r>
      <w:r w:rsidRPr="00F92A3C">
        <w:rPr>
          <w:bCs/>
          <w:sz w:val="22"/>
          <w:szCs w:val="22"/>
        </w:rPr>
        <w:t xml:space="preserve"> kopija/</w:t>
      </w:r>
      <w:r w:rsidR="00B83CAB">
        <w:rPr>
          <w:bCs/>
          <w:sz w:val="22"/>
          <w:szCs w:val="22"/>
        </w:rPr>
        <w:t>ml</w:t>
      </w:r>
      <w:r w:rsidRPr="00F92A3C">
        <w:rPr>
          <w:bCs/>
          <w:sz w:val="22"/>
          <w:szCs w:val="22"/>
        </w:rPr>
        <w:t>, ALT u serumu &gt; 1,5 x ULN) u grupi koja je primala tenofovir</w:t>
      </w:r>
      <w:r>
        <w:rPr>
          <w:bCs/>
          <w:sz w:val="22"/>
          <w:szCs w:val="22"/>
        </w:rPr>
        <w:t xml:space="preserve"> </w:t>
      </w:r>
      <w:r w:rsidRPr="00F92A3C">
        <w:rPr>
          <w:bCs/>
          <w:sz w:val="22"/>
          <w:szCs w:val="22"/>
        </w:rPr>
        <w:t>dizoproksil i 0% (0/32) pacijenata u grupi koja je primala placebo je imalo vr</w:t>
      </w:r>
      <w:r>
        <w:rPr>
          <w:bCs/>
          <w:sz w:val="22"/>
          <w:szCs w:val="22"/>
        </w:rPr>
        <w:t>ij</w:t>
      </w:r>
      <w:r w:rsidRPr="00F92A3C">
        <w:rPr>
          <w:bCs/>
          <w:sz w:val="22"/>
          <w:szCs w:val="22"/>
        </w:rPr>
        <w:t>ednosti HBV DNK &lt; 400 kopija/</w:t>
      </w:r>
      <w:r w:rsidR="00B83CAB">
        <w:rPr>
          <w:bCs/>
          <w:sz w:val="22"/>
          <w:szCs w:val="22"/>
        </w:rPr>
        <w:t>ml</w:t>
      </w:r>
      <w:r w:rsidRPr="00F92A3C">
        <w:rPr>
          <w:bCs/>
          <w:sz w:val="22"/>
          <w:szCs w:val="22"/>
        </w:rPr>
        <w:t>. Sedamdeset pet procenata (21/28) pacijenata čiji je imunski sistem aktivan u grupi koja je primala tenofovir</w:t>
      </w:r>
      <w:r>
        <w:rPr>
          <w:bCs/>
          <w:sz w:val="22"/>
          <w:szCs w:val="22"/>
        </w:rPr>
        <w:t xml:space="preserve"> </w:t>
      </w:r>
      <w:r w:rsidRPr="00F92A3C">
        <w:rPr>
          <w:bCs/>
          <w:sz w:val="22"/>
          <w:szCs w:val="22"/>
        </w:rPr>
        <w:t>dizoproksil je imalo normalne vr</w:t>
      </w:r>
      <w:r>
        <w:rPr>
          <w:bCs/>
          <w:sz w:val="22"/>
          <w:szCs w:val="22"/>
        </w:rPr>
        <w:t>ij</w:t>
      </w:r>
      <w:r w:rsidRPr="00F92A3C">
        <w:rPr>
          <w:bCs/>
          <w:sz w:val="22"/>
          <w:szCs w:val="22"/>
        </w:rPr>
        <w:t>ednosti ALT u 72. ned</w:t>
      </w:r>
      <w:r>
        <w:rPr>
          <w:bCs/>
          <w:sz w:val="22"/>
          <w:szCs w:val="22"/>
        </w:rPr>
        <w:t>j</w:t>
      </w:r>
      <w:r w:rsidRPr="00F92A3C">
        <w:rPr>
          <w:bCs/>
          <w:sz w:val="22"/>
          <w:szCs w:val="22"/>
        </w:rPr>
        <w:t>elji, u poređenju sa 34% (11/32) u grupi koja je primala placebo.</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sz w:val="22"/>
          <w:szCs w:val="22"/>
        </w:rPr>
      </w:pPr>
      <w:r w:rsidRPr="00F92A3C">
        <w:rPr>
          <w:bCs/>
          <w:sz w:val="22"/>
          <w:szCs w:val="22"/>
        </w:rPr>
        <w:t>Nakon 72 ned</w:t>
      </w:r>
      <w:r>
        <w:rPr>
          <w:bCs/>
          <w:sz w:val="22"/>
          <w:szCs w:val="22"/>
        </w:rPr>
        <w:t>j</w:t>
      </w:r>
      <w:r w:rsidRPr="00F92A3C">
        <w:rPr>
          <w:bCs/>
          <w:sz w:val="22"/>
          <w:szCs w:val="22"/>
        </w:rPr>
        <w:t>elje sl</w:t>
      </w:r>
      <w:r>
        <w:rPr>
          <w:bCs/>
          <w:sz w:val="22"/>
          <w:szCs w:val="22"/>
        </w:rPr>
        <w:t>ij</w:t>
      </w:r>
      <w:r w:rsidRPr="00F92A3C">
        <w:rPr>
          <w:bCs/>
          <w:sz w:val="22"/>
          <w:szCs w:val="22"/>
        </w:rPr>
        <w:t>epe randomizovane terapije, svaki pacijent je mogao da pređe na otvorenu terapiju tenofovir</w:t>
      </w:r>
      <w:r>
        <w:rPr>
          <w:bCs/>
          <w:sz w:val="22"/>
          <w:szCs w:val="22"/>
        </w:rPr>
        <w:t xml:space="preserve"> </w:t>
      </w:r>
      <w:r w:rsidRPr="00F92A3C">
        <w:rPr>
          <w:bCs/>
          <w:sz w:val="22"/>
          <w:szCs w:val="22"/>
        </w:rPr>
        <w:t>dizoproksilom do 192. ned</w:t>
      </w:r>
      <w:r>
        <w:rPr>
          <w:bCs/>
          <w:sz w:val="22"/>
          <w:szCs w:val="22"/>
        </w:rPr>
        <w:t>j</w:t>
      </w:r>
      <w:r w:rsidRPr="00F92A3C">
        <w:rPr>
          <w:bCs/>
          <w:sz w:val="22"/>
          <w:szCs w:val="22"/>
        </w:rPr>
        <w:t>elje. Nakon 72. ned</w:t>
      </w:r>
      <w:r>
        <w:rPr>
          <w:bCs/>
          <w:sz w:val="22"/>
          <w:szCs w:val="22"/>
        </w:rPr>
        <w:t>j</w:t>
      </w:r>
      <w:r w:rsidRPr="00F92A3C">
        <w:rPr>
          <w:bCs/>
          <w:sz w:val="22"/>
          <w:szCs w:val="22"/>
        </w:rPr>
        <w:t>elje, virusološka supresija je održana kod onih koji su  primali dvostruko sl</w:t>
      </w:r>
      <w:r>
        <w:rPr>
          <w:bCs/>
          <w:sz w:val="22"/>
          <w:szCs w:val="22"/>
        </w:rPr>
        <w:t>ij</w:t>
      </w:r>
      <w:r w:rsidRPr="00F92A3C">
        <w:rPr>
          <w:bCs/>
          <w:sz w:val="22"/>
          <w:szCs w:val="22"/>
        </w:rPr>
        <w:t>epu terapiju tenofovir</w:t>
      </w:r>
      <w:r>
        <w:rPr>
          <w:bCs/>
          <w:sz w:val="22"/>
          <w:szCs w:val="22"/>
        </w:rPr>
        <w:t xml:space="preserve"> </w:t>
      </w:r>
      <w:r w:rsidRPr="00F92A3C">
        <w:rPr>
          <w:bCs/>
          <w:sz w:val="22"/>
          <w:szCs w:val="22"/>
        </w:rPr>
        <w:t>dizoproksilom, nakon kojeg je sl</w:t>
      </w:r>
      <w:r>
        <w:rPr>
          <w:bCs/>
          <w:sz w:val="22"/>
          <w:szCs w:val="22"/>
        </w:rPr>
        <w:t>ij</w:t>
      </w:r>
      <w:r w:rsidRPr="00F92A3C">
        <w:rPr>
          <w:bCs/>
          <w:sz w:val="22"/>
          <w:szCs w:val="22"/>
        </w:rPr>
        <w:t>edila otvorena terapija tenofovir</w:t>
      </w:r>
      <w:r>
        <w:rPr>
          <w:bCs/>
          <w:sz w:val="22"/>
          <w:szCs w:val="22"/>
        </w:rPr>
        <w:t xml:space="preserve"> </w:t>
      </w:r>
      <w:r w:rsidRPr="00F92A3C">
        <w:rPr>
          <w:bCs/>
          <w:sz w:val="22"/>
          <w:szCs w:val="22"/>
        </w:rPr>
        <w:t>dizoproksilom (tenofovir</w:t>
      </w:r>
      <w:r>
        <w:rPr>
          <w:bCs/>
          <w:sz w:val="22"/>
          <w:szCs w:val="22"/>
        </w:rPr>
        <w:t xml:space="preserve"> </w:t>
      </w:r>
      <w:r w:rsidRPr="00F92A3C">
        <w:rPr>
          <w:bCs/>
          <w:sz w:val="22"/>
          <w:szCs w:val="22"/>
        </w:rPr>
        <w:t>dizoproksil-tenofovir</w:t>
      </w:r>
      <w:r>
        <w:rPr>
          <w:bCs/>
          <w:sz w:val="22"/>
          <w:szCs w:val="22"/>
        </w:rPr>
        <w:t xml:space="preserve"> </w:t>
      </w:r>
      <w:r w:rsidRPr="00F92A3C">
        <w:rPr>
          <w:bCs/>
          <w:sz w:val="22"/>
          <w:szCs w:val="22"/>
        </w:rPr>
        <w:t>dizoproksil grupa): 86,5% (45/52) pacijenata u tenofovir</w:t>
      </w:r>
      <w:r w:rsidR="00B83CAB">
        <w:rPr>
          <w:bCs/>
          <w:sz w:val="22"/>
          <w:szCs w:val="22"/>
        </w:rPr>
        <w:t xml:space="preserve"> </w:t>
      </w:r>
      <w:r w:rsidRPr="00F92A3C">
        <w:rPr>
          <w:bCs/>
          <w:sz w:val="22"/>
          <w:szCs w:val="22"/>
        </w:rPr>
        <w:t>dizoproksil-tenofovir</w:t>
      </w:r>
      <w:r w:rsidR="00B83CAB">
        <w:rPr>
          <w:bCs/>
          <w:sz w:val="22"/>
          <w:szCs w:val="22"/>
        </w:rPr>
        <w:t xml:space="preserve"> </w:t>
      </w:r>
      <w:r w:rsidRPr="00F92A3C">
        <w:rPr>
          <w:bCs/>
          <w:sz w:val="22"/>
          <w:szCs w:val="22"/>
        </w:rPr>
        <w:t>dizoproksil grupi je imalo vr</w:t>
      </w:r>
      <w:r w:rsidR="00B83CAB">
        <w:rPr>
          <w:bCs/>
          <w:sz w:val="22"/>
          <w:szCs w:val="22"/>
        </w:rPr>
        <w:t>ij</w:t>
      </w:r>
      <w:r w:rsidRPr="00F92A3C">
        <w:rPr>
          <w:bCs/>
          <w:sz w:val="22"/>
          <w:szCs w:val="22"/>
        </w:rPr>
        <w:t>ednosti HBV DNK &lt; 400 kopija/</w:t>
      </w:r>
      <w:r w:rsidR="00B83CAB">
        <w:rPr>
          <w:bCs/>
          <w:sz w:val="22"/>
          <w:szCs w:val="22"/>
        </w:rPr>
        <w:t>ml</w:t>
      </w:r>
      <w:r w:rsidRPr="00F92A3C">
        <w:rPr>
          <w:bCs/>
          <w:sz w:val="22"/>
          <w:szCs w:val="22"/>
        </w:rPr>
        <w:t xml:space="preserve"> u 192. ned</w:t>
      </w:r>
      <w:r w:rsidR="00B83CAB">
        <w:rPr>
          <w:bCs/>
          <w:sz w:val="22"/>
          <w:szCs w:val="22"/>
        </w:rPr>
        <w:t>j</w:t>
      </w:r>
      <w:r w:rsidRPr="00F92A3C">
        <w:rPr>
          <w:bCs/>
          <w:sz w:val="22"/>
          <w:szCs w:val="22"/>
        </w:rPr>
        <w:t xml:space="preserve">elji. Među pacijentima </w:t>
      </w:r>
      <w:r w:rsidR="00B83CAB">
        <w:rPr>
          <w:bCs/>
          <w:sz w:val="22"/>
          <w:szCs w:val="22"/>
        </w:rPr>
        <w:t>koji su primali placebo tokom d</w:t>
      </w:r>
      <w:r w:rsidRPr="00F92A3C">
        <w:rPr>
          <w:bCs/>
          <w:sz w:val="22"/>
          <w:szCs w:val="22"/>
        </w:rPr>
        <w:t>v</w:t>
      </w:r>
      <w:r w:rsidR="00B83CAB">
        <w:rPr>
          <w:bCs/>
          <w:sz w:val="22"/>
          <w:szCs w:val="22"/>
        </w:rPr>
        <w:t>o</w:t>
      </w:r>
      <w:r w:rsidRPr="00F92A3C">
        <w:rPr>
          <w:bCs/>
          <w:sz w:val="22"/>
          <w:szCs w:val="22"/>
        </w:rPr>
        <w:t>struko sl</w:t>
      </w:r>
      <w:r w:rsidR="00B83CAB">
        <w:rPr>
          <w:bCs/>
          <w:sz w:val="22"/>
          <w:szCs w:val="22"/>
        </w:rPr>
        <w:t>ijepe faze ispitivanja, udi</w:t>
      </w:r>
      <w:r w:rsidRPr="00F92A3C">
        <w:rPr>
          <w:bCs/>
          <w:sz w:val="22"/>
          <w:szCs w:val="22"/>
        </w:rPr>
        <w:t>o pacijenata sa vr</w:t>
      </w:r>
      <w:r w:rsidR="00B83CAB">
        <w:rPr>
          <w:bCs/>
          <w:sz w:val="22"/>
          <w:szCs w:val="22"/>
        </w:rPr>
        <w:t>ij</w:t>
      </w:r>
      <w:r w:rsidRPr="00F92A3C">
        <w:rPr>
          <w:bCs/>
          <w:sz w:val="22"/>
          <w:szCs w:val="22"/>
        </w:rPr>
        <w:t>ednostima HBV DNK &lt; 400 kopija/</w:t>
      </w:r>
      <w:r w:rsidR="00B83CAB">
        <w:rPr>
          <w:bCs/>
          <w:sz w:val="22"/>
          <w:szCs w:val="22"/>
        </w:rPr>
        <w:t>ml</w:t>
      </w:r>
      <w:r w:rsidRPr="00F92A3C">
        <w:rPr>
          <w:bCs/>
          <w:sz w:val="22"/>
          <w:szCs w:val="22"/>
        </w:rPr>
        <w:t xml:space="preserve"> naglo je porastao nakon što su započeli fazu otvorene terapije tenofovir</w:t>
      </w:r>
      <w:r w:rsidR="00B83CAB">
        <w:rPr>
          <w:bCs/>
          <w:sz w:val="22"/>
          <w:szCs w:val="22"/>
        </w:rPr>
        <w:t xml:space="preserve"> </w:t>
      </w:r>
      <w:r w:rsidRPr="00F92A3C">
        <w:rPr>
          <w:bCs/>
          <w:sz w:val="22"/>
          <w:szCs w:val="22"/>
        </w:rPr>
        <w:t>dizoproksilom (placebo-tenofovir</w:t>
      </w:r>
      <w:r w:rsidR="00B83CAB">
        <w:rPr>
          <w:bCs/>
          <w:sz w:val="22"/>
          <w:szCs w:val="22"/>
        </w:rPr>
        <w:t xml:space="preserve"> </w:t>
      </w:r>
      <w:r w:rsidRPr="00F92A3C">
        <w:rPr>
          <w:bCs/>
          <w:sz w:val="22"/>
          <w:szCs w:val="22"/>
        </w:rPr>
        <w:t>dizoproksil grupa): 74,1</w:t>
      </w:r>
      <w:r w:rsidR="00B83CAB">
        <w:rPr>
          <w:bCs/>
          <w:sz w:val="22"/>
          <w:szCs w:val="22"/>
        </w:rPr>
        <w:t>% (40/54) pacijenata u placebo-</w:t>
      </w:r>
      <w:r w:rsidRPr="00F92A3C">
        <w:rPr>
          <w:bCs/>
          <w:sz w:val="22"/>
          <w:szCs w:val="22"/>
        </w:rPr>
        <w:t>tenofovir</w:t>
      </w:r>
      <w:r w:rsidR="00B83CAB">
        <w:rPr>
          <w:bCs/>
          <w:sz w:val="22"/>
          <w:szCs w:val="22"/>
        </w:rPr>
        <w:t xml:space="preserve"> </w:t>
      </w:r>
      <w:r w:rsidRPr="00F92A3C">
        <w:rPr>
          <w:bCs/>
          <w:sz w:val="22"/>
          <w:szCs w:val="22"/>
        </w:rPr>
        <w:t>dizoproksil grupi je imalo vr</w:t>
      </w:r>
      <w:r w:rsidR="00B83CAB">
        <w:rPr>
          <w:bCs/>
          <w:sz w:val="22"/>
          <w:szCs w:val="22"/>
        </w:rPr>
        <w:t>ij</w:t>
      </w:r>
      <w:r w:rsidRPr="00F92A3C">
        <w:rPr>
          <w:bCs/>
          <w:sz w:val="22"/>
          <w:szCs w:val="22"/>
        </w:rPr>
        <w:t>ednosti HBV DNK &lt; 400 kopija/</w:t>
      </w:r>
      <w:r w:rsidR="00B83CAB">
        <w:rPr>
          <w:bCs/>
          <w:sz w:val="22"/>
          <w:szCs w:val="22"/>
        </w:rPr>
        <w:t>ml</w:t>
      </w:r>
      <w:r w:rsidRPr="00F92A3C">
        <w:rPr>
          <w:bCs/>
          <w:sz w:val="22"/>
          <w:szCs w:val="22"/>
        </w:rPr>
        <w:t xml:space="preserve"> u 192. ned</w:t>
      </w:r>
      <w:r w:rsidR="00B83CAB">
        <w:rPr>
          <w:bCs/>
          <w:sz w:val="22"/>
          <w:szCs w:val="22"/>
        </w:rPr>
        <w:t>jelji. Udi</w:t>
      </w:r>
      <w:r w:rsidRPr="00F92A3C">
        <w:rPr>
          <w:bCs/>
          <w:sz w:val="22"/>
          <w:szCs w:val="22"/>
        </w:rPr>
        <w:t>o pacijenata u tenofovir</w:t>
      </w:r>
      <w:r w:rsidR="00B83CAB">
        <w:rPr>
          <w:bCs/>
          <w:sz w:val="22"/>
          <w:szCs w:val="22"/>
        </w:rPr>
        <w:t xml:space="preserve"> </w:t>
      </w:r>
      <w:r w:rsidRPr="00F92A3C">
        <w:rPr>
          <w:bCs/>
          <w:sz w:val="22"/>
          <w:szCs w:val="22"/>
        </w:rPr>
        <w:t>dizoproksil-tenofovir</w:t>
      </w:r>
      <w:r w:rsidR="00B83CAB">
        <w:rPr>
          <w:bCs/>
          <w:sz w:val="22"/>
          <w:szCs w:val="22"/>
        </w:rPr>
        <w:t xml:space="preserve"> </w:t>
      </w:r>
      <w:r w:rsidRPr="00F92A3C">
        <w:rPr>
          <w:bCs/>
          <w:sz w:val="22"/>
          <w:szCs w:val="22"/>
        </w:rPr>
        <w:t>dizoproksil grupi kod kojih su vr</w:t>
      </w:r>
      <w:r w:rsidR="00B83CAB">
        <w:rPr>
          <w:bCs/>
          <w:sz w:val="22"/>
          <w:szCs w:val="22"/>
        </w:rPr>
        <w:t>ij</w:t>
      </w:r>
      <w:r w:rsidRPr="00F92A3C">
        <w:rPr>
          <w:bCs/>
          <w:sz w:val="22"/>
          <w:szCs w:val="22"/>
        </w:rPr>
        <w:t>ednosti ALT-a normalizovane u 192. ned</w:t>
      </w:r>
      <w:r w:rsidR="00B83CAB">
        <w:rPr>
          <w:bCs/>
          <w:sz w:val="22"/>
          <w:szCs w:val="22"/>
        </w:rPr>
        <w:t>j</w:t>
      </w:r>
      <w:r w:rsidRPr="00F92A3C">
        <w:rPr>
          <w:bCs/>
          <w:sz w:val="22"/>
          <w:szCs w:val="22"/>
        </w:rPr>
        <w:t>elji bio je 75,8% (25/33) među onima koji su na početku bili HBeAg pozitivni i 100,0% (2 od 2 pacijenta) među onima koji su na početku bili HBeAg negativni. Kod sličnog procenta pacijenata u grupama tenofovir</w:t>
      </w:r>
      <w:r w:rsidR="00B83CAB">
        <w:rPr>
          <w:bCs/>
          <w:sz w:val="22"/>
          <w:szCs w:val="22"/>
        </w:rPr>
        <w:t xml:space="preserve"> </w:t>
      </w:r>
      <w:r w:rsidRPr="00F92A3C">
        <w:rPr>
          <w:bCs/>
          <w:sz w:val="22"/>
          <w:szCs w:val="22"/>
        </w:rPr>
        <w:t>dizoproksil-tenofovir</w:t>
      </w:r>
      <w:r w:rsidR="00B83CAB">
        <w:rPr>
          <w:bCs/>
          <w:sz w:val="22"/>
          <w:szCs w:val="22"/>
        </w:rPr>
        <w:t xml:space="preserve"> </w:t>
      </w:r>
      <w:r w:rsidRPr="00F92A3C">
        <w:rPr>
          <w:bCs/>
          <w:sz w:val="22"/>
          <w:szCs w:val="22"/>
        </w:rPr>
        <w:t>dizoproksil i placebo-tenofovir</w:t>
      </w:r>
      <w:r w:rsidR="00B83CAB">
        <w:rPr>
          <w:bCs/>
          <w:sz w:val="22"/>
          <w:szCs w:val="22"/>
        </w:rPr>
        <w:t xml:space="preserve"> </w:t>
      </w:r>
      <w:r w:rsidRPr="00F92A3C">
        <w:rPr>
          <w:bCs/>
          <w:sz w:val="22"/>
          <w:szCs w:val="22"/>
        </w:rPr>
        <w:t>dizoproksil (37,5% i 41,7%, respektivno) je imalo serokonverziju u anti-HBe do 192. ned</w:t>
      </w:r>
      <w:r w:rsidR="00B83CAB">
        <w:rPr>
          <w:bCs/>
          <w:sz w:val="22"/>
          <w:szCs w:val="22"/>
        </w:rPr>
        <w:t>j</w:t>
      </w:r>
      <w:r w:rsidRPr="00F92A3C">
        <w:rPr>
          <w:bCs/>
          <w:sz w:val="22"/>
          <w:szCs w:val="22"/>
        </w:rPr>
        <w:t>elje.</w:t>
      </w:r>
    </w:p>
    <w:p w:rsidR="00F92A3C" w:rsidRPr="00F92A3C" w:rsidRDefault="00F92A3C" w:rsidP="00F92A3C">
      <w:pPr>
        <w:tabs>
          <w:tab w:val="left" w:pos="540"/>
          <w:tab w:val="left" w:pos="569"/>
        </w:tabs>
        <w:jc w:val="both"/>
        <w:rPr>
          <w:bCs/>
          <w:sz w:val="22"/>
          <w:szCs w:val="22"/>
        </w:rPr>
      </w:pPr>
    </w:p>
    <w:p w:rsidR="00F92A3C" w:rsidRPr="00F92A3C" w:rsidRDefault="00F92A3C" w:rsidP="00F92A3C">
      <w:pPr>
        <w:tabs>
          <w:tab w:val="left" w:pos="540"/>
          <w:tab w:val="left" w:pos="569"/>
        </w:tabs>
        <w:jc w:val="both"/>
        <w:rPr>
          <w:bCs/>
          <w:sz w:val="22"/>
          <w:szCs w:val="22"/>
        </w:rPr>
      </w:pPr>
      <w:r w:rsidRPr="00F92A3C">
        <w:rPr>
          <w:bCs/>
          <w:sz w:val="22"/>
          <w:szCs w:val="22"/>
        </w:rPr>
        <w:t xml:space="preserve">Podaci o mineralnoj gustini kostiju (engl. </w:t>
      </w:r>
      <w:r w:rsidRPr="00F92A3C">
        <w:rPr>
          <w:bCs/>
          <w:i/>
          <w:sz w:val="22"/>
          <w:szCs w:val="22"/>
        </w:rPr>
        <w:t>Bone Mineral Density,</w:t>
      </w:r>
      <w:r w:rsidRPr="00F92A3C">
        <w:rPr>
          <w:bCs/>
          <w:sz w:val="22"/>
          <w:szCs w:val="22"/>
        </w:rPr>
        <w:t xml:space="preserve"> BMD) iz studije GS-US-174-0115 su  </w:t>
      </w:r>
      <w:r w:rsidR="00B83CAB">
        <w:rPr>
          <w:bCs/>
          <w:sz w:val="22"/>
          <w:szCs w:val="22"/>
        </w:rPr>
        <w:t>sažeto predstavljeni u Tabeli 8.</w:t>
      </w:r>
    </w:p>
    <w:p w:rsidR="00F92A3C" w:rsidRDefault="00F92A3C" w:rsidP="00750368">
      <w:pPr>
        <w:tabs>
          <w:tab w:val="left" w:pos="540"/>
          <w:tab w:val="left" w:pos="569"/>
        </w:tabs>
        <w:jc w:val="both"/>
        <w:rPr>
          <w:bCs/>
          <w:sz w:val="22"/>
          <w:szCs w:val="22"/>
        </w:rPr>
      </w:pPr>
    </w:p>
    <w:p w:rsidR="00C90E99" w:rsidRPr="00C90E99" w:rsidRDefault="00C90E99" w:rsidP="00C90E99">
      <w:pPr>
        <w:tabs>
          <w:tab w:val="left" w:pos="540"/>
          <w:tab w:val="left" w:pos="569"/>
        </w:tabs>
        <w:jc w:val="both"/>
        <w:rPr>
          <w:b/>
          <w:bCs/>
          <w:iCs/>
          <w:sz w:val="22"/>
          <w:szCs w:val="22"/>
        </w:rPr>
      </w:pPr>
      <w:r w:rsidRPr="00C90E99">
        <w:rPr>
          <w:b/>
          <w:bCs/>
          <w:iCs/>
          <w:sz w:val="22"/>
          <w:szCs w:val="22"/>
        </w:rPr>
        <w:t>Tabela 8: Proc</w:t>
      </w:r>
      <w:r>
        <w:rPr>
          <w:b/>
          <w:bCs/>
          <w:iCs/>
          <w:sz w:val="22"/>
          <w:szCs w:val="22"/>
        </w:rPr>
        <w:t>j</w:t>
      </w:r>
      <w:r w:rsidRPr="00C90E99">
        <w:rPr>
          <w:b/>
          <w:bCs/>
          <w:iCs/>
          <w:sz w:val="22"/>
          <w:szCs w:val="22"/>
        </w:rPr>
        <w:t>ena mineralne gustine kostiju na početku ispitivanja, u 72. ned</w:t>
      </w:r>
      <w:r>
        <w:rPr>
          <w:b/>
          <w:bCs/>
          <w:iCs/>
          <w:sz w:val="22"/>
          <w:szCs w:val="22"/>
        </w:rPr>
        <w:t>j</w:t>
      </w:r>
      <w:r w:rsidRPr="00C90E99">
        <w:rPr>
          <w:b/>
          <w:bCs/>
          <w:iCs/>
          <w:sz w:val="22"/>
          <w:szCs w:val="22"/>
        </w:rPr>
        <w:t>elji i 192. ned</w:t>
      </w:r>
      <w:r>
        <w:rPr>
          <w:b/>
          <w:bCs/>
          <w:iCs/>
          <w:sz w:val="22"/>
          <w:szCs w:val="22"/>
        </w:rPr>
        <w:t>j</w:t>
      </w:r>
      <w:r w:rsidRPr="00C90E99">
        <w:rPr>
          <w:b/>
          <w:bCs/>
          <w:iCs/>
          <w:sz w:val="22"/>
          <w:szCs w:val="22"/>
        </w:rPr>
        <w:t>elji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44"/>
        <w:gridCol w:w="1234"/>
        <w:gridCol w:w="1200"/>
        <w:gridCol w:w="1210"/>
        <w:gridCol w:w="1181"/>
        <w:gridCol w:w="1258"/>
        <w:gridCol w:w="999"/>
      </w:tblGrid>
      <w:tr w:rsidR="00C90E99" w:rsidRPr="00C90E99" w:rsidTr="00C90E99">
        <w:trPr>
          <w:trHeight w:val="229"/>
          <w:jc w:val="center"/>
        </w:trPr>
        <w:tc>
          <w:tcPr>
            <w:tcW w:w="1944" w:type="dxa"/>
            <w:vMerge w:val="restart"/>
          </w:tcPr>
          <w:p w:rsidR="00C90E99" w:rsidRPr="00C90E99" w:rsidRDefault="00C90E99" w:rsidP="00C90E99">
            <w:pPr>
              <w:widowControl w:val="0"/>
              <w:autoSpaceDE w:val="0"/>
              <w:autoSpaceDN w:val="0"/>
              <w:rPr>
                <w:sz w:val="22"/>
                <w:szCs w:val="22"/>
              </w:rPr>
            </w:pPr>
          </w:p>
        </w:tc>
        <w:tc>
          <w:tcPr>
            <w:tcW w:w="2434" w:type="dxa"/>
            <w:gridSpan w:val="2"/>
          </w:tcPr>
          <w:p w:rsidR="00C90E99" w:rsidRPr="00C90E99" w:rsidRDefault="00C90E99" w:rsidP="00C90E99">
            <w:pPr>
              <w:widowControl w:val="0"/>
              <w:autoSpaceDE w:val="0"/>
              <w:autoSpaceDN w:val="0"/>
              <w:spacing w:line="210" w:lineRule="exact"/>
              <w:ind w:left="105"/>
              <w:jc w:val="center"/>
              <w:rPr>
                <w:b/>
                <w:sz w:val="22"/>
                <w:szCs w:val="22"/>
              </w:rPr>
            </w:pPr>
            <w:r w:rsidRPr="00C90E99">
              <w:rPr>
                <w:b/>
                <w:sz w:val="22"/>
                <w:szCs w:val="22"/>
              </w:rPr>
              <w:t>Početak</w:t>
            </w:r>
            <w:r w:rsidRPr="00C90E99">
              <w:rPr>
                <w:b/>
                <w:spacing w:val="-3"/>
                <w:sz w:val="22"/>
                <w:szCs w:val="22"/>
              </w:rPr>
              <w:t xml:space="preserve"> </w:t>
            </w:r>
            <w:r w:rsidRPr="00C90E99">
              <w:rPr>
                <w:b/>
                <w:sz w:val="22"/>
                <w:szCs w:val="22"/>
              </w:rPr>
              <w:t>studije</w:t>
            </w:r>
          </w:p>
        </w:tc>
        <w:tc>
          <w:tcPr>
            <w:tcW w:w="2391" w:type="dxa"/>
            <w:gridSpan w:val="2"/>
          </w:tcPr>
          <w:p w:rsidR="00C90E99" w:rsidRPr="00C90E99" w:rsidRDefault="00C90E99" w:rsidP="00C90E99">
            <w:pPr>
              <w:widowControl w:val="0"/>
              <w:autoSpaceDE w:val="0"/>
              <w:autoSpaceDN w:val="0"/>
              <w:spacing w:line="210" w:lineRule="exact"/>
              <w:ind w:left="109"/>
              <w:jc w:val="center"/>
              <w:rPr>
                <w:b/>
                <w:sz w:val="22"/>
                <w:szCs w:val="22"/>
              </w:rPr>
            </w:pPr>
            <w:r w:rsidRPr="00C90E99">
              <w:rPr>
                <w:b/>
                <w:sz w:val="22"/>
                <w:szCs w:val="22"/>
              </w:rPr>
              <w:t>72.</w:t>
            </w:r>
            <w:r w:rsidRPr="00C90E99">
              <w:rPr>
                <w:b/>
                <w:spacing w:val="-2"/>
                <w:sz w:val="22"/>
                <w:szCs w:val="22"/>
              </w:rPr>
              <w:t xml:space="preserve"> </w:t>
            </w:r>
            <w:r w:rsidRPr="00C90E99">
              <w:rPr>
                <w:b/>
                <w:sz w:val="22"/>
                <w:szCs w:val="22"/>
              </w:rPr>
              <w:t>ned</w:t>
            </w:r>
            <w:r>
              <w:rPr>
                <w:b/>
                <w:sz w:val="22"/>
                <w:szCs w:val="22"/>
              </w:rPr>
              <w:t>j</w:t>
            </w:r>
            <w:r w:rsidRPr="00C90E99">
              <w:rPr>
                <w:b/>
                <w:sz w:val="22"/>
                <w:szCs w:val="22"/>
              </w:rPr>
              <w:t>elja</w:t>
            </w:r>
          </w:p>
        </w:tc>
        <w:tc>
          <w:tcPr>
            <w:tcW w:w="2257" w:type="dxa"/>
            <w:gridSpan w:val="2"/>
          </w:tcPr>
          <w:p w:rsidR="00C90E99" w:rsidRPr="00C90E99" w:rsidRDefault="00C90E99" w:rsidP="00C90E99">
            <w:pPr>
              <w:widowControl w:val="0"/>
              <w:autoSpaceDE w:val="0"/>
              <w:autoSpaceDN w:val="0"/>
              <w:spacing w:line="210" w:lineRule="exact"/>
              <w:ind w:left="104"/>
              <w:jc w:val="center"/>
              <w:rPr>
                <w:b/>
                <w:sz w:val="22"/>
                <w:szCs w:val="22"/>
              </w:rPr>
            </w:pPr>
            <w:r w:rsidRPr="00C90E99">
              <w:rPr>
                <w:b/>
                <w:sz w:val="22"/>
                <w:szCs w:val="22"/>
              </w:rPr>
              <w:t>192.</w:t>
            </w:r>
            <w:r w:rsidRPr="00C90E99">
              <w:rPr>
                <w:b/>
                <w:spacing w:val="-2"/>
                <w:sz w:val="22"/>
                <w:szCs w:val="22"/>
              </w:rPr>
              <w:t xml:space="preserve"> </w:t>
            </w:r>
            <w:r w:rsidRPr="00C90E99">
              <w:rPr>
                <w:b/>
                <w:sz w:val="22"/>
                <w:szCs w:val="22"/>
              </w:rPr>
              <w:t>ned</w:t>
            </w:r>
            <w:r>
              <w:rPr>
                <w:b/>
                <w:sz w:val="22"/>
                <w:szCs w:val="22"/>
              </w:rPr>
              <w:t>j</w:t>
            </w:r>
            <w:r w:rsidRPr="00C90E99">
              <w:rPr>
                <w:b/>
                <w:sz w:val="22"/>
                <w:szCs w:val="22"/>
              </w:rPr>
              <w:t>elja</w:t>
            </w:r>
          </w:p>
        </w:tc>
      </w:tr>
      <w:tr w:rsidR="00B81134" w:rsidRPr="00C90E99" w:rsidTr="00C90E99">
        <w:trPr>
          <w:trHeight w:val="915"/>
          <w:jc w:val="center"/>
        </w:trPr>
        <w:tc>
          <w:tcPr>
            <w:tcW w:w="1944" w:type="dxa"/>
            <w:vMerge/>
            <w:tcBorders>
              <w:top w:val="nil"/>
            </w:tcBorders>
          </w:tcPr>
          <w:p w:rsidR="00B81134" w:rsidRPr="00C90E99" w:rsidRDefault="00B81134" w:rsidP="00B81134">
            <w:pPr>
              <w:tabs>
                <w:tab w:val="left" w:pos="284"/>
              </w:tabs>
              <w:rPr>
                <w:sz w:val="22"/>
                <w:szCs w:val="22"/>
              </w:rPr>
            </w:pPr>
          </w:p>
        </w:tc>
        <w:tc>
          <w:tcPr>
            <w:tcW w:w="1234" w:type="dxa"/>
          </w:tcPr>
          <w:p w:rsidR="00B81134" w:rsidRPr="00C90E99" w:rsidRDefault="00B81134" w:rsidP="00B81134">
            <w:pPr>
              <w:widowControl w:val="0"/>
              <w:autoSpaceDE w:val="0"/>
              <w:autoSpaceDN w:val="0"/>
              <w:ind w:right="62" w:hanging="34"/>
              <w:jc w:val="center"/>
              <w:rPr>
                <w:b/>
                <w:sz w:val="22"/>
                <w:szCs w:val="22"/>
              </w:rPr>
            </w:pPr>
            <w:r>
              <w:rPr>
                <w:b/>
                <w:sz w:val="22"/>
                <w:szCs w:val="22"/>
              </w:rPr>
              <w:t xml:space="preserve"> </w:t>
            </w:r>
            <w:r w:rsidRPr="00C90E99">
              <w:rPr>
                <w:b/>
                <w:sz w:val="22"/>
                <w:szCs w:val="22"/>
              </w:rPr>
              <w:t>Tenofovir</w:t>
            </w:r>
            <w:r>
              <w:rPr>
                <w:b/>
                <w:sz w:val="22"/>
                <w:szCs w:val="22"/>
              </w:rPr>
              <w:t xml:space="preserve"> </w:t>
            </w:r>
            <w:r w:rsidRPr="00C90E99">
              <w:rPr>
                <w:b/>
                <w:sz w:val="22"/>
                <w:szCs w:val="22"/>
              </w:rPr>
              <w:t>dizoproksil</w:t>
            </w:r>
            <w:r>
              <w:rPr>
                <w:b/>
                <w:sz w:val="22"/>
                <w:szCs w:val="22"/>
              </w:rPr>
              <w:t xml:space="preserve"> </w:t>
            </w:r>
            <w:r w:rsidRPr="00C90E99">
              <w:rPr>
                <w:b/>
                <w:sz w:val="22"/>
                <w:szCs w:val="22"/>
              </w:rPr>
              <w:t>-</w:t>
            </w:r>
          </w:p>
          <w:p w:rsidR="00B81134" w:rsidRPr="00C90E99" w:rsidRDefault="00B81134" w:rsidP="00B81134">
            <w:pPr>
              <w:widowControl w:val="0"/>
              <w:autoSpaceDE w:val="0"/>
              <w:autoSpaceDN w:val="0"/>
              <w:spacing w:line="226" w:lineRule="exact"/>
              <w:ind w:right="111"/>
              <w:jc w:val="center"/>
              <w:rPr>
                <w:b/>
                <w:sz w:val="22"/>
                <w:szCs w:val="22"/>
              </w:rPr>
            </w:pPr>
            <w:r>
              <w:rPr>
                <w:b/>
                <w:sz w:val="22"/>
                <w:szCs w:val="22"/>
              </w:rPr>
              <w:t>t</w:t>
            </w:r>
            <w:r w:rsidRPr="00C90E99">
              <w:rPr>
                <w:b/>
                <w:sz w:val="22"/>
                <w:szCs w:val="22"/>
              </w:rPr>
              <w:t>enofovir</w:t>
            </w:r>
            <w:r>
              <w:rPr>
                <w:b/>
                <w:sz w:val="22"/>
                <w:szCs w:val="22"/>
              </w:rPr>
              <w:t xml:space="preserve">  </w:t>
            </w:r>
            <w:r w:rsidRPr="00C90E99">
              <w:rPr>
                <w:b/>
                <w:sz w:val="22"/>
                <w:szCs w:val="22"/>
              </w:rPr>
              <w:t>dizoproksil</w:t>
            </w:r>
          </w:p>
        </w:tc>
        <w:tc>
          <w:tcPr>
            <w:tcW w:w="1200" w:type="dxa"/>
          </w:tcPr>
          <w:p w:rsidR="00B81134" w:rsidRDefault="00B81134" w:rsidP="00B81134">
            <w:pPr>
              <w:widowControl w:val="0"/>
              <w:autoSpaceDE w:val="0"/>
              <w:autoSpaceDN w:val="0"/>
              <w:spacing w:before="110"/>
              <w:ind w:left="123" w:right="110" w:firstLine="2"/>
              <w:jc w:val="center"/>
              <w:rPr>
                <w:b/>
                <w:sz w:val="22"/>
                <w:szCs w:val="22"/>
              </w:rPr>
            </w:pPr>
            <w:r w:rsidRPr="00C90E99">
              <w:rPr>
                <w:b/>
                <w:sz w:val="22"/>
                <w:szCs w:val="22"/>
              </w:rPr>
              <w:t>Placebo</w:t>
            </w:r>
          </w:p>
          <w:p w:rsidR="00B81134" w:rsidRDefault="00B81134" w:rsidP="00B81134">
            <w:pPr>
              <w:widowControl w:val="0"/>
              <w:autoSpaceDE w:val="0"/>
              <w:autoSpaceDN w:val="0"/>
              <w:spacing w:before="110"/>
              <w:ind w:left="123" w:right="110" w:firstLine="2"/>
              <w:jc w:val="center"/>
              <w:rPr>
                <w:b/>
                <w:sz w:val="22"/>
                <w:szCs w:val="22"/>
              </w:rPr>
            </w:pPr>
            <w:r>
              <w:rPr>
                <w:b/>
                <w:sz w:val="22"/>
                <w:szCs w:val="22"/>
              </w:rPr>
              <w:t>-</w:t>
            </w:r>
          </w:p>
          <w:p w:rsidR="00B81134" w:rsidRPr="00C90E99" w:rsidRDefault="00B81134" w:rsidP="00B81134">
            <w:pPr>
              <w:widowControl w:val="0"/>
              <w:autoSpaceDE w:val="0"/>
              <w:autoSpaceDN w:val="0"/>
              <w:spacing w:before="110"/>
              <w:ind w:right="110"/>
              <w:jc w:val="center"/>
              <w:rPr>
                <w:b/>
                <w:sz w:val="22"/>
                <w:szCs w:val="22"/>
              </w:rPr>
            </w:pPr>
            <w:r>
              <w:rPr>
                <w:b/>
                <w:sz w:val="22"/>
                <w:szCs w:val="22"/>
              </w:rPr>
              <w:t xml:space="preserve">tenofovir    </w:t>
            </w:r>
            <w:r w:rsidRPr="00C90E99">
              <w:rPr>
                <w:b/>
                <w:sz w:val="22"/>
                <w:szCs w:val="22"/>
              </w:rPr>
              <w:t>dizoproksil</w:t>
            </w:r>
          </w:p>
        </w:tc>
        <w:tc>
          <w:tcPr>
            <w:tcW w:w="1210" w:type="dxa"/>
          </w:tcPr>
          <w:p w:rsidR="00B81134" w:rsidRPr="00C90E99" w:rsidRDefault="00B81134" w:rsidP="00B81134">
            <w:pPr>
              <w:widowControl w:val="0"/>
              <w:autoSpaceDE w:val="0"/>
              <w:autoSpaceDN w:val="0"/>
              <w:ind w:right="62" w:hanging="34"/>
              <w:jc w:val="center"/>
              <w:rPr>
                <w:b/>
                <w:sz w:val="22"/>
                <w:szCs w:val="22"/>
              </w:rPr>
            </w:pPr>
            <w:r>
              <w:rPr>
                <w:b/>
                <w:sz w:val="22"/>
                <w:szCs w:val="22"/>
              </w:rPr>
              <w:t xml:space="preserve"> </w:t>
            </w:r>
            <w:r w:rsidRPr="00C90E99">
              <w:rPr>
                <w:b/>
                <w:sz w:val="22"/>
                <w:szCs w:val="22"/>
              </w:rPr>
              <w:t>Tenofovir</w:t>
            </w:r>
            <w:r>
              <w:rPr>
                <w:b/>
                <w:sz w:val="22"/>
                <w:szCs w:val="22"/>
              </w:rPr>
              <w:t xml:space="preserve"> </w:t>
            </w:r>
            <w:r w:rsidRPr="00C90E99">
              <w:rPr>
                <w:b/>
                <w:sz w:val="22"/>
                <w:szCs w:val="22"/>
              </w:rPr>
              <w:t>dizoproksil</w:t>
            </w:r>
            <w:r>
              <w:rPr>
                <w:b/>
                <w:sz w:val="22"/>
                <w:szCs w:val="22"/>
              </w:rPr>
              <w:t xml:space="preserve"> </w:t>
            </w:r>
            <w:r w:rsidRPr="00C90E99">
              <w:rPr>
                <w:b/>
                <w:sz w:val="22"/>
                <w:szCs w:val="22"/>
              </w:rPr>
              <w:t>-</w:t>
            </w:r>
          </w:p>
          <w:p w:rsidR="00B81134" w:rsidRPr="00C90E99" w:rsidRDefault="00B81134" w:rsidP="00B81134">
            <w:pPr>
              <w:widowControl w:val="0"/>
              <w:autoSpaceDE w:val="0"/>
              <w:autoSpaceDN w:val="0"/>
              <w:spacing w:line="226" w:lineRule="exact"/>
              <w:ind w:right="111"/>
              <w:jc w:val="center"/>
              <w:rPr>
                <w:b/>
                <w:sz w:val="22"/>
                <w:szCs w:val="22"/>
              </w:rPr>
            </w:pPr>
            <w:r>
              <w:rPr>
                <w:b/>
                <w:sz w:val="22"/>
                <w:szCs w:val="22"/>
              </w:rPr>
              <w:t>t</w:t>
            </w:r>
            <w:r w:rsidRPr="00C90E99">
              <w:rPr>
                <w:b/>
                <w:sz w:val="22"/>
                <w:szCs w:val="22"/>
              </w:rPr>
              <w:t>enofovir</w:t>
            </w:r>
            <w:r>
              <w:rPr>
                <w:b/>
                <w:sz w:val="22"/>
                <w:szCs w:val="22"/>
              </w:rPr>
              <w:t xml:space="preserve">  </w:t>
            </w:r>
            <w:r w:rsidRPr="00C90E99">
              <w:rPr>
                <w:b/>
                <w:sz w:val="22"/>
                <w:szCs w:val="22"/>
              </w:rPr>
              <w:t>dizoproksil</w:t>
            </w:r>
          </w:p>
        </w:tc>
        <w:tc>
          <w:tcPr>
            <w:tcW w:w="1181" w:type="dxa"/>
          </w:tcPr>
          <w:p w:rsidR="00B81134" w:rsidRDefault="00B81134" w:rsidP="00B81134">
            <w:pPr>
              <w:widowControl w:val="0"/>
              <w:autoSpaceDE w:val="0"/>
              <w:autoSpaceDN w:val="0"/>
              <w:spacing w:before="110"/>
              <w:ind w:left="123" w:right="110" w:firstLine="2"/>
              <w:jc w:val="center"/>
              <w:rPr>
                <w:b/>
                <w:sz w:val="22"/>
                <w:szCs w:val="22"/>
              </w:rPr>
            </w:pPr>
            <w:r w:rsidRPr="00C90E99">
              <w:rPr>
                <w:b/>
                <w:sz w:val="22"/>
                <w:szCs w:val="22"/>
              </w:rPr>
              <w:t>Placebo</w:t>
            </w:r>
          </w:p>
          <w:p w:rsidR="00B81134" w:rsidRDefault="00B81134" w:rsidP="00B81134">
            <w:pPr>
              <w:widowControl w:val="0"/>
              <w:autoSpaceDE w:val="0"/>
              <w:autoSpaceDN w:val="0"/>
              <w:spacing w:before="110"/>
              <w:ind w:left="123" w:right="110" w:firstLine="2"/>
              <w:jc w:val="center"/>
              <w:rPr>
                <w:b/>
                <w:sz w:val="22"/>
                <w:szCs w:val="22"/>
              </w:rPr>
            </w:pPr>
            <w:r>
              <w:rPr>
                <w:b/>
                <w:sz w:val="22"/>
                <w:szCs w:val="22"/>
              </w:rPr>
              <w:t>-</w:t>
            </w:r>
          </w:p>
          <w:p w:rsidR="00B81134" w:rsidRPr="00C90E99" w:rsidRDefault="00B81134" w:rsidP="00B81134">
            <w:pPr>
              <w:widowControl w:val="0"/>
              <w:autoSpaceDE w:val="0"/>
              <w:autoSpaceDN w:val="0"/>
              <w:spacing w:before="110"/>
              <w:ind w:right="-32"/>
              <w:jc w:val="center"/>
              <w:rPr>
                <w:b/>
                <w:sz w:val="22"/>
                <w:szCs w:val="22"/>
              </w:rPr>
            </w:pPr>
            <w:r>
              <w:rPr>
                <w:b/>
                <w:sz w:val="22"/>
                <w:szCs w:val="22"/>
              </w:rPr>
              <w:t xml:space="preserve">tenofovir    </w:t>
            </w:r>
            <w:r w:rsidRPr="00C90E99">
              <w:rPr>
                <w:b/>
                <w:sz w:val="22"/>
                <w:szCs w:val="22"/>
              </w:rPr>
              <w:t>dizoproksil</w:t>
            </w:r>
          </w:p>
        </w:tc>
        <w:tc>
          <w:tcPr>
            <w:tcW w:w="1258" w:type="dxa"/>
          </w:tcPr>
          <w:p w:rsidR="00B81134" w:rsidRPr="00C90E99" w:rsidRDefault="00B81134" w:rsidP="00B81134">
            <w:pPr>
              <w:widowControl w:val="0"/>
              <w:autoSpaceDE w:val="0"/>
              <w:autoSpaceDN w:val="0"/>
              <w:ind w:right="62" w:hanging="34"/>
              <w:jc w:val="center"/>
              <w:rPr>
                <w:b/>
                <w:sz w:val="22"/>
                <w:szCs w:val="22"/>
              </w:rPr>
            </w:pPr>
            <w:r>
              <w:rPr>
                <w:b/>
                <w:sz w:val="22"/>
                <w:szCs w:val="22"/>
              </w:rPr>
              <w:t xml:space="preserve"> </w:t>
            </w:r>
            <w:r w:rsidRPr="00C90E99">
              <w:rPr>
                <w:b/>
                <w:sz w:val="22"/>
                <w:szCs w:val="22"/>
              </w:rPr>
              <w:t>Tenofovir</w:t>
            </w:r>
            <w:r>
              <w:rPr>
                <w:b/>
                <w:sz w:val="22"/>
                <w:szCs w:val="22"/>
              </w:rPr>
              <w:t xml:space="preserve"> </w:t>
            </w:r>
            <w:r w:rsidRPr="00C90E99">
              <w:rPr>
                <w:b/>
                <w:sz w:val="22"/>
                <w:szCs w:val="22"/>
              </w:rPr>
              <w:t>dizoproksil</w:t>
            </w:r>
            <w:r>
              <w:rPr>
                <w:b/>
                <w:sz w:val="22"/>
                <w:szCs w:val="22"/>
              </w:rPr>
              <w:t xml:space="preserve"> </w:t>
            </w:r>
            <w:r w:rsidRPr="00C90E99">
              <w:rPr>
                <w:b/>
                <w:sz w:val="22"/>
                <w:szCs w:val="22"/>
              </w:rPr>
              <w:t>-</w:t>
            </w:r>
          </w:p>
          <w:p w:rsidR="00B81134" w:rsidRPr="00C90E99" w:rsidRDefault="00B81134" w:rsidP="00B81134">
            <w:pPr>
              <w:widowControl w:val="0"/>
              <w:autoSpaceDE w:val="0"/>
              <w:autoSpaceDN w:val="0"/>
              <w:spacing w:line="226" w:lineRule="exact"/>
              <w:ind w:right="111"/>
              <w:jc w:val="center"/>
              <w:rPr>
                <w:b/>
                <w:sz w:val="22"/>
                <w:szCs w:val="22"/>
              </w:rPr>
            </w:pPr>
            <w:r>
              <w:rPr>
                <w:b/>
                <w:sz w:val="22"/>
                <w:szCs w:val="22"/>
              </w:rPr>
              <w:t>t</w:t>
            </w:r>
            <w:r w:rsidRPr="00C90E99">
              <w:rPr>
                <w:b/>
                <w:sz w:val="22"/>
                <w:szCs w:val="22"/>
              </w:rPr>
              <w:t>enofovir</w:t>
            </w:r>
            <w:r>
              <w:rPr>
                <w:b/>
                <w:sz w:val="22"/>
                <w:szCs w:val="22"/>
              </w:rPr>
              <w:t xml:space="preserve">  </w:t>
            </w:r>
            <w:r w:rsidRPr="00C90E99">
              <w:rPr>
                <w:b/>
                <w:sz w:val="22"/>
                <w:szCs w:val="22"/>
              </w:rPr>
              <w:t>dizoproksil</w:t>
            </w:r>
          </w:p>
        </w:tc>
        <w:tc>
          <w:tcPr>
            <w:tcW w:w="999" w:type="dxa"/>
          </w:tcPr>
          <w:p w:rsidR="00B81134" w:rsidRDefault="00B81134" w:rsidP="00B81134">
            <w:pPr>
              <w:widowControl w:val="0"/>
              <w:autoSpaceDE w:val="0"/>
              <w:autoSpaceDN w:val="0"/>
              <w:spacing w:before="110"/>
              <w:ind w:left="123" w:right="110" w:firstLine="2"/>
              <w:jc w:val="center"/>
              <w:rPr>
                <w:b/>
                <w:sz w:val="22"/>
                <w:szCs w:val="22"/>
              </w:rPr>
            </w:pPr>
            <w:r w:rsidRPr="00C90E99">
              <w:rPr>
                <w:b/>
                <w:sz w:val="22"/>
                <w:szCs w:val="22"/>
              </w:rPr>
              <w:t>Placebo</w:t>
            </w:r>
          </w:p>
          <w:p w:rsidR="00B81134" w:rsidRDefault="00B81134" w:rsidP="00B81134">
            <w:pPr>
              <w:widowControl w:val="0"/>
              <w:autoSpaceDE w:val="0"/>
              <w:autoSpaceDN w:val="0"/>
              <w:spacing w:before="110"/>
              <w:ind w:left="123" w:right="110" w:firstLine="2"/>
              <w:jc w:val="center"/>
              <w:rPr>
                <w:b/>
                <w:sz w:val="22"/>
                <w:szCs w:val="22"/>
              </w:rPr>
            </w:pPr>
            <w:r>
              <w:rPr>
                <w:b/>
                <w:sz w:val="22"/>
                <w:szCs w:val="22"/>
              </w:rPr>
              <w:t>-</w:t>
            </w:r>
          </w:p>
          <w:p w:rsidR="00B81134" w:rsidRPr="00C90E99" w:rsidRDefault="00B81134" w:rsidP="00B81134">
            <w:pPr>
              <w:widowControl w:val="0"/>
              <w:autoSpaceDE w:val="0"/>
              <w:autoSpaceDN w:val="0"/>
              <w:spacing w:before="110"/>
              <w:ind w:right="110"/>
              <w:jc w:val="center"/>
              <w:rPr>
                <w:b/>
                <w:sz w:val="22"/>
                <w:szCs w:val="22"/>
              </w:rPr>
            </w:pPr>
            <w:r>
              <w:rPr>
                <w:b/>
                <w:sz w:val="22"/>
                <w:szCs w:val="22"/>
              </w:rPr>
              <w:t xml:space="preserve">tenofovir    </w:t>
            </w:r>
            <w:r w:rsidRPr="00C90E99">
              <w:rPr>
                <w:b/>
                <w:sz w:val="22"/>
                <w:szCs w:val="22"/>
              </w:rPr>
              <w:t>dizoproksil</w:t>
            </w:r>
          </w:p>
        </w:tc>
      </w:tr>
      <w:tr w:rsidR="00C90E99" w:rsidRPr="00C90E99" w:rsidTr="00C90E99">
        <w:trPr>
          <w:trHeight w:val="920"/>
          <w:jc w:val="center"/>
        </w:trPr>
        <w:tc>
          <w:tcPr>
            <w:tcW w:w="1944" w:type="dxa"/>
          </w:tcPr>
          <w:p w:rsidR="00C90E99" w:rsidRPr="00C90E99" w:rsidRDefault="00C90E99" w:rsidP="00C90E99">
            <w:pPr>
              <w:widowControl w:val="0"/>
              <w:autoSpaceDE w:val="0"/>
              <w:autoSpaceDN w:val="0"/>
              <w:spacing w:line="237" w:lineRule="auto"/>
              <w:ind w:left="100" w:right="227"/>
              <w:rPr>
                <w:sz w:val="22"/>
                <w:szCs w:val="22"/>
              </w:rPr>
            </w:pPr>
            <w:r w:rsidRPr="00C90E99">
              <w:rPr>
                <w:sz w:val="22"/>
                <w:szCs w:val="22"/>
              </w:rPr>
              <w:t>Srednja vr</w:t>
            </w:r>
            <w:r w:rsidR="00B81134">
              <w:rPr>
                <w:sz w:val="22"/>
                <w:szCs w:val="22"/>
              </w:rPr>
              <w:t>ij</w:t>
            </w:r>
            <w:r w:rsidRPr="00C90E99">
              <w:rPr>
                <w:sz w:val="22"/>
                <w:szCs w:val="22"/>
              </w:rPr>
              <w:t>ednost</w:t>
            </w:r>
            <w:r w:rsidRPr="00C90E99">
              <w:rPr>
                <w:spacing w:val="1"/>
                <w:sz w:val="22"/>
                <w:szCs w:val="22"/>
              </w:rPr>
              <w:t xml:space="preserve"> </w:t>
            </w:r>
            <w:r w:rsidRPr="00C90E99">
              <w:rPr>
                <w:sz w:val="22"/>
                <w:szCs w:val="22"/>
              </w:rPr>
              <w:t>(SD) BMD Z-skora</w:t>
            </w:r>
            <w:r w:rsidRPr="00C90E99">
              <w:rPr>
                <w:spacing w:val="-2"/>
                <w:sz w:val="22"/>
                <w:szCs w:val="22"/>
              </w:rPr>
              <w:t xml:space="preserve"> </w:t>
            </w:r>
            <w:r w:rsidRPr="00C90E99">
              <w:rPr>
                <w:sz w:val="22"/>
                <w:szCs w:val="22"/>
              </w:rPr>
              <w:t>lumbalnog</w:t>
            </w:r>
            <w:r w:rsidRPr="00C90E99">
              <w:rPr>
                <w:spacing w:val="-1"/>
                <w:sz w:val="22"/>
                <w:szCs w:val="22"/>
              </w:rPr>
              <w:t xml:space="preserve"> </w:t>
            </w:r>
            <w:r w:rsidRPr="00C90E99">
              <w:rPr>
                <w:sz w:val="22"/>
                <w:szCs w:val="22"/>
              </w:rPr>
              <w:t>d</w:t>
            </w:r>
            <w:r w:rsidR="00B81134">
              <w:rPr>
                <w:sz w:val="22"/>
                <w:szCs w:val="22"/>
              </w:rPr>
              <w:t>ij</w:t>
            </w:r>
            <w:r w:rsidRPr="00C90E99">
              <w:rPr>
                <w:sz w:val="22"/>
                <w:szCs w:val="22"/>
              </w:rPr>
              <w:t>ela</w:t>
            </w:r>
          </w:p>
          <w:p w:rsidR="00C90E99" w:rsidRPr="00C90E99" w:rsidRDefault="00C90E99" w:rsidP="00C90E99">
            <w:pPr>
              <w:widowControl w:val="0"/>
              <w:autoSpaceDE w:val="0"/>
              <w:autoSpaceDN w:val="0"/>
              <w:spacing w:line="219" w:lineRule="exact"/>
              <w:ind w:left="100"/>
              <w:rPr>
                <w:sz w:val="22"/>
                <w:szCs w:val="22"/>
              </w:rPr>
            </w:pPr>
            <w:r w:rsidRPr="00C90E99">
              <w:rPr>
                <w:sz w:val="22"/>
                <w:szCs w:val="22"/>
              </w:rPr>
              <w:t>kičme</w:t>
            </w:r>
            <w:r w:rsidRPr="00C90E99">
              <w:rPr>
                <w:sz w:val="22"/>
                <w:szCs w:val="22"/>
                <w:vertAlign w:val="superscript"/>
              </w:rPr>
              <w:t>a</w:t>
            </w:r>
          </w:p>
        </w:tc>
        <w:tc>
          <w:tcPr>
            <w:tcW w:w="1234"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378"/>
              <w:rPr>
                <w:sz w:val="22"/>
                <w:szCs w:val="22"/>
              </w:rPr>
            </w:pPr>
            <w:r w:rsidRPr="00C90E99">
              <w:rPr>
                <w:sz w:val="22"/>
                <w:szCs w:val="22"/>
              </w:rPr>
              <w:t>−0,42</w:t>
            </w:r>
          </w:p>
          <w:p w:rsidR="00C90E99" w:rsidRPr="00C90E99" w:rsidRDefault="00C90E99" w:rsidP="00C90E99">
            <w:pPr>
              <w:widowControl w:val="0"/>
              <w:autoSpaceDE w:val="0"/>
              <w:autoSpaceDN w:val="0"/>
              <w:spacing w:before="1"/>
              <w:ind w:left="321"/>
              <w:rPr>
                <w:sz w:val="22"/>
                <w:szCs w:val="22"/>
              </w:rPr>
            </w:pPr>
            <w:r w:rsidRPr="00C90E99">
              <w:rPr>
                <w:sz w:val="22"/>
                <w:szCs w:val="22"/>
              </w:rPr>
              <w:t>(0,762)</w:t>
            </w:r>
          </w:p>
        </w:tc>
        <w:tc>
          <w:tcPr>
            <w:tcW w:w="120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387"/>
              <w:rPr>
                <w:sz w:val="22"/>
                <w:szCs w:val="22"/>
              </w:rPr>
            </w:pPr>
            <w:r w:rsidRPr="00C90E99">
              <w:rPr>
                <w:sz w:val="22"/>
                <w:szCs w:val="22"/>
              </w:rPr>
              <w:t>-0,26</w:t>
            </w:r>
          </w:p>
          <w:p w:rsidR="00C90E99" w:rsidRPr="00C90E99" w:rsidRDefault="00C90E99" w:rsidP="00C90E99">
            <w:pPr>
              <w:widowControl w:val="0"/>
              <w:autoSpaceDE w:val="0"/>
              <w:autoSpaceDN w:val="0"/>
              <w:spacing w:before="1"/>
              <w:ind w:left="306"/>
              <w:rPr>
                <w:sz w:val="22"/>
                <w:szCs w:val="22"/>
              </w:rPr>
            </w:pPr>
            <w:r w:rsidRPr="00C90E99">
              <w:rPr>
                <w:sz w:val="22"/>
                <w:szCs w:val="22"/>
              </w:rPr>
              <w:t>(0,806)</w:t>
            </w:r>
          </w:p>
        </w:tc>
        <w:tc>
          <w:tcPr>
            <w:tcW w:w="121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397"/>
              <w:rPr>
                <w:sz w:val="22"/>
                <w:szCs w:val="22"/>
              </w:rPr>
            </w:pPr>
            <w:r w:rsidRPr="00C90E99">
              <w:rPr>
                <w:sz w:val="22"/>
                <w:szCs w:val="22"/>
              </w:rPr>
              <w:t>-0,49</w:t>
            </w:r>
          </w:p>
          <w:p w:rsidR="00C90E99" w:rsidRPr="00C90E99" w:rsidRDefault="00C90E99" w:rsidP="00C90E99">
            <w:pPr>
              <w:widowControl w:val="0"/>
              <w:autoSpaceDE w:val="0"/>
              <w:autoSpaceDN w:val="0"/>
              <w:spacing w:before="1"/>
              <w:ind w:left="311"/>
              <w:rPr>
                <w:sz w:val="22"/>
                <w:szCs w:val="22"/>
              </w:rPr>
            </w:pPr>
            <w:r w:rsidRPr="00C90E99">
              <w:rPr>
                <w:sz w:val="22"/>
                <w:szCs w:val="22"/>
              </w:rPr>
              <w:t>(0,852)</w:t>
            </w:r>
          </w:p>
        </w:tc>
        <w:tc>
          <w:tcPr>
            <w:tcW w:w="1181"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377"/>
              <w:rPr>
                <w:sz w:val="22"/>
                <w:szCs w:val="22"/>
              </w:rPr>
            </w:pPr>
            <w:r w:rsidRPr="00C90E99">
              <w:rPr>
                <w:sz w:val="22"/>
                <w:szCs w:val="22"/>
              </w:rPr>
              <w:t>-0,23</w:t>
            </w:r>
          </w:p>
          <w:p w:rsidR="00C90E99" w:rsidRPr="00C90E99" w:rsidRDefault="00C90E99" w:rsidP="00C90E99">
            <w:pPr>
              <w:widowControl w:val="0"/>
              <w:autoSpaceDE w:val="0"/>
              <w:autoSpaceDN w:val="0"/>
              <w:spacing w:before="1"/>
              <w:ind w:left="296"/>
              <w:rPr>
                <w:sz w:val="22"/>
                <w:szCs w:val="22"/>
              </w:rPr>
            </w:pPr>
            <w:r w:rsidRPr="00C90E99">
              <w:rPr>
                <w:sz w:val="22"/>
                <w:szCs w:val="22"/>
              </w:rPr>
              <w:t>(0,893)</w:t>
            </w:r>
          </w:p>
        </w:tc>
        <w:tc>
          <w:tcPr>
            <w:tcW w:w="1258"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416"/>
              <w:rPr>
                <w:sz w:val="22"/>
                <w:szCs w:val="22"/>
              </w:rPr>
            </w:pPr>
            <w:r w:rsidRPr="00C90E99">
              <w:rPr>
                <w:sz w:val="22"/>
                <w:szCs w:val="22"/>
              </w:rPr>
              <w:t>-0,37</w:t>
            </w:r>
          </w:p>
          <w:p w:rsidR="00C90E99" w:rsidRPr="00C90E99" w:rsidRDefault="00C90E99" w:rsidP="00C90E99">
            <w:pPr>
              <w:widowControl w:val="0"/>
              <w:autoSpaceDE w:val="0"/>
              <w:autoSpaceDN w:val="0"/>
              <w:spacing w:before="1"/>
              <w:ind w:left="334"/>
              <w:rPr>
                <w:sz w:val="22"/>
                <w:szCs w:val="22"/>
              </w:rPr>
            </w:pPr>
            <w:r w:rsidRPr="00C90E99">
              <w:rPr>
                <w:sz w:val="22"/>
                <w:szCs w:val="22"/>
              </w:rPr>
              <w:t>(0,946)</w:t>
            </w:r>
          </w:p>
        </w:tc>
        <w:tc>
          <w:tcPr>
            <w:tcW w:w="999"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291"/>
              <w:rPr>
                <w:sz w:val="22"/>
                <w:szCs w:val="22"/>
              </w:rPr>
            </w:pPr>
            <w:r w:rsidRPr="00C90E99">
              <w:rPr>
                <w:sz w:val="22"/>
                <w:szCs w:val="22"/>
              </w:rPr>
              <w:t>-0,44</w:t>
            </w:r>
          </w:p>
          <w:p w:rsidR="00C90E99" w:rsidRPr="00C90E99" w:rsidRDefault="00C90E99" w:rsidP="00C90E99">
            <w:pPr>
              <w:widowControl w:val="0"/>
              <w:autoSpaceDE w:val="0"/>
              <w:autoSpaceDN w:val="0"/>
              <w:spacing w:before="1"/>
              <w:ind w:left="204"/>
              <w:rPr>
                <w:sz w:val="22"/>
                <w:szCs w:val="22"/>
              </w:rPr>
            </w:pPr>
            <w:r w:rsidRPr="00C90E99">
              <w:rPr>
                <w:sz w:val="22"/>
                <w:szCs w:val="22"/>
              </w:rPr>
              <w:t>(0,920)</w:t>
            </w:r>
          </w:p>
        </w:tc>
      </w:tr>
      <w:tr w:rsidR="00C90E99" w:rsidRPr="00C90E99" w:rsidTr="00C90E99">
        <w:trPr>
          <w:trHeight w:val="1381"/>
          <w:jc w:val="center"/>
        </w:trPr>
        <w:tc>
          <w:tcPr>
            <w:tcW w:w="1944" w:type="dxa"/>
          </w:tcPr>
          <w:p w:rsidR="00C90E99" w:rsidRPr="00C90E99" w:rsidRDefault="00C90E99" w:rsidP="00B81134">
            <w:pPr>
              <w:widowControl w:val="0"/>
              <w:autoSpaceDE w:val="0"/>
              <w:autoSpaceDN w:val="0"/>
              <w:ind w:left="100" w:right="98"/>
              <w:rPr>
                <w:sz w:val="22"/>
                <w:szCs w:val="22"/>
              </w:rPr>
            </w:pPr>
            <w:r w:rsidRPr="00C90E99">
              <w:rPr>
                <w:sz w:val="22"/>
                <w:szCs w:val="22"/>
              </w:rPr>
              <w:t>Prom</w:t>
            </w:r>
            <w:r w:rsidR="00B81134">
              <w:rPr>
                <w:sz w:val="22"/>
                <w:szCs w:val="22"/>
              </w:rPr>
              <w:t>j</w:t>
            </w:r>
            <w:r w:rsidRPr="00C90E99">
              <w:rPr>
                <w:sz w:val="22"/>
                <w:szCs w:val="22"/>
              </w:rPr>
              <w:t>ena srednje</w:t>
            </w:r>
            <w:r w:rsidRPr="00C90E99">
              <w:rPr>
                <w:spacing w:val="1"/>
                <w:sz w:val="22"/>
                <w:szCs w:val="22"/>
              </w:rPr>
              <w:t xml:space="preserve"> </w:t>
            </w:r>
            <w:r w:rsidRPr="00C90E99">
              <w:rPr>
                <w:sz w:val="22"/>
                <w:szCs w:val="22"/>
              </w:rPr>
              <w:t>vr</w:t>
            </w:r>
            <w:r w:rsidR="00B81134">
              <w:rPr>
                <w:sz w:val="22"/>
                <w:szCs w:val="22"/>
              </w:rPr>
              <w:t>ij</w:t>
            </w:r>
            <w:r w:rsidRPr="00C90E99">
              <w:rPr>
                <w:sz w:val="22"/>
                <w:szCs w:val="22"/>
              </w:rPr>
              <w:t>ednosti (SD)</w:t>
            </w:r>
            <w:r w:rsidRPr="00C90E99">
              <w:rPr>
                <w:spacing w:val="1"/>
                <w:sz w:val="22"/>
                <w:szCs w:val="22"/>
              </w:rPr>
              <w:t xml:space="preserve"> </w:t>
            </w:r>
            <w:r w:rsidRPr="00C90E99">
              <w:rPr>
                <w:sz w:val="22"/>
                <w:szCs w:val="22"/>
              </w:rPr>
              <w:t>BMD Z-skora</w:t>
            </w:r>
            <w:r w:rsidRPr="00C90E99">
              <w:rPr>
                <w:spacing w:val="1"/>
                <w:sz w:val="22"/>
                <w:szCs w:val="22"/>
              </w:rPr>
              <w:t xml:space="preserve"> </w:t>
            </w:r>
            <w:r w:rsidRPr="00C90E99">
              <w:rPr>
                <w:sz w:val="22"/>
                <w:szCs w:val="22"/>
              </w:rPr>
              <w:t>lumbalnog d</w:t>
            </w:r>
            <w:r w:rsidR="00B81134">
              <w:rPr>
                <w:sz w:val="22"/>
                <w:szCs w:val="22"/>
              </w:rPr>
              <w:t>ij</w:t>
            </w:r>
            <w:r w:rsidRPr="00C90E99">
              <w:rPr>
                <w:sz w:val="22"/>
                <w:szCs w:val="22"/>
              </w:rPr>
              <w:t>ela</w:t>
            </w:r>
            <w:r w:rsidRPr="00C90E99">
              <w:rPr>
                <w:spacing w:val="1"/>
                <w:sz w:val="22"/>
                <w:szCs w:val="22"/>
              </w:rPr>
              <w:t xml:space="preserve"> </w:t>
            </w:r>
            <w:r w:rsidRPr="00C90E99">
              <w:rPr>
                <w:sz w:val="22"/>
                <w:szCs w:val="22"/>
              </w:rPr>
              <w:t>kičme</w:t>
            </w:r>
            <w:r w:rsidRPr="00C90E99">
              <w:rPr>
                <w:spacing w:val="-5"/>
                <w:sz w:val="22"/>
                <w:szCs w:val="22"/>
              </w:rPr>
              <w:t xml:space="preserve"> </w:t>
            </w:r>
            <w:r w:rsidRPr="00C90E99">
              <w:rPr>
                <w:sz w:val="22"/>
                <w:szCs w:val="22"/>
              </w:rPr>
              <w:t>u</w:t>
            </w:r>
            <w:r w:rsidRPr="00C90E99">
              <w:rPr>
                <w:spacing w:val="-5"/>
                <w:sz w:val="22"/>
                <w:szCs w:val="22"/>
              </w:rPr>
              <w:t xml:space="preserve"> </w:t>
            </w:r>
            <w:r w:rsidRPr="00C90E99">
              <w:rPr>
                <w:sz w:val="22"/>
                <w:szCs w:val="22"/>
              </w:rPr>
              <w:t>odnosu</w:t>
            </w:r>
            <w:r w:rsidRPr="00C90E99">
              <w:rPr>
                <w:spacing w:val="-4"/>
                <w:sz w:val="22"/>
                <w:szCs w:val="22"/>
              </w:rPr>
              <w:t xml:space="preserve"> </w:t>
            </w:r>
            <w:r w:rsidRPr="00C90E99">
              <w:rPr>
                <w:sz w:val="22"/>
                <w:szCs w:val="22"/>
              </w:rPr>
              <w:t>na</w:t>
            </w:r>
            <w:r w:rsidR="00B81134">
              <w:rPr>
                <w:sz w:val="22"/>
                <w:szCs w:val="22"/>
              </w:rPr>
              <w:t xml:space="preserve"> </w:t>
            </w:r>
            <w:r w:rsidRPr="00C90E99">
              <w:rPr>
                <w:sz w:val="22"/>
                <w:szCs w:val="22"/>
              </w:rPr>
              <w:t>početak</w:t>
            </w:r>
            <w:r w:rsidR="00B81134">
              <w:rPr>
                <w:spacing w:val="-4"/>
                <w:sz w:val="22"/>
                <w:szCs w:val="22"/>
              </w:rPr>
              <w:t xml:space="preserve"> </w:t>
            </w:r>
            <w:r w:rsidRPr="00C90E99">
              <w:rPr>
                <w:sz w:val="22"/>
                <w:szCs w:val="22"/>
              </w:rPr>
              <w:t>studije</w:t>
            </w:r>
            <w:r w:rsidRPr="00C90E99">
              <w:rPr>
                <w:sz w:val="22"/>
                <w:szCs w:val="22"/>
                <w:vertAlign w:val="superscript"/>
              </w:rPr>
              <w:t>a</w:t>
            </w:r>
          </w:p>
        </w:tc>
        <w:tc>
          <w:tcPr>
            <w:tcW w:w="1234"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3"/>
              <w:rPr>
                <w:b/>
                <w:sz w:val="22"/>
                <w:szCs w:val="22"/>
              </w:rPr>
            </w:pPr>
          </w:p>
          <w:p w:rsidR="00C90E99" w:rsidRPr="00C90E99" w:rsidRDefault="00C90E99" w:rsidP="00C90E99">
            <w:pPr>
              <w:widowControl w:val="0"/>
              <w:autoSpaceDE w:val="0"/>
              <w:autoSpaceDN w:val="0"/>
              <w:ind w:left="484"/>
              <w:rPr>
                <w:sz w:val="22"/>
                <w:szCs w:val="22"/>
              </w:rPr>
            </w:pPr>
            <w:r w:rsidRPr="00C90E99">
              <w:rPr>
                <w:sz w:val="22"/>
                <w:szCs w:val="22"/>
              </w:rPr>
              <w:t>NP</w:t>
            </w:r>
          </w:p>
        </w:tc>
        <w:tc>
          <w:tcPr>
            <w:tcW w:w="1200"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3"/>
              <w:rPr>
                <w:b/>
                <w:sz w:val="22"/>
                <w:szCs w:val="22"/>
              </w:rPr>
            </w:pPr>
          </w:p>
          <w:p w:rsidR="00C90E99" w:rsidRPr="00C90E99" w:rsidRDefault="00C90E99" w:rsidP="00C90E99">
            <w:pPr>
              <w:widowControl w:val="0"/>
              <w:autoSpaceDE w:val="0"/>
              <w:autoSpaceDN w:val="0"/>
              <w:ind w:left="469"/>
              <w:rPr>
                <w:sz w:val="22"/>
                <w:szCs w:val="22"/>
              </w:rPr>
            </w:pPr>
            <w:r w:rsidRPr="00C90E99">
              <w:rPr>
                <w:sz w:val="22"/>
                <w:szCs w:val="22"/>
              </w:rPr>
              <w:t>NP</w:t>
            </w:r>
          </w:p>
        </w:tc>
        <w:tc>
          <w:tcPr>
            <w:tcW w:w="1210"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spacing w:before="1"/>
              <w:ind w:left="397"/>
              <w:rPr>
                <w:sz w:val="22"/>
                <w:szCs w:val="22"/>
              </w:rPr>
            </w:pPr>
            <w:r w:rsidRPr="00C90E99">
              <w:rPr>
                <w:sz w:val="22"/>
                <w:szCs w:val="22"/>
              </w:rPr>
              <w:t>-0,06</w:t>
            </w:r>
          </w:p>
          <w:p w:rsidR="00C90E99" w:rsidRPr="00C90E99" w:rsidRDefault="00C90E99" w:rsidP="00C90E99">
            <w:pPr>
              <w:widowControl w:val="0"/>
              <w:autoSpaceDE w:val="0"/>
              <w:autoSpaceDN w:val="0"/>
              <w:ind w:left="315"/>
              <w:rPr>
                <w:sz w:val="22"/>
                <w:szCs w:val="22"/>
              </w:rPr>
            </w:pPr>
            <w:r w:rsidRPr="00C90E99">
              <w:rPr>
                <w:sz w:val="22"/>
                <w:szCs w:val="22"/>
              </w:rPr>
              <w:t>(0,320)</w:t>
            </w:r>
          </w:p>
        </w:tc>
        <w:tc>
          <w:tcPr>
            <w:tcW w:w="1181" w:type="dxa"/>
          </w:tcPr>
          <w:p w:rsidR="00C90E99" w:rsidRPr="00C90E99" w:rsidRDefault="00C90E99" w:rsidP="00C90E99">
            <w:pPr>
              <w:widowControl w:val="0"/>
              <w:autoSpaceDE w:val="0"/>
              <w:autoSpaceDN w:val="0"/>
              <w:rPr>
                <w:b/>
                <w:sz w:val="22"/>
                <w:szCs w:val="22"/>
              </w:rPr>
            </w:pPr>
          </w:p>
          <w:p w:rsidR="00B81134" w:rsidRDefault="00B81134" w:rsidP="00B81134">
            <w:pPr>
              <w:widowControl w:val="0"/>
              <w:autoSpaceDE w:val="0"/>
              <w:autoSpaceDN w:val="0"/>
              <w:spacing w:before="1"/>
              <w:ind w:right="260"/>
              <w:rPr>
                <w:b/>
                <w:sz w:val="22"/>
                <w:szCs w:val="22"/>
              </w:rPr>
            </w:pPr>
          </w:p>
          <w:p w:rsidR="00C90E99" w:rsidRPr="00C90E99" w:rsidRDefault="00C90E99" w:rsidP="00B81134">
            <w:pPr>
              <w:widowControl w:val="0"/>
              <w:autoSpaceDE w:val="0"/>
              <w:autoSpaceDN w:val="0"/>
              <w:spacing w:before="1"/>
              <w:ind w:right="260"/>
              <w:jc w:val="center"/>
              <w:rPr>
                <w:sz w:val="22"/>
                <w:szCs w:val="22"/>
              </w:rPr>
            </w:pPr>
            <w:r w:rsidRPr="00C90E99">
              <w:rPr>
                <w:sz w:val="22"/>
                <w:szCs w:val="22"/>
              </w:rPr>
              <w:t>0,10</w:t>
            </w:r>
          </w:p>
          <w:p w:rsidR="00C90E99" w:rsidRPr="00C90E99" w:rsidRDefault="00C90E99" w:rsidP="00B81134">
            <w:pPr>
              <w:widowControl w:val="0"/>
              <w:autoSpaceDE w:val="0"/>
              <w:autoSpaceDN w:val="0"/>
              <w:ind w:right="109"/>
              <w:jc w:val="center"/>
              <w:rPr>
                <w:sz w:val="22"/>
                <w:szCs w:val="22"/>
              </w:rPr>
            </w:pPr>
            <w:r w:rsidRPr="00C90E99">
              <w:rPr>
                <w:sz w:val="22"/>
                <w:szCs w:val="22"/>
              </w:rPr>
              <w:t>(0,378)</w:t>
            </w:r>
          </w:p>
        </w:tc>
        <w:tc>
          <w:tcPr>
            <w:tcW w:w="1258"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spacing w:before="1"/>
              <w:ind w:left="100" w:right="88"/>
              <w:rPr>
                <w:sz w:val="22"/>
                <w:szCs w:val="22"/>
              </w:rPr>
            </w:pPr>
            <w:r w:rsidRPr="00C90E99">
              <w:rPr>
                <w:sz w:val="22"/>
                <w:szCs w:val="22"/>
              </w:rPr>
              <w:t>0,02</w:t>
            </w:r>
          </w:p>
          <w:p w:rsidR="00C90E99" w:rsidRPr="00C90E99" w:rsidRDefault="00C90E99" w:rsidP="00C90E99">
            <w:pPr>
              <w:widowControl w:val="0"/>
              <w:autoSpaceDE w:val="0"/>
              <w:autoSpaceDN w:val="0"/>
              <w:ind w:left="104" w:right="88"/>
              <w:rPr>
                <w:sz w:val="22"/>
                <w:szCs w:val="22"/>
              </w:rPr>
            </w:pPr>
            <w:r w:rsidRPr="00C90E99">
              <w:rPr>
                <w:sz w:val="22"/>
                <w:szCs w:val="22"/>
              </w:rPr>
              <w:t>(0,548)</w:t>
            </w:r>
          </w:p>
        </w:tc>
        <w:tc>
          <w:tcPr>
            <w:tcW w:w="999"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spacing w:before="1"/>
              <w:ind w:left="291"/>
              <w:rPr>
                <w:sz w:val="22"/>
                <w:szCs w:val="22"/>
              </w:rPr>
            </w:pPr>
            <w:r w:rsidRPr="00C90E99">
              <w:rPr>
                <w:sz w:val="22"/>
                <w:szCs w:val="22"/>
              </w:rPr>
              <w:t>-0,10</w:t>
            </w:r>
          </w:p>
          <w:p w:rsidR="00C90E99" w:rsidRPr="00C90E99" w:rsidRDefault="00C90E99" w:rsidP="00C90E99">
            <w:pPr>
              <w:widowControl w:val="0"/>
              <w:autoSpaceDE w:val="0"/>
              <w:autoSpaceDN w:val="0"/>
              <w:ind w:left="209"/>
              <w:rPr>
                <w:sz w:val="22"/>
                <w:szCs w:val="22"/>
              </w:rPr>
            </w:pPr>
            <w:r w:rsidRPr="00C90E99">
              <w:rPr>
                <w:sz w:val="22"/>
                <w:szCs w:val="22"/>
              </w:rPr>
              <w:t>(0,543)</w:t>
            </w:r>
          </w:p>
        </w:tc>
      </w:tr>
      <w:tr w:rsidR="00C90E99" w:rsidRPr="00C90E99" w:rsidTr="00C90E99">
        <w:trPr>
          <w:trHeight w:val="690"/>
          <w:jc w:val="center"/>
        </w:trPr>
        <w:tc>
          <w:tcPr>
            <w:tcW w:w="1944" w:type="dxa"/>
          </w:tcPr>
          <w:p w:rsidR="00C90E99" w:rsidRPr="00C90E99" w:rsidRDefault="00C90E99" w:rsidP="00C90E99">
            <w:pPr>
              <w:widowControl w:val="0"/>
              <w:autoSpaceDE w:val="0"/>
              <w:autoSpaceDN w:val="0"/>
              <w:spacing w:line="220" w:lineRule="exact"/>
              <w:ind w:left="100"/>
              <w:rPr>
                <w:sz w:val="22"/>
                <w:szCs w:val="22"/>
              </w:rPr>
            </w:pPr>
            <w:r w:rsidRPr="00C90E99">
              <w:rPr>
                <w:sz w:val="22"/>
                <w:szCs w:val="22"/>
              </w:rPr>
              <w:t>Srednja vr</w:t>
            </w:r>
            <w:r w:rsidR="00B81134">
              <w:rPr>
                <w:sz w:val="22"/>
                <w:szCs w:val="22"/>
              </w:rPr>
              <w:t>ij</w:t>
            </w:r>
            <w:r w:rsidRPr="00C90E99">
              <w:rPr>
                <w:sz w:val="22"/>
                <w:szCs w:val="22"/>
              </w:rPr>
              <w:t>ednost</w:t>
            </w:r>
          </w:p>
          <w:p w:rsidR="00C90E99" w:rsidRPr="00C90E99" w:rsidRDefault="00C90E99" w:rsidP="00C90E99">
            <w:pPr>
              <w:widowControl w:val="0"/>
              <w:autoSpaceDE w:val="0"/>
              <w:autoSpaceDN w:val="0"/>
              <w:spacing w:line="230" w:lineRule="atLeast"/>
              <w:ind w:left="100" w:right="227"/>
              <w:rPr>
                <w:sz w:val="22"/>
                <w:szCs w:val="22"/>
              </w:rPr>
            </w:pPr>
            <w:r w:rsidRPr="00C90E99">
              <w:rPr>
                <w:sz w:val="22"/>
                <w:szCs w:val="22"/>
              </w:rPr>
              <w:t xml:space="preserve">(SD) BMD Z-skora </w:t>
            </w:r>
            <w:r w:rsidRPr="00C90E99">
              <w:rPr>
                <w:spacing w:val="-47"/>
                <w:sz w:val="22"/>
                <w:szCs w:val="22"/>
              </w:rPr>
              <w:t xml:space="preserve"> </w:t>
            </w:r>
            <w:r w:rsidRPr="00C90E99">
              <w:rPr>
                <w:sz w:val="22"/>
                <w:szCs w:val="22"/>
              </w:rPr>
              <w:t>c</w:t>
            </w:r>
            <w:r w:rsidR="00B81134">
              <w:rPr>
                <w:sz w:val="22"/>
                <w:szCs w:val="22"/>
              </w:rPr>
              <w:t>ij</w:t>
            </w:r>
            <w:r w:rsidRPr="00C90E99">
              <w:rPr>
                <w:sz w:val="22"/>
                <w:szCs w:val="22"/>
              </w:rPr>
              <w:t>elog</w:t>
            </w:r>
            <w:r w:rsidRPr="00C90E99">
              <w:rPr>
                <w:spacing w:val="-3"/>
                <w:sz w:val="22"/>
                <w:szCs w:val="22"/>
              </w:rPr>
              <w:t xml:space="preserve"> </w:t>
            </w:r>
            <w:r w:rsidRPr="00C90E99">
              <w:rPr>
                <w:sz w:val="22"/>
                <w:szCs w:val="22"/>
              </w:rPr>
              <w:t>t</w:t>
            </w:r>
            <w:r w:rsidR="00B81134">
              <w:rPr>
                <w:sz w:val="22"/>
                <w:szCs w:val="22"/>
              </w:rPr>
              <w:t>ij</w:t>
            </w:r>
            <w:r w:rsidRPr="00C90E99">
              <w:rPr>
                <w:sz w:val="22"/>
                <w:szCs w:val="22"/>
              </w:rPr>
              <w:t>ela</w:t>
            </w:r>
            <w:r w:rsidRPr="00C90E99">
              <w:rPr>
                <w:sz w:val="22"/>
                <w:szCs w:val="22"/>
                <w:vertAlign w:val="superscript"/>
              </w:rPr>
              <w:t>a</w:t>
            </w:r>
          </w:p>
        </w:tc>
        <w:tc>
          <w:tcPr>
            <w:tcW w:w="1234" w:type="dxa"/>
          </w:tcPr>
          <w:p w:rsidR="00C90E99" w:rsidRPr="00C90E99" w:rsidRDefault="00C90E99" w:rsidP="00C90E99">
            <w:pPr>
              <w:widowControl w:val="0"/>
              <w:autoSpaceDE w:val="0"/>
              <w:autoSpaceDN w:val="0"/>
              <w:spacing w:before="105"/>
              <w:ind w:left="378"/>
              <w:rPr>
                <w:sz w:val="22"/>
                <w:szCs w:val="22"/>
              </w:rPr>
            </w:pPr>
            <w:r w:rsidRPr="00C90E99">
              <w:rPr>
                <w:sz w:val="22"/>
                <w:szCs w:val="22"/>
              </w:rPr>
              <w:t>−0,19</w:t>
            </w:r>
          </w:p>
          <w:p w:rsidR="00C90E99" w:rsidRPr="00C90E99" w:rsidRDefault="00C90E99" w:rsidP="00C90E99">
            <w:pPr>
              <w:widowControl w:val="0"/>
              <w:autoSpaceDE w:val="0"/>
              <w:autoSpaceDN w:val="0"/>
              <w:spacing w:before="1"/>
              <w:ind w:left="321"/>
              <w:rPr>
                <w:sz w:val="22"/>
                <w:szCs w:val="22"/>
              </w:rPr>
            </w:pPr>
            <w:r w:rsidRPr="00C90E99">
              <w:rPr>
                <w:sz w:val="22"/>
                <w:szCs w:val="22"/>
              </w:rPr>
              <w:t>(1,110)</w:t>
            </w:r>
          </w:p>
        </w:tc>
        <w:tc>
          <w:tcPr>
            <w:tcW w:w="1200" w:type="dxa"/>
          </w:tcPr>
          <w:p w:rsidR="00C90E99" w:rsidRPr="00C90E99" w:rsidRDefault="00C90E99" w:rsidP="00C90E99">
            <w:pPr>
              <w:widowControl w:val="0"/>
              <w:autoSpaceDE w:val="0"/>
              <w:autoSpaceDN w:val="0"/>
              <w:spacing w:before="105"/>
              <w:ind w:left="363"/>
              <w:rPr>
                <w:sz w:val="22"/>
                <w:szCs w:val="22"/>
              </w:rPr>
            </w:pPr>
            <w:r w:rsidRPr="00C90E99">
              <w:rPr>
                <w:sz w:val="22"/>
                <w:szCs w:val="22"/>
              </w:rPr>
              <w:t>−0,23</w:t>
            </w:r>
          </w:p>
          <w:p w:rsidR="00C90E99" w:rsidRPr="00C90E99" w:rsidRDefault="00C90E99" w:rsidP="00C90E99">
            <w:pPr>
              <w:widowControl w:val="0"/>
              <w:autoSpaceDE w:val="0"/>
              <w:autoSpaceDN w:val="0"/>
              <w:spacing w:before="1"/>
              <w:ind w:left="306"/>
              <w:rPr>
                <w:sz w:val="22"/>
                <w:szCs w:val="22"/>
              </w:rPr>
            </w:pPr>
            <w:r w:rsidRPr="00C90E99">
              <w:rPr>
                <w:sz w:val="22"/>
                <w:szCs w:val="22"/>
              </w:rPr>
              <w:t>(0,859)</w:t>
            </w:r>
          </w:p>
        </w:tc>
        <w:tc>
          <w:tcPr>
            <w:tcW w:w="1210" w:type="dxa"/>
          </w:tcPr>
          <w:p w:rsidR="00C90E99" w:rsidRPr="00C90E99" w:rsidRDefault="00C90E99" w:rsidP="00C90E99">
            <w:pPr>
              <w:widowControl w:val="0"/>
              <w:autoSpaceDE w:val="0"/>
              <w:autoSpaceDN w:val="0"/>
              <w:spacing w:before="105"/>
              <w:ind w:left="373"/>
              <w:rPr>
                <w:sz w:val="22"/>
                <w:szCs w:val="22"/>
              </w:rPr>
            </w:pPr>
            <w:r w:rsidRPr="00C90E99">
              <w:rPr>
                <w:sz w:val="22"/>
                <w:szCs w:val="22"/>
              </w:rPr>
              <w:t>−0,36</w:t>
            </w:r>
          </w:p>
          <w:p w:rsidR="00C90E99" w:rsidRPr="00C90E99" w:rsidRDefault="00C90E99" w:rsidP="00C90E99">
            <w:pPr>
              <w:widowControl w:val="0"/>
              <w:autoSpaceDE w:val="0"/>
              <w:autoSpaceDN w:val="0"/>
              <w:spacing w:before="1"/>
              <w:ind w:left="340"/>
              <w:rPr>
                <w:sz w:val="22"/>
                <w:szCs w:val="22"/>
              </w:rPr>
            </w:pPr>
            <w:r w:rsidRPr="00C90E99">
              <w:rPr>
                <w:sz w:val="22"/>
                <w:szCs w:val="22"/>
              </w:rPr>
              <w:t>(1,077)</w:t>
            </w:r>
          </w:p>
        </w:tc>
        <w:tc>
          <w:tcPr>
            <w:tcW w:w="1181" w:type="dxa"/>
          </w:tcPr>
          <w:p w:rsidR="00C90E99" w:rsidRPr="00C90E99" w:rsidRDefault="00C90E99" w:rsidP="00C90E99">
            <w:pPr>
              <w:widowControl w:val="0"/>
              <w:autoSpaceDE w:val="0"/>
              <w:autoSpaceDN w:val="0"/>
              <w:spacing w:before="105"/>
              <w:ind w:left="353"/>
              <w:rPr>
                <w:sz w:val="22"/>
                <w:szCs w:val="22"/>
              </w:rPr>
            </w:pPr>
            <w:r w:rsidRPr="00C90E99">
              <w:rPr>
                <w:sz w:val="22"/>
                <w:szCs w:val="22"/>
              </w:rPr>
              <w:t>−0,12</w:t>
            </w:r>
          </w:p>
          <w:p w:rsidR="00C90E99" w:rsidRPr="00C90E99" w:rsidRDefault="00C90E99" w:rsidP="00C90E99">
            <w:pPr>
              <w:widowControl w:val="0"/>
              <w:autoSpaceDE w:val="0"/>
              <w:autoSpaceDN w:val="0"/>
              <w:spacing w:before="1"/>
              <w:ind w:left="296"/>
              <w:rPr>
                <w:sz w:val="22"/>
                <w:szCs w:val="22"/>
              </w:rPr>
            </w:pPr>
            <w:r w:rsidRPr="00C90E99">
              <w:rPr>
                <w:sz w:val="22"/>
                <w:szCs w:val="22"/>
              </w:rPr>
              <w:t>(0,916)</w:t>
            </w:r>
          </w:p>
        </w:tc>
        <w:tc>
          <w:tcPr>
            <w:tcW w:w="1258" w:type="dxa"/>
          </w:tcPr>
          <w:p w:rsidR="00C90E99" w:rsidRPr="00C90E99" w:rsidRDefault="00C90E99" w:rsidP="00C90E99">
            <w:pPr>
              <w:widowControl w:val="0"/>
              <w:autoSpaceDE w:val="0"/>
              <w:autoSpaceDN w:val="0"/>
              <w:spacing w:before="105"/>
              <w:ind w:left="392"/>
              <w:rPr>
                <w:sz w:val="22"/>
                <w:szCs w:val="22"/>
              </w:rPr>
            </w:pPr>
            <w:r w:rsidRPr="00C90E99">
              <w:rPr>
                <w:sz w:val="22"/>
                <w:szCs w:val="22"/>
              </w:rPr>
              <w:t>−0,38</w:t>
            </w:r>
          </w:p>
          <w:p w:rsidR="00C90E99" w:rsidRPr="00C90E99" w:rsidRDefault="00C90E99" w:rsidP="00C90E99">
            <w:pPr>
              <w:widowControl w:val="0"/>
              <w:autoSpaceDE w:val="0"/>
              <w:autoSpaceDN w:val="0"/>
              <w:spacing w:before="1"/>
              <w:ind w:left="334"/>
              <w:rPr>
                <w:sz w:val="22"/>
                <w:szCs w:val="22"/>
              </w:rPr>
            </w:pPr>
            <w:r w:rsidRPr="00C90E99">
              <w:rPr>
                <w:sz w:val="22"/>
                <w:szCs w:val="22"/>
              </w:rPr>
              <w:t>(0,934)</w:t>
            </w:r>
          </w:p>
        </w:tc>
        <w:tc>
          <w:tcPr>
            <w:tcW w:w="999" w:type="dxa"/>
          </w:tcPr>
          <w:p w:rsidR="00C90E99" w:rsidRPr="00C90E99" w:rsidRDefault="00C90E99" w:rsidP="00C90E99">
            <w:pPr>
              <w:widowControl w:val="0"/>
              <w:autoSpaceDE w:val="0"/>
              <w:autoSpaceDN w:val="0"/>
              <w:spacing w:before="105"/>
              <w:ind w:left="266"/>
              <w:rPr>
                <w:sz w:val="22"/>
                <w:szCs w:val="22"/>
              </w:rPr>
            </w:pPr>
            <w:r w:rsidRPr="00C90E99">
              <w:rPr>
                <w:sz w:val="22"/>
                <w:szCs w:val="22"/>
              </w:rPr>
              <w:t>−0,42</w:t>
            </w:r>
          </w:p>
          <w:p w:rsidR="00C90E99" w:rsidRPr="00C90E99" w:rsidRDefault="00C90E99" w:rsidP="00C90E99">
            <w:pPr>
              <w:widowControl w:val="0"/>
              <w:autoSpaceDE w:val="0"/>
              <w:autoSpaceDN w:val="0"/>
              <w:spacing w:before="1"/>
              <w:ind w:left="233"/>
              <w:rPr>
                <w:sz w:val="22"/>
                <w:szCs w:val="22"/>
              </w:rPr>
            </w:pPr>
            <w:r w:rsidRPr="00C90E99">
              <w:rPr>
                <w:sz w:val="22"/>
                <w:szCs w:val="22"/>
              </w:rPr>
              <w:t>(0,942)</w:t>
            </w:r>
          </w:p>
        </w:tc>
      </w:tr>
      <w:tr w:rsidR="00C90E99" w:rsidRPr="00C90E99" w:rsidTr="00C90E99">
        <w:trPr>
          <w:trHeight w:val="1146"/>
          <w:jc w:val="center"/>
        </w:trPr>
        <w:tc>
          <w:tcPr>
            <w:tcW w:w="1944" w:type="dxa"/>
          </w:tcPr>
          <w:p w:rsidR="00C90E99" w:rsidRPr="00C90E99" w:rsidRDefault="00C90E99" w:rsidP="00C90E99">
            <w:pPr>
              <w:widowControl w:val="0"/>
              <w:autoSpaceDE w:val="0"/>
              <w:autoSpaceDN w:val="0"/>
              <w:ind w:left="100" w:right="202"/>
              <w:rPr>
                <w:sz w:val="22"/>
                <w:szCs w:val="22"/>
              </w:rPr>
            </w:pPr>
            <w:r w:rsidRPr="00C90E99">
              <w:rPr>
                <w:sz w:val="22"/>
                <w:szCs w:val="22"/>
              </w:rPr>
              <w:t>Prom</w:t>
            </w:r>
            <w:r w:rsidR="00B81134">
              <w:rPr>
                <w:sz w:val="22"/>
                <w:szCs w:val="22"/>
              </w:rPr>
              <w:t>j</w:t>
            </w:r>
            <w:r w:rsidRPr="00C90E99">
              <w:rPr>
                <w:sz w:val="22"/>
                <w:szCs w:val="22"/>
              </w:rPr>
              <w:t>ena srednje</w:t>
            </w:r>
            <w:r w:rsidRPr="00C90E99">
              <w:rPr>
                <w:spacing w:val="1"/>
                <w:sz w:val="22"/>
                <w:szCs w:val="22"/>
              </w:rPr>
              <w:t xml:space="preserve"> </w:t>
            </w:r>
            <w:r w:rsidRPr="00C90E99">
              <w:rPr>
                <w:sz w:val="22"/>
                <w:szCs w:val="22"/>
              </w:rPr>
              <w:t>vr</w:t>
            </w:r>
            <w:r w:rsidR="00B81134">
              <w:rPr>
                <w:sz w:val="22"/>
                <w:szCs w:val="22"/>
              </w:rPr>
              <w:t>ij</w:t>
            </w:r>
            <w:r w:rsidRPr="00C90E99">
              <w:rPr>
                <w:sz w:val="22"/>
                <w:szCs w:val="22"/>
              </w:rPr>
              <w:t>ednosti (SD)</w:t>
            </w:r>
            <w:r w:rsidRPr="00C90E99">
              <w:rPr>
                <w:spacing w:val="1"/>
                <w:sz w:val="22"/>
                <w:szCs w:val="22"/>
              </w:rPr>
              <w:t xml:space="preserve"> </w:t>
            </w:r>
            <w:r w:rsidRPr="00C90E99">
              <w:rPr>
                <w:sz w:val="22"/>
                <w:szCs w:val="22"/>
              </w:rPr>
              <w:t>BMD</w:t>
            </w:r>
            <w:r w:rsidRPr="00C90E99">
              <w:rPr>
                <w:spacing w:val="-9"/>
                <w:sz w:val="22"/>
                <w:szCs w:val="22"/>
              </w:rPr>
              <w:t xml:space="preserve"> </w:t>
            </w:r>
            <w:r w:rsidRPr="00C90E99">
              <w:rPr>
                <w:sz w:val="22"/>
                <w:szCs w:val="22"/>
              </w:rPr>
              <w:t>Z-skora</w:t>
            </w:r>
            <w:r w:rsidRPr="00C90E99">
              <w:rPr>
                <w:spacing w:val="-10"/>
                <w:sz w:val="22"/>
                <w:szCs w:val="22"/>
              </w:rPr>
              <w:t xml:space="preserve"> </w:t>
            </w:r>
            <w:r w:rsidRPr="00C90E99">
              <w:rPr>
                <w:sz w:val="22"/>
                <w:szCs w:val="22"/>
              </w:rPr>
              <w:t>c</w:t>
            </w:r>
            <w:r w:rsidR="00B81134">
              <w:rPr>
                <w:sz w:val="22"/>
                <w:szCs w:val="22"/>
              </w:rPr>
              <w:t>ij</w:t>
            </w:r>
            <w:r w:rsidRPr="00C90E99">
              <w:rPr>
                <w:sz w:val="22"/>
                <w:szCs w:val="22"/>
              </w:rPr>
              <w:t xml:space="preserve">elog </w:t>
            </w:r>
            <w:r w:rsidRPr="00C90E99">
              <w:rPr>
                <w:spacing w:val="-47"/>
                <w:sz w:val="22"/>
                <w:szCs w:val="22"/>
              </w:rPr>
              <w:t xml:space="preserve"> </w:t>
            </w:r>
            <w:r w:rsidRPr="00C90E99">
              <w:rPr>
                <w:sz w:val="22"/>
                <w:szCs w:val="22"/>
              </w:rPr>
              <w:t>t</w:t>
            </w:r>
            <w:r w:rsidR="00B81134">
              <w:rPr>
                <w:sz w:val="22"/>
                <w:szCs w:val="22"/>
              </w:rPr>
              <w:t>ij</w:t>
            </w:r>
            <w:r w:rsidRPr="00C90E99">
              <w:rPr>
                <w:sz w:val="22"/>
                <w:szCs w:val="22"/>
              </w:rPr>
              <w:t>ela</w:t>
            </w:r>
            <w:r w:rsidRPr="00C90E99">
              <w:rPr>
                <w:spacing w:val="-2"/>
                <w:sz w:val="22"/>
                <w:szCs w:val="22"/>
              </w:rPr>
              <w:t xml:space="preserve"> </w:t>
            </w:r>
            <w:r w:rsidRPr="00C90E99">
              <w:rPr>
                <w:sz w:val="22"/>
                <w:szCs w:val="22"/>
              </w:rPr>
              <w:t>u</w:t>
            </w:r>
            <w:r w:rsidRPr="00C90E99">
              <w:rPr>
                <w:spacing w:val="-1"/>
                <w:sz w:val="22"/>
                <w:szCs w:val="22"/>
              </w:rPr>
              <w:t xml:space="preserve"> </w:t>
            </w:r>
            <w:r w:rsidRPr="00C90E99">
              <w:rPr>
                <w:sz w:val="22"/>
                <w:szCs w:val="22"/>
              </w:rPr>
              <w:t>odnosu</w:t>
            </w:r>
            <w:r w:rsidRPr="00C90E99">
              <w:rPr>
                <w:spacing w:val="-1"/>
                <w:sz w:val="22"/>
                <w:szCs w:val="22"/>
              </w:rPr>
              <w:t xml:space="preserve"> </w:t>
            </w:r>
            <w:r w:rsidRPr="00C90E99">
              <w:rPr>
                <w:sz w:val="22"/>
                <w:szCs w:val="22"/>
              </w:rPr>
              <w:t>na</w:t>
            </w:r>
          </w:p>
          <w:p w:rsidR="00C90E99" w:rsidRPr="00C90E99" w:rsidRDefault="00C90E99" w:rsidP="00C90E99">
            <w:pPr>
              <w:widowControl w:val="0"/>
              <w:autoSpaceDE w:val="0"/>
              <w:autoSpaceDN w:val="0"/>
              <w:spacing w:line="214" w:lineRule="exact"/>
              <w:ind w:left="100"/>
              <w:rPr>
                <w:sz w:val="22"/>
                <w:szCs w:val="22"/>
              </w:rPr>
            </w:pPr>
            <w:r w:rsidRPr="00C90E99">
              <w:rPr>
                <w:sz w:val="22"/>
                <w:szCs w:val="22"/>
              </w:rPr>
              <w:t>početak</w:t>
            </w:r>
            <w:r w:rsidRPr="00C90E99">
              <w:rPr>
                <w:spacing w:val="-5"/>
                <w:sz w:val="22"/>
                <w:szCs w:val="22"/>
              </w:rPr>
              <w:t xml:space="preserve"> </w:t>
            </w:r>
            <w:r w:rsidRPr="00C90E99">
              <w:rPr>
                <w:sz w:val="22"/>
                <w:szCs w:val="22"/>
              </w:rPr>
              <w:t>studije</w:t>
            </w:r>
            <w:r w:rsidRPr="00C90E99">
              <w:rPr>
                <w:sz w:val="22"/>
                <w:szCs w:val="22"/>
                <w:vertAlign w:val="superscript"/>
              </w:rPr>
              <w:t>a</w:t>
            </w:r>
          </w:p>
        </w:tc>
        <w:tc>
          <w:tcPr>
            <w:tcW w:w="1234"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spacing w:before="1"/>
              <w:ind w:left="484"/>
              <w:rPr>
                <w:sz w:val="22"/>
                <w:szCs w:val="22"/>
              </w:rPr>
            </w:pPr>
            <w:r w:rsidRPr="00C90E99">
              <w:rPr>
                <w:sz w:val="22"/>
                <w:szCs w:val="22"/>
              </w:rPr>
              <w:t>NP</w:t>
            </w:r>
          </w:p>
        </w:tc>
        <w:tc>
          <w:tcPr>
            <w:tcW w:w="1200" w:type="dxa"/>
          </w:tcPr>
          <w:p w:rsidR="00C90E99" w:rsidRPr="00C90E99" w:rsidRDefault="00C90E99" w:rsidP="00C90E99">
            <w:pPr>
              <w:widowControl w:val="0"/>
              <w:autoSpaceDE w:val="0"/>
              <w:autoSpaceDN w:val="0"/>
              <w:rPr>
                <w:b/>
                <w:sz w:val="22"/>
                <w:szCs w:val="22"/>
              </w:rPr>
            </w:pPr>
          </w:p>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spacing w:before="1"/>
              <w:ind w:left="469"/>
              <w:rPr>
                <w:sz w:val="22"/>
                <w:szCs w:val="22"/>
              </w:rPr>
            </w:pPr>
            <w:r w:rsidRPr="00C90E99">
              <w:rPr>
                <w:sz w:val="22"/>
                <w:szCs w:val="22"/>
              </w:rPr>
              <w:t>NP</w:t>
            </w:r>
          </w:p>
        </w:tc>
        <w:tc>
          <w:tcPr>
            <w:tcW w:w="121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373"/>
              <w:rPr>
                <w:sz w:val="22"/>
                <w:szCs w:val="22"/>
              </w:rPr>
            </w:pPr>
            <w:r w:rsidRPr="00C90E99">
              <w:rPr>
                <w:sz w:val="22"/>
                <w:szCs w:val="22"/>
              </w:rPr>
              <w:t>−0,16</w:t>
            </w:r>
          </w:p>
          <w:p w:rsidR="00C90E99" w:rsidRPr="00C90E99" w:rsidRDefault="00C90E99" w:rsidP="00C90E99">
            <w:pPr>
              <w:widowControl w:val="0"/>
              <w:autoSpaceDE w:val="0"/>
              <w:autoSpaceDN w:val="0"/>
              <w:spacing w:before="1"/>
              <w:ind w:left="315"/>
              <w:rPr>
                <w:sz w:val="22"/>
                <w:szCs w:val="22"/>
              </w:rPr>
            </w:pPr>
            <w:r w:rsidRPr="00C90E99">
              <w:rPr>
                <w:sz w:val="22"/>
                <w:szCs w:val="22"/>
              </w:rPr>
              <w:t>(0,355)</w:t>
            </w:r>
          </w:p>
        </w:tc>
        <w:tc>
          <w:tcPr>
            <w:tcW w:w="1181"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276" w:right="258"/>
              <w:rPr>
                <w:sz w:val="22"/>
                <w:szCs w:val="22"/>
              </w:rPr>
            </w:pPr>
            <w:r w:rsidRPr="00C90E99">
              <w:rPr>
                <w:sz w:val="22"/>
                <w:szCs w:val="22"/>
              </w:rPr>
              <w:t>0,09</w:t>
            </w:r>
          </w:p>
          <w:p w:rsidR="00C90E99" w:rsidRPr="00C90E99" w:rsidRDefault="00C90E99" w:rsidP="00B81134">
            <w:pPr>
              <w:widowControl w:val="0"/>
              <w:autoSpaceDE w:val="0"/>
              <w:autoSpaceDN w:val="0"/>
              <w:spacing w:before="1"/>
              <w:ind w:right="260"/>
              <w:jc w:val="center"/>
              <w:rPr>
                <w:sz w:val="22"/>
                <w:szCs w:val="22"/>
              </w:rPr>
            </w:pPr>
            <w:r w:rsidRPr="00C90E99">
              <w:rPr>
                <w:sz w:val="22"/>
                <w:szCs w:val="22"/>
              </w:rPr>
              <w:t>(0,349)</w:t>
            </w:r>
          </w:p>
        </w:tc>
        <w:tc>
          <w:tcPr>
            <w:tcW w:w="1258"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416"/>
              <w:rPr>
                <w:sz w:val="22"/>
                <w:szCs w:val="22"/>
              </w:rPr>
            </w:pPr>
            <w:r w:rsidRPr="00C90E99">
              <w:rPr>
                <w:sz w:val="22"/>
                <w:szCs w:val="22"/>
              </w:rPr>
              <w:t>-0,16</w:t>
            </w:r>
          </w:p>
          <w:p w:rsidR="00C90E99" w:rsidRPr="00C90E99" w:rsidRDefault="00C90E99" w:rsidP="00C90E99">
            <w:pPr>
              <w:widowControl w:val="0"/>
              <w:autoSpaceDE w:val="0"/>
              <w:autoSpaceDN w:val="0"/>
              <w:spacing w:before="1"/>
              <w:ind w:left="334"/>
              <w:rPr>
                <w:sz w:val="22"/>
                <w:szCs w:val="22"/>
              </w:rPr>
            </w:pPr>
            <w:r w:rsidRPr="00C90E99">
              <w:rPr>
                <w:sz w:val="22"/>
                <w:szCs w:val="22"/>
              </w:rPr>
              <w:t>(0,521)</w:t>
            </w:r>
          </w:p>
        </w:tc>
        <w:tc>
          <w:tcPr>
            <w:tcW w:w="999"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291"/>
              <w:rPr>
                <w:sz w:val="22"/>
                <w:szCs w:val="22"/>
              </w:rPr>
            </w:pPr>
            <w:r w:rsidRPr="00C90E99">
              <w:rPr>
                <w:sz w:val="22"/>
                <w:szCs w:val="22"/>
              </w:rPr>
              <w:t>-0,19</w:t>
            </w:r>
          </w:p>
          <w:p w:rsidR="00C90E99" w:rsidRPr="00C90E99" w:rsidRDefault="00C90E99" w:rsidP="00C90E99">
            <w:pPr>
              <w:widowControl w:val="0"/>
              <w:autoSpaceDE w:val="0"/>
              <w:autoSpaceDN w:val="0"/>
              <w:spacing w:before="1"/>
              <w:ind w:left="209"/>
              <w:rPr>
                <w:sz w:val="22"/>
                <w:szCs w:val="22"/>
              </w:rPr>
            </w:pPr>
            <w:r w:rsidRPr="00C90E99">
              <w:rPr>
                <w:sz w:val="22"/>
                <w:szCs w:val="22"/>
              </w:rPr>
              <w:t>(0,504)</w:t>
            </w:r>
          </w:p>
        </w:tc>
      </w:tr>
      <w:tr w:rsidR="00C90E99" w:rsidRPr="00C90E99" w:rsidTr="00C90E99">
        <w:trPr>
          <w:trHeight w:val="920"/>
          <w:jc w:val="center"/>
        </w:trPr>
        <w:tc>
          <w:tcPr>
            <w:tcW w:w="1944" w:type="dxa"/>
          </w:tcPr>
          <w:p w:rsidR="00C90E99" w:rsidRPr="00C90E99" w:rsidRDefault="00C90E99" w:rsidP="00C90E99">
            <w:pPr>
              <w:widowControl w:val="0"/>
              <w:autoSpaceDE w:val="0"/>
              <w:autoSpaceDN w:val="0"/>
              <w:spacing w:line="237" w:lineRule="auto"/>
              <w:ind w:left="100" w:right="288"/>
              <w:rPr>
                <w:sz w:val="22"/>
                <w:szCs w:val="22"/>
              </w:rPr>
            </w:pPr>
            <w:r w:rsidRPr="00C90E99">
              <w:rPr>
                <w:sz w:val="22"/>
                <w:szCs w:val="22"/>
              </w:rPr>
              <w:t>Smanjenje BMD</w:t>
            </w:r>
            <w:r w:rsidRPr="00C90E99">
              <w:rPr>
                <w:spacing w:val="1"/>
                <w:sz w:val="22"/>
                <w:szCs w:val="22"/>
              </w:rPr>
              <w:t xml:space="preserve"> </w:t>
            </w:r>
            <w:r w:rsidRPr="00C90E99">
              <w:rPr>
                <w:sz w:val="22"/>
                <w:szCs w:val="22"/>
              </w:rPr>
              <w:t>lumbalnog d</w:t>
            </w:r>
            <w:r w:rsidR="00B81134">
              <w:rPr>
                <w:sz w:val="22"/>
                <w:szCs w:val="22"/>
              </w:rPr>
              <w:t>ij</w:t>
            </w:r>
            <w:r w:rsidRPr="00C90E99">
              <w:rPr>
                <w:sz w:val="22"/>
                <w:szCs w:val="22"/>
              </w:rPr>
              <w:t>ela</w:t>
            </w:r>
            <w:r w:rsidRPr="00C90E99">
              <w:rPr>
                <w:spacing w:val="1"/>
                <w:sz w:val="22"/>
                <w:szCs w:val="22"/>
              </w:rPr>
              <w:t xml:space="preserve"> </w:t>
            </w:r>
            <w:r w:rsidRPr="00C90E99">
              <w:rPr>
                <w:sz w:val="22"/>
                <w:szCs w:val="22"/>
              </w:rPr>
              <w:t>kičme</w:t>
            </w:r>
            <w:r w:rsidRPr="00C90E99">
              <w:rPr>
                <w:spacing w:val="-8"/>
                <w:sz w:val="22"/>
                <w:szCs w:val="22"/>
              </w:rPr>
              <w:t xml:space="preserve"> </w:t>
            </w:r>
            <w:r w:rsidRPr="00C90E99">
              <w:rPr>
                <w:sz w:val="22"/>
                <w:szCs w:val="22"/>
              </w:rPr>
              <w:t>od</w:t>
            </w:r>
            <w:r w:rsidRPr="00C90E99">
              <w:rPr>
                <w:spacing w:val="-8"/>
                <w:sz w:val="22"/>
                <w:szCs w:val="22"/>
              </w:rPr>
              <w:t xml:space="preserve"> </w:t>
            </w:r>
            <w:r w:rsidRPr="00C90E99">
              <w:rPr>
                <w:sz w:val="22"/>
                <w:szCs w:val="22"/>
              </w:rPr>
              <w:t>najmanje</w:t>
            </w:r>
          </w:p>
          <w:p w:rsidR="00C90E99" w:rsidRPr="00C90E99" w:rsidRDefault="00C90E99" w:rsidP="00C90E99">
            <w:pPr>
              <w:widowControl w:val="0"/>
              <w:autoSpaceDE w:val="0"/>
              <w:autoSpaceDN w:val="0"/>
              <w:spacing w:line="219" w:lineRule="exact"/>
              <w:ind w:left="100"/>
              <w:rPr>
                <w:sz w:val="22"/>
                <w:szCs w:val="22"/>
              </w:rPr>
            </w:pPr>
            <w:r w:rsidRPr="00C90E99">
              <w:rPr>
                <w:sz w:val="22"/>
                <w:szCs w:val="22"/>
              </w:rPr>
              <w:t>6%</w:t>
            </w:r>
            <w:r w:rsidRPr="00C90E99">
              <w:rPr>
                <w:sz w:val="22"/>
                <w:szCs w:val="22"/>
                <w:vertAlign w:val="superscript"/>
              </w:rPr>
              <w:t>b</w:t>
            </w:r>
          </w:p>
        </w:tc>
        <w:tc>
          <w:tcPr>
            <w:tcW w:w="1234" w:type="dxa"/>
          </w:tcPr>
          <w:p w:rsidR="00C90E99" w:rsidRPr="00C90E99" w:rsidRDefault="00C90E99" w:rsidP="00C90E99">
            <w:pPr>
              <w:widowControl w:val="0"/>
              <w:autoSpaceDE w:val="0"/>
              <w:autoSpaceDN w:val="0"/>
              <w:spacing w:before="7"/>
              <w:rPr>
                <w:b/>
                <w:sz w:val="22"/>
                <w:szCs w:val="22"/>
              </w:rPr>
            </w:pPr>
          </w:p>
          <w:p w:rsidR="00C90E99" w:rsidRPr="00C90E99" w:rsidRDefault="00C90E99" w:rsidP="00C90E99">
            <w:pPr>
              <w:widowControl w:val="0"/>
              <w:autoSpaceDE w:val="0"/>
              <w:autoSpaceDN w:val="0"/>
              <w:ind w:left="484"/>
              <w:rPr>
                <w:sz w:val="22"/>
                <w:szCs w:val="22"/>
              </w:rPr>
            </w:pPr>
            <w:r w:rsidRPr="00C90E99">
              <w:rPr>
                <w:sz w:val="22"/>
                <w:szCs w:val="22"/>
              </w:rPr>
              <w:t>NP</w:t>
            </w:r>
          </w:p>
        </w:tc>
        <w:tc>
          <w:tcPr>
            <w:tcW w:w="1200" w:type="dxa"/>
          </w:tcPr>
          <w:p w:rsidR="00C90E99" w:rsidRPr="00C90E99" w:rsidRDefault="00C90E99" w:rsidP="00C90E99">
            <w:pPr>
              <w:widowControl w:val="0"/>
              <w:autoSpaceDE w:val="0"/>
              <w:autoSpaceDN w:val="0"/>
              <w:spacing w:before="7"/>
              <w:rPr>
                <w:b/>
                <w:sz w:val="22"/>
                <w:szCs w:val="22"/>
              </w:rPr>
            </w:pPr>
          </w:p>
          <w:p w:rsidR="00C90E99" w:rsidRPr="00C90E99" w:rsidRDefault="00C90E99" w:rsidP="00C90E99">
            <w:pPr>
              <w:widowControl w:val="0"/>
              <w:autoSpaceDE w:val="0"/>
              <w:autoSpaceDN w:val="0"/>
              <w:ind w:left="469"/>
              <w:rPr>
                <w:sz w:val="22"/>
                <w:szCs w:val="22"/>
              </w:rPr>
            </w:pPr>
            <w:r w:rsidRPr="00C90E99">
              <w:rPr>
                <w:sz w:val="22"/>
                <w:szCs w:val="22"/>
              </w:rPr>
              <w:t>NP</w:t>
            </w:r>
          </w:p>
        </w:tc>
        <w:tc>
          <w:tcPr>
            <w:tcW w:w="1210" w:type="dxa"/>
          </w:tcPr>
          <w:p w:rsidR="00C90E99" w:rsidRPr="00C90E99" w:rsidRDefault="00C90E99" w:rsidP="00C90E99">
            <w:pPr>
              <w:widowControl w:val="0"/>
              <w:autoSpaceDE w:val="0"/>
              <w:autoSpaceDN w:val="0"/>
              <w:spacing w:before="7"/>
              <w:rPr>
                <w:b/>
                <w:sz w:val="22"/>
                <w:szCs w:val="22"/>
              </w:rPr>
            </w:pPr>
          </w:p>
          <w:p w:rsidR="00C90E99" w:rsidRPr="00C90E99" w:rsidRDefault="00C90E99" w:rsidP="00C90E99">
            <w:pPr>
              <w:widowControl w:val="0"/>
              <w:autoSpaceDE w:val="0"/>
              <w:autoSpaceDN w:val="0"/>
              <w:spacing w:line="228" w:lineRule="exact"/>
              <w:ind w:left="129" w:right="101"/>
              <w:rPr>
                <w:sz w:val="22"/>
                <w:szCs w:val="22"/>
              </w:rPr>
            </w:pPr>
            <w:r w:rsidRPr="00C90E99">
              <w:rPr>
                <w:sz w:val="22"/>
                <w:szCs w:val="22"/>
              </w:rPr>
              <w:t>1,9%</w:t>
            </w:r>
          </w:p>
          <w:p w:rsidR="00C90E99" w:rsidRPr="00C90E99" w:rsidRDefault="00C90E99" w:rsidP="00B81134">
            <w:pPr>
              <w:widowControl w:val="0"/>
              <w:autoSpaceDE w:val="0"/>
              <w:autoSpaceDN w:val="0"/>
              <w:spacing w:line="228" w:lineRule="exact"/>
              <w:ind w:left="129"/>
              <w:rPr>
                <w:sz w:val="22"/>
                <w:szCs w:val="22"/>
              </w:rPr>
            </w:pPr>
            <w:r w:rsidRPr="00C90E99">
              <w:rPr>
                <w:sz w:val="22"/>
                <w:szCs w:val="22"/>
              </w:rPr>
              <w:t>(1</w:t>
            </w:r>
            <w:r w:rsidR="00B81134">
              <w:rPr>
                <w:spacing w:val="1"/>
                <w:sz w:val="22"/>
                <w:szCs w:val="22"/>
              </w:rPr>
              <w:t xml:space="preserve"> </w:t>
            </w:r>
            <w:r w:rsidRPr="00C90E99">
              <w:rPr>
                <w:sz w:val="22"/>
                <w:szCs w:val="22"/>
              </w:rPr>
              <w:t>pacijent)</w:t>
            </w:r>
          </w:p>
        </w:tc>
        <w:tc>
          <w:tcPr>
            <w:tcW w:w="1181" w:type="dxa"/>
          </w:tcPr>
          <w:p w:rsidR="00C90E99" w:rsidRPr="00C90E99" w:rsidRDefault="00C90E99" w:rsidP="00C90E99">
            <w:pPr>
              <w:widowControl w:val="0"/>
              <w:autoSpaceDE w:val="0"/>
              <w:autoSpaceDN w:val="0"/>
              <w:spacing w:before="7"/>
              <w:rPr>
                <w:b/>
                <w:sz w:val="22"/>
                <w:szCs w:val="22"/>
              </w:rPr>
            </w:pPr>
          </w:p>
          <w:p w:rsidR="00C90E99" w:rsidRPr="00C90E99" w:rsidRDefault="00C90E99" w:rsidP="00B81134">
            <w:pPr>
              <w:widowControl w:val="0"/>
              <w:autoSpaceDE w:val="0"/>
              <w:autoSpaceDN w:val="0"/>
              <w:ind w:right="259"/>
              <w:jc w:val="center"/>
              <w:rPr>
                <w:sz w:val="22"/>
                <w:szCs w:val="22"/>
              </w:rPr>
            </w:pPr>
            <w:r w:rsidRPr="00C90E99">
              <w:rPr>
                <w:sz w:val="22"/>
                <w:szCs w:val="22"/>
              </w:rPr>
              <w:t>0%</w:t>
            </w:r>
          </w:p>
        </w:tc>
        <w:tc>
          <w:tcPr>
            <w:tcW w:w="1258" w:type="dxa"/>
          </w:tcPr>
          <w:p w:rsidR="00C90E99" w:rsidRPr="00C90E99" w:rsidRDefault="00C90E99" w:rsidP="00C90E99">
            <w:pPr>
              <w:widowControl w:val="0"/>
              <w:autoSpaceDE w:val="0"/>
              <w:autoSpaceDN w:val="0"/>
              <w:spacing w:before="7"/>
              <w:rPr>
                <w:b/>
                <w:sz w:val="22"/>
                <w:szCs w:val="22"/>
              </w:rPr>
            </w:pPr>
          </w:p>
          <w:p w:rsidR="00C90E99" w:rsidRPr="00C90E99" w:rsidRDefault="00C90E99" w:rsidP="00487FFC">
            <w:pPr>
              <w:widowControl w:val="0"/>
              <w:autoSpaceDE w:val="0"/>
              <w:autoSpaceDN w:val="0"/>
              <w:spacing w:line="228" w:lineRule="exact"/>
              <w:ind w:right="87"/>
              <w:jc w:val="center"/>
              <w:rPr>
                <w:sz w:val="22"/>
                <w:szCs w:val="22"/>
              </w:rPr>
            </w:pPr>
            <w:r w:rsidRPr="00C90E99">
              <w:rPr>
                <w:sz w:val="22"/>
                <w:szCs w:val="22"/>
              </w:rPr>
              <w:t>3,8%</w:t>
            </w:r>
          </w:p>
          <w:p w:rsidR="00C90E99" w:rsidRPr="00C90E99" w:rsidRDefault="00C90E99" w:rsidP="00B81134">
            <w:pPr>
              <w:widowControl w:val="0"/>
              <w:autoSpaceDE w:val="0"/>
              <w:autoSpaceDN w:val="0"/>
              <w:spacing w:line="228" w:lineRule="exact"/>
              <w:ind w:left="104"/>
              <w:rPr>
                <w:sz w:val="22"/>
                <w:szCs w:val="22"/>
              </w:rPr>
            </w:pPr>
            <w:r w:rsidRPr="00C90E99">
              <w:rPr>
                <w:sz w:val="22"/>
                <w:szCs w:val="22"/>
              </w:rPr>
              <w:t>(2 pacijenta)</w:t>
            </w:r>
          </w:p>
        </w:tc>
        <w:tc>
          <w:tcPr>
            <w:tcW w:w="999" w:type="dxa"/>
          </w:tcPr>
          <w:p w:rsidR="00C90E99" w:rsidRPr="00C90E99" w:rsidRDefault="00C90E99" w:rsidP="00C90E99">
            <w:pPr>
              <w:widowControl w:val="0"/>
              <w:autoSpaceDE w:val="0"/>
              <w:autoSpaceDN w:val="0"/>
              <w:spacing w:before="110"/>
              <w:ind w:left="113" w:right="87"/>
              <w:rPr>
                <w:sz w:val="22"/>
                <w:szCs w:val="22"/>
              </w:rPr>
            </w:pPr>
            <w:r w:rsidRPr="00C90E99">
              <w:rPr>
                <w:sz w:val="22"/>
                <w:szCs w:val="22"/>
              </w:rPr>
              <w:t>3,7%</w:t>
            </w:r>
          </w:p>
          <w:p w:rsidR="00B81134" w:rsidRDefault="00C90E99" w:rsidP="00B81134">
            <w:pPr>
              <w:widowControl w:val="0"/>
              <w:autoSpaceDE w:val="0"/>
              <w:autoSpaceDN w:val="0"/>
              <w:spacing w:before="4" w:line="235" w:lineRule="auto"/>
              <w:ind w:left="113" w:right="-49"/>
              <w:rPr>
                <w:spacing w:val="-13"/>
                <w:sz w:val="22"/>
                <w:szCs w:val="22"/>
              </w:rPr>
            </w:pPr>
            <w:r w:rsidRPr="00C90E99">
              <w:rPr>
                <w:sz w:val="22"/>
                <w:szCs w:val="22"/>
              </w:rPr>
              <w:t>(2</w:t>
            </w:r>
            <w:r w:rsidRPr="00C90E99">
              <w:rPr>
                <w:spacing w:val="-13"/>
                <w:sz w:val="22"/>
                <w:szCs w:val="22"/>
              </w:rPr>
              <w:t xml:space="preserve"> </w:t>
            </w:r>
          </w:p>
          <w:p w:rsidR="00C90E99" w:rsidRPr="00C90E99" w:rsidRDefault="00C90E99" w:rsidP="00B81134">
            <w:pPr>
              <w:widowControl w:val="0"/>
              <w:autoSpaceDE w:val="0"/>
              <w:autoSpaceDN w:val="0"/>
              <w:spacing w:before="4" w:line="235" w:lineRule="auto"/>
              <w:ind w:left="113" w:right="-49"/>
              <w:rPr>
                <w:sz w:val="22"/>
                <w:szCs w:val="22"/>
              </w:rPr>
            </w:pPr>
            <w:r w:rsidRPr="00C90E99">
              <w:rPr>
                <w:sz w:val="22"/>
                <w:szCs w:val="22"/>
              </w:rPr>
              <w:t>pacije</w:t>
            </w:r>
            <w:r w:rsidRPr="00C90E99">
              <w:rPr>
                <w:spacing w:val="-47"/>
                <w:sz w:val="22"/>
                <w:szCs w:val="22"/>
              </w:rPr>
              <w:t xml:space="preserve"> </w:t>
            </w:r>
            <w:r w:rsidRPr="00C90E99">
              <w:rPr>
                <w:sz w:val="22"/>
                <w:szCs w:val="22"/>
              </w:rPr>
              <w:t>nta)</w:t>
            </w:r>
          </w:p>
        </w:tc>
      </w:tr>
      <w:tr w:rsidR="00C90E99" w:rsidRPr="00C90E99" w:rsidTr="00C90E99">
        <w:trPr>
          <w:trHeight w:val="690"/>
          <w:jc w:val="center"/>
        </w:trPr>
        <w:tc>
          <w:tcPr>
            <w:tcW w:w="1944" w:type="dxa"/>
          </w:tcPr>
          <w:p w:rsidR="00C90E99" w:rsidRPr="00C90E99" w:rsidRDefault="00C90E99" w:rsidP="00C90E99">
            <w:pPr>
              <w:widowControl w:val="0"/>
              <w:autoSpaceDE w:val="0"/>
              <w:autoSpaceDN w:val="0"/>
              <w:ind w:left="100" w:right="454"/>
              <w:rPr>
                <w:sz w:val="22"/>
                <w:szCs w:val="22"/>
              </w:rPr>
            </w:pPr>
            <w:r w:rsidRPr="00C90E99">
              <w:rPr>
                <w:spacing w:val="-1"/>
                <w:sz w:val="22"/>
                <w:szCs w:val="22"/>
              </w:rPr>
              <w:t xml:space="preserve">Smanjenje </w:t>
            </w:r>
            <w:r w:rsidRPr="00C90E99">
              <w:rPr>
                <w:sz w:val="22"/>
                <w:szCs w:val="22"/>
              </w:rPr>
              <w:t xml:space="preserve">BMD </w:t>
            </w:r>
            <w:r w:rsidRPr="00C90E99">
              <w:rPr>
                <w:spacing w:val="-47"/>
                <w:sz w:val="22"/>
                <w:szCs w:val="22"/>
              </w:rPr>
              <w:t xml:space="preserve"> </w:t>
            </w:r>
            <w:r w:rsidRPr="00C90E99">
              <w:rPr>
                <w:sz w:val="22"/>
                <w:szCs w:val="22"/>
              </w:rPr>
              <w:t>c</w:t>
            </w:r>
            <w:r w:rsidR="00B81134">
              <w:rPr>
                <w:sz w:val="22"/>
                <w:szCs w:val="22"/>
              </w:rPr>
              <w:t>ij</w:t>
            </w:r>
            <w:r w:rsidRPr="00C90E99">
              <w:rPr>
                <w:sz w:val="22"/>
                <w:szCs w:val="22"/>
              </w:rPr>
              <w:t>elog</w:t>
            </w:r>
            <w:r w:rsidRPr="00C90E99">
              <w:rPr>
                <w:spacing w:val="-2"/>
                <w:sz w:val="22"/>
                <w:szCs w:val="22"/>
              </w:rPr>
              <w:t xml:space="preserve"> </w:t>
            </w:r>
            <w:r w:rsidRPr="00C90E99">
              <w:rPr>
                <w:sz w:val="22"/>
                <w:szCs w:val="22"/>
              </w:rPr>
              <w:t>t</w:t>
            </w:r>
            <w:r w:rsidR="00B81134">
              <w:rPr>
                <w:sz w:val="22"/>
                <w:szCs w:val="22"/>
              </w:rPr>
              <w:t>ij</w:t>
            </w:r>
            <w:r w:rsidRPr="00C90E99">
              <w:rPr>
                <w:sz w:val="22"/>
                <w:szCs w:val="22"/>
              </w:rPr>
              <w:t>ela</w:t>
            </w:r>
            <w:r w:rsidRPr="00C90E99">
              <w:rPr>
                <w:spacing w:val="-1"/>
                <w:sz w:val="22"/>
                <w:szCs w:val="22"/>
              </w:rPr>
              <w:t xml:space="preserve"> </w:t>
            </w:r>
            <w:r w:rsidRPr="00C90E99">
              <w:rPr>
                <w:sz w:val="22"/>
                <w:szCs w:val="22"/>
              </w:rPr>
              <w:t>od</w:t>
            </w:r>
          </w:p>
          <w:p w:rsidR="00C90E99" w:rsidRPr="00C90E99" w:rsidRDefault="00C90E99" w:rsidP="00C90E99">
            <w:pPr>
              <w:widowControl w:val="0"/>
              <w:autoSpaceDE w:val="0"/>
              <w:autoSpaceDN w:val="0"/>
              <w:spacing w:line="219" w:lineRule="exact"/>
              <w:ind w:left="100"/>
              <w:rPr>
                <w:sz w:val="22"/>
                <w:szCs w:val="22"/>
              </w:rPr>
            </w:pPr>
            <w:r w:rsidRPr="00C90E99">
              <w:rPr>
                <w:sz w:val="22"/>
                <w:szCs w:val="22"/>
              </w:rPr>
              <w:t>najmanje</w:t>
            </w:r>
            <w:r w:rsidRPr="00C90E99">
              <w:rPr>
                <w:spacing w:val="-3"/>
                <w:sz w:val="22"/>
                <w:szCs w:val="22"/>
              </w:rPr>
              <w:t xml:space="preserve"> </w:t>
            </w:r>
            <w:r w:rsidRPr="00C90E99">
              <w:rPr>
                <w:sz w:val="22"/>
                <w:szCs w:val="22"/>
              </w:rPr>
              <w:t>6%</w:t>
            </w:r>
            <w:r w:rsidRPr="00C90E99">
              <w:rPr>
                <w:sz w:val="22"/>
                <w:szCs w:val="22"/>
                <w:vertAlign w:val="superscript"/>
              </w:rPr>
              <w:t>b</w:t>
            </w:r>
          </w:p>
        </w:tc>
        <w:tc>
          <w:tcPr>
            <w:tcW w:w="1234"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484"/>
              <w:rPr>
                <w:sz w:val="22"/>
                <w:szCs w:val="22"/>
              </w:rPr>
            </w:pPr>
            <w:r w:rsidRPr="00C90E99">
              <w:rPr>
                <w:sz w:val="22"/>
                <w:szCs w:val="22"/>
              </w:rPr>
              <w:t>NP</w:t>
            </w:r>
          </w:p>
        </w:tc>
        <w:tc>
          <w:tcPr>
            <w:tcW w:w="120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469"/>
              <w:rPr>
                <w:sz w:val="22"/>
                <w:szCs w:val="22"/>
              </w:rPr>
            </w:pPr>
            <w:r w:rsidRPr="00C90E99">
              <w:rPr>
                <w:sz w:val="22"/>
                <w:szCs w:val="22"/>
              </w:rPr>
              <w:t>NP</w:t>
            </w:r>
          </w:p>
        </w:tc>
        <w:tc>
          <w:tcPr>
            <w:tcW w:w="121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B81134">
            <w:pPr>
              <w:widowControl w:val="0"/>
              <w:autoSpaceDE w:val="0"/>
              <w:autoSpaceDN w:val="0"/>
              <w:ind w:right="102"/>
              <w:jc w:val="center"/>
              <w:rPr>
                <w:sz w:val="22"/>
                <w:szCs w:val="22"/>
              </w:rPr>
            </w:pPr>
            <w:r w:rsidRPr="00C90E99">
              <w:rPr>
                <w:sz w:val="22"/>
                <w:szCs w:val="22"/>
              </w:rPr>
              <w:t>0%</w:t>
            </w:r>
          </w:p>
        </w:tc>
        <w:tc>
          <w:tcPr>
            <w:tcW w:w="1181" w:type="dxa"/>
          </w:tcPr>
          <w:p w:rsidR="00C90E99" w:rsidRPr="00C90E99" w:rsidRDefault="00C90E99" w:rsidP="00B81134">
            <w:pPr>
              <w:widowControl w:val="0"/>
              <w:autoSpaceDE w:val="0"/>
              <w:autoSpaceDN w:val="0"/>
              <w:spacing w:before="2"/>
              <w:jc w:val="center"/>
              <w:rPr>
                <w:b/>
                <w:sz w:val="22"/>
                <w:szCs w:val="22"/>
              </w:rPr>
            </w:pPr>
          </w:p>
          <w:p w:rsidR="00C90E99" w:rsidRPr="00C90E99" w:rsidRDefault="00C90E99" w:rsidP="00B81134">
            <w:pPr>
              <w:widowControl w:val="0"/>
              <w:autoSpaceDE w:val="0"/>
              <w:autoSpaceDN w:val="0"/>
              <w:ind w:right="259"/>
              <w:jc w:val="center"/>
              <w:rPr>
                <w:sz w:val="22"/>
                <w:szCs w:val="22"/>
              </w:rPr>
            </w:pPr>
            <w:r w:rsidRPr="00C90E99">
              <w:rPr>
                <w:sz w:val="22"/>
                <w:szCs w:val="22"/>
              </w:rPr>
              <w:t>0%</w:t>
            </w:r>
          </w:p>
        </w:tc>
        <w:tc>
          <w:tcPr>
            <w:tcW w:w="1258" w:type="dxa"/>
          </w:tcPr>
          <w:p w:rsidR="00C90E99" w:rsidRPr="00C90E99" w:rsidRDefault="00C90E99" w:rsidP="00B81134">
            <w:pPr>
              <w:widowControl w:val="0"/>
              <w:autoSpaceDE w:val="0"/>
              <w:autoSpaceDN w:val="0"/>
              <w:spacing w:before="2"/>
              <w:jc w:val="center"/>
              <w:rPr>
                <w:b/>
                <w:sz w:val="22"/>
                <w:szCs w:val="22"/>
              </w:rPr>
            </w:pPr>
          </w:p>
          <w:p w:rsidR="00C90E99" w:rsidRPr="00C90E99" w:rsidRDefault="00C90E99" w:rsidP="00B81134">
            <w:pPr>
              <w:widowControl w:val="0"/>
              <w:autoSpaceDE w:val="0"/>
              <w:autoSpaceDN w:val="0"/>
              <w:ind w:right="88"/>
              <w:jc w:val="center"/>
              <w:rPr>
                <w:sz w:val="22"/>
                <w:szCs w:val="22"/>
              </w:rPr>
            </w:pPr>
            <w:r w:rsidRPr="00C90E99">
              <w:rPr>
                <w:sz w:val="22"/>
                <w:szCs w:val="22"/>
              </w:rPr>
              <w:t>0%</w:t>
            </w:r>
          </w:p>
        </w:tc>
        <w:tc>
          <w:tcPr>
            <w:tcW w:w="999" w:type="dxa"/>
          </w:tcPr>
          <w:p w:rsidR="00C90E99" w:rsidRPr="00C90E99" w:rsidRDefault="00C90E99" w:rsidP="00C90E99">
            <w:pPr>
              <w:widowControl w:val="0"/>
              <w:autoSpaceDE w:val="0"/>
              <w:autoSpaceDN w:val="0"/>
              <w:spacing w:line="220" w:lineRule="exact"/>
              <w:ind w:left="113" w:right="87"/>
              <w:rPr>
                <w:sz w:val="22"/>
                <w:szCs w:val="22"/>
              </w:rPr>
            </w:pPr>
            <w:r w:rsidRPr="00C90E99">
              <w:rPr>
                <w:sz w:val="22"/>
                <w:szCs w:val="22"/>
              </w:rPr>
              <w:t>1,9%</w:t>
            </w:r>
          </w:p>
          <w:p w:rsidR="00C90E99" w:rsidRPr="00487FFC" w:rsidRDefault="00C90E99" w:rsidP="00487FFC">
            <w:pPr>
              <w:widowControl w:val="0"/>
              <w:autoSpaceDE w:val="0"/>
              <w:autoSpaceDN w:val="0"/>
              <w:spacing w:line="230" w:lineRule="atLeast"/>
              <w:ind w:right="-41"/>
              <w:rPr>
                <w:spacing w:val="-13"/>
                <w:sz w:val="22"/>
                <w:szCs w:val="22"/>
              </w:rPr>
            </w:pPr>
            <w:r w:rsidRPr="00C90E99">
              <w:rPr>
                <w:sz w:val="22"/>
                <w:szCs w:val="22"/>
              </w:rPr>
              <w:t>(1</w:t>
            </w:r>
            <w:r w:rsidRPr="00C90E99">
              <w:rPr>
                <w:spacing w:val="-13"/>
                <w:sz w:val="22"/>
                <w:szCs w:val="22"/>
              </w:rPr>
              <w:t xml:space="preserve"> </w:t>
            </w:r>
            <w:r w:rsidR="00487FFC">
              <w:rPr>
                <w:spacing w:val="-13"/>
                <w:sz w:val="22"/>
                <w:szCs w:val="22"/>
              </w:rPr>
              <w:t xml:space="preserve"> </w:t>
            </w:r>
            <w:r w:rsidRPr="00C90E99">
              <w:rPr>
                <w:sz w:val="22"/>
                <w:szCs w:val="22"/>
              </w:rPr>
              <w:t>pacije</w:t>
            </w:r>
            <w:r w:rsidRPr="00C90E99">
              <w:rPr>
                <w:spacing w:val="-47"/>
                <w:sz w:val="22"/>
                <w:szCs w:val="22"/>
              </w:rPr>
              <w:t xml:space="preserve"> </w:t>
            </w:r>
            <w:r w:rsidRPr="00C90E99">
              <w:rPr>
                <w:sz w:val="22"/>
                <w:szCs w:val="22"/>
              </w:rPr>
              <w:t>nt)</w:t>
            </w:r>
          </w:p>
        </w:tc>
      </w:tr>
      <w:tr w:rsidR="00C90E99" w:rsidRPr="00C90E99" w:rsidTr="00C90E99">
        <w:trPr>
          <w:trHeight w:val="690"/>
          <w:jc w:val="center"/>
        </w:trPr>
        <w:tc>
          <w:tcPr>
            <w:tcW w:w="1944" w:type="dxa"/>
          </w:tcPr>
          <w:p w:rsidR="00C90E99" w:rsidRPr="00C90E99" w:rsidRDefault="00C90E99" w:rsidP="00C90E99">
            <w:pPr>
              <w:widowControl w:val="0"/>
              <w:autoSpaceDE w:val="0"/>
              <w:autoSpaceDN w:val="0"/>
              <w:spacing w:line="220" w:lineRule="exact"/>
              <w:ind w:left="100"/>
              <w:rPr>
                <w:sz w:val="22"/>
                <w:szCs w:val="22"/>
              </w:rPr>
            </w:pPr>
            <w:r w:rsidRPr="00C90E99">
              <w:rPr>
                <w:sz w:val="22"/>
                <w:szCs w:val="22"/>
              </w:rPr>
              <w:t>Srednje</w:t>
            </w:r>
            <w:r w:rsidRPr="00C90E99">
              <w:rPr>
                <w:spacing w:val="-4"/>
                <w:sz w:val="22"/>
                <w:szCs w:val="22"/>
              </w:rPr>
              <w:t xml:space="preserve"> </w:t>
            </w:r>
            <w:r w:rsidRPr="00C90E99">
              <w:rPr>
                <w:sz w:val="22"/>
                <w:szCs w:val="22"/>
              </w:rPr>
              <w:t>povećanje</w:t>
            </w:r>
          </w:p>
          <w:p w:rsidR="00C90E99" w:rsidRPr="00C90E99" w:rsidRDefault="00C90E99" w:rsidP="00C90E99">
            <w:pPr>
              <w:widowControl w:val="0"/>
              <w:autoSpaceDE w:val="0"/>
              <w:autoSpaceDN w:val="0"/>
              <w:spacing w:line="230" w:lineRule="atLeast"/>
              <w:ind w:left="100" w:right="432"/>
              <w:rPr>
                <w:sz w:val="22"/>
                <w:szCs w:val="22"/>
              </w:rPr>
            </w:pPr>
            <w:r w:rsidRPr="00C90E99">
              <w:rPr>
                <w:sz w:val="22"/>
                <w:szCs w:val="22"/>
              </w:rPr>
              <w:t>BMD lumbalnog</w:t>
            </w:r>
            <w:r w:rsidRPr="00C90E99">
              <w:rPr>
                <w:spacing w:val="-47"/>
                <w:sz w:val="22"/>
                <w:szCs w:val="22"/>
              </w:rPr>
              <w:t xml:space="preserve"> </w:t>
            </w:r>
            <w:r w:rsidR="00B81134">
              <w:rPr>
                <w:spacing w:val="-47"/>
                <w:sz w:val="22"/>
                <w:szCs w:val="22"/>
              </w:rPr>
              <w:t xml:space="preserve">        </w:t>
            </w:r>
            <w:r w:rsidRPr="00C90E99">
              <w:rPr>
                <w:sz w:val="22"/>
                <w:szCs w:val="22"/>
              </w:rPr>
              <w:t>d</w:t>
            </w:r>
            <w:r w:rsidR="00B81134">
              <w:rPr>
                <w:sz w:val="22"/>
                <w:szCs w:val="22"/>
              </w:rPr>
              <w:t>ij</w:t>
            </w:r>
            <w:r w:rsidRPr="00C90E99">
              <w:rPr>
                <w:sz w:val="22"/>
                <w:szCs w:val="22"/>
              </w:rPr>
              <w:t>ela</w:t>
            </w:r>
            <w:r w:rsidRPr="00C90E99">
              <w:rPr>
                <w:spacing w:val="-1"/>
                <w:sz w:val="22"/>
                <w:szCs w:val="22"/>
              </w:rPr>
              <w:t xml:space="preserve"> </w:t>
            </w:r>
            <w:r w:rsidRPr="00C90E99">
              <w:rPr>
                <w:sz w:val="22"/>
                <w:szCs w:val="22"/>
              </w:rPr>
              <w:t>kičme</w:t>
            </w:r>
            <w:r w:rsidRPr="00C90E99">
              <w:rPr>
                <w:spacing w:val="-1"/>
                <w:sz w:val="22"/>
                <w:szCs w:val="22"/>
              </w:rPr>
              <w:t xml:space="preserve"> </w:t>
            </w:r>
            <w:r w:rsidRPr="00C90E99">
              <w:rPr>
                <w:sz w:val="22"/>
                <w:szCs w:val="22"/>
              </w:rPr>
              <w:t>u</w:t>
            </w:r>
            <w:r w:rsidRPr="00C90E99">
              <w:rPr>
                <w:spacing w:val="-1"/>
                <w:sz w:val="22"/>
                <w:szCs w:val="22"/>
              </w:rPr>
              <w:t xml:space="preserve"> </w:t>
            </w:r>
            <w:r w:rsidRPr="00C90E99">
              <w:rPr>
                <w:sz w:val="22"/>
                <w:szCs w:val="22"/>
              </w:rPr>
              <w:t>%</w:t>
            </w:r>
          </w:p>
        </w:tc>
        <w:tc>
          <w:tcPr>
            <w:tcW w:w="1234"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484"/>
              <w:rPr>
                <w:sz w:val="22"/>
                <w:szCs w:val="22"/>
              </w:rPr>
            </w:pPr>
            <w:r w:rsidRPr="00C90E99">
              <w:rPr>
                <w:sz w:val="22"/>
                <w:szCs w:val="22"/>
              </w:rPr>
              <w:t>NP</w:t>
            </w:r>
          </w:p>
        </w:tc>
        <w:tc>
          <w:tcPr>
            <w:tcW w:w="120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469"/>
              <w:rPr>
                <w:sz w:val="22"/>
                <w:szCs w:val="22"/>
              </w:rPr>
            </w:pPr>
            <w:r w:rsidRPr="00C90E99">
              <w:rPr>
                <w:sz w:val="22"/>
                <w:szCs w:val="22"/>
              </w:rPr>
              <w:t>NP</w:t>
            </w:r>
          </w:p>
        </w:tc>
        <w:tc>
          <w:tcPr>
            <w:tcW w:w="1210"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125" w:right="102"/>
              <w:rPr>
                <w:sz w:val="22"/>
                <w:szCs w:val="22"/>
              </w:rPr>
            </w:pPr>
            <w:r w:rsidRPr="00C90E99">
              <w:rPr>
                <w:sz w:val="22"/>
                <w:szCs w:val="22"/>
              </w:rPr>
              <w:t>5,14%</w:t>
            </w:r>
          </w:p>
        </w:tc>
        <w:tc>
          <w:tcPr>
            <w:tcW w:w="1181"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263" w:right="260"/>
              <w:rPr>
                <w:sz w:val="22"/>
                <w:szCs w:val="22"/>
              </w:rPr>
            </w:pPr>
            <w:r w:rsidRPr="00C90E99">
              <w:rPr>
                <w:sz w:val="22"/>
                <w:szCs w:val="22"/>
              </w:rPr>
              <w:t>8,08%</w:t>
            </w:r>
          </w:p>
        </w:tc>
        <w:tc>
          <w:tcPr>
            <w:tcW w:w="1258"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99" w:right="88"/>
              <w:rPr>
                <w:sz w:val="22"/>
                <w:szCs w:val="22"/>
              </w:rPr>
            </w:pPr>
            <w:r w:rsidRPr="00C90E99">
              <w:rPr>
                <w:sz w:val="22"/>
                <w:szCs w:val="22"/>
              </w:rPr>
              <w:t>10,05%</w:t>
            </w:r>
          </w:p>
        </w:tc>
        <w:tc>
          <w:tcPr>
            <w:tcW w:w="999" w:type="dxa"/>
          </w:tcPr>
          <w:p w:rsidR="00C90E99" w:rsidRPr="00C90E99" w:rsidRDefault="00C90E99" w:rsidP="00C90E99">
            <w:pPr>
              <w:widowControl w:val="0"/>
              <w:autoSpaceDE w:val="0"/>
              <w:autoSpaceDN w:val="0"/>
              <w:spacing w:before="2"/>
              <w:rPr>
                <w:b/>
                <w:sz w:val="22"/>
                <w:szCs w:val="22"/>
              </w:rPr>
            </w:pPr>
          </w:p>
          <w:p w:rsidR="00C90E99" w:rsidRPr="00C90E99" w:rsidRDefault="00C90E99" w:rsidP="00C90E99">
            <w:pPr>
              <w:widowControl w:val="0"/>
              <w:autoSpaceDE w:val="0"/>
              <w:autoSpaceDN w:val="0"/>
              <w:ind w:left="108"/>
              <w:rPr>
                <w:sz w:val="22"/>
                <w:szCs w:val="22"/>
              </w:rPr>
            </w:pPr>
            <w:r w:rsidRPr="00C90E99">
              <w:rPr>
                <w:sz w:val="22"/>
                <w:szCs w:val="22"/>
              </w:rPr>
              <w:t>11,21%</w:t>
            </w:r>
          </w:p>
        </w:tc>
      </w:tr>
      <w:tr w:rsidR="00C90E99" w:rsidRPr="00C90E99" w:rsidTr="00C90E99">
        <w:trPr>
          <w:trHeight w:val="460"/>
          <w:jc w:val="center"/>
        </w:trPr>
        <w:tc>
          <w:tcPr>
            <w:tcW w:w="1944" w:type="dxa"/>
          </w:tcPr>
          <w:p w:rsidR="00C90E99" w:rsidRPr="00C90E99" w:rsidRDefault="00C90E99" w:rsidP="00C90E99">
            <w:pPr>
              <w:widowControl w:val="0"/>
              <w:autoSpaceDE w:val="0"/>
              <w:autoSpaceDN w:val="0"/>
              <w:spacing w:line="220" w:lineRule="exact"/>
              <w:ind w:left="100"/>
              <w:rPr>
                <w:sz w:val="22"/>
                <w:szCs w:val="22"/>
              </w:rPr>
            </w:pPr>
            <w:r w:rsidRPr="00C90E99">
              <w:rPr>
                <w:sz w:val="22"/>
                <w:szCs w:val="22"/>
              </w:rPr>
              <w:t>Srednje</w:t>
            </w:r>
            <w:r w:rsidRPr="00C90E99">
              <w:rPr>
                <w:spacing w:val="-4"/>
                <w:sz w:val="22"/>
                <w:szCs w:val="22"/>
              </w:rPr>
              <w:t xml:space="preserve"> </w:t>
            </w:r>
            <w:r w:rsidRPr="00C90E99">
              <w:rPr>
                <w:sz w:val="22"/>
                <w:szCs w:val="22"/>
              </w:rPr>
              <w:t>povećanje</w:t>
            </w:r>
          </w:p>
          <w:p w:rsidR="00C90E99" w:rsidRPr="00C90E99" w:rsidRDefault="00C90E99" w:rsidP="00C90E99">
            <w:pPr>
              <w:widowControl w:val="0"/>
              <w:autoSpaceDE w:val="0"/>
              <w:autoSpaceDN w:val="0"/>
              <w:spacing w:line="219" w:lineRule="exact"/>
              <w:ind w:left="100"/>
              <w:rPr>
                <w:sz w:val="22"/>
                <w:szCs w:val="22"/>
              </w:rPr>
            </w:pPr>
            <w:r w:rsidRPr="00C90E99">
              <w:rPr>
                <w:sz w:val="22"/>
                <w:szCs w:val="22"/>
              </w:rPr>
              <w:t>BMD</w:t>
            </w:r>
            <w:r w:rsidRPr="00C90E99">
              <w:rPr>
                <w:spacing w:val="-1"/>
                <w:sz w:val="22"/>
                <w:szCs w:val="22"/>
              </w:rPr>
              <w:t xml:space="preserve"> </w:t>
            </w:r>
            <w:r w:rsidRPr="00C90E99">
              <w:rPr>
                <w:sz w:val="22"/>
                <w:szCs w:val="22"/>
              </w:rPr>
              <w:t>c</w:t>
            </w:r>
            <w:r w:rsidR="00B81134">
              <w:rPr>
                <w:sz w:val="22"/>
                <w:szCs w:val="22"/>
              </w:rPr>
              <w:t>ij</w:t>
            </w:r>
            <w:r w:rsidRPr="00C90E99">
              <w:rPr>
                <w:sz w:val="22"/>
                <w:szCs w:val="22"/>
              </w:rPr>
              <w:t>elog</w:t>
            </w:r>
            <w:r w:rsidRPr="00C90E99">
              <w:rPr>
                <w:spacing w:val="-1"/>
                <w:sz w:val="22"/>
                <w:szCs w:val="22"/>
              </w:rPr>
              <w:t xml:space="preserve"> </w:t>
            </w:r>
            <w:r w:rsidRPr="00C90E99">
              <w:rPr>
                <w:sz w:val="22"/>
                <w:szCs w:val="22"/>
              </w:rPr>
              <w:t>t</w:t>
            </w:r>
            <w:r w:rsidR="00B81134">
              <w:rPr>
                <w:sz w:val="22"/>
                <w:szCs w:val="22"/>
              </w:rPr>
              <w:t>ij</w:t>
            </w:r>
            <w:r w:rsidRPr="00C90E99">
              <w:rPr>
                <w:sz w:val="22"/>
                <w:szCs w:val="22"/>
              </w:rPr>
              <w:t>ela u</w:t>
            </w:r>
            <w:r w:rsidRPr="00C90E99">
              <w:rPr>
                <w:spacing w:val="-1"/>
                <w:sz w:val="22"/>
                <w:szCs w:val="22"/>
              </w:rPr>
              <w:t xml:space="preserve"> </w:t>
            </w:r>
            <w:r w:rsidRPr="00C90E99">
              <w:rPr>
                <w:sz w:val="22"/>
                <w:szCs w:val="22"/>
              </w:rPr>
              <w:t>%</w:t>
            </w:r>
          </w:p>
        </w:tc>
        <w:tc>
          <w:tcPr>
            <w:tcW w:w="1234" w:type="dxa"/>
          </w:tcPr>
          <w:p w:rsidR="00C90E99" w:rsidRPr="00C90E99" w:rsidRDefault="00C90E99" w:rsidP="00C90E99">
            <w:pPr>
              <w:widowControl w:val="0"/>
              <w:autoSpaceDE w:val="0"/>
              <w:autoSpaceDN w:val="0"/>
              <w:spacing w:before="105"/>
              <w:ind w:left="484"/>
              <w:rPr>
                <w:sz w:val="22"/>
                <w:szCs w:val="22"/>
              </w:rPr>
            </w:pPr>
            <w:r w:rsidRPr="00C90E99">
              <w:rPr>
                <w:sz w:val="22"/>
                <w:szCs w:val="22"/>
              </w:rPr>
              <w:t>NP</w:t>
            </w:r>
          </w:p>
        </w:tc>
        <w:tc>
          <w:tcPr>
            <w:tcW w:w="1200" w:type="dxa"/>
          </w:tcPr>
          <w:p w:rsidR="00C90E99" w:rsidRPr="00C90E99" w:rsidRDefault="00C90E99" w:rsidP="00C90E99">
            <w:pPr>
              <w:widowControl w:val="0"/>
              <w:autoSpaceDE w:val="0"/>
              <w:autoSpaceDN w:val="0"/>
              <w:spacing w:before="105"/>
              <w:ind w:left="469"/>
              <w:rPr>
                <w:sz w:val="22"/>
                <w:szCs w:val="22"/>
              </w:rPr>
            </w:pPr>
            <w:r w:rsidRPr="00C90E99">
              <w:rPr>
                <w:sz w:val="22"/>
                <w:szCs w:val="22"/>
              </w:rPr>
              <w:t>NP</w:t>
            </w:r>
          </w:p>
        </w:tc>
        <w:tc>
          <w:tcPr>
            <w:tcW w:w="1210" w:type="dxa"/>
          </w:tcPr>
          <w:p w:rsidR="00C90E99" w:rsidRPr="00C90E99" w:rsidRDefault="00C90E99" w:rsidP="00C90E99">
            <w:pPr>
              <w:widowControl w:val="0"/>
              <w:autoSpaceDE w:val="0"/>
              <w:autoSpaceDN w:val="0"/>
              <w:spacing w:before="105"/>
              <w:ind w:left="125" w:right="102"/>
              <w:rPr>
                <w:sz w:val="22"/>
                <w:szCs w:val="22"/>
              </w:rPr>
            </w:pPr>
            <w:r w:rsidRPr="00C90E99">
              <w:rPr>
                <w:sz w:val="22"/>
                <w:szCs w:val="22"/>
              </w:rPr>
              <w:t>3,07%</w:t>
            </w:r>
          </w:p>
        </w:tc>
        <w:tc>
          <w:tcPr>
            <w:tcW w:w="1181" w:type="dxa"/>
          </w:tcPr>
          <w:p w:rsidR="00C90E99" w:rsidRPr="00C90E99" w:rsidRDefault="00C90E99" w:rsidP="00C90E99">
            <w:pPr>
              <w:widowControl w:val="0"/>
              <w:autoSpaceDE w:val="0"/>
              <w:autoSpaceDN w:val="0"/>
              <w:spacing w:before="105"/>
              <w:ind w:left="263" w:right="260"/>
              <w:rPr>
                <w:sz w:val="22"/>
                <w:szCs w:val="22"/>
              </w:rPr>
            </w:pPr>
            <w:r w:rsidRPr="00C90E99">
              <w:rPr>
                <w:sz w:val="22"/>
                <w:szCs w:val="22"/>
              </w:rPr>
              <w:t>5,39%</w:t>
            </w:r>
          </w:p>
        </w:tc>
        <w:tc>
          <w:tcPr>
            <w:tcW w:w="1258" w:type="dxa"/>
          </w:tcPr>
          <w:p w:rsidR="00C90E99" w:rsidRPr="00C90E99" w:rsidRDefault="00C90E99" w:rsidP="00C90E99">
            <w:pPr>
              <w:widowControl w:val="0"/>
              <w:autoSpaceDE w:val="0"/>
              <w:autoSpaceDN w:val="0"/>
              <w:spacing w:before="105"/>
              <w:ind w:left="7" w:right="88"/>
              <w:rPr>
                <w:sz w:val="22"/>
                <w:szCs w:val="22"/>
              </w:rPr>
            </w:pPr>
            <w:r w:rsidRPr="00C90E99">
              <w:rPr>
                <w:sz w:val="22"/>
                <w:szCs w:val="22"/>
              </w:rPr>
              <w:t>6,09%</w:t>
            </w:r>
          </w:p>
        </w:tc>
        <w:tc>
          <w:tcPr>
            <w:tcW w:w="999" w:type="dxa"/>
          </w:tcPr>
          <w:p w:rsidR="00C90E99" w:rsidRPr="00C90E99" w:rsidRDefault="00C90E99" w:rsidP="00487FFC">
            <w:pPr>
              <w:widowControl w:val="0"/>
              <w:autoSpaceDE w:val="0"/>
              <w:autoSpaceDN w:val="0"/>
              <w:spacing w:before="105"/>
              <w:jc w:val="center"/>
              <w:rPr>
                <w:sz w:val="22"/>
                <w:szCs w:val="22"/>
              </w:rPr>
            </w:pPr>
            <w:r w:rsidRPr="00C90E99">
              <w:rPr>
                <w:sz w:val="22"/>
                <w:szCs w:val="22"/>
              </w:rPr>
              <w:t>7,22%</w:t>
            </w:r>
          </w:p>
        </w:tc>
      </w:tr>
    </w:tbl>
    <w:p w:rsidR="00B81134" w:rsidRPr="00B81134" w:rsidRDefault="00B81134" w:rsidP="00B81134">
      <w:pPr>
        <w:tabs>
          <w:tab w:val="left" w:pos="540"/>
          <w:tab w:val="left" w:pos="569"/>
        </w:tabs>
        <w:jc w:val="both"/>
        <w:rPr>
          <w:bCs/>
          <w:sz w:val="20"/>
          <w:szCs w:val="20"/>
        </w:rPr>
      </w:pPr>
      <w:r>
        <w:rPr>
          <w:bCs/>
          <w:sz w:val="20"/>
          <w:szCs w:val="20"/>
        </w:rPr>
        <w:tab/>
      </w:r>
      <w:r w:rsidRPr="00B81134">
        <w:rPr>
          <w:bCs/>
          <w:sz w:val="20"/>
          <w:szCs w:val="20"/>
        </w:rPr>
        <w:t>NP = nije prim</w:t>
      </w:r>
      <w:r>
        <w:rPr>
          <w:bCs/>
          <w:sz w:val="20"/>
          <w:szCs w:val="20"/>
        </w:rPr>
        <w:t>j</w:t>
      </w:r>
      <w:r w:rsidRPr="00B81134">
        <w:rPr>
          <w:bCs/>
          <w:sz w:val="20"/>
          <w:szCs w:val="20"/>
        </w:rPr>
        <w:t>enljivo</w:t>
      </w:r>
    </w:p>
    <w:p w:rsidR="00B81134" w:rsidRPr="00B81134" w:rsidRDefault="00B81134" w:rsidP="00B81134">
      <w:pPr>
        <w:tabs>
          <w:tab w:val="left" w:pos="540"/>
          <w:tab w:val="left" w:pos="569"/>
        </w:tabs>
        <w:jc w:val="both"/>
        <w:rPr>
          <w:bCs/>
          <w:sz w:val="20"/>
          <w:szCs w:val="20"/>
        </w:rPr>
      </w:pPr>
      <w:r>
        <w:rPr>
          <w:bCs/>
          <w:sz w:val="20"/>
          <w:szCs w:val="20"/>
          <w:vertAlign w:val="superscript"/>
        </w:rPr>
        <w:tab/>
      </w:r>
      <w:r w:rsidRPr="00B81134">
        <w:rPr>
          <w:bCs/>
          <w:sz w:val="20"/>
          <w:szCs w:val="20"/>
          <w:vertAlign w:val="superscript"/>
        </w:rPr>
        <w:t>a</w:t>
      </w:r>
      <w:r w:rsidRPr="00B81134">
        <w:rPr>
          <w:bCs/>
          <w:sz w:val="20"/>
          <w:szCs w:val="20"/>
        </w:rPr>
        <w:t xml:space="preserve"> BMD Z-skorovi ni</w:t>
      </w:r>
      <w:r w:rsidR="00A81E6F">
        <w:rPr>
          <w:bCs/>
          <w:sz w:val="20"/>
          <w:szCs w:val="20"/>
        </w:rPr>
        <w:t>je</w:t>
      </w:r>
      <w:r w:rsidRPr="00B81134">
        <w:rPr>
          <w:bCs/>
          <w:sz w:val="20"/>
          <w:szCs w:val="20"/>
        </w:rPr>
        <w:t>su prilagođeni za t</w:t>
      </w:r>
      <w:r>
        <w:rPr>
          <w:bCs/>
          <w:sz w:val="20"/>
          <w:szCs w:val="20"/>
        </w:rPr>
        <w:t>j</w:t>
      </w:r>
      <w:r w:rsidRPr="00B81134">
        <w:rPr>
          <w:bCs/>
          <w:sz w:val="20"/>
          <w:szCs w:val="20"/>
        </w:rPr>
        <w:t>elesnu masu i visinu</w:t>
      </w:r>
    </w:p>
    <w:p w:rsidR="00B81134" w:rsidRPr="00B81134" w:rsidRDefault="00B81134" w:rsidP="00B81134">
      <w:pPr>
        <w:tabs>
          <w:tab w:val="left" w:pos="540"/>
          <w:tab w:val="left" w:pos="569"/>
        </w:tabs>
        <w:jc w:val="both"/>
        <w:rPr>
          <w:bCs/>
          <w:sz w:val="20"/>
          <w:szCs w:val="20"/>
        </w:rPr>
      </w:pPr>
      <w:r>
        <w:rPr>
          <w:bCs/>
          <w:sz w:val="20"/>
          <w:szCs w:val="20"/>
          <w:vertAlign w:val="superscript"/>
        </w:rPr>
        <w:tab/>
      </w:r>
      <w:r w:rsidRPr="00B81134">
        <w:rPr>
          <w:bCs/>
          <w:sz w:val="20"/>
          <w:szCs w:val="20"/>
          <w:vertAlign w:val="superscript"/>
        </w:rPr>
        <w:t>b</w:t>
      </w:r>
      <w:r w:rsidRPr="00B81134">
        <w:rPr>
          <w:bCs/>
          <w:sz w:val="20"/>
          <w:szCs w:val="20"/>
        </w:rPr>
        <w:t xml:space="preserve"> Primarni parametar praćenja bezb</w:t>
      </w:r>
      <w:r>
        <w:rPr>
          <w:bCs/>
          <w:sz w:val="20"/>
          <w:szCs w:val="20"/>
        </w:rPr>
        <w:t>j</w:t>
      </w:r>
      <w:r w:rsidRPr="00B81134">
        <w:rPr>
          <w:bCs/>
          <w:sz w:val="20"/>
          <w:szCs w:val="20"/>
        </w:rPr>
        <w:t>ednosti do 72. ned</w:t>
      </w:r>
      <w:r>
        <w:rPr>
          <w:bCs/>
          <w:sz w:val="20"/>
          <w:szCs w:val="20"/>
        </w:rPr>
        <w:t>j</w:t>
      </w:r>
      <w:r w:rsidRPr="00B81134">
        <w:rPr>
          <w:bCs/>
          <w:sz w:val="20"/>
          <w:szCs w:val="20"/>
        </w:rPr>
        <w:t>elje</w:t>
      </w:r>
    </w:p>
    <w:p w:rsidR="00C90E99" w:rsidRPr="00750368" w:rsidRDefault="00C90E99" w:rsidP="00750368">
      <w:pPr>
        <w:tabs>
          <w:tab w:val="left" w:pos="540"/>
          <w:tab w:val="left" w:pos="569"/>
        </w:tabs>
        <w:jc w:val="both"/>
        <w:rPr>
          <w:bCs/>
          <w:sz w:val="22"/>
          <w:szCs w:val="22"/>
        </w:rPr>
      </w:pPr>
    </w:p>
    <w:p w:rsidR="00F33B79" w:rsidRPr="00F33B79" w:rsidRDefault="00F33B79" w:rsidP="00F33B79">
      <w:pPr>
        <w:tabs>
          <w:tab w:val="left" w:pos="540"/>
          <w:tab w:val="left" w:pos="569"/>
        </w:tabs>
        <w:jc w:val="both"/>
        <w:rPr>
          <w:bCs/>
          <w:sz w:val="22"/>
          <w:szCs w:val="22"/>
        </w:rPr>
      </w:pPr>
      <w:r w:rsidRPr="00F33B79">
        <w:rPr>
          <w:bCs/>
          <w:sz w:val="22"/>
          <w:szCs w:val="22"/>
        </w:rPr>
        <w:t>U studiji GS-US-174-0144, 89 HBeAg negativnih i HBeAg pozitivnih pacijenata uzrasta 2 do &lt; 12 godina, sa hroničnim hepatitisom B primali su tenofovir</w:t>
      </w:r>
      <w:r>
        <w:rPr>
          <w:bCs/>
          <w:sz w:val="22"/>
          <w:szCs w:val="22"/>
        </w:rPr>
        <w:t xml:space="preserve"> </w:t>
      </w:r>
      <w:r w:rsidRPr="00F33B79">
        <w:rPr>
          <w:bCs/>
          <w:sz w:val="22"/>
          <w:szCs w:val="22"/>
        </w:rPr>
        <w:t>dizoproksil u dozi od 6,5 mg/kg do maksimalne doze od 245 mg (n = 60) ili placebo (n = 29) jednom dnevno tokom 48 ned</w:t>
      </w:r>
      <w:r>
        <w:rPr>
          <w:bCs/>
          <w:sz w:val="22"/>
          <w:szCs w:val="22"/>
        </w:rPr>
        <w:t>j</w:t>
      </w:r>
      <w:r w:rsidRPr="00F33B79">
        <w:rPr>
          <w:bCs/>
          <w:sz w:val="22"/>
          <w:szCs w:val="22"/>
        </w:rPr>
        <w:t>elja. Ispitanici ni</w:t>
      </w:r>
      <w:r w:rsidR="00A81E6F">
        <w:rPr>
          <w:bCs/>
          <w:sz w:val="22"/>
          <w:szCs w:val="22"/>
        </w:rPr>
        <w:t>je</w:t>
      </w:r>
      <w:r w:rsidRPr="00F33B79">
        <w:rPr>
          <w:bCs/>
          <w:sz w:val="22"/>
          <w:szCs w:val="22"/>
        </w:rPr>
        <w:t>su sm</w:t>
      </w:r>
      <w:r>
        <w:rPr>
          <w:bCs/>
          <w:sz w:val="22"/>
          <w:szCs w:val="22"/>
        </w:rPr>
        <w:t>j</w:t>
      </w:r>
      <w:r w:rsidRPr="00F33B79">
        <w:rPr>
          <w:bCs/>
          <w:sz w:val="22"/>
          <w:szCs w:val="22"/>
        </w:rPr>
        <w:t>eli da budu prethodno l</w:t>
      </w:r>
      <w:r>
        <w:rPr>
          <w:bCs/>
          <w:sz w:val="22"/>
          <w:szCs w:val="22"/>
        </w:rPr>
        <w:t>ij</w:t>
      </w:r>
      <w:r w:rsidRPr="00F33B79">
        <w:rPr>
          <w:bCs/>
          <w:sz w:val="22"/>
          <w:szCs w:val="22"/>
        </w:rPr>
        <w:t>ečeni tenofovir</w:t>
      </w:r>
      <w:r>
        <w:rPr>
          <w:bCs/>
          <w:sz w:val="22"/>
          <w:szCs w:val="22"/>
        </w:rPr>
        <w:t xml:space="preserve"> </w:t>
      </w:r>
      <w:r w:rsidRPr="00F33B79">
        <w:rPr>
          <w:bCs/>
          <w:sz w:val="22"/>
          <w:szCs w:val="22"/>
        </w:rPr>
        <w:t>dizoproksilom, a na skriningu su morali da imaju vr</w:t>
      </w:r>
      <w:r>
        <w:rPr>
          <w:bCs/>
          <w:sz w:val="22"/>
          <w:szCs w:val="22"/>
        </w:rPr>
        <w:t>ij</w:t>
      </w:r>
      <w:r w:rsidRPr="00F33B79">
        <w:rPr>
          <w:bCs/>
          <w:sz w:val="22"/>
          <w:szCs w:val="22"/>
        </w:rPr>
        <w:t>ednosti HBV DNK &gt; 10</w:t>
      </w:r>
      <w:r w:rsidRPr="00F33B79">
        <w:rPr>
          <w:bCs/>
          <w:sz w:val="22"/>
          <w:szCs w:val="22"/>
          <w:vertAlign w:val="superscript"/>
        </w:rPr>
        <w:t>5</w:t>
      </w:r>
      <w:r w:rsidRPr="00F33B79">
        <w:rPr>
          <w:bCs/>
          <w:sz w:val="22"/>
          <w:szCs w:val="22"/>
        </w:rPr>
        <w:t xml:space="preserve"> </w:t>
      </w:r>
      <w:r>
        <w:rPr>
          <w:bCs/>
          <w:sz w:val="22"/>
          <w:szCs w:val="22"/>
        </w:rPr>
        <w:t>kopija/ml</w:t>
      </w:r>
      <w:r w:rsidRPr="00F33B79">
        <w:rPr>
          <w:bCs/>
          <w:sz w:val="22"/>
          <w:szCs w:val="22"/>
        </w:rPr>
        <w:t xml:space="preserve"> (~ 4,2 log</w:t>
      </w:r>
      <w:r w:rsidRPr="00F33B79">
        <w:rPr>
          <w:bCs/>
          <w:sz w:val="22"/>
          <w:szCs w:val="22"/>
          <w:vertAlign w:val="subscript"/>
        </w:rPr>
        <w:t>10</w:t>
      </w:r>
      <w:r>
        <w:rPr>
          <w:bCs/>
          <w:sz w:val="22"/>
          <w:szCs w:val="22"/>
        </w:rPr>
        <w:t xml:space="preserve"> i.j./ml</w:t>
      </w:r>
      <w:r w:rsidRPr="00F33B79">
        <w:rPr>
          <w:bCs/>
          <w:sz w:val="22"/>
          <w:szCs w:val="22"/>
        </w:rPr>
        <w:t>) i ALT u serumu &gt; 1,5 × gornja granica referentnih vr</w:t>
      </w:r>
      <w:r>
        <w:rPr>
          <w:bCs/>
          <w:sz w:val="22"/>
          <w:szCs w:val="22"/>
        </w:rPr>
        <w:t>ij</w:t>
      </w:r>
      <w:r w:rsidRPr="00F33B79">
        <w:rPr>
          <w:bCs/>
          <w:sz w:val="22"/>
          <w:szCs w:val="22"/>
        </w:rPr>
        <w:t>ednosti (ULN). U 48. ned</w:t>
      </w:r>
      <w:r>
        <w:rPr>
          <w:bCs/>
          <w:sz w:val="22"/>
          <w:szCs w:val="22"/>
        </w:rPr>
        <w:t>j</w:t>
      </w:r>
      <w:r w:rsidRPr="00F33B79">
        <w:rPr>
          <w:bCs/>
          <w:sz w:val="22"/>
          <w:szCs w:val="22"/>
        </w:rPr>
        <w:t>elji, 77% (46 od 60) pacijenata u grupi koja je primala tenofovir</w:t>
      </w:r>
      <w:r>
        <w:rPr>
          <w:bCs/>
          <w:sz w:val="22"/>
          <w:szCs w:val="22"/>
        </w:rPr>
        <w:t xml:space="preserve"> </w:t>
      </w:r>
      <w:r w:rsidRPr="00F33B79">
        <w:rPr>
          <w:bCs/>
          <w:sz w:val="22"/>
          <w:szCs w:val="22"/>
        </w:rPr>
        <w:t>dizoproksil i 7% (2 od 29) pacijenata u placebo grupi imalo je vr</w:t>
      </w:r>
      <w:r>
        <w:rPr>
          <w:bCs/>
          <w:sz w:val="22"/>
          <w:szCs w:val="22"/>
        </w:rPr>
        <w:t>ij</w:t>
      </w:r>
      <w:r w:rsidRPr="00F33B79">
        <w:rPr>
          <w:bCs/>
          <w:sz w:val="22"/>
          <w:szCs w:val="22"/>
        </w:rPr>
        <w:t>ednost HBV</w:t>
      </w:r>
      <w:r>
        <w:rPr>
          <w:bCs/>
          <w:sz w:val="22"/>
          <w:szCs w:val="22"/>
        </w:rPr>
        <w:t xml:space="preserve"> DNK &lt; 400 kopija/ml (69 i.j./ml</w:t>
      </w:r>
      <w:r w:rsidRPr="00F33B79">
        <w:rPr>
          <w:bCs/>
          <w:sz w:val="22"/>
          <w:szCs w:val="22"/>
        </w:rPr>
        <w:t>). Šezd</w:t>
      </w:r>
      <w:r w:rsidR="004C471A">
        <w:rPr>
          <w:bCs/>
          <w:sz w:val="22"/>
          <w:szCs w:val="22"/>
        </w:rPr>
        <w:t xml:space="preserve">eset šest procenata (38 od 58) </w:t>
      </w:r>
      <w:r w:rsidRPr="00F33B79">
        <w:rPr>
          <w:bCs/>
          <w:sz w:val="22"/>
          <w:szCs w:val="22"/>
        </w:rPr>
        <w:t>pacijenata u grupi koja je primala tenofovir</w:t>
      </w:r>
      <w:r>
        <w:rPr>
          <w:bCs/>
          <w:sz w:val="22"/>
          <w:szCs w:val="22"/>
        </w:rPr>
        <w:t xml:space="preserve"> </w:t>
      </w:r>
      <w:r w:rsidRPr="00F33B79">
        <w:rPr>
          <w:bCs/>
          <w:sz w:val="22"/>
          <w:szCs w:val="22"/>
        </w:rPr>
        <w:t>dizoproksil imala je normalizovanu vr</w:t>
      </w:r>
      <w:r>
        <w:rPr>
          <w:bCs/>
          <w:sz w:val="22"/>
          <w:szCs w:val="22"/>
        </w:rPr>
        <w:t>ij</w:t>
      </w:r>
      <w:r w:rsidRPr="00F33B79">
        <w:rPr>
          <w:bCs/>
          <w:sz w:val="22"/>
          <w:szCs w:val="22"/>
        </w:rPr>
        <w:t>ednost ALT u 48. ned</w:t>
      </w:r>
      <w:r>
        <w:rPr>
          <w:bCs/>
          <w:sz w:val="22"/>
          <w:szCs w:val="22"/>
        </w:rPr>
        <w:t>j</w:t>
      </w:r>
      <w:r w:rsidRPr="00F33B79">
        <w:rPr>
          <w:bCs/>
          <w:sz w:val="22"/>
          <w:szCs w:val="22"/>
        </w:rPr>
        <w:t>elji, u  poređenju sa 15% (4 od 27) pacijenata u placebo grupi. Dvadeset pet procenata (14 od 56) pacijenata u grupi koja je primala tenofovir</w:t>
      </w:r>
      <w:r>
        <w:rPr>
          <w:bCs/>
          <w:sz w:val="22"/>
          <w:szCs w:val="22"/>
        </w:rPr>
        <w:t xml:space="preserve"> </w:t>
      </w:r>
      <w:r w:rsidRPr="00F33B79">
        <w:rPr>
          <w:bCs/>
          <w:sz w:val="22"/>
          <w:szCs w:val="22"/>
        </w:rPr>
        <w:t>dizoproksil i 24% (7 od 29) pacijenata u placebo grupi postiglo je HBeAg serokonverziju u 48. ned</w:t>
      </w:r>
      <w:r>
        <w:rPr>
          <w:bCs/>
          <w:sz w:val="22"/>
          <w:szCs w:val="22"/>
        </w:rPr>
        <w:t>j</w:t>
      </w:r>
      <w:r w:rsidRPr="00F33B79">
        <w:rPr>
          <w:bCs/>
          <w:sz w:val="22"/>
          <w:szCs w:val="22"/>
        </w:rPr>
        <w:t>elji.</w:t>
      </w:r>
    </w:p>
    <w:p w:rsidR="00F33B79" w:rsidRPr="00F33B79" w:rsidRDefault="00F33B79" w:rsidP="00F33B79">
      <w:pPr>
        <w:tabs>
          <w:tab w:val="left" w:pos="540"/>
          <w:tab w:val="left" w:pos="569"/>
        </w:tabs>
        <w:jc w:val="both"/>
        <w:rPr>
          <w:bCs/>
          <w:sz w:val="22"/>
          <w:szCs w:val="22"/>
        </w:rPr>
      </w:pPr>
    </w:p>
    <w:p w:rsidR="00F33B79" w:rsidRPr="00F33B79" w:rsidRDefault="00F33B79" w:rsidP="00F33B79">
      <w:pPr>
        <w:tabs>
          <w:tab w:val="left" w:pos="540"/>
          <w:tab w:val="left" w:pos="569"/>
        </w:tabs>
        <w:jc w:val="both"/>
        <w:rPr>
          <w:bCs/>
          <w:sz w:val="22"/>
          <w:szCs w:val="22"/>
        </w:rPr>
      </w:pPr>
      <w:r w:rsidRPr="00F33B79">
        <w:rPr>
          <w:bCs/>
          <w:sz w:val="22"/>
          <w:szCs w:val="22"/>
        </w:rPr>
        <w:t>Odgovor na terapiju tenofovir</w:t>
      </w:r>
      <w:r>
        <w:rPr>
          <w:bCs/>
          <w:sz w:val="22"/>
          <w:szCs w:val="22"/>
        </w:rPr>
        <w:t xml:space="preserve"> </w:t>
      </w:r>
      <w:r w:rsidRPr="00F33B79">
        <w:rPr>
          <w:bCs/>
          <w:sz w:val="22"/>
          <w:szCs w:val="22"/>
        </w:rPr>
        <w:t>dizoproksilom bio je uporediv kod prethodno nel</w:t>
      </w:r>
      <w:r>
        <w:rPr>
          <w:bCs/>
          <w:sz w:val="22"/>
          <w:szCs w:val="22"/>
        </w:rPr>
        <w:t>ij</w:t>
      </w:r>
      <w:r w:rsidRPr="00F33B79">
        <w:rPr>
          <w:bCs/>
          <w:sz w:val="22"/>
          <w:szCs w:val="22"/>
        </w:rPr>
        <w:t>ečenih i prethodno l</w:t>
      </w:r>
      <w:r>
        <w:rPr>
          <w:bCs/>
          <w:sz w:val="22"/>
          <w:szCs w:val="22"/>
        </w:rPr>
        <w:t>ij</w:t>
      </w:r>
      <w:r w:rsidRPr="00F33B79">
        <w:rPr>
          <w:bCs/>
          <w:sz w:val="22"/>
          <w:szCs w:val="22"/>
        </w:rPr>
        <w:t>ečenih ovim l</w:t>
      </w:r>
      <w:r>
        <w:rPr>
          <w:bCs/>
          <w:sz w:val="22"/>
          <w:szCs w:val="22"/>
        </w:rPr>
        <w:t>ij</w:t>
      </w:r>
      <w:r w:rsidRPr="00F33B79">
        <w:rPr>
          <w:bCs/>
          <w:sz w:val="22"/>
          <w:szCs w:val="22"/>
        </w:rPr>
        <w:t>ekom, sa 76% (38/50) prethodno nel</w:t>
      </w:r>
      <w:r>
        <w:rPr>
          <w:bCs/>
          <w:sz w:val="22"/>
          <w:szCs w:val="22"/>
        </w:rPr>
        <w:t>ij</w:t>
      </w:r>
      <w:r w:rsidRPr="00F33B79">
        <w:rPr>
          <w:bCs/>
          <w:sz w:val="22"/>
          <w:szCs w:val="22"/>
        </w:rPr>
        <w:t>ečenih i 80% (8/10) prethodno l</w:t>
      </w:r>
      <w:r>
        <w:rPr>
          <w:bCs/>
          <w:sz w:val="22"/>
          <w:szCs w:val="22"/>
        </w:rPr>
        <w:t>ij</w:t>
      </w:r>
      <w:r w:rsidRPr="00F33B79">
        <w:rPr>
          <w:bCs/>
          <w:sz w:val="22"/>
          <w:szCs w:val="22"/>
        </w:rPr>
        <w:t>ečenih ispitanika koji su postigli vr</w:t>
      </w:r>
      <w:r>
        <w:rPr>
          <w:bCs/>
          <w:sz w:val="22"/>
          <w:szCs w:val="22"/>
        </w:rPr>
        <w:t>ij</w:t>
      </w:r>
      <w:r w:rsidRPr="00F33B79">
        <w:rPr>
          <w:bCs/>
          <w:sz w:val="22"/>
          <w:szCs w:val="22"/>
        </w:rPr>
        <w:t>ednost HBV</w:t>
      </w:r>
      <w:r>
        <w:rPr>
          <w:bCs/>
          <w:sz w:val="22"/>
          <w:szCs w:val="22"/>
        </w:rPr>
        <w:t xml:space="preserve"> DNK &lt; 400 kopija/ml (69 i.j./ml</w:t>
      </w:r>
      <w:r w:rsidRPr="00F33B79">
        <w:rPr>
          <w:bCs/>
          <w:sz w:val="22"/>
          <w:szCs w:val="22"/>
        </w:rPr>
        <w:t>) u 48. ned</w:t>
      </w:r>
      <w:r>
        <w:rPr>
          <w:bCs/>
          <w:sz w:val="22"/>
          <w:szCs w:val="22"/>
        </w:rPr>
        <w:t>j</w:t>
      </w:r>
      <w:r w:rsidRPr="00F33B79">
        <w:rPr>
          <w:bCs/>
          <w:sz w:val="22"/>
          <w:szCs w:val="22"/>
        </w:rPr>
        <w:t xml:space="preserve">elji. </w:t>
      </w:r>
    </w:p>
    <w:p w:rsidR="00F33B79" w:rsidRPr="00F33B79" w:rsidRDefault="00F33B79" w:rsidP="00F33B79">
      <w:pPr>
        <w:tabs>
          <w:tab w:val="left" w:pos="540"/>
          <w:tab w:val="left" w:pos="569"/>
        </w:tabs>
        <w:jc w:val="both"/>
        <w:rPr>
          <w:b/>
          <w:bCs/>
          <w:sz w:val="22"/>
          <w:szCs w:val="22"/>
        </w:rPr>
      </w:pPr>
    </w:p>
    <w:p w:rsidR="00F33B79" w:rsidRDefault="00F33B79" w:rsidP="00F33B79">
      <w:pPr>
        <w:tabs>
          <w:tab w:val="left" w:pos="540"/>
          <w:tab w:val="left" w:pos="569"/>
        </w:tabs>
        <w:jc w:val="both"/>
        <w:rPr>
          <w:bCs/>
          <w:sz w:val="22"/>
          <w:szCs w:val="22"/>
        </w:rPr>
      </w:pPr>
      <w:r w:rsidRPr="00F33B79">
        <w:rPr>
          <w:bCs/>
          <w:sz w:val="22"/>
          <w:szCs w:val="22"/>
        </w:rPr>
        <w:t>Odgovor na terapiju tenofovir</w:t>
      </w:r>
      <w:r>
        <w:rPr>
          <w:bCs/>
          <w:sz w:val="22"/>
          <w:szCs w:val="22"/>
        </w:rPr>
        <w:t xml:space="preserve"> </w:t>
      </w:r>
      <w:r w:rsidRPr="00F33B79">
        <w:rPr>
          <w:bCs/>
          <w:sz w:val="22"/>
          <w:szCs w:val="22"/>
        </w:rPr>
        <w:t>dizoproksilom takođe je bio sličan kod ispitanika koji su bili HBeAg negativni u poređenju sa onima koji su bili HBeAg pozitivni na početku sa 77% (43/56) HBeAg pozitivnih i 75,0% (3/4) HBeAg negativnih ispitanika koji su postigli vr</w:t>
      </w:r>
      <w:r>
        <w:rPr>
          <w:bCs/>
          <w:sz w:val="22"/>
          <w:szCs w:val="22"/>
        </w:rPr>
        <w:t>ij</w:t>
      </w:r>
      <w:r w:rsidRPr="00F33B79">
        <w:rPr>
          <w:bCs/>
          <w:sz w:val="22"/>
          <w:szCs w:val="22"/>
        </w:rPr>
        <w:t>ednost HBV DNK &lt; 400 kopija/m</w:t>
      </w:r>
      <w:r w:rsidR="00A81E6F">
        <w:rPr>
          <w:bCs/>
          <w:sz w:val="22"/>
          <w:szCs w:val="22"/>
        </w:rPr>
        <w:t>l</w:t>
      </w:r>
      <w:r w:rsidRPr="00F33B79">
        <w:rPr>
          <w:bCs/>
          <w:sz w:val="22"/>
          <w:szCs w:val="22"/>
        </w:rPr>
        <w:t xml:space="preserve"> (</w:t>
      </w:r>
      <w:r>
        <w:rPr>
          <w:bCs/>
          <w:sz w:val="22"/>
          <w:szCs w:val="22"/>
        </w:rPr>
        <w:t>69 i.j./ml</w:t>
      </w:r>
      <w:r w:rsidRPr="00F33B79">
        <w:rPr>
          <w:bCs/>
          <w:sz w:val="22"/>
          <w:szCs w:val="22"/>
        </w:rPr>
        <w:t>) u 48. ned</w:t>
      </w:r>
      <w:r>
        <w:rPr>
          <w:bCs/>
          <w:sz w:val="22"/>
          <w:szCs w:val="22"/>
        </w:rPr>
        <w:t>j</w:t>
      </w:r>
      <w:r w:rsidRPr="00F33B79">
        <w:rPr>
          <w:bCs/>
          <w:sz w:val="22"/>
          <w:szCs w:val="22"/>
        </w:rPr>
        <w:t>elji. Distribucija HBV genotipova na početku ispitivanja bila je slična u tenofovir</w:t>
      </w:r>
      <w:r>
        <w:rPr>
          <w:bCs/>
          <w:sz w:val="22"/>
          <w:szCs w:val="22"/>
        </w:rPr>
        <w:t xml:space="preserve"> </w:t>
      </w:r>
      <w:r w:rsidRPr="00F33B79">
        <w:rPr>
          <w:bCs/>
          <w:sz w:val="22"/>
          <w:szCs w:val="22"/>
        </w:rPr>
        <w:t>dizoproksil grupi i placebo grupi. Većina ispitanika imala je genotip C (43,8%) ili D (41,6%) uz manju i sličnu učestalost genotipova A i B (6,7% svaki). Samo 1 ispitanik randomizovan u grupu koja prima tenofovir</w:t>
      </w:r>
      <w:r>
        <w:rPr>
          <w:bCs/>
          <w:sz w:val="22"/>
          <w:szCs w:val="22"/>
        </w:rPr>
        <w:t xml:space="preserve"> </w:t>
      </w:r>
      <w:r w:rsidRPr="00F33B79">
        <w:rPr>
          <w:bCs/>
          <w:sz w:val="22"/>
          <w:szCs w:val="22"/>
        </w:rPr>
        <w:t>dizoproksil je imao genotip E na početku. Generalno, odgovori na terapiju tenofovir</w:t>
      </w:r>
      <w:r>
        <w:rPr>
          <w:bCs/>
          <w:sz w:val="22"/>
          <w:szCs w:val="22"/>
        </w:rPr>
        <w:t xml:space="preserve"> </w:t>
      </w:r>
      <w:r w:rsidRPr="00F33B79">
        <w:rPr>
          <w:bCs/>
          <w:sz w:val="22"/>
          <w:szCs w:val="22"/>
        </w:rPr>
        <w:t>dizoproksilom bili su slični za genotipove A, B, C i E (75-100% ispitanika je postiglo vr</w:t>
      </w:r>
      <w:r>
        <w:rPr>
          <w:bCs/>
          <w:sz w:val="22"/>
          <w:szCs w:val="22"/>
        </w:rPr>
        <w:t>ij</w:t>
      </w:r>
      <w:r w:rsidRPr="00F33B79">
        <w:rPr>
          <w:bCs/>
          <w:sz w:val="22"/>
          <w:szCs w:val="22"/>
        </w:rPr>
        <w:t>ednost HBV DNK &lt; 400 kop</w:t>
      </w:r>
      <w:r>
        <w:rPr>
          <w:bCs/>
          <w:sz w:val="22"/>
          <w:szCs w:val="22"/>
        </w:rPr>
        <w:t>ija/ml (69 i.j./ml</w:t>
      </w:r>
      <w:r w:rsidRPr="00F33B79">
        <w:rPr>
          <w:bCs/>
          <w:sz w:val="22"/>
          <w:szCs w:val="22"/>
        </w:rPr>
        <w:t>) u 48. ned</w:t>
      </w:r>
      <w:r>
        <w:rPr>
          <w:bCs/>
          <w:sz w:val="22"/>
          <w:szCs w:val="22"/>
        </w:rPr>
        <w:t>j</w:t>
      </w:r>
      <w:r w:rsidRPr="00F33B79">
        <w:rPr>
          <w:bCs/>
          <w:sz w:val="22"/>
          <w:szCs w:val="22"/>
        </w:rPr>
        <w:t>elji) sa manjom stopom odgovora kod ispitanika sa infekcijom genotipa D (55%).</w:t>
      </w:r>
    </w:p>
    <w:p w:rsidR="00874922" w:rsidRDefault="00874922" w:rsidP="00F33B79">
      <w:pPr>
        <w:tabs>
          <w:tab w:val="left" w:pos="540"/>
          <w:tab w:val="left" w:pos="569"/>
        </w:tabs>
        <w:jc w:val="both"/>
        <w:rPr>
          <w:bCs/>
          <w:sz w:val="22"/>
          <w:szCs w:val="22"/>
        </w:rPr>
      </w:pPr>
    </w:p>
    <w:p w:rsidR="00874922" w:rsidRDefault="00874922" w:rsidP="00874922">
      <w:pPr>
        <w:tabs>
          <w:tab w:val="left" w:pos="540"/>
          <w:tab w:val="left" w:pos="569"/>
        </w:tabs>
        <w:jc w:val="both"/>
        <w:rPr>
          <w:bCs/>
          <w:sz w:val="22"/>
          <w:szCs w:val="22"/>
        </w:rPr>
      </w:pPr>
      <w:r w:rsidRPr="00874922">
        <w:rPr>
          <w:bCs/>
          <w:sz w:val="22"/>
          <w:szCs w:val="22"/>
        </w:rPr>
        <w:t xml:space="preserve">Podaci o mineralnoj gustini kostiju (BMD) iz studije GS-US-174-0144 rezimirani su u Tabeli </w:t>
      </w:r>
      <w:r>
        <w:rPr>
          <w:bCs/>
          <w:sz w:val="22"/>
          <w:szCs w:val="22"/>
        </w:rPr>
        <w:t>9.</w:t>
      </w:r>
    </w:p>
    <w:p w:rsidR="00874922" w:rsidRPr="00874922" w:rsidRDefault="00874922" w:rsidP="00874922">
      <w:pPr>
        <w:tabs>
          <w:tab w:val="left" w:pos="540"/>
          <w:tab w:val="left" w:pos="569"/>
        </w:tabs>
        <w:jc w:val="both"/>
        <w:rPr>
          <w:bCs/>
          <w:sz w:val="22"/>
          <w:szCs w:val="22"/>
        </w:rPr>
      </w:pPr>
    </w:p>
    <w:p w:rsidR="00874922" w:rsidRDefault="00874922" w:rsidP="00F33B79">
      <w:pPr>
        <w:tabs>
          <w:tab w:val="left" w:pos="540"/>
          <w:tab w:val="left" w:pos="569"/>
        </w:tabs>
        <w:jc w:val="both"/>
        <w:rPr>
          <w:b/>
          <w:bCs/>
          <w:sz w:val="22"/>
          <w:szCs w:val="22"/>
        </w:rPr>
      </w:pPr>
      <w:r w:rsidRPr="00874922">
        <w:rPr>
          <w:b/>
          <w:bCs/>
          <w:sz w:val="22"/>
          <w:szCs w:val="22"/>
        </w:rPr>
        <w:t>Tabela 9: Proc</w:t>
      </w:r>
      <w:r>
        <w:rPr>
          <w:b/>
          <w:bCs/>
          <w:sz w:val="22"/>
          <w:szCs w:val="22"/>
        </w:rPr>
        <w:t>j</w:t>
      </w:r>
      <w:r w:rsidRPr="00874922">
        <w:rPr>
          <w:b/>
          <w:bCs/>
          <w:sz w:val="22"/>
          <w:szCs w:val="22"/>
        </w:rPr>
        <w:t xml:space="preserve">ena mineralne gustine kostiju na početku ispitivanja, u 48. i 192. </w:t>
      </w:r>
      <w:r w:rsidR="00A81E6F">
        <w:rPr>
          <w:b/>
          <w:bCs/>
          <w:sz w:val="22"/>
          <w:szCs w:val="22"/>
        </w:rPr>
        <w:t>n</w:t>
      </w:r>
      <w:r w:rsidRPr="00874922">
        <w:rPr>
          <w:b/>
          <w:bCs/>
          <w:sz w:val="22"/>
          <w:szCs w:val="22"/>
        </w:rPr>
        <w:t>ed</w:t>
      </w:r>
      <w:r>
        <w:rPr>
          <w:b/>
          <w:bCs/>
          <w:sz w:val="22"/>
          <w:szCs w:val="22"/>
        </w:rPr>
        <w:t>j</w:t>
      </w:r>
      <w:r w:rsidRPr="00874922">
        <w:rPr>
          <w:b/>
          <w:bCs/>
          <w:sz w:val="22"/>
          <w:szCs w:val="22"/>
        </w:rPr>
        <w:t>elji</w:t>
      </w:r>
    </w:p>
    <w:p w:rsidR="004A3FA0" w:rsidRDefault="004A3FA0" w:rsidP="00F33B79">
      <w:pPr>
        <w:tabs>
          <w:tab w:val="left" w:pos="540"/>
          <w:tab w:val="left" w:pos="569"/>
        </w:tabs>
        <w:jc w:val="both"/>
        <w:rPr>
          <w:b/>
          <w:bCs/>
          <w:sz w:val="22"/>
          <w:szCs w:val="22"/>
        </w:rPr>
      </w:pPr>
    </w:p>
    <w:tbl>
      <w:tblPr>
        <w:tblStyle w:val="TableGrid"/>
        <w:tblW w:w="0" w:type="auto"/>
        <w:tblLook w:val="04A0" w:firstRow="1" w:lastRow="0" w:firstColumn="1" w:lastColumn="0" w:noHBand="0" w:noVBand="1"/>
      </w:tblPr>
      <w:tblGrid>
        <w:gridCol w:w="1880"/>
        <w:gridCol w:w="1795"/>
        <w:gridCol w:w="1796"/>
        <w:gridCol w:w="1796"/>
        <w:gridCol w:w="1796"/>
      </w:tblGrid>
      <w:tr w:rsidR="004A3FA0" w:rsidTr="004A3FA0">
        <w:tc>
          <w:tcPr>
            <w:tcW w:w="1880" w:type="dxa"/>
            <w:vMerge w:val="restart"/>
          </w:tcPr>
          <w:p w:rsidR="004A3FA0" w:rsidRDefault="004A3FA0" w:rsidP="00F33B79">
            <w:pPr>
              <w:tabs>
                <w:tab w:val="left" w:pos="540"/>
                <w:tab w:val="left" w:pos="569"/>
              </w:tabs>
              <w:jc w:val="both"/>
              <w:rPr>
                <w:bCs/>
                <w:sz w:val="22"/>
                <w:szCs w:val="22"/>
              </w:rPr>
            </w:pPr>
          </w:p>
        </w:tc>
        <w:tc>
          <w:tcPr>
            <w:tcW w:w="3591" w:type="dxa"/>
            <w:gridSpan w:val="2"/>
          </w:tcPr>
          <w:p w:rsidR="004A3FA0" w:rsidRPr="004A3FA0" w:rsidRDefault="004A3FA0" w:rsidP="004A3FA0">
            <w:pPr>
              <w:tabs>
                <w:tab w:val="left" w:pos="540"/>
                <w:tab w:val="left" w:pos="569"/>
              </w:tabs>
              <w:jc w:val="center"/>
              <w:rPr>
                <w:b/>
                <w:bCs/>
                <w:sz w:val="22"/>
                <w:szCs w:val="22"/>
              </w:rPr>
            </w:pPr>
            <w:r w:rsidRPr="004A3FA0">
              <w:rPr>
                <w:b/>
                <w:bCs/>
                <w:sz w:val="22"/>
                <w:szCs w:val="22"/>
              </w:rPr>
              <w:t>Početak studije</w:t>
            </w:r>
          </w:p>
        </w:tc>
        <w:tc>
          <w:tcPr>
            <w:tcW w:w="3592" w:type="dxa"/>
            <w:gridSpan w:val="2"/>
          </w:tcPr>
          <w:p w:rsidR="004A3FA0" w:rsidRPr="004A3FA0" w:rsidRDefault="004A3FA0" w:rsidP="004A3FA0">
            <w:pPr>
              <w:tabs>
                <w:tab w:val="left" w:pos="540"/>
                <w:tab w:val="left" w:pos="569"/>
              </w:tabs>
              <w:jc w:val="center"/>
              <w:rPr>
                <w:b/>
                <w:bCs/>
                <w:sz w:val="22"/>
                <w:szCs w:val="22"/>
              </w:rPr>
            </w:pPr>
            <w:r w:rsidRPr="004A3FA0">
              <w:rPr>
                <w:b/>
                <w:bCs/>
                <w:sz w:val="22"/>
                <w:szCs w:val="22"/>
              </w:rPr>
              <w:t>48. nedjelja</w:t>
            </w:r>
          </w:p>
        </w:tc>
      </w:tr>
      <w:tr w:rsidR="004A3FA0" w:rsidTr="004A3FA0">
        <w:tc>
          <w:tcPr>
            <w:tcW w:w="1880" w:type="dxa"/>
            <w:vMerge/>
          </w:tcPr>
          <w:p w:rsidR="004A3FA0" w:rsidRDefault="004A3FA0" w:rsidP="00F33B79">
            <w:pPr>
              <w:tabs>
                <w:tab w:val="left" w:pos="540"/>
                <w:tab w:val="left" w:pos="569"/>
              </w:tabs>
              <w:jc w:val="both"/>
              <w:rPr>
                <w:bCs/>
                <w:sz w:val="22"/>
                <w:szCs w:val="22"/>
              </w:rPr>
            </w:pPr>
          </w:p>
        </w:tc>
        <w:tc>
          <w:tcPr>
            <w:tcW w:w="1795" w:type="dxa"/>
          </w:tcPr>
          <w:p w:rsidR="004A3FA0" w:rsidRPr="004A3FA0" w:rsidRDefault="004A3FA0" w:rsidP="004A3FA0">
            <w:pPr>
              <w:tabs>
                <w:tab w:val="left" w:pos="540"/>
                <w:tab w:val="left" w:pos="569"/>
              </w:tabs>
              <w:jc w:val="center"/>
              <w:rPr>
                <w:b/>
                <w:bCs/>
                <w:sz w:val="22"/>
                <w:szCs w:val="22"/>
              </w:rPr>
            </w:pPr>
            <w:r w:rsidRPr="004A3FA0">
              <w:rPr>
                <w:b/>
                <w:bCs/>
                <w:sz w:val="22"/>
                <w:szCs w:val="22"/>
              </w:rPr>
              <w:t>TDF</w:t>
            </w:r>
          </w:p>
        </w:tc>
        <w:tc>
          <w:tcPr>
            <w:tcW w:w="1796" w:type="dxa"/>
          </w:tcPr>
          <w:p w:rsidR="004A3FA0" w:rsidRPr="004A3FA0" w:rsidRDefault="004A3FA0" w:rsidP="004A3FA0">
            <w:pPr>
              <w:tabs>
                <w:tab w:val="left" w:pos="540"/>
                <w:tab w:val="left" w:pos="569"/>
              </w:tabs>
              <w:jc w:val="center"/>
              <w:rPr>
                <w:b/>
                <w:bCs/>
                <w:sz w:val="22"/>
                <w:szCs w:val="22"/>
              </w:rPr>
            </w:pPr>
            <w:r w:rsidRPr="004A3FA0">
              <w:rPr>
                <w:b/>
                <w:bCs/>
                <w:sz w:val="22"/>
                <w:szCs w:val="22"/>
              </w:rPr>
              <w:t>PLB</w:t>
            </w:r>
          </w:p>
        </w:tc>
        <w:tc>
          <w:tcPr>
            <w:tcW w:w="1796" w:type="dxa"/>
          </w:tcPr>
          <w:p w:rsidR="004A3FA0" w:rsidRPr="004A3FA0" w:rsidRDefault="004A3FA0" w:rsidP="004A3FA0">
            <w:pPr>
              <w:tabs>
                <w:tab w:val="left" w:pos="540"/>
                <w:tab w:val="left" w:pos="569"/>
              </w:tabs>
              <w:jc w:val="center"/>
              <w:rPr>
                <w:b/>
                <w:bCs/>
                <w:sz w:val="22"/>
                <w:szCs w:val="22"/>
              </w:rPr>
            </w:pPr>
            <w:r w:rsidRPr="004A3FA0">
              <w:rPr>
                <w:b/>
                <w:bCs/>
                <w:sz w:val="22"/>
                <w:szCs w:val="22"/>
              </w:rPr>
              <w:t>TDF</w:t>
            </w:r>
          </w:p>
        </w:tc>
        <w:tc>
          <w:tcPr>
            <w:tcW w:w="1796" w:type="dxa"/>
          </w:tcPr>
          <w:p w:rsidR="004A3FA0" w:rsidRPr="004A3FA0" w:rsidRDefault="004A3FA0" w:rsidP="004A3FA0">
            <w:pPr>
              <w:tabs>
                <w:tab w:val="left" w:pos="540"/>
                <w:tab w:val="left" w:pos="569"/>
              </w:tabs>
              <w:jc w:val="center"/>
              <w:rPr>
                <w:b/>
                <w:bCs/>
                <w:sz w:val="22"/>
                <w:szCs w:val="22"/>
              </w:rPr>
            </w:pPr>
            <w:r w:rsidRPr="004A3FA0">
              <w:rPr>
                <w:b/>
                <w:bCs/>
                <w:sz w:val="22"/>
                <w:szCs w:val="22"/>
              </w:rPr>
              <w:t>PLB</w:t>
            </w:r>
          </w:p>
        </w:tc>
      </w:tr>
      <w:tr w:rsidR="004A3FA0" w:rsidTr="004A3FA0">
        <w:tc>
          <w:tcPr>
            <w:tcW w:w="1880" w:type="dxa"/>
          </w:tcPr>
          <w:p w:rsidR="004A3FA0" w:rsidRPr="004A3FA0" w:rsidRDefault="004A3FA0" w:rsidP="00A443AA">
            <w:pPr>
              <w:tabs>
                <w:tab w:val="left" w:pos="540"/>
                <w:tab w:val="left" w:pos="569"/>
              </w:tabs>
              <w:rPr>
                <w:bCs/>
                <w:sz w:val="22"/>
                <w:szCs w:val="22"/>
              </w:rPr>
            </w:pPr>
            <w:r w:rsidRPr="004A3FA0">
              <w:rPr>
                <w:bCs/>
                <w:sz w:val="22"/>
                <w:szCs w:val="22"/>
              </w:rPr>
              <w:t>Srednja vrijednost (SD) BMD Z-skora lumbalnog</w:t>
            </w:r>
          </w:p>
          <w:p w:rsidR="004A3FA0" w:rsidRDefault="004A3FA0" w:rsidP="00A443AA">
            <w:pPr>
              <w:tabs>
                <w:tab w:val="left" w:pos="540"/>
                <w:tab w:val="left" w:pos="569"/>
              </w:tabs>
              <w:rPr>
                <w:bCs/>
                <w:sz w:val="22"/>
                <w:szCs w:val="22"/>
              </w:rPr>
            </w:pPr>
            <w:r w:rsidRPr="004A3FA0">
              <w:rPr>
                <w:bCs/>
                <w:sz w:val="22"/>
                <w:szCs w:val="22"/>
              </w:rPr>
              <w:t>dijela kičme</w:t>
            </w:r>
            <w:r w:rsidRPr="004A3FA0">
              <w:rPr>
                <w:bCs/>
                <w:sz w:val="22"/>
                <w:szCs w:val="22"/>
                <w:vertAlign w:val="superscript"/>
              </w:rPr>
              <w:t>a</w:t>
            </w:r>
          </w:p>
        </w:tc>
        <w:tc>
          <w:tcPr>
            <w:tcW w:w="1795" w:type="dxa"/>
            <w:vAlign w:val="center"/>
          </w:tcPr>
          <w:p w:rsidR="004A3FA0" w:rsidRDefault="004A3FA0" w:rsidP="004A3FA0">
            <w:pPr>
              <w:tabs>
                <w:tab w:val="left" w:pos="540"/>
                <w:tab w:val="left" w:pos="569"/>
              </w:tabs>
              <w:jc w:val="center"/>
              <w:rPr>
                <w:bCs/>
                <w:sz w:val="22"/>
                <w:szCs w:val="22"/>
              </w:rPr>
            </w:pPr>
            <w:r>
              <w:rPr>
                <w:bCs/>
                <w:sz w:val="22"/>
                <w:szCs w:val="22"/>
              </w:rPr>
              <w:t>0,02</w:t>
            </w:r>
          </w:p>
          <w:p w:rsidR="004A3FA0" w:rsidRDefault="004A3FA0" w:rsidP="004A3FA0">
            <w:pPr>
              <w:tabs>
                <w:tab w:val="left" w:pos="540"/>
                <w:tab w:val="left" w:pos="569"/>
              </w:tabs>
              <w:jc w:val="center"/>
              <w:rPr>
                <w:bCs/>
                <w:sz w:val="22"/>
                <w:szCs w:val="22"/>
              </w:rPr>
            </w:pPr>
            <w:r>
              <w:rPr>
                <w:bCs/>
                <w:sz w:val="22"/>
                <w:szCs w:val="22"/>
              </w:rPr>
              <w:t>(0,977)</w:t>
            </w:r>
          </w:p>
        </w:tc>
        <w:tc>
          <w:tcPr>
            <w:tcW w:w="1796" w:type="dxa"/>
            <w:vAlign w:val="center"/>
          </w:tcPr>
          <w:p w:rsidR="004A3FA0" w:rsidRDefault="004A3FA0" w:rsidP="004A3FA0">
            <w:pPr>
              <w:tabs>
                <w:tab w:val="left" w:pos="540"/>
                <w:tab w:val="left" w:pos="569"/>
              </w:tabs>
              <w:jc w:val="center"/>
              <w:rPr>
                <w:bCs/>
                <w:sz w:val="22"/>
                <w:szCs w:val="22"/>
              </w:rPr>
            </w:pPr>
            <w:r>
              <w:rPr>
                <w:bCs/>
                <w:sz w:val="22"/>
                <w:szCs w:val="22"/>
              </w:rPr>
              <w:t>-0,29</w:t>
            </w:r>
          </w:p>
          <w:p w:rsidR="004A3FA0" w:rsidRDefault="004A3FA0" w:rsidP="004A3FA0">
            <w:pPr>
              <w:tabs>
                <w:tab w:val="left" w:pos="540"/>
                <w:tab w:val="left" w:pos="569"/>
              </w:tabs>
              <w:jc w:val="center"/>
              <w:rPr>
                <w:bCs/>
                <w:sz w:val="22"/>
                <w:szCs w:val="22"/>
              </w:rPr>
            </w:pPr>
            <w:r>
              <w:rPr>
                <w:bCs/>
                <w:sz w:val="22"/>
                <w:szCs w:val="22"/>
              </w:rPr>
              <w:t>(1,229)</w:t>
            </w:r>
          </w:p>
        </w:tc>
        <w:tc>
          <w:tcPr>
            <w:tcW w:w="1796" w:type="dxa"/>
            <w:vAlign w:val="center"/>
          </w:tcPr>
          <w:p w:rsidR="004A3FA0" w:rsidRDefault="004A3FA0" w:rsidP="004A3FA0">
            <w:pPr>
              <w:tabs>
                <w:tab w:val="left" w:pos="540"/>
                <w:tab w:val="left" w:pos="569"/>
              </w:tabs>
              <w:jc w:val="center"/>
              <w:rPr>
                <w:bCs/>
                <w:sz w:val="22"/>
                <w:szCs w:val="22"/>
              </w:rPr>
            </w:pPr>
            <w:r>
              <w:rPr>
                <w:bCs/>
                <w:sz w:val="22"/>
                <w:szCs w:val="22"/>
              </w:rPr>
              <w:t>-0,11</w:t>
            </w:r>
          </w:p>
          <w:p w:rsidR="004A3FA0" w:rsidRDefault="004A3FA0" w:rsidP="004A3FA0">
            <w:pPr>
              <w:tabs>
                <w:tab w:val="left" w:pos="540"/>
                <w:tab w:val="left" w:pos="569"/>
              </w:tabs>
              <w:jc w:val="center"/>
              <w:rPr>
                <w:bCs/>
                <w:sz w:val="22"/>
                <w:szCs w:val="22"/>
              </w:rPr>
            </w:pPr>
            <w:r>
              <w:rPr>
                <w:bCs/>
                <w:sz w:val="22"/>
                <w:szCs w:val="22"/>
              </w:rPr>
              <w:t>(0,983)</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-0,11</w:t>
            </w:r>
          </w:p>
          <w:p w:rsidR="00487FFC" w:rsidRDefault="00487FFC" w:rsidP="004A3FA0">
            <w:pPr>
              <w:tabs>
                <w:tab w:val="left" w:pos="540"/>
                <w:tab w:val="left" w:pos="569"/>
              </w:tabs>
              <w:jc w:val="center"/>
              <w:rPr>
                <w:bCs/>
                <w:sz w:val="22"/>
                <w:szCs w:val="22"/>
              </w:rPr>
            </w:pPr>
            <w:r>
              <w:rPr>
                <w:bCs/>
                <w:sz w:val="22"/>
                <w:szCs w:val="22"/>
              </w:rPr>
              <w:t>(1,234)</w:t>
            </w:r>
          </w:p>
        </w:tc>
      </w:tr>
      <w:tr w:rsidR="004A3FA0" w:rsidTr="004A3FA0">
        <w:tc>
          <w:tcPr>
            <w:tcW w:w="1880" w:type="dxa"/>
          </w:tcPr>
          <w:p w:rsidR="004A3FA0" w:rsidRPr="004A3FA0" w:rsidRDefault="004A3FA0" w:rsidP="00A443AA">
            <w:pPr>
              <w:tabs>
                <w:tab w:val="left" w:pos="540"/>
                <w:tab w:val="left" w:pos="569"/>
              </w:tabs>
              <w:rPr>
                <w:bCs/>
                <w:sz w:val="22"/>
                <w:szCs w:val="22"/>
              </w:rPr>
            </w:pPr>
            <w:r w:rsidRPr="004A3FA0">
              <w:rPr>
                <w:bCs/>
                <w:sz w:val="22"/>
                <w:szCs w:val="22"/>
              </w:rPr>
              <w:t>Promjena srednje vrijednosti (SD) BMD Z-skora</w:t>
            </w:r>
          </w:p>
          <w:p w:rsidR="004A3FA0" w:rsidRDefault="004A3FA0" w:rsidP="00A443AA">
            <w:pPr>
              <w:tabs>
                <w:tab w:val="left" w:pos="540"/>
                <w:tab w:val="left" w:pos="569"/>
              </w:tabs>
              <w:rPr>
                <w:bCs/>
                <w:sz w:val="22"/>
                <w:szCs w:val="22"/>
              </w:rPr>
            </w:pPr>
            <w:r w:rsidRPr="004A3FA0">
              <w:rPr>
                <w:bCs/>
                <w:sz w:val="22"/>
                <w:szCs w:val="22"/>
              </w:rPr>
              <w:t>lumbalnog dijela kičme u odnosu na početak studije</w:t>
            </w:r>
            <w:r w:rsidRPr="004A3FA0">
              <w:rPr>
                <w:bCs/>
                <w:sz w:val="22"/>
                <w:szCs w:val="22"/>
                <w:vertAlign w:val="superscript"/>
              </w:rPr>
              <w:t>a</w:t>
            </w:r>
          </w:p>
        </w:tc>
        <w:tc>
          <w:tcPr>
            <w:tcW w:w="1795" w:type="dxa"/>
            <w:vAlign w:val="center"/>
          </w:tcPr>
          <w:p w:rsidR="004A3FA0" w:rsidRDefault="00487FFC" w:rsidP="004A3FA0">
            <w:pPr>
              <w:tabs>
                <w:tab w:val="left" w:pos="540"/>
                <w:tab w:val="left" w:pos="569"/>
              </w:tabs>
              <w:jc w:val="center"/>
              <w:rPr>
                <w:bCs/>
                <w:sz w:val="22"/>
                <w:szCs w:val="22"/>
              </w:rPr>
            </w:pPr>
            <w:r>
              <w:rPr>
                <w:bCs/>
                <w:sz w:val="22"/>
                <w:szCs w:val="22"/>
              </w:rPr>
              <w:t>NA</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NA</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-0,12</w:t>
            </w:r>
          </w:p>
          <w:p w:rsidR="00487FFC" w:rsidRDefault="00487FFC" w:rsidP="004A3FA0">
            <w:pPr>
              <w:tabs>
                <w:tab w:val="left" w:pos="540"/>
                <w:tab w:val="left" w:pos="569"/>
              </w:tabs>
              <w:jc w:val="center"/>
              <w:rPr>
                <w:bCs/>
                <w:sz w:val="22"/>
                <w:szCs w:val="22"/>
              </w:rPr>
            </w:pPr>
            <w:r>
              <w:rPr>
                <w:bCs/>
                <w:sz w:val="22"/>
                <w:szCs w:val="22"/>
              </w:rPr>
              <w:t>(0,411)</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0,14</w:t>
            </w:r>
          </w:p>
          <w:p w:rsidR="00487FFC" w:rsidRDefault="00487FFC" w:rsidP="004A3FA0">
            <w:pPr>
              <w:tabs>
                <w:tab w:val="left" w:pos="540"/>
                <w:tab w:val="left" w:pos="569"/>
              </w:tabs>
              <w:jc w:val="center"/>
              <w:rPr>
                <w:bCs/>
                <w:sz w:val="22"/>
                <w:szCs w:val="22"/>
              </w:rPr>
            </w:pPr>
            <w:r>
              <w:rPr>
                <w:bCs/>
                <w:sz w:val="22"/>
                <w:szCs w:val="22"/>
              </w:rPr>
              <w:t>(0,330)</w:t>
            </w:r>
          </w:p>
        </w:tc>
      </w:tr>
      <w:tr w:rsidR="004A3FA0" w:rsidTr="004A3FA0">
        <w:tc>
          <w:tcPr>
            <w:tcW w:w="1880" w:type="dxa"/>
          </w:tcPr>
          <w:p w:rsidR="004A3FA0" w:rsidRDefault="004A3FA0" w:rsidP="00A443AA">
            <w:pPr>
              <w:tabs>
                <w:tab w:val="left" w:pos="540"/>
                <w:tab w:val="left" w:pos="569"/>
              </w:tabs>
              <w:rPr>
                <w:bCs/>
                <w:sz w:val="22"/>
                <w:szCs w:val="22"/>
              </w:rPr>
            </w:pPr>
            <w:r w:rsidRPr="004A3FA0">
              <w:rPr>
                <w:bCs/>
                <w:sz w:val="22"/>
                <w:szCs w:val="22"/>
              </w:rPr>
              <w:t>Srednja vrijednost (SD) BMD Z-skora</w:t>
            </w:r>
            <w:r>
              <w:rPr>
                <w:bCs/>
                <w:sz w:val="22"/>
                <w:szCs w:val="22"/>
              </w:rPr>
              <w:t xml:space="preserve"> cijelog tijela</w:t>
            </w:r>
            <w:r w:rsidRPr="004A3FA0">
              <w:rPr>
                <w:bCs/>
                <w:sz w:val="22"/>
                <w:szCs w:val="22"/>
                <w:vertAlign w:val="superscript"/>
              </w:rPr>
              <w:t>a</w:t>
            </w:r>
          </w:p>
        </w:tc>
        <w:tc>
          <w:tcPr>
            <w:tcW w:w="1795" w:type="dxa"/>
            <w:vAlign w:val="center"/>
          </w:tcPr>
          <w:p w:rsidR="004A3FA0" w:rsidRDefault="00487FFC" w:rsidP="004A3FA0">
            <w:pPr>
              <w:tabs>
                <w:tab w:val="left" w:pos="540"/>
                <w:tab w:val="left" w:pos="569"/>
              </w:tabs>
              <w:jc w:val="center"/>
              <w:rPr>
                <w:bCs/>
                <w:sz w:val="22"/>
                <w:szCs w:val="22"/>
              </w:rPr>
            </w:pPr>
            <w:r>
              <w:rPr>
                <w:bCs/>
                <w:sz w:val="22"/>
                <w:szCs w:val="22"/>
              </w:rPr>
              <w:t>0,11</w:t>
            </w:r>
          </w:p>
          <w:p w:rsidR="00487FFC" w:rsidRDefault="00487FFC" w:rsidP="004A3FA0">
            <w:pPr>
              <w:tabs>
                <w:tab w:val="left" w:pos="540"/>
                <w:tab w:val="left" w:pos="569"/>
              </w:tabs>
              <w:jc w:val="center"/>
              <w:rPr>
                <w:bCs/>
                <w:sz w:val="22"/>
                <w:szCs w:val="22"/>
              </w:rPr>
            </w:pPr>
            <w:r>
              <w:rPr>
                <w:bCs/>
                <w:sz w:val="22"/>
                <w:szCs w:val="22"/>
              </w:rPr>
              <w:t>(0,743)</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-0,05</w:t>
            </w:r>
          </w:p>
          <w:p w:rsidR="00487FFC" w:rsidRDefault="00487FFC" w:rsidP="004A3FA0">
            <w:pPr>
              <w:tabs>
                <w:tab w:val="left" w:pos="540"/>
                <w:tab w:val="left" w:pos="569"/>
              </w:tabs>
              <w:jc w:val="center"/>
              <w:rPr>
                <w:bCs/>
                <w:sz w:val="22"/>
                <w:szCs w:val="22"/>
              </w:rPr>
            </w:pPr>
            <w:r>
              <w:rPr>
                <w:bCs/>
                <w:sz w:val="22"/>
                <w:szCs w:val="22"/>
              </w:rPr>
              <w:t>(1,497)</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-0,34</w:t>
            </w:r>
          </w:p>
          <w:p w:rsidR="00487FFC" w:rsidRDefault="00487FFC" w:rsidP="004A3FA0">
            <w:pPr>
              <w:tabs>
                <w:tab w:val="left" w:pos="540"/>
                <w:tab w:val="left" w:pos="569"/>
              </w:tabs>
              <w:jc w:val="center"/>
              <w:rPr>
                <w:bCs/>
                <w:sz w:val="22"/>
                <w:szCs w:val="22"/>
              </w:rPr>
            </w:pPr>
            <w:r>
              <w:rPr>
                <w:bCs/>
                <w:sz w:val="22"/>
                <w:szCs w:val="22"/>
              </w:rPr>
              <w:t>(0,939)</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0,20</w:t>
            </w:r>
          </w:p>
          <w:p w:rsidR="00487FFC" w:rsidRDefault="00487FFC" w:rsidP="004A3FA0">
            <w:pPr>
              <w:tabs>
                <w:tab w:val="left" w:pos="540"/>
                <w:tab w:val="left" w:pos="569"/>
              </w:tabs>
              <w:jc w:val="center"/>
              <w:rPr>
                <w:bCs/>
                <w:sz w:val="22"/>
                <w:szCs w:val="22"/>
              </w:rPr>
            </w:pPr>
            <w:r>
              <w:rPr>
                <w:bCs/>
                <w:sz w:val="22"/>
                <w:szCs w:val="22"/>
              </w:rPr>
              <w:t>(0,446)</w:t>
            </w:r>
          </w:p>
        </w:tc>
      </w:tr>
      <w:tr w:rsidR="004A3FA0" w:rsidTr="004A3FA0">
        <w:tc>
          <w:tcPr>
            <w:tcW w:w="1880" w:type="dxa"/>
          </w:tcPr>
          <w:p w:rsidR="004A3FA0" w:rsidRPr="004A3FA0" w:rsidRDefault="004A3FA0" w:rsidP="00A443AA">
            <w:pPr>
              <w:tabs>
                <w:tab w:val="left" w:pos="540"/>
                <w:tab w:val="left" w:pos="569"/>
              </w:tabs>
              <w:rPr>
                <w:bCs/>
                <w:sz w:val="22"/>
                <w:szCs w:val="22"/>
              </w:rPr>
            </w:pPr>
            <w:r w:rsidRPr="004A3FA0">
              <w:rPr>
                <w:bCs/>
                <w:sz w:val="22"/>
                <w:szCs w:val="22"/>
              </w:rPr>
              <w:t>Promjena srednje vrijednosti (SD) BMD Z-skora cijelog tijela u odnosu na početak</w:t>
            </w:r>
          </w:p>
          <w:p w:rsidR="004A3FA0" w:rsidRDefault="004A3FA0" w:rsidP="00A443AA">
            <w:pPr>
              <w:tabs>
                <w:tab w:val="left" w:pos="540"/>
                <w:tab w:val="left" w:pos="569"/>
              </w:tabs>
              <w:rPr>
                <w:bCs/>
                <w:sz w:val="22"/>
                <w:szCs w:val="22"/>
              </w:rPr>
            </w:pPr>
            <w:r w:rsidRPr="004A3FA0">
              <w:rPr>
                <w:bCs/>
                <w:sz w:val="22"/>
                <w:szCs w:val="22"/>
              </w:rPr>
              <w:t>studije</w:t>
            </w:r>
            <w:r w:rsidRPr="004A3FA0">
              <w:rPr>
                <w:bCs/>
                <w:sz w:val="22"/>
                <w:szCs w:val="22"/>
                <w:vertAlign w:val="superscript"/>
              </w:rPr>
              <w:t>a</w:t>
            </w:r>
          </w:p>
        </w:tc>
        <w:tc>
          <w:tcPr>
            <w:tcW w:w="1795" w:type="dxa"/>
            <w:vAlign w:val="center"/>
          </w:tcPr>
          <w:p w:rsidR="004A3FA0" w:rsidRDefault="00487FFC" w:rsidP="004A3FA0">
            <w:pPr>
              <w:tabs>
                <w:tab w:val="left" w:pos="540"/>
                <w:tab w:val="left" w:pos="569"/>
              </w:tabs>
              <w:jc w:val="center"/>
              <w:rPr>
                <w:bCs/>
                <w:sz w:val="22"/>
                <w:szCs w:val="22"/>
              </w:rPr>
            </w:pPr>
            <w:r>
              <w:rPr>
                <w:bCs/>
                <w:sz w:val="22"/>
                <w:szCs w:val="22"/>
              </w:rPr>
              <w:t>NA</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NA</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-0,18</w:t>
            </w:r>
          </w:p>
          <w:p w:rsidR="00487FFC" w:rsidRDefault="00487FFC" w:rsidP="004A3FA0">
            <w:pPr>
              <w:tabs>
                <w:tab w:val="left" w:pos="540"/>
                <w:tab w:val="left" w:pos="569"/>
              </w:tabs>
              <w:jc w:val="center"/>
              <w:rPr>
                <w:bCs/>
                <w:sz w:val="22"/>
                <w:szCs w:val="22"/>
              </w:rPr>
            </w:pPr>
            <w:r>
              <w:rPr>
                <w:bCs/>
                <w:sz w:val="22"/>
                <w:szCs w:val="22"/>
              </w:rPr>
              <w:t>(0,334)</w:t>
            </w:r>
          </w:p>
        </w:tc>
        <w:tc>
          <w:tcPr>
            <w:tcW w:w="1796" w:type="dxa"/>
            <w:vAlign w:val="center"/>
          </w:tcPr>
          <w:p w:rsidR="004A3FA0" w:rsidRDefault="00487FFC" w:rsidP="004A3FA0">
            <w:pPr>
              <w:tabs>
                <w:tab w:val="left" w:pos="540"/>
                <w:tab w:val="left" w:pos="569"/>
              </w:tabs>
              <w:jc w:val="center"/>
              <w:rPr>
                <w:bCs/>
                <w:sz w:val="22"/>
                <w:szCs w:val="22"/>
              </w:rPr>
            </w:pPr>
            <w:r>
              <w:rPr>
                <w:bCs/>
                <w:sz w:val="22"/>
                <w:szCs w:val="22"/>
              </w:rPr>
              <w:t>0,22</w:t>
            </w:r>
          </w:p>
          <w:p w:rsidR="00487FFC" w:rsidRDefault="00487FFC" w:rsidP="004A3FA0">
            <w:pPr>
              <w:tabs>
                <w:tab w:val="left" w:pos="540"/>
                <w:tab w:val="left" w:pos="569"/>
              </w:tabs>
              <w:jc w:val="center"/>
              <w:rPr>
                <w:bCs/>
                <w:sz w:val="22"/>
                <w:szCs w:val="22"/>
              </w:rPr>
            </w:pPr>
            <w:r>
              <w:rPr>
                <w:bCs/>
                <w:sz w:val="22"/>
                <w:szCs w:val="22"/>
              </w:rPr>
              <w:t>(0,446)</w:t>
            </w:r>
          </w:p>
        </w:tc>
      </w:tr>
      <w:tr w:rsidR="00487FFC" w:rsidTr="004A3FA0">
        <w:tc>
          <w:tcPr>
            <w:tcW w:w="1880" w:type="dxa"/>
          </w:tcPr>
          <w:p w:rsidR="00487FFC" w:rsidRPr="004A3FA0" w:rsidRDefault="00487FFC" w:rsidP="00A443AA">
            <w:pPr>
              <w:tabs>
                <w:tab w:val="left" w:pos="540"/>
                <w:tab w:val="left" w:pos="569"/>
              </w:tabs>
              <w:rPr>
                <w:bCs/>
                <w:sz w:val="22"/>
                <w:szCs w:val="22"/>
              </w:rPr>
            </w:pPr>
            <w:r w:rsidRPr="004A3FA0">
              <w:rPr>
                <w:bCs/>
                <w:sz w:val="22"/>
                <w:szCs w:val="22"/>
              </w:rPr>
              <w:t>Kumulativno smanjenje BMD</w:t>
            </w:r>
          </w:p>
          <w:p w:rsidR="00487FFC" w:rsidRDefault="00487FFC" w:rsidP="00A443AA">
            <w:pPr>
              <w:tabs>
                <w:tab w:val="left" w:pos="540"/>
                <w:tab w:val="left" w:pos="569"/>
              </w:tabs>
              <w:ind w:right="210"/>
              <w:rPr>
                <w:bCs/>
                <w:sz w:val="22"/>
                <w:szCs w:val="22"/>
              </w:rPr>
            </w:pPr>
            <w:r w:rsidRPr="004A3FA0">
              <w:rPr>
                <w:bCs/>
                <w:sz w:val="22"/>
                <w:szCs w:val="22"/>
              </w:rPr>
              <w:t>lumbalnog dij</w:t>
            </w:r>
            <w:r>
              <w:rPr>
                <w:bCs/>
                <w:sz w:val="22"/>
                <w:szCs w:val="22"/>
              </w:rPr>
              <w:t xml:space="preserve">ela kičme </w:t>
            </w:r>
            <w:r w:rsidRPr="004A3FA0">
              <w:rPr>
                <w:bCs/>
                <w:sz w:val="22"/>
                <w:szCs w:val="22"/>
              </w:rPr>
              <w:t>od  najmanje 4%</w:t>
            </w:r>
            <w:r>
              <w:rPr>
                <w:bCs/>
                <w:sz w:val="22"/>
                <w:szCs w:val="22"/>
                <w:vertAlign w:val="superscript"/>
              </w:rPr>
              <w:t>b</w:t>
            </w:r>
          </w:p>
        </w:tc>
        <w:tc>
          <w:tcPr>
            <w:tcW w:w="1795"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18,3%</w:t>
            </w:r>
          </w:p>
          <w:p w:rsidR="00487FFC" w:rsidRDefault="00487FFC" w:rsidP="00487FFC">
            <w:pPr>
              <w:tabs>
                <w:tab w:val="left" w:pos="540"/>
                <w:tab w:val="left" w:pos="569"/>
              </w:tabs>
              <w:jc w:val="center"/>
              <w:rPr>
                <w:bCs/>
                <w:sz w:val="22"/>
                <w:szCs w:val="22"/>
              </w:rPr>
            </w:pPr>
            <w:r>
              <w:rPr>
                <w:bCs/>
                <w:sz w:val="22"/>
                <w:szCs w:val="22"/>
              </w:rPr>
              <w:t>(11 ispitanika)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6,9%</w:t>
            </w:r>
          </w:p>
          <w:p w:rsidR="00487FFC" w:rsidRDefault="00487FFC" w:rsidP="00487FFC">
            <w:pPr>
              <w:tabs>
                <w:tab w:val="left" w:pos="540"/>
                <w:tab w:val="left" w:pos="569"/>
              </w:tabs>
              <w:jc w:val="center"/>
              <w:rPr>
                <w:bCs/>
                <w:sz w:val="22"/>
                <w:szCs w:val="22"/>
              </w:rPr>
            </w:pPr>
            <w:r>
              <w:rPr>
                <w:bCs/>
                <w:sz w:val="22"/>
                <w:szCs w:val="22"/>
              </w:rPr>
              <w:t xml:space="preserve">(2 </w:t>
            </w:r>
            <w:r w:rsidRPr="00487FFC">
              <w:rPr>
                <w:bCs/>
                <w:sz w:val="22"/>
                <w:szCs w:val="22"/>
              </w:rPr>
              <w:t>ispitanika</w:t>
            </w:r>
            <w:r>
              <w:rPr>
                <w:bCs/>
                <w:sz w:val="22"/>
                <w:szCs w:val="22"/>
              </w:rPr>
              <w:t>)</w:t>
            </w:r>
          </w:p>
        </w:tc>
      </w:tr>
      <w:tr w:rsidR="00487FFC" w:rsidTr="004A3FA0">
        <w:tc>
          <w:tcPr>
            <w:tcW w:w="1880" w:type="dxa"/>
          </w:tcPr>
          <w:p w:rsidR="00487FFC" w:rsidRPr="00874922" w:rsidRDefault="00487FFC" w:rsidP="006B29C3">
            <w:pPr>
              <w:widowControl w:val="0"/>
              <w:autoSpaceDE w:val="0"/>
              <w:autoSpaceDN w:val="0"/>
              <w:spacing w:before="14"/>
              <w:ind w:left="100" w:right="401"/>
              <w:rPr>
                <w:sz w:val="22"/>
                <w:szCs w:val="22"/>
              </w:rPr>
            </w:pPr>
            <w:r w:rsidRPr="00874922">
              <w:rPr>
                <w:sz w:val="22"/>
                <w:szCs w:val="22"/>
              </w:rPr>
              <w:t>Kumulativno smanjenje</w:t>
            </w:r>
            <w:r w:rsidRPr="00874922">
              <w:rPr>
                <w:spacing w:val="-7"/>
                <w:sz w:val="22"/>
                <w:szCs w:val="22"/>
              </w:rPr>
              <w:t xml:space="preserve"> </w:t>
            </w:r>
            <w:r w:rsidRPr="00874922">
              <w:rPr>
                <w:sz w:val="22"/>
                <w:szCs w:val="22"/>
              </w:rPr>
              <w:t>BMD</w:t>
            </w:r>
            <w:r w:rsidRPr="00874922">
              <w:rPr>
                <w:spacing w:val="-6"/>
                <w:sz w:val="22"/>
                <w:szCs w:val="22"/>
              </w:rPr>
              <w:t xml:space="preserve"> </w:t>
            </w:r>
            <w:r w:rsidRPr="00874922">
              <w:rPr>
                <w:sz w:val="22"/>
                <w:szCs w:val="22"/>
              </w:rPr>
              <w:t>c</w:t>
            </w:r>
            <w:r>
              <w:rPr>
                <w:sz w:val="22"/>
                <w:szCs w:val="22"/>
              </w:rPr>
              <w:t>ij</w:t>
            </w:r>
            <w:r w:rsidRPr="00874922">
              <w:rPr>
                <w:sz w:val="22"/>
                <w:szCs w:val="22"/>
              </w:rPr>
              <w:t>elog</w:t>
            </w:r>
            <w:r w:rsidRPr="00874922">
              <w:rPr>
                <w:spacing w:val="-47"/>
                <w:sz w:val="22"/>
                <w:szCs w:val="22"/>
              </w:rPr>
              <w:t xml:space="preserve">  </w:t>
            </w:r>
            <w:r w:rsidRPr="00874922">
              <w:rPr>
                <w:sz w:val="22"/>
                <w:szCs w:val="22"/>
              </w:rPr>
              <w:t>t</w:t>
            </w:r>
            <w:r>
              <w:rPr>
                <w:sz w:val="22"/>
                <w:szCs w:val="22"/>
              </w:rPr>
              <w:t>ij</w:t>
            </w:r>
            <w:r w:rsidRPr="00874922">
              <w:rPr>
                <w:sz w:val="22"/>
                <w:szCs w:val="22"/>
              </w:rPr>
              <w:t>ela</w:t>
            </w:r>
            <w:r w:rsidRPr="00874922">
              <w:rPr>
                <w:spacing w:val="-2"/>
                <w:sz w:val="22"/>
                <w:szCs w:val="22"/>
              </w:rPr>
              <w:t xml:space="preserve"> </w:t>
            </w:r>
            <w:r w:rsidRPr="00874922">
              <w:rPr>
                <w:sz w:val="22"/>
                <w:szCs w:val="22"/>
              </w:rPr>
              <w:t>od</w:t>
            </w:r>
            <w:r w:rsidRPr="00874922">
              <w:rPr>
                <w:spacing w:val="-1"/>
                <w:sz w:val="22"/>
                <w:szCs w:val="22"/>
              </w:rPr>
              <w:t xml:space="preserve"> </w:t>
            </w:r>
            <w:r w:rsidRPr="00874922">
              <w:rPr>
                <w:sz w:val="22"/>
                <w:szCs w:val="22"/>
              </w:rPr>
              <w:t>najmanje</w:t>
            </w:r>
            <w:r w:rsidRPr="00874922">
              <w:rPr>
                <w:spacing w:val="-1"/>
                <w:sz w:val="22"/>
                <w:szCs w:val="22"/>
              </w:rPr>
              <w:t xml:space="preserve"> </w:t>
            </w:r>
            <w:r w:rsidRPr="00874922">
              <w:rPr>
                <w:sz w:val="22"/>
                <w:szCs w:val="22"/>
              </w:rPr>
              <w:t>4%</w:t>
            </w:r>
          </w:p>
        </w:tc>
        <w:tc>
          <w:tcPr>
            <w:tcW w:w="1795"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6,7%</w:t>
            </w:r>
          </w:p>
          <w:p w:rsidR="00487FFC" w:rsidRDefault="00487FFC" w:rsidP="00487FFC">
            <w:pPr>
              <w:tabs>
                <w:tab w:val="left" w:pos="540"/>
                <w:tab w:val="left" w:pos="569"/>
              </w:tabs>
              <w:jc w:val="center"/>
              <w:rPr>
                <w:bCs/>
                <w:sz w:val="22"/>
                <w:szCs w:val="22"/>
              </w:rPr>
            </w:pPr>
            <w:r>
              <w:rPr>
                <w:bCs/>
                <w:sz w:val="22"/>
                <w:szCs w:val="22"/>
              </w:rPr>
              <w:t xml:space="preserve">(4 </w:t>
            </w:r>
            <w:r w:rsidRPr="00487FFC">
              <w:rPr>
                <w:bCs/>
                <w:sz w:val="22"/>
                <w:szCs w:val="22"/>
              </w:rPr>
              <w:t>ispitanika</w:t>
            </w:r>
            <w:r>
              <w:rPr>
                <w:bCs/>
                <w:sz w:val="22"/>
                <w:szCs w:val="22"/>
              </w:rPr>
              <w:t>)</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0%</w:t>
            </w:r>
          </w:p>
        </w:tc>
      </w:tr>
      <w:tr w:rsidR="00487FFC" w:rsidTr="004A3FA0">
        <w:tc>
          <w:tcPr>
            <w:tcW w:w="1880" w:type="dxa"/>
          </w:tcPr>
          <w:p w:rsidR="00487FFC" w:rsidRPr="00874922" w:rsidRDefault="00487FFC" w:rsidP="00487FFC">
            <w:pPr>
              <w:widowControl w:val="0"/>
              <w:autoSpaceDE w:val="0"/>
              <w:autoSpaceDN w:val="0"/>
              <w:ind w:left="100" w:right="263"/>
              <w:rPr>
                <w:sz w:val="22"/>
                <w:szCs w:val="22"/>
              </w:rPr>
            </w:pPr>
            <w:r w:rsidRPr="00874922">
              <w:rPr>
                <w:sz w:val="22"/>
                <w:szCs w:val="22"/>
              </w:rPr>
              <w:t>Srednje</w:t>
            </w:r>
            <w:r w:rsidRPr="00874922">
              <w:rPr>
                <w:spacing w:val="-10"/>
                <w:sz w:val="22"/>
                <w:szCs w:val="22"/>
              </w:rPr>
              <w:t xml:space="preserve"> </w:t>
            </w:r>
            <w:r w:rsidRPr="00874922">
              <w:rPr>
                <w:sz w:val="22"/>
                <w:szCs w:val="22"/>
              </w:rPr>
              <w:t>povećanje</w:t>
            </w:r>
            <w:r w:rsidRPr="00874922">
              <w:rPr>
                <w:spacing w:val="-10"/>
                <w:sz w:val="22"/>
                <w:szCs w:val="22"/>
              </w:rPr>
              <w:t xml:space="preserve"> </w:t>
            </w:r>
            <w:r w:rsidRPr="00874922">
              <w:rPr>
                <w:sz w:val="22"/>
                <w:szCs w:val="22"/>
              </w:rPr>
              <w:t>BMD</w:t>
            </w:r>
            <w:r w:rsidRPr="00874922">
              <w:rPr>
                <w:spacing w:val="-47"/>
                <w:sz w:val="22"/>
                <w:szCs w:val="22"/>
              </w:rPr>
              <w:t xml:space="preserve"> </w:t>
            </w:r>
            <w:r w:rsidRPr="00874922">
              <w:rPr>
                <w:sz w:val="22"/>
                <w:szCs w:val="22"/>
              </w:rPr>
              <w:t>lumbalnog</w:t>
            </w:r>
            <w:r w:rsidRPr="00874922">
              <w:rPr>
                <w:spacing w:val="-2"/>
                <w:sz w:val="22"/>
                <w:szCs w:val="22"/>
              </w:rPr>
              <w:t xml:space="preserve"> </w:t>
            </w:r>
            <w:r w:rsidRPr="00874922">
              <w:rPr>
                <w:sz w:val="22"/>
                <w:szCs w:val="22"/>
              </w:rPr>
              <w:t>d</w:t>
            </w:r>
            <w:r>
              <w:rPr>
                <w:sz w:val="22"/>
                <w:szCs w:val="22"/>
              </w:rPr>
              <w:t>ij</w:t>
            </w:r>
            <w:r w:rsidRPr="00874922">
              <w:rPr>
                <w:sz w:val="22"/>
                <w:szCs w:val="22"/>
              </w:rPr>
              <w:t>ela</w:t>
            </w:r>
            <w:r w:rsidRPr="00874922">
              <w:rPr>
                <w:spacing w:val="-1"/>
                <w:sz w:val="22"/>
                <w:szCs w:val="22"/>
              </w:rPr>
              <w:t xml:space="preserve"> </w:t>
            </w:r>
            <w:r w:rsidRPr="00874922">
              <w:rPr>
                <w:sz w:val="22"/>
                <w:szCs w:val="22"/>
              </w:rPr>
              <w:t>kičme</w:t>
            </w:r>
            <w:r w:rsidRPr="00874922">
              <w:rPr>
                <w:spacing w:val="-1"/>
                <w:sz w:val="22"/>
                <w:szCs w:val="22"/>
              </w:rPr>
              <w:t xml:space="preserve"> </w:t>
            </w:r>
            <w:r w:rsidRPr="00874922">
              <w:rPr>
                <w:sz w:val="22"/>
                <w:szCs w:val="22"/>
              </w:rPr>
              <w:t>u</w:t>
            </w:r>
          </w:p>
          <w:p w:rsidR="00487FFC" w:rsidRPr="00874922" w:rsidRDefault="00487FFC" w:rsidP="00487FFC">
            <w:pPr>
              <w:widowControl w:val="0"/>
              <w:autoSpaceDE w:val="0"/>
              <w:autoSpaceDN w:val="0"/>
              <w:spacing w:before="12" w:line="122" w:lineRule="auto"/>
              <w:ind w:left="100"/>
              <w:rPr>
                <w:sz w:val="22"/>
                <w:szCs w:val="22"/>
              </w:rPr>
            </w:pPr>
            <w:r w:rsidRPr="00874922">
              <w:rPr>
                <w:position w:val="-8"/>
                <w:sz w:val="22"/>
                <w:szCs w:val="22"/>
              </w:rPr>
              <w:t>%</w:t>
            </w:r>
            <w:r w:rsidRPr="00874922">
              <w:rPr>
                <w:sz w:val="22"/>
                <w:szCs w:val="22"/>
              </w:rPr>
              <w:t>b</w:t>
            </w:r>
          </w:p>
        </w:tc>
        <w:tc>
          <w:tcPr>
            <w:tcW w:w="1795"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3,8%</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7,6%</w:t>
            </w:r>
          </w:p>
        </w:tc>
      </w:tr>
      <w:tr w:rsidR="00487FFC" w:rsidTr="004A3FA0">
        <w:tc>
          <w:tcPr>
            <w:tcW w:w="1880" w:type="dxa"/>
          </w:tcPr>
          <w:p w:rsidR="00487FFC" w:rsidRPr="00874922" w:rsidRDefault="00487FFC" w:rsidP="00487FFC">
            <w:pPr>
              <w:widowControl w:val="0"/>
              <w:autoSpaceDE w:val="0"/>
              <w:autoSpaceDN w:val="0"/>
              <w:spacing w:line="220" w:lineRule="exact"/>
              <w:ind w:left="100"/>
              <w:rPr>
                <w:sz w:val="22"/>
                <w:szCs w:val="22"/>
              </w:rPr>
            </w:pPr>
            <w:r w:rsidRPr="00874922">
              <w:rPr>
                <w:sz w:val="22"/>
                <w:szCs w:val="22"/>
              </w:rPr>
              <w:t>Srednje</w:t>
            </w:r>
            <w:r w:rsidRPr="00874922">
              <w:rPr>
                <w:spacing w:val="-5"/>
                <w:sz w:val="22"/>
                <w:szCs w:val="22"/>
              </w:rPr>
              <w:t xml:space="preserve"> </w:t>
            </w:r>
            <w:r w:rsidRPr="00874922">
              <w:rPr>
                <w:sz w:val="22"/>
                <w:szCs w:val="22"/>
              </w:rPr>
              <w:t>povećanje</w:t>
            </w:r>
            <w:r w:rsidRPr="00874922">
              <w:rPr>
                <w:spacing w:val="-4"/>
                <w:sz w:val="22"/>
                <w:szCs w:val="22"/>
              </w:rPr>
              <w:t xml:space="preserve"> </w:t>
            </w:r>
            <w:r w:rsidRPr="00874922">
              <w:rPr>
                <w:sz w:val="22"/>
                <w:szCs w:val="22"/>
              </w:rPr>
              <w:t>BMD</w:t>
            </w:r>
          </w:p>
          <w:p w:rsidR="00487FFC" w:rsidRPr="00874922" w:rsidRDefault="00487FFC" w:rsidP="00487FFC">
            <w:pPr>
              <w:widowControl w:val="0"/>
              <w:autoSpaceDE w:val="0"/>
              <w:autoSpaceDN w:val="0"/>
              <w:spacing w:line="219" w:lineRule="exact"/>
              <w:ind w:left="100"/>
              <w:rPr>
                <w:sz w:val="22"/>
                <w:szCs w:val="22"/>
              </w:rPr>
            </w:pPr>
            <w:r w:rsidRPr="00874922">
              <w:rPr>
                <w:sz w:val="22"/>
                <w:szCs w:val="22"/>
              </w:rPr>
              <w:t>c</w:t>
            </w:r>
            <w:r>
              <w:rPr>
                <w:sz w:val="22"/>
                <w:szCs w:val="22"/>
              </w:rPr>
              <w:t>ij</w:t>
            </w:r>
            <w:r w:rsidRPr="00874922">
              <w:rPr>
                <w:sz w:val="22"/>
                <w:szCs w:val="22"/>
              </w:rPr>
              <w:t>elog</w:t>
            </w:r>
            <w:r w:rsidRPr="00874922">
              <w:rPr>
                <w:spacing w:val="-1"/>
                <w:sz w:val="22"/>
                <w:szCs w:val="22"/>
              </w:rPr>
              <w:t xml:space="preserve"> </w:t>
            </w:r>
            <w:r w:rsidRPr="00874922">
              <w:rPr>
                <w:sz w:val="22"/>
                <w:szCs w:val="22"/>
              </w:rPr>
              <w:t>t</w:t>
            </w:r>
            <w:r>
              <w:rPr>
                <w:sz w:val="22"/>
                <w:szCs w:val="22"/>
              </w:rPr>
              <w:t>ij</w:t>
            </w:r>
            <w:r w:rsidRPr="00874922">
              <w:rPr>
                <w:sz w:val="22"/>
                <w:szCs w:val="22"/>
              </w:rPr>
              <w:t>ela</w:t>
            </w:r>
            <w:r w:rsidRPr="00874922">
              <w:rPr>
                <w:spacing w:val="-1"/>
                <w:sz w:val="22"/>
                <w:szCs w:val="22"/>
              </w:rPr>
              <w:t xml:space="preserve"> </w:t>
            </w:r>
            <w:r w:rsidRPr="00874922">
              <w:rPr>
                <w:sz w:val="22"/>
                <w:szCs w:val="22"/>
              </w:rPr>
              <w:t>u</w:t>
            </w:r>
            <w:r w:rsidRPr="00874922">
              <w:rPr>
                <w:spacing w:val="1"/>
                <w:sz w:val="22"/>
                <w:szCs w:val="22"/>
              </w:rPr>
              <w:t xml:space="preserve"> </w:t>
            </w:r>
            <w:r w:rsidRPr="00874922">
              <w:rPr>
                <w:sz w:val="22"/>
                <w:szCs w:val="22"/>
              </w:rPr>
              <w:t>%</w:t>
            </w:r>
          </w:p>
        </w:tc>
        <w:tc>
          <w:tcPr>
            <w:tcW w:w="1795"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NA</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4,5%</w:t>
            </w:r>
          </w:p>
        </w:tc>
        <w:tc>
          <w:tcPr>
            <w:tcW w:w="1796" w:type="dxa"/>
            <w:vAlign w:val="center"/>
          </w:tcPr>
          <w:p w:rsidR="00487FFC" w:rsidRDefault="00487FFC" w:rsidP="00487FFC">
            <w:pPr>
              <w:tabs>
                <w:tab w:val="left" w:pos="540"/>
                <w:tab w:val="left" w:pos="569"/>
              </w:tabs>
              <w:jc w:val="center"/>
              <w:rPr>
                <w:bCs/>
                <w:sz w:val="22"/>
                <w:szCs w:val="22"/>
              </w:rPr>
            </w:pPr>
            <w:r>
              <w:rPr>
                <w:bCs/>
                <w:sz w:val="22"/>
                <w:szCs w:val="22"/>
              </w:rPr>
              <w:t>8,9%</w:t>
            </w:r>
          </w:p>
        </w:tc>
      </w:tr>
    </w:tbl>
    <w:p w:rsidR="00880998" w:rsidRPr="00880998" w:rsidRDefault="00880998" w:rsidP="00880998">
      <w:pPr>
        <w:tabs>
          <w:tab w:val="left" w:pos="540"/>
          <w:tab w:val="left" w:pos="569"/>
        </w:tabs>
        <w:jc w:val="both"/>
        <w:rPr>
          <w:bCs/>
          <w:sz w:val="20"/>
          <w:szCs w:val="20"/>
        </w:rPr>
      </w:pPr>
      <w:r>
        <w:rPr>
          <w:b/>
          <w:bCs/>
          <w:sz w:val="22"/>
          <w:szCs w:val="22"/>
        </w:rPr>
        <w:tab/>
      </w:r>
      <w:r w:rsidRPr="00880998">
        <w:rPr>
          <w:bCs/>
          <w:sz w:val="20"/>
          <w:szCs w:val="20"/>
        </w:rPr>
        <w:t>NP = Nije prim</w:t>
      </w:r>
      <w:r>
        <w:rPr>
          <w:bCs/>
          <w:sz w:val="20"/>
          <w:szCs w:val="20"/>
        </w:rPr>
        <w:t>j</w:t>
      </w:r>
      <w:r w:rsidRPr="00880998">
        <w:rPr>
          <w:bCs/>
          <w:sz w:val="20"/>
          <w:szCs w:val="20"/>
        </w:rPr>
        <w:t>enljivo</w:t>
      </w:r>
    </w:p>
    <w:p w:rsidR="00880998" w:rsidRDefault="00880998" w:rsidP="00880998">
      <w:pPr>
        <w:tabs>
          <w:tab w:val="left" w:pos="540"/>
          <w:tab w:val="left" w:pos="569"/>
        </w:tabs>
        <w:jc w:val="both"/>
        <w:rPr>
          <w:bCs/>
          <w:sz w:val="20"/>
          <w:szCs w:val="20"/>
        </w:rPr>
      </w:pPr>
      <w:r w:rsidRPr="00880998">
        <w:rPr>
          <w:bCs/>
          <w:sz w:val="20"/>
          <w:szCs w:val="20"/>
          <w:vertAlign w:val="superscript"/>
        </w:rPr>
        <w:tab/>
        <w:t>a</w:t>
      </w:r>
      <w:r w:rsidRPr="00880998">
        <w:rPr>
          <w:bCs/>
          <w:sz w:val="20"/>
          <w:szCs w:val="20"/>
        </w:rPr>
        <w:t xml:space="preserve"> </w:t>
      </w:r>
      <w:r w:rsidR="00487FFC" w:rsidRPr="00487FFC">
        <w:rPr>
          <w:bCs/>
          <w:sz w:val="20"/>
          <w:szCs w:val="20"/>
        </w:rPr>
        <w:t>BMD Z-skorovi</w:t>
      </w:r>
      <w:r w:rsidR="00487FFC">
        <w:rPr>
          <w:bCs/>
          <w:sz w:val="20"/>
          <w:szCs w:val="20"/>
        </w:rPr>
        <w:t xml:space="preserve"> dostupni samo za ograničen broj ispitanka sa podudatnim referentnim podacima</w:t>
      </w:r>
    </w:p>
    <w:p w:rsidR="00487FFC" w:rsidRPr="00880998" w:rsidRDefault="00487FFC" w:rsidP="00880998">
      <w:pPr>
        <w:tabs>
          <w:tab w:val="left" w:pos="540"/>
          <w:tab w:val="left" w:pos="569"/>
        </w:tabs>
        <w:jc w:val="both"/>
        <w:rPr>
          <w:bCs/>
          <w:sz w:val="20"/>
          <w:szCs w:val="20"/>
        </w:rPr>
      </w:pPr>
      <w:r>
        <w:rPr>
          <w:bCs/>
          <w:sz w:val="20"/>
          <w:szCs w:val="20"/>
        </w:rPr>
        <w:tab/>
      </w:r>
      <w:r w:rsidRPr="00487FFC">
        <w:rPr>
          <w:bCs/>
          <w:sz w:val="20"/>
          <w:szCs w:val="20"/>
          <w:vertAlign w:val="superscript"/>
        </w:rPr>
        <w:t>b</w:t>
      </w:r>
      <w:r>
        <w:rPr>
          <w:bCs/>
          <w:sz w:val="20"/>
          <w:szCs w:val="20"/>
        </w:rPr>
        <w:t xml:space="preserve"> Sekundarna krajnja tačka do 48.nedjelje</w:t>
      </w:r>
    </w:p>
    <w:p w:rsidR="00E4312F" w:rsidRPr="00786071" w:rsidRDefault="00E4312F" w:rsidP="0074527F">
      <w:pPr>
        <w:tabs>
          <w:tab w:val="left" w:pos="540"/>
          <w:tab w:val="left" w:pos="569"/>
        </w:tabs>
        <w:jc w:val="both"/>
        <w:rPr>
          <w:b/>
          <w:bCs/>
          <w:sz w:val="22"/>
          <w:szCs w:val="22"/>
        </w:rPr>
      </w:pPr>
    </w:p>
    <w:p w:rsidR="0072020E" w:rsidRPr="00F434D9" w:rsidRDefault="0072020E" w:rsidP="00A443AA">
      <w:pPr>
        <w:tabs>
          <w:tab w:val="left" w:pos="540"/>
          <w:tab w:val="left" w:pos="569"/>
        </w:tabs>
        <w:jc w:val="both"/>
        <w:rPr>
          <w:b/>
          <w:bCs/>
          <w:sz w:val="22"/>
          <w:szCs w:val="22"/>
        </w:rPr>
      </w:pPr>
      <w:r w:rsidRPr="00192010">
        <w:rPr>
          <w:b/>
          <w:bCs/>
          <w:sz w:val="22"/>
          <w:szCs w:val="22"/>
        </w:rPr>
        <w:t xml:space="preserve">5.2. </w:t>
      </w:r>
      <w:r w:rsidR="00480FB1" w:rsidRPr="00192010">
        <w:rPr>
          <w:b/>
          <w:bCs/>
          <w:sz w:val="22"/>
          <w:szCs w:val="22"/>
        </w:rPr>
        <w:tab/>
      </w:r>
      <w:r w:rsidRPr="00192010">
        <w:rPr>
          <w:b/>
          <w:bCs/>
          <w:sz w:val="22"/>
          <w:szCs w:val="22"/>
        </w:rPr>
        <w:t>Farmakokin</w:t>
      </w:r>
      <w:r w:rsidRPr="0078797C">
        <w:rPr>
          <w:b/>
          <w:bCs/>
          <w:sz w:val="22"/>
          <w:szCs w:val="22"/>
        </w:rPr>
        <w:t>etički podaci</w:t>
      </w:r>
      <w:r w:rsidR="003A7059" w:rsidRPr="00E84177">
        <w:rPr>
          <w:b/>
          <w:bCs/>
          <w:sz w:val="22"/>
          <w:szCs w:val="22"/>
        </w:rPr>
        <w:t xml:space="preserve"> </w:t>
      </w:r>
    </w:p>
    <w:p w:rsidR="00DF76D5" w:rsidRPr="00192010" w:rsidRDefault="00DF76D5" w:rsidP="00A443AA">
      <w:pPr>
        <w:tabs>
          <w:tab w:val="left" w:pos="540"/>
          <w:tab w:val="left" w:pos="569"/>
        </w:tabs>
        <w:jc w:val="both"/>
        <w:rPr>
          <w:b/>
          <w:bCs/>
          <w:sz w:val="22"/>
          <w:szCs w:val="22"/>
        </w:rPr>
      </w:pPr>
    </w:p>
    <w:p w:rsidR="00DF76D5" w:rsidRPr="00192010" w:rsidRDefault="00DF76D5" w:rsidP="00192010">
      <w:pPr>
        <w:tabs>
          <w:tab w:val="left" w:pos="540"/>
          <w:tab w:val="left" w:pos="569"/>
        </w:tabs>
        <w:jc w:val="both"/>
        <w:rPr>
          <w:bCs/>
          <w:sz w:val="22"/>
          <w:szCs w:val="22"/>
        </w:rPr>
      </w:pPr>
      <w:r w:rsidRPr="00192010">
        <w:rPr>
          <w:bCs/>
          <w:sz w:val="22"/>
          <w:szCs w:val="22"/>
        </w:rPr>
        <w:t xml:space="preserve">Tenofovir dizoproksil je estarski prolijek rastvorljiv u vodi koji se </w:t>
      </w:r>
      <w:r w:rsidRPr="00192010">
        <w:rPr>
          <w:bCs/>
          <w:i/>
          <w:sz w:val="22"/>
          <w:szCs w:val="22"/>
        </w:rPr>
        <w:t xml:space="preserve">in vivo </w:t>
      </w:r>
      <w:r w:rsidRPr="00192010">
        <w:rPr>
          <w:bCs/>
          <w:sz w:val="22"/>
          <w:szCs w:val="22"/>
        </w:rPr>
        <w:t>brzo konvertuje u tenofovir i formaldehid. Tenofovir se intracelularno konvertuje u tenofovir monofosfat i u aktivnu komponentu tenofovir difosfat.</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Resorpcija</w:t>
      </w:r>
    </w:p>
    <w:p w:rsidR="00DF76D5" w:rsidRPr="007C488E" w:rsidRDefault="00DF76D5">
      <w:pPr>
        <w:tabs>
          <w:tab w:val="left" w:pos="540"/>
          <w:tab w:val="left" w:pos="569"/>
        </w:tabs>
        <w:jc w:val="both"/>
        <w:rPr>
          <w:bCs/>
          <w:sz w:val="22"/>
          <w:szCs w:val="22"/>
        </w:rPr>
      </w:pPr>
      <w:r w:rsidRPr="00192010">
        <w:rPr>
          <w:bCs/>
          <w:sz w:val="22"/>
          <w:szCs w:val="22"/>
        </w:rPr>
        <w:t>Nakon oralne primjene tenofovir dizoproksila kod pacijenata inficiranih HIV-om, tenofovir dizoproksil se brzo resorbuje i konvertuje u tenofovir. Primjena višestrukih doza tenofovir dizoproksila sa obrokom kod pacijenata inficiranih HIV-om dovela je do srednjih vrijednosti (%CV) za C</w:t>
      </w:r>
      <w:r w:rsidRPr="00192010">
        <w:rPr>
          <w:bCs/>
          <w:sz w:val="22"/>
          <w:szCs w:val="22"/>
          <w:vertAlign w:val="subscript"/>
        </w:rPr>
        <w:t>max</w:t>
      </w:r>
      <w:r w:rsidRPr="00192010">
        <w:rPr>
          <w:bCs/>
          <w:sz w:val="22"/>
          <w:szCs w:val="22"/>
        </w:rPr>
        <w:t>, PIK i C</w:t>
      </w:r>
      <w:r w:rsidRPr="00192010">
        <w:rPr>
          <w:bCs/>
          <w:sz w:val="22"/>
          <w:szCs w:val="22"/>
          <w:vertAlign w:val="subscript"/>
        </w:rPr>
        <w:t>min</w:t>
      </w:r>
      <w:r w:rsidRPr="00192010">
        <w:rPr>
          <w:bCs/>
          <w:sz w:val="22"/>
          <w:szCs w:val="22"/>
        </w:rPr>
        <w:t xml:space="preserve"> tenofovira od 326 (36,6%) nanograma/m</w:t>
      </w:r>
      <w:r w:rsidR="007C488E">
        <w:rPr>
          <w:bCs/>
          <w:sz w:val="22"/>
          <w:szCs w:val="22"/>
        </w:rPr>
        <w:t>l</w:t>
      </w:r>
      <w:r w:rsidRPr="007C488E">
        <w:rPr>
          <w:bCs/>
          <w:sz w:val="22"/>
          <w:szCs w:val="22"/>
        </w:rPr>
        <w:t>, 3,324 (41,2%) nanograma·h/m</w:t>
      </w:r>
      <w:r w:rsidR="007C488E">
        <w:rPr>
          <w:bCs/>
          <w:sz w:val="22"/>
          <w:szCs w:val="22"/>
        </w:rPr>
        <w:t>l</w:t>
      </w:r>
      <w:r w:rsidRPr="007C488E">
        <w:rPr>
          <w:bCs/>
          <w:sz w:val="22"/>
          <w:szCs w:val="22"/>
        </w:rPr>
        <w:t xml:space="preserve"> i 64,4 (39,4%) nanograma/m</w:t>
      </w:r>
      <w:r w:rsidR="007C488E">
        <w:rPr>
          <w:bCs/>
          <w:sz w:val="22"/>
          <w:szCs w:val="22"/>
        </w:rPr>
        <w:t>l</w:t>
      </w:r>
      <w:r w:rsidRPr="007C488E">
        <w:rPr>
          <w:bCs/>
          <w:sz w:val="22"/>
          <w:szCs w:val="22"/>
        </w:rPr>
        <w:t>. Maksimalne koncentracije tenofovira su zabilježene u serumu u okviru jednog časa od doziranja natašte i u okviru dva časa pri uzimanju sa hranom. Oralna biološka raspoloživost tenofovira iz tenofovir dizoproksila kod pacijenata natašte je bila približno 25%. Primjena tenofovir dizoproksila sa obrokom sa visokim sadržajem masti pojačala je oralnu biološku raspoloživost, sa povećanjem vrijednosti PIK-a za tenofovir za približno 40% i sa povišenjem C</w:t>
      </w:r>
      <w:r w:rsidRPr="007C488E">
        <w:rPr>
          <w:bCs/>
          <w:sz w:val="22"/>
          <w:szCs w:val="22"/>
          <w:vertAlign w:val="subscript"/>
        </w:rPr>
        <w:t>max</w:t>
      </w:r>
      <w:r w:rsidRPr="007C488E">
        <w:rPr>
          <w:bCs/>
          <w:sz w:val="22"/>
          <w:szCs w:val="22"/>
        </w:rPr>
        <w:t xml:space="preserve"> za približno 14%. Nakon prve doze tenofovir dizoproksila kod sitih pacijenata, srednja C</w:t>
      </w:r>
      <w:r w:rsidRPr="007C488E">
        <w:rPr>
          <w:bCs/>
          <w:sz w:val="22"/>
          <w:szCs w:val="22"/>
          <w:vertAlign w:val="subscript"/>
        </w:rPr>
        <w:t>max</w:t>
      </w:r>
      <w:r w:rsidRPr="007C488E">
        <w:rPr>
          <w:bCs/>
          <w:sz w:val="22"/>
          <w:szCs w:val="22"/>
        </w:rPr>
        <w:t xml:space="preserve"> u serumu bila je u opsegu između 213 i 375 nanograma/m</w:t>
      </w:r>
      <w:r w:rsidR="007C488E">
        <w:rPr>
          <w:bCs/>
          <w:sz w:val="22"/>
          <w:szCs w:val="22"/>
        </w:rPr>
        <w:t>l</w:t>
      </w:r>
      <w:r w:rsidRPr="007C488E">
        <w:rPr>
          <w:bCs/>
          <w:sz w:val="22"/>
          <w:szCs w:val="22"/>
        </w:rPr>
        <w:t>. Ipak, primjena tenofovir dizoproksila sa lakim obrokom nije imala značajne efekte na farmakokinetiku tenofovira.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Distribucija</w:t>
      </w:r>
    </w:p>
    <w:p w:rsidR="00DF76D5" w:rsidRPr="007C488E" w:rsidRDefault="00DF76D5">
      <w:pPr>
        <w:tabs>
          <w:tab w:val="left" w:pos="540"/>
          <w:tab w:val="left" w:pos="569"/>
        </w:tabs>
        <w:jc w:val="both"/>
        <w:rPr>
          <w:bCs/>
          <w:sz w:val="22"/>
          <w:szCs w:val="22"/>
        </w:rPr>
      </w:pPr>
      <w:r w:rsidRPr="00192010">
        <w:rPr>
          <w:bCs/>
          <w:sz w:val="22"/>
          <w:szCs w:val="22"/>
        </w:rPr>
        <w:t>Procijenjeno je da je zapremina distribucije tenofovira pri ravnotežnom stanju nakon intravenske primjene približno 800 m</w:t>
      </w:r>
      <w:r w:rsidR="007C488E">
        <w:rPr>
          <w:bCs/>
          <w:sz w:val="22"/>
          <w:szCs w:val="22"/>
        </w:rPr>
        <w:t>l</w:t>
      </w:r>
      <w:r w:rsidRPr="007C488E">
        <w:rPr>
          <w:bCs/>
          <w:sz w:val="22"/>
          <w:szCs w:val="22"/>
        </w:rPr>
        <w:t xml:space="preserve">/kg. Nakon oralne primjene tenofovir dizoproksila, tenofovir se raspoređuje na većinu tkiva pri čemu su najviše koncentracije u bubregu, jetri i crijevnom sadržaju (pretklinička ispitivanja). </w:t>
      </w:r>
      <w:r w:rsidRPr="007C488E">
        <w:rPr>
          <w:bCs/>
          <w:i/>
          <w:sz w:val="22"/>
          <w:szCs w:val="22"/>
        </w:rPr>
        <w:t xml:space="preserve">In vitro </w:t>
      </w:r>
      <w:r w:rsidRPr="007C488E">
        <w:rPr>
          <w:bCs/>
          <w:sz w:val="22"/>
          <w:szCs w:val="22"/>
        </w:rPr>
        <w:t>vezivanje tenofovira za proteine plazme ili seruma je bilo manje od 0,7 odnosno 7,2%, pri opsegu koncentracije tenofovira od 0,01 do 25 mikrograma/m</w:t>
      </w:r>
      <w:r w:rsidR="007C488E">
        <w:rPr>
          <w:bCs/>
          <w:sz w:val="22"/>
          <w:szCs w:val="22"/>
        </w:rPr>
        <w:t>l</w:t>
      </w:r>
      <w:r w:rsidRPr="007C488E">
        <w:rPr>
          <w:bCs/>
          <w:sz w:val="22"/>
          <w:szCs w:val="22"/>
        </w:rPr>
        <w:t>.</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Biotransformacija</w:t>
      </w:r>
    </w:p>
    <w:p w:rsidR="00DF76D5" w:rsidRPr="00192010" w:rsidRDefault="00DF76D5">
      <w:pPr>
        <w:tabs>
          <w:tab w:val="left" w:pos="540"/>
          <w:tab w:val="left" w:pos="569"/>
        </w:tabs>
        <w:jc w:val="both"/>
        <w:rPr>
          <w:bCs/>
          <w:sz w:val="22"/>
          <w:szCs w:val="22"/>
        </w:rPr>
      </w:pPr>
      <w:r w:rsidRPr="00192010">
        <w:rPr>
          <w:bCs/>
          <w:i/>
          <w:sz w:val="22"/>
          <w:szCs w:val="22"/>
        </w:rPr>
        <w:t xml:space="preserve">In vitro </w:t>
      </w:r>
      <w:r w:rsidRPr="00192010">
        <w:rPr>
          <w:bCs/>
          <w:sz w:val="22"/>
          <w:szCs w:val="22"/>
        </w:rPr>
        <w:t xml:space="preserve">ispitivanjima je utvrđeno da ni tenofovir dizoproksil ni tenofovir ne predstavljaju supstrat za enzime CYP450. Pored toga, pri značajno većim koncentracijama (približno 300 puta) od onih zapaženih </w:t>
      </w:r>
      <w:r w:rsidRPr="00192010">
        <w:rPr>
          <w:bCs/>
          <w:i/>
          <w:sz w:val="22"/>
          <w:szCs w:val="22"/>
        </w:rPr>
        <w:t xml:space="preserve">in vivo, </w:t>
      </w:r>
      <w:r w:rsidRPr="00192010">
        <w:rPr>
          <w:bCs/>
          <w:sz w:val="22"/>
          <w:szCs w:val="22"/>
        </w:rPr>
        <w:t xml:space="preserve">tenofovir nije dovodio do inhibicije </w:t>
      </w:r>
      <w:r w:rsidRPr="00192010">
        <w:rPr>
          <w:bCs/>
          <w:i/>
          <w:sz w:val="22"/>
          <w:szCs w:val="22"/>
        </w:rPr>
        <w:t xml:space="preserve">in vitro </w:t>
      </w:r>
      <w:r w:rsidRPr="00192010">
        <w:rPr>
          <w:bCs/>
          <w:sz w:val="22"/>
          <w:szCs w:val="22"/>
        </w:rPr>
        <w:t>metabolizam ljekova posredovan bilo kojim od osnovnih humanih izoformi CYP450 koje su uključene u biotransformaciju ljekova (CYP3A4, CYP2D6, CYP2C9, CYP2E1, ili CYP1A1/2). Tenofovir dizoproksil pri koncentraciji od 100 mikromola/</w:t>
      </w:r>
      <w:r w:rsidR="007C488E">
        <w:rPr>
          <w:bCs/>
          <w:sz w:val="22"/>
          <w:szCs w:val="22"/>
        </w:rPr>
        <w:t>l</w:t>
      </w:r>
      <w:r w:rsidRPr="007C488E">
        <w:rPr>
          <w:bCs/>
          <w:sz w:val="22"/>
          <w:szCs w:val="22"/>
        </w:rPr>
        <w:t xml:space="preserve"> nije imao efekta na bilo koju od izoformi CYP450, osim CYP1A1/2, gde je primijećeno malo (6%) ali statistički značajno smanjenje metabolizma supstrata CYP1A1/2. Na osnovu ovih podataka, nije v</w:t>
      </w:r>
      <w:r w:rsidR="007E1121" w:rsidRPr="007C488E">
        <w:rPr>
          <w:bCs/>
          <w:sz w:val="22"/>
          <w:szCs w:val="22"/>
        </w:rPr>
        <w:t>j</w:t>
      </w:r>
      <w:r w:rsidRPr="007C488E">
        <w:rPr>
          <w:bCs/>
          <w:sz w:val="22"/>
          <w:szCs w:val="22"/>
        </w:rPr>
        <w:t>erovatno da će se dogoditi klinički značajne interakcije koje uključuju tenofovir</w:t>
      </w:r>
      <w:r w:rsidR="007E1121" w:rsidRPr="007C488E">
        <w:rPr>
          <w:bCs/>
          <w:sz w:val="22"/>
          <w:szCs w:val="22"/>
        </w:rPr>
        <w:t xml:space="preserve"> </w:t>
      </w:r>
      <w:r w:rsidRPr="00192010">
        <w:rPr>
          <w:bCs/>
          <w:sz w:val="22"/>
          <w:szCs w:val="22"/>
        </w:rPr>
        <w:t>dizoproksil i l</w:t>
      </w:r>
      <w:r w:rsidR="007E1121" w:rsidRPr="00192010">
        <w:rPr>
          <w:bCs/>
          <w:sz w:val="22"/>
          <w:szCs w:val="22"/>
        </w:rPr>
        <w:t>j</w:t>
      </w:r>
      <w:r w:rsidRPr="00192010">
        <w:rPr>
          <w:bCs/>
          <w:sz w:val="22"/>
          <w:szCs w:val="22"/>
        </w:rPr>
        <w:t>ekove koji se metabolišu pomoću CYP450.</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Eliminacija</w:t>
      </w:r>
    </w:p>
    <w:p w:rsidR="00DF76D5" w:rsidRPr="00192010" w:rsidRDefault="00DF76D5">
      <w:pPr>
        <w:tabs>
          <w:tab w:val="left" w:pos="540"/>
          <w:tab w:val="left" w:pos="569"/>
        </w:tabs>
        <w:jc w:val="both"/>
        <w:rPr>
          <w:bCs/>
          <w:sz w:val="22"/>
          <w:szCs w:val="22"/>
        </w:rPr>
      </w:pPr>
      <w:r w:rsidRPr="00192010">
        <w:rPr>
          <w:bCs/>
          <w:sz w:val="22"/>
          <w:szCs w:val="22"/>
        </w:rPr>
        <w:t>Tenofovir se primarno izlučuje preko bubrega, kako filtracijom, tako i aktivnim transportnim sistemom tubula, pri čemu se nakon intravenske prim</w:t>
      </w:r>
      <w:r w:rsidR="007E1121" w:rsidRPr="00192010">
        <w:rPr>
          <w:bCs/>
          <w:sz w:val="22"/>
          <w:szCs w:val="22"/>
        </w:rPr>
        <w:t>j</w:t>
      </w:r>
      <w:r w:rsidRPr="00192010">
        <w:rPr>
          <w:bCs/>
          <w:sz w:val="22"/>
          <w:szCs w:val="22"/>
        </w:rPr>
        <w:t>ene, približno 70-80% doze izluči u urin neprom</w:t>
      </w:r>
      <w:r w:rsidR="007E1121" w:rsidRPr="00192010">
        <w:rPr>
          <w:bCs/>
          <w:sz w:val="22"/>
          <w:szCs w:val="22"/>
        </w:rPr>
        <w:t>ij</w:t>
      </w:r>
      <w:r w:rsidRPr="00192010">
        <w:rPr>
          <w:bCs/>
          <w:sz w:val="22"/>
          <w:szCs w:val="22"/>
        </w:rPr>
        <w:t>enjeno. Proc</w:t>
      </w:r>
      <w:r w:rsidR="007E1121" w:rsidRPr="00192010">
        <w:rPr>
          <w:bCs/>
          <w:sz w:val="22"/>
          <w:szCs w:val="22"/>
        </w:rPr>
        <w:t>ij</w:t>
      </w:r>
      <w:r w:rsidRPr="00192010">
        <w:rPr>
          <w:bCs/>
          <w:sz w:val="22"/>
          <w:szCs w:val="22"/>
        </w:rPr>
        <w:t>enjeno je da je ukupni klirens približno 230 m</w:t>
      </w:r>
      <w:r w:rsidR="007C488E">
        <w:rPr>
          <w:bCs/>
          <w:sz w:val="22"/>
          <w:szCs w:val="22"/>
        </w:rPr>
        <w:t>l</w:t>
      </w:r>
      <w:r w:rsidRPr="007C488E">
        <w:rPr>
          <w:bCs/>
          <w:sz w:val="22"/>
          <w:szCs w:val="22"/>
        </w:rPr>
        <w:t>/h/kg (približno 300 m</w:t>
      </w:r>
      <w:r w:rsidR="007C488E">
        <w:rPr>
          <w:bCs/>
          <w:sz w:val="22"/>
          <w:szCs w:val="22"/>
        </w:rPr>
        <w:t>l</w:t>
      </w:r>
      <w:r w:rsidRPr="007C488E">
        <w:rPr>
          <w:bCs/>
          <w:sz w:val="22"/>
          <w:szCs w:val="22"/>
        </w:rPr>
        <w:t>/min). Proc</w:t>
      </w:r>
      <w:r w:rsidR="007E1121" w:rsidRPr="007C488E">
        <w:rPr>
          <w:bCs/>
          <w:sz w:val="22"/>
          <w:szCs w:val="22"/>
        </w:rPr>
        <w:t>ij</w:t>
      </w:r>
      <w:r w:rsidRPr="007C488E">
        <w:rPr>
          <w:bCs/>
          <w:sz w:val="22"/>
          <w:szCs w:val="22"/>
        </w:rPr>
        <w:t>enjeno je da je bubrežni klirens približno 160 m</w:t>
      </w:r>
      <w:r w:rsidR="007C488E">
        <w:rPr>
          <w:bCs/>
          <w:sz w:val="22"/>
          <w:szCs w:val="22"/>
        </w:rPr>
        <w:t>l</w:t>
      </w:r>
      <w:r w:rsidRPr="007C488E">
        <w:rPr>
          <w:bCs/>
          <w:sz w:val="22"/>
          <w:szCs w:val="22"/>
        </w:rPr>
        <w:t xml:space="preserve">/h/kg (približno 210 mL/min), što premašuje stopu glomerularne filtracije. Ovo ukazuje na to da je aktivna tubularna sekrecija važan </w:t>
      </w:r>
      <w:r w:rsidR="007E1121" w:rsidRPr="00192010">
        <w:rPr>
          <w:bCs/>
          <w:sz w:val="22"/>
          <w:szCs w:val="22"/>
        </w:rPr>
        <w:t>sastavni di</w:t>
      </w:r>
      <w:r w:rsidRPr="00192010">
        <w:rPr>
          <w:bCs/>
          <w:sz w:val="22"/>
          <w:szCs w:val="22"/>
        </w:rPr>
        <w:t>o eliminacije tenofovira. Nakon oralne prim</w:t>
      </w:r>
      <w:r w:rsidR="007E1121" w:rsidRPr="00192010">
        <w:rPr>
          <w:bCs/>
          <w:sz w:val="22"/>
          <w:szCs w:val="22"/>
        </w:rPr>
        <w:t>j</w:t>
      </w:r>
      <w:r w:rsidRPr="00192010">
        <w:rPr>
          <w:bCs/>
          <w:sz w:val="22"/>
          <w:szCs w:val="22"/>
        </w:rPr>
        <w:t>ene, terminalno poluvr</w:t>
      </w:r>
      <w:r w:rsidR="007E1121" w:rsidRPr="00192010">
        <w:rPr>
          <w:bCs/>
          <w:sz w:val="22"/>
          <w:szCs w:val="22"/>
        </w:rPr>
        <w:t>ij</w:t>
      </w:r>
      <w:r w:rsidRPr="00192010">
        <w:rPr>
          <w:bCs/>
          <w:sz w:val="22"/>
          <w:szCs w:val="22"/>
        </w:rPr>
        <w:t>eme eliminacije tenofovira je približno od 12 do 18 časova.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sz w:val="22"/>
          <w:szCs w:val="22"/>
        </w:rPr>
      </w:pPr>
      <w:r w:rsidRPr="00192010">
        <w:rPr>
          <w:bCs/>
          <w:sz w:val="22"/>
          <w:szCs w:val="22"/>
        </w:rPr>
        <w:t xml:space="preserve">Ispitivanjima je </w:t>
      </w:r>
      <w:r w:rsidR="007E1121" w:rsidRPr="00192010">
        <w:rPr>
          <w:bCs/>
          <w:sz w:val="22"/>
          <w:szCs w:val="22"/>
        </w:rPr>
        <w:t>utvrđ</w:t>
      </w:r>
      <w:r w:rsidRPr="00192010">
        <w:rPr>
          <w:bCs/>
          <w:sz w:val="22"/>
          <w:szCs w:val="22"/>
        </w:rPr>
        <w:t>eno da je put aktivne tubularne sekrecije tenofovira influks u proksimalnu tubularnu ćeliju putem ljudskih organskih anjonskih transportera (hOAT) 1 i 3 i efluks u urin putem proteina otpornog na više l</w:t>
      </w:r>
      <w:r w:rsidR="007E1121" w:rsidRPr="00192010">
        <w:rPr>
          <w:bCs/>
          <w:sz w:val="22"/>
          <w:szCs w:val="22"/>
        </w:rPr>
        <w:t>j</w:t>
      </w:r>
      <w:r w:rsidRPr="00192010">
        <w:rPr>
          <w:bCs/>
          <w:sz w:val="22"/>
          <w:szCs w:val="22"/>
        </w:rPr>
        <w:t>ekova 4 (MRP 4).</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Linearnost/nelinearnost</w:t>
      </w:r>
    </w:p>
    <w:p w:rsidR="00DF76D5" w:rsidRPr="00192010" w:rsidRDefault="00DF76D5">
      <w:pPr>
        <w:tabs>
          <w:tab w:val="left" w:pos="540"/>
          <w:tab w:val="left" w:pos="569"/>
        </w:tabs>
        <w:jc w:val="both"/>
        <w:rPr>
          <w:bCs/>
          <w:sz w:val="22"/>
          <w:szCs w:val="22"/>
        </w:rPr>
      </w:pPr>
      <w:r w:rsidRPr="00192010">
        <w:rPr>
          <w:bCs/>
          <w:sz w:val="22"/>
          <w:szCs w:val="22"/>
        </w:rPr>
        <w:t>Farmakokinetika tenofovira je bila nezavisna od doze tenofovir</w:t>
      </w:r>
      <w:r w:rsidR="007E1121" w:rsidRPr="00192010">
        <w:rPr>
          <w:bCs/>
          <w:sz w:val="22"/>
          <w:szCs w:val="22"/>
        </w:rPr>
        <w:t xml:space="preserve"> </w:t>
      </w:r>
      <w:r w:rsidRPr="00192010">
        <w:rPr>
          <w:bCs/>
          <w:sz w:val="22"/>
          <w:szCs w:val="22"/>
        </w:rPr>
        <w:t>dizoproksila u okviru opsega doze od 75 do 600 mg i nije bila pod uticajem ponovljenih doziranja pri bilo kom nivou doze.</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Starost</w:t>
      </w:r>
    </w:p>
    <w:p w:rsidR="00DF76D5" w:rsidRPr="007C488E" w:rsidRDefault="007E1121">
      <w:pPr>
        <w:tabs>
          <w:tab w:val="left" w:pos="540"/>
          <w:tab w:val="left" w:pos="569"/>
        </w:tabs>
        <w:jc w:val="both"/>
        <w:rPr>
          <w:bCs/>
          <w:sz w:val="22"/>
          <w:szCs w:val="22"/>
        </w:rPr>
      </w:pPr>
      <w:r w:rsidRPr="00192010">
        <w:rPr>
          <w:bCs/>
          <w:sz w:val="22"/>
          <w:szCs w:val="22"/>
        </w:rPr>
        <w:t>Farmakokinetička</w:t>
      </w:r>
      <w:r w:rsidR="00DF76D5" w:rsidRPr="00192010">
        <w:rPr>
          <w:bCs/>
          <w:sz w:val="22"/>
          <w:szCs w:val="22"/>
        </w:rPr>
        <w:t xml:space="preserve"> ispitivanja na starijim pacijentima (iznad 65 godina), ni</w:t>
      </w:r>
      <w:r w:rsidR="007C488E">
        <w:rPr>
          <w:bCs/>
          <w:sz w:val="22"/>
          <w:szCs w:val="22"/>
        </w:rPr>
        <w:t>je</w:t>
      </w:r>
      <w:r w:rsidR="00DF76D5" w:rsidRPr="007C488E">
        <w:rPr>
          <w:bCs/>
          <w:sz w:val="22"/>
          <w:szCs w:val="22"/>
        </w:rPr>
        <w:t>su obavljena.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Pol</w:t>
      </w:r>
    </w:p>
    <w:p w:rsidR="00DF76D5" w:rsidRPr="00192010" w:rsidRDefault="00DF76D5">
      <w:pPr>
        <w:tabs>
          <w:tab w:val="left" w:pos="540"/>
          <w:tab w:val="left" w:pos="569"/>
        </w:tabs>
        <w:jc w:val="both"/>
        <w:rPr>
          <w:bCs/>
          <w:i/>
          <w:sz w:val="22"/>
          <w:szCs w:val="22"/>
        </w:rPr>
      </w:pPr>
      <w:r w:rsidRPr="00192010">
        <w:rPr>
          <w:bCs/>
          <w:sz w:val="22"/>
          <w:szCs w:val="22"/>
        </w:rPr>
        <w:t>Ograničeni podaci o farmakokinetici tenofovira kod žena ukazuju na odsustvo uticaja pola.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Etničke grupe</w:t>
      </w:r>
    </w:p>
    <w:p w:rsidR="00DF76D5" w:rsidRPr="00192010" w:rsidRDefault="00DF76D5">
      <w:pPr>
        <w:tabs>
          <w:tab w:val="left" w:pos="540"/>
          <w:tab w:val="left" w:pos="569"/>
        </w:tabs>
        <w:jc w:val="both"/>
        <w:rPr>
          <w:bCs/>
          <w:sz w:val="22"/>
          <w:szCs w:val="22"/>
        </w:rPr>
      </w:pPr>
      <w:r w:rsidRPr="00192010">
        <w:rPr>
          <w:bCs/>
          <w:sz w:val="22"/>
          <w:szCs w:val="22"/>
        </w:rPr>
        <w:t>Farmakokinetika nije specifično ispitivana u različitim etničkim grupama.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Pedijatrijska populacija</w:t>
      </w:r>
    </w:p>
    <w:p w:rsidR="00DF76D5" w:rsidRPr="00192010" w:rsidRDefault="00DF76D5">
      <w:pPr>
        <w:tabs>
          <w:tab w:val="left" w:pos="540"/>
          <w:tab w:val="left" w:pos="569"/>
        </w:tabs>
        <w:jc w:val="both"/>
        <w:rPr>
          <w:bCs/>
          <w:sz w:val="22"/>
          <w:szCs w:val="22"/>
        </w:rPr>
      </w:pPr>
      <w:r w:rsidRPr="00192010">
        <w:rPr>
          <w:bCs/>
          <w:i/>
          <w:sz w:val="22"/>
          <w:szCs w:val="22"/>
        </w:rPr>
        <w:t xml:space="preserve">HIV-1: </w:t>
      </w:r>
      <w:r w:rsidRPr="00192010">
        <w:rPr>
          <w:bCs/>
          <w:sz w:val="22"/>
          <w:szCs w:val="22"/>
        </w:rPr>
        <w:t>Farmakokinetika tenofovira u ravnotežnom stanju proc</w:t>
      </w:r>
      <w:r w:rsidR="007E1121" w:rsidRPr="00192010">
        <w:rPr>
          <w:bCs/>
          <w:sz w:val="22"/>
          <w:szCs w:val="22"/>
        </w:rPr>
        <w:t>ij</w:t>
      </w:r>
      <w:r w:rsidRPr="00192010">
        <w:rPr>
          <w:bCs/>
          <w:sz w:val="22"/>
          <w:szCs w:val="22"/>
        </w:rPr>
        <w:t>enjena je kod 8 adolescentnih pacijenata inficiranih virusom HIV-1 (uzrasta 12 do &lt; 18 godina) sa t</w:t>
      </w:r>
      <w:r w:rsidR="007E1121" w:rsidRPr="00192010">
        <w:rPr>
          <w:bCs/>
          <w:sz w:val="22"/>
          <w:szCs w:val="22"/>
        </w:rPr>
        <w:t>j</w:t>
      </w:r>
      <w:r w:rsidRPr="00192010">
        <w:rPr>
          <w:bCs/>
          <w:sz w:val="22"/>
          <w:szCs w:val="22"/>
        </w:rPr>
        <w:t>elesnom masom ≥ 35 kg. Srednje vr</w:t>
      </w:r>
      <w:r w:rsidR="007E1121" w:rsidRPr="00192010">
        <w:rPr>
          <w:bCs/>
          <w:sz w:val="22"/>
          <w:szCs w:val="22"/>
        </w:rPr>
        <w:t>ij</w:t>
      </w:r>
      <w:r w:rsidRPr="00192010">
        <w:rPr>
          <w:bCs/>
          <w:sz w:val="22"/>
          <w:szCs w:val="22"/>
        </w:rPr>
        <w:t>ednosti (± SD) C</w:t>
      </w:r>
      <w:r w:rsidRPr="00192010">
        <w:rPr>
          <w:bCs/>
          <w:sz w:val="22"/>
          <w:szCs w:val="22"/>
          <w:vertAlign w:val="subscript"/>
        </w:rPr>
        <w:t>max</w:t>
      </w:r>
      <w:r w:rsidRPr="00192010">
        <w:rPr>
          <w:bCs/>
          <w:sz w:val="22"/>
          <w:szCs w:val="22"/>
        </w:rPr>
        <w:t xml:space="preserve"> i PIK</w:t>
      </w:r>
      <w:r w:rsidRPr="00192010">
        <w:rPr>
          <w:bCs/>
          <w:sz w:val="22"/>
          <w:szCs w:val="22"/>
          <w:vertAlign w:val="subscript"/>
        </w:rPr>
        <w:t>tau</w:t>
      </w:r>
      <w:r w:rsidRPr="00192010">
        <w:rPr>
          <w:bCs/>
          <w:sz w:val="22"/>
          <w:szCs w:val="22"/>
        </w:rPr>
        <w:t xml:space="preserve"> iznose 0,38 ± 0,13 mikrograma/m</w:t>
      </w:r>
      <w:r w:rsidR="007C488E">
        <w:rPr>
          <w:bCs/>
          <w:sz w:val="22"/>
          <w:szCs w:val="22"/>
        </w:rPr>
        <w:t>l</w:t>
      </w:r>
      <w:r w:rsidRPr="007C488E">
        <w:rPr>
          <w:bCs/>
          <w:sz w:val="22"/>
          <w:szCs w:val="22"/>
        </w:rPr>
        <w:t>, odnosno 3,39 ± 1,22 mikrograma·h/m</w:t>
      </w:r>
      <w:r w:rsidR="007C488E">
        <w:rPr>
          <w:bCs/>
          <w:sz w:val="22"/>
          <w:szCs w:val="22"/>
        </w:rPr>
        <w:t>l</w:t>
      </w:r>
      <w:r w:rsidRPr="007C488E">
        <w:rPr>
          <w:bCs/>
          <w:sz w:val="22"/>
          <w:szCs w:val="22"/>
        </w:rPr>
        <w:t>. Izloženost tenofoviru koja je postignuta kod adolescentnih pacijenata koji su primali oralne dnevne doze 245 mg tenofovir</w:t>
      </w:r>
      <w:r w:rsidR="007E1121" w:rsidRPr="00192010">
        <w:rPr>
          <w:bCs/>
          <w:sz w:val="22"/>
          <w:szCs w:val="22"/>
        </w:rPr>
        <w:t xml:space="preserve"> </w:t>
      </w:r>
      <w:r w:rsidRPr="00192010">
        <w:rPr>
          <w:bCs/>
          <w:sz w:val="22"/>
          <w:szCs w:val="22"/>
        </w:rPr>
        <w:t>dizoproksila bila je slična izloženosti koja je postignuta kod odraslih pacijenata koji su primali jednom dnevno dozu od 245 mg tenofovir</w:t>
      </w:r>
      <w:r w:rsidR="007E1121" w:rsidRPr="00192010">
        <w:rPr>
          <w:bCs/>
          <w:sz w:val="22"/>
          <w:szCs w:val="22"/>
        </w:rPr>
        <w:t xml:space="preserve"> </w:t>
      </w:r>
      <w:r w:rsidRPr="00192010">
        <w:rPr>
          <w:bCs/>
          <w:sz w:val="22"/>
          <w:szCs w:val="22"/>
        </w:rPr>
        <w:t>dizoproksila.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sz w:val="22"/>
          <w:szCs w:val="22"/>
        </w:rPr>
      </w:pPr>
      <w:r w:rsidRPr="00192010">
        <w:rPr>
          <w:bCs/>
          <w:i/>
          <w:sz w:val="22"/>
          <w:szCs w:val="22"/>
        </w:rPr>
        <w:t xml:space="preserve">Hronični hepatitis B: </w:t>
      </w:r>
      <w:r w:rsidRPr="00192010">
        <w:rPr>
          <w:bCs/>
          <w:sz w:val="22"/>
          <w:szCs w:val="22"/>
        </w:rPr>
        <w:t>Izloženost tenofoviru u stanju ravnoteže kod adolescenata inficiranih virusom HBV-a (uzrasta od  12 do &lt; 18 godina) koji su oralno primali dnevnu dozu tenofovir</w:t>
      </w:r>
      <w:r w:rsidR="007E1121" w:rsidRPr="00192010">
        <w:rPr>
          <w:bCs/>
          <w:sz w:val="22"/>
          <w:szCs w:val="22"/>
        </w:rPr>
        <w:t xml:space="preserve"> </w:t>
      </w:r>
      <w:r w:rsidRPr="00192010">
        <w:rPr>
          <w:bCs/>
          <w:sz w:val="22"/>
          <w:szCs w:val="22"/>
        </w:rPr>
        <w:t>dizoproksila od 245 mg je bila slična izloženosti postignutoj kod odraslih pacijenata koji su dobijali dnevnu dozu tenofovir</w:t>
      </w:r>
      <w:r w:rsidR="007E1121" w:rsidRPr="00192010">
        <w:rPr>
          <w:bCs/>
          <w:sz w:val="22"/>
          <w:szCs w:val="22"/>
        </w:rPr>
        <w:t xml:space="preserve"> </w:t>
      </w:r>
      <w:r w:rsidRPr="00192010">
        <w:rPr>
          <w:bCs/>
          <w:sz w:val="22"/>
          <w:szCs w:val="22"/>
        </w:rPr>
        <w:t>dizoproksila od 245 mg.</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sz w:val="22"/>
          <w:szCs w:val="22"/>
        </w:rPr>
      </w:pPr>
      <w:r w:rsidRPr="00192010">
        <w:rPr>
          <w:bCs/>
          <w:sz w:val="22"/>
          <w:szCs w:val="22"/>
        </w:rPr>
        <w:t>Izloženost tenofoviru kod pedijatrijskih pacijenata inficiranih virusom HBV uzrasta 2 do &lt;12 godina, koji su primali jednu oralnu dnevnu dozu tenofovir</w:t>
      </w:r>
      <w:r w:rsidR="007E1121" w:rsidRPr="00192010">
        <w:rPr>
          <w:bCs/>
          <w:sz w:val="22"/>
          <w:szCs w:val="22"/>
        </w:rPr>
        <w:t xml:space="preserve"> </w:t>
      </w:r>
      <w:r w:rsidRPr="00192010">
        <w:rPr>
          <w:bCs/>
          <w:sz w:val="22"/>
          <w:szCs w:val="22"/>
        </w:rPr>
        <w:t>dizoproksila od 6,5 mg/kg t</w:t>
      </w:r>
      <w:r w:rsidR="007E1121" w:rsidRPr="00192010">
        <w:rPr>
          <w:bCs/>
          <w:sz w:val="22"/>
          <w:szCs w:val="22"/>
        </w:rPr>
        <w:t>j</w:t>
      </w:r>
      <w:r w:rsidRPr="00192010">
        <w:rPr>
          <w:bCs/>
          <w:sz w:val="22"/>
          <w:szCs w:val="22"/>
        </w:rPr>
        <w:t>elesne mase (u obliku tableta ili granula) do maksimalne doze od 245 mg bila je slična izloženostima postigutnim kod pedijatrijskih pacijenata inficiranih virusom HIV-1 uzrasta 2 do &lt;12 godina koji su primali jednu dnevnu dozu tenofovir</w:t>
      </w:r>
      <w:r w:rsidR="007E1121" w:rsidRPr="00192010">
        <w:rPr>
          <w:bCs/>
          <w:sz w:val="22"/>
          <w:szCs w:val="22"/>
        </w:rPr>
        <w:t xml:space="preserve"> </w:t>
      </w:r>
      <w:r w:rsidRPr="00192010">
        <w:rPr>
          <w:bCs/>
          <w:sz w:val="22"/>
          <w:szCs w:val="22"/>
        </w:rPr>
        <w:t>dizoproksila od 6,5 mg/kg do maksimalne doze tenofovir</w:t>
      </w:r>
      <w:r w:rsidR="007E1121" w:rsidRPr="00192010">
        <w:rPr>
          <w:bCs/>
          <w:sz w:val="22"/>
          <w:szCs w:val="22"/>
        </w:rPr>
        <w:t xml:space="preserve"> </w:t>
      </w:r>
      <w:r w:rsidRPr="00192010">
        <w:rPr>
          <w:bCs/>
          <w:sz w:val="22"/>
          <w:szCs w:val="22"/>
        </w:rPr>
        <w:t>dizoproksila od 245 mg.</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sz w:val="22"/>
          <w:szCs w:val="22"/>
        </w:rPr>
      </w:pPr>
      <w:r w:rsidRPr="00192010">
        <w:rPr>
          <w:bCs/>
          <w:sz w:val="22"/>
          <w:szCs w:val="22"/>
        </w:rPr>
        <w:t>Kod d</w:t>
      </w:r>
      <w:r w:rsidR="007E1121" w:rsidRPr="00192010">
        <w:rPr>
          <w:bCs/>
          <w:sz w:val="22"/>
          <w:szCs w:val="22"/>
        </w:rPr>
        <w:t>j</w:t>
      </w:r>
      <w:r w:rsidRPr="00192010">
        <w:rPr>
          <w:bCs/>
          <w:sz w:val="22"/>
          <w:szCs w:val="22"/>
        </w:rPr>
        <w:t>ece mlađe od 12 godina, kao i kod d</w:t>
      </w:r>
      <w:r w:rsidR="007E1121" w:rsidRPr="00192010">
        <w:rPr>
          <w:bCs/>
          <w:sz w:val="22"/>
          <w:szCs w:val="22"/>
        </w:rPr>
        <w:t>j</w:t>
      </w:r>
      <w:r w:rsidRPr="00192010">
        <w:rPr>
          <w:bCs/>
          <w:sz w:val="22"/>
          <w:szCs w:val="22"/>
        </w:rPr>
        <w:t>ece sa oštećenjem funkcije bubrega, ni</w:t>
      </w:r>
      <w:r w:rsidR="007C488E">
        <w:rPr>
          <w:bCs/>
          <w:sz w:val="22"/>
          <w:szCs w:val="22"/>
        </w:rPr>
        <w:t>je</w:t>
      </w:r>
      <w:r w:rsidRPr="007C488E">
        <w:rPr>
          <w:bCs/>
          <w:sz w:val="22"/>
          <w:szCs w:val="22"/>
        </w:rPr>
        <w:t>su sprovedena ispitivanja tenofovir</w:t>
      </w:r>
      <w:r w:rsidR="007E1121" w:rsidRPr="00192010">
        <w:rPr>
          <w:bCs/>
          <w:sz w:val="22"/>
          <w:szCs w:val="22"/>
        </w:rPr>
        <w:t xml:space="preserve"> </w:t>
      </w:r>
      <w:r w:rsidRPr="00192010">
        <w:rPr>
          <w:bCs/>
          <w:sz w:val="22"/>
          <w:szCs w:val="22"/>
        </w:rPr>
        <w:t>dizoproksila u dozi od 245 mg.</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Oštećenje funkcije bubrega</w:t>
      </w:r>
    </w:p>
    <w:p w:rsidR="00DF76D5" w:rsidRPr="007C488E" w:rsidRDefault="00DF76D5">
      <w:pPr>
        <w:tabs>
          <w:tab w:val="left" w:pos="540"/>
          <w:tab w:val="left" w:pos="569"/>
        </w:tabs>
        <w:jc w:val="both"/>
        <w:rPr>
          <w:bCs/>
          <w:sz w:val="22"/>
          <w:szCs w:val="22"/>
        </w:rPr>
      </w:pPr>
      <w:r w:rsidRPr="00192010">
        <w:rPr>
          <w:bCs/>
          <w:sz w:val="22"/>
          <w:szCs w:val="22"/>
        </w:rPr>
        <w:t>Farmakokinetički parametri tenofovira su određivani nakon oralne prim</w:t>
      </w:r>
      <w:r w:rsidR="007E1121" w:rsidRPr="00192010">
        <w:rPr>
          <w:bCs/>
          <w:sz w:val="22"/>
          <w:szCs w:val="22"/>
        </w:rPr>
        <w:t>j</w:t>
      </w:r>
      <w:r w:rsidRPr="00192010">
        <w:rPr>
          <w:bCs/>
          <w:sz w:val="22"/>
          <w:szCs w:val="22"/>
        </w:rPr>
        <w:t>ene pojedinačne doze tenofovir</w:t>
      </w:r>
      <w:r w:rsidR="007E1121" w:rsidRPr="00192010">
        <w:rPr>
          <w:bCs/>
          <w:sz w:val="22"/>
          <w:szCs w:val="22"/>
        </w:rPr>
        <w:t xml:space="preserve"> </w:t>
      </w:r>
      <w:r w:rsidRPr="00192010">
        <w:rPr>
          <w:bCs/>
          <w:sz w:val="22"/>
          <w:szCs w:val="22"/>
        </w:rPr>
        <w:t>dizoproksila od 245 mg kod 40 pacijenata koji ni</w:t>
      </w:r>
      <w:r w:rsidR="007C488E">
        <w:rPr>
          <w:bCs/>
          <w:sz w:val="22"/>
          <w:szCs w:val="22"/>
        </w:rPr>
        <w:t>je</w:t>
      </w:r>
      <w:r w:rsidRPr="007C488E">
        <w:rPr>
          <w:bCs/>
          <w:sz w:val="22"/>
          <w:szCs w:val="22"/>
        </w:rPr>
        <w:t>su bili inficirani HIV-om i HBV-om sa različitim stepenom oštećenja bubrega koje je bilo definisano na osnovu početnog klirensa kreatinina (CrCl) (normalna funkcija bubrega kada je vr</w:t>
      </w:r>
      <w:r w:rsidR="007E1121" w:rsidRPr="007C488E">
        <w:rPr>
          <w:bCs/>
          <w:sz w:val="22"/>
          <w:szCs w:val="22"/>
        </w:rPr>
        <w:t>ij</w:t>
      </w:r>
      <w:r w:rsidRPr="007C488E">
        <w:rPr>
          <w:bCs/>
          <w:sz w:val="22"/>
          <w:szCs w:val="22"/>
        </w:rPr>
        <w:t>ednost CrCl &gt;80 m</w:t>
      </w:r>
      <w:r w:rsidR="007C488E">
        <w:rPr>
          <w:bCs/>
          <w:sz w:val="22"/>
          <w:szCs w:val="22"/>
        </w:rPr>
        <w:t>l</w:t>
      </w:r>
      <w:r w:rsidRPr="007C488E">
        <w:rPr>
          <w:bCs/>
          <w:sz w:val="22"/>
          <w:szCs w:val="22"/>
        </w:rPr>
        <w:t>/min; blago CrCl=50-79 m</w:t>
      </w:r>
      <w:r w:rsidR="007C488E">
        <w:rPr>
          <w:bCs/>
          <w:sz w:val="22"/>
          <w:szCs w:val="22"/>
        </w:rPr>
        <w:t>l</w:t>
      </w:r>
      <w:r w:rsidRPr="007C488E">
        <w:rPr>
          <w:bCs/>
          <w:sz w:val="22"/>
          <w:szCs w:val="22"/>
        </w:rPr>
        <w:t>/min; um</w:t>
      </w:r>
      <w:r w:rsidR="007E1121" w:rsidRPr="007C488E">
        <w:rPr>
          <w:bCs/>
          <w:sz w:val="22"/>
          <w:szCs w:val="22"/>
        </w:rPr>
        <w:t>j</w:t>
      </w:r>
      <w:r w:rsidRPr="007C488E">
        <w:rPr>
          <w:bCs/>
          <w:sz w:val="22"/>
          <w:szCs w:val="22"/>
        </w:rPr>
        <w:t>ereno CrCl=30-49 m</w:t>
      </w:r>
      <w:r w:rsidR="007C488E">
        <w:rPr>
          <w:bCs/>
          <w:sz w:val="22"/>
          <w:szCs w:val="22"/>
        </w:rPr>
        <w:t>l</w:t>
      </w:r>
      <w:r w:rsidRPr="007C488E">
        <w:rPr>
          <w:bCs/>
          <w:sz w:val="22"/>
          <w:szCs w:val="22"/>
        </w:rPr>
        <w:t>/min i teško sa CrCl=10-29 m</w:t>
      </w:r>
      <w:r w:rsidR="007C488E">
        <w:rPr>
          <w:bCs/>
          <w:sz w:val="22"/>
          <w:szCs w:val="22"/>
        </w:rPr>
        <w:t>l</w:t>
      </w:r>
      <w:r w:rsidRPr="007C488E">
        <w:rPr>
          <w:bCs/>
          <w:sz w:val="22"/>
          <w:szCs w:val="22"/>
        </w:rPr>
        <w:t>/min). U poređenju sa pacijentima sa normalnom bubrežnom funkcijom, srednja izloženost tenofoviru (%CV) se povećala sa 2185 (12%) nanograma·h/m</w:t>
      </w:r>
      <w:r w:rsidR="007C488E">
        <w:rPr>
          <w:bCs/>
          <w:sz w:val="22"/>
          <w:szCs w:val="22"/>
        </w:rPr>
        <w:t>l</w:t>
      </w:r>
      <w:r w:rsidRPr="007C488E">
        <w:rPr>
          <w:bCs/>
          <w:sz w:val="22"/>
          <w:szCs w:val="22"/>
        </w:rPr>
        <w:t xml:space="preserve"> kod ispitanika sa vr</w:t>
      </w:r>
      <w:r w:rsidR="007E1121" w:rsidRPr="007C488E">
        <w:rPr>
          <w:bCs/>
          <w:sz w:val="22"/>
          <w:szCs w:val="22"/>
        </w:rPr>
        <w:t>ij</w:t>
      </w:r>
      <w:r w:rsidRPr="007C488E">
        <w:rPr>
          <w:bCs/>
          <w:sz w:val="22"/>
          <w:szCs w:val="22"/>
        </w:rPr>
        <w:t>ednostima CrCl &gt;80 m</w:t>
      </w:r>
      <w:r w:rsidR="007C488E">
        <w:rPr>
          <w:bCs/>
          <w:sz w:val="22"/>
          <w:szCs w:val="22"/>
        </w:rPr>
        <w:t>l</w:t>
      </w:r>
      <w:r w:rsidRPr="007C488E">
        <w:rPr>
          <w:bCs/>
          <w:sz w:val="22"/>
          <w:szCs w:val="22"/>
        </w:rPr>
        <w:t>/min na 3064 (30%) nanograma·h/m</w:t>
      </w:r>
      <w:r w:rsidR="007C488E">
        <w:rPr>
          <w:bCs/>
          <w:sz w:val="22"/>
          <w:szCs w:val="22"/>
        </w:rPr>
        <w:t>l</w:t>
      </w:r>
      <w:r w:rsidRPr="007C488E">
        <w:rPr>
          <w:bCs/>
          <w:sz w:val="22"/>
          <w:szCs w:val="22"/>
        </w:rPr>
        <w:t>, 6009 (42%) ng·h/m</w:t>
      </w:r>
      <w:r w:rsidR="007C488E">
        <w:rPr>
          <w:bCs/>
          <w:sz w:val="22"/>
          <w:szCs w:val="22"/>
        </w:rPr>
        <w:t>l</w:t>
      </w:r>
      <w:r w:rsidRPr="007C488E">
        <w:rPr>
          <w:bCs/>
          <w:sz w:val="22"/>
          <w:szCs w:val="22"/>
        </w:rPr>
        <w:t xml:space="preserve"> odnosno 15985 (45%) nanograma·h/m</w:t>
      </w:r>
      <w:r w:rsidR="007C488E">
        <w:rPr>
          <w:bCs/>
          <w:sz w:val="22"/>
          <w:szCs w:val="22"/>
        </w:rPr>
        <w:t>l</w:t>
      </w:r>
      <w:r w:rsidRPr="007C488E">
        <w:rPr>
          <w:bCs/>
          <w:sz w:val="22"/>
          <w:szCs w:val="22"/>
        </w:rPr>
        <w:t xml:space="preserve"> kod pacijenata sa blagim, um</w:t>
      </w:r>
      <w:r w:rsidR="007E1121" w:rsidRPr="007C488E">
        <w:rPr>
          <w:bCs/>
          <w:sz w:val="22"/>
          <w:szCs w:val="22"/>
        </w:rPr>
        <w:t>j</w:t>
      </w:r>
      <w:r w:rsidRPr="007C488E">
        <w:rPr>
          <w:bCs/>
          <w:sz w:val="22"/>
          <w:szCs w:val="22"/>
        </w:rPr>
        <w:t xml:space="preserve">erenim i teškim oštećenjem funkcije bubrega. Očekuje se da preporuke za doziranje kod pacijenata sa oštećenjem funkcije bubrega, sa produženim intervalom </w:t>
      </w:r>
      <w:r w:rsidR="007E1121" w:rsidRPr="00192010">
        <w:rPr>
          <w:bCs/>
          <w:sz w:val="22"/>
          <w:szCs w:val="22"/>
        </w:rPr>
        <w:t>doziranja</w:t>
      </w:r>
      <w:r w:rsidRPr="00192010">
        <w:rPr>
          <w:bCs/>
          <w:sz w:val="22"/>
          <w:szCs w:val="22"/>
        </w:rPr>
        <w:t>, dovedu do povećanih koncentracija u plazmi i nižih vr</w:t>
      </w:r>
      <w:r w:rsidR="007E1121" w:rsidRPr="00192010">
        <w:rPr>
          <w:bCs/>
          <w:sz w:val="22"/>
          <w:szCs w:val="22"/>
        </w:rPr>
        <w:t>ij</w:t>
      </w:r>
      <w:r w:rsidRPr="00192010">
        <w:rPr>
          <w:bCs/>
          <w:sz w:val="22"/>
          <w:szCs w:val="22"/>
        </w:rPr>
        <w:t>ednosti C</w:t>
      </w:r>
      <w:r w:rsidRPr="00192010">
        <w:rPr>
          <w:bCs/>
          <w:sz w:val="22"/>
          <w:szCs w:val="22"/>
          <w:vertAlign w:val="subscript"/>
        </w:rPr>
        <w:t xml:space="preserve">min </w:t>
      </w:r>
      <w:r w:rsidRPr="00192010">
        <w:rPr>
          <w:bCs/>
          <w:sz w:val="22"/>
          <w:szCs w:val="22"/>
        </w:rPr>
        <w:t>kod pacijenata sa oštećenjem funkcije bubrega u poređenju sa pacijentima sa normalnom funkcijom bubrega. Kliničke implikacije ni</w:t>
      </w:r>
      <w:r w:rsidR="007C488E">
        <w:rPr>
          <w:bCs/>
          <w:sz w:val="22"/>
          <w:szCs w:val="22"/>
        </w:rPr>
        <w:t>je</w:t>
      </w:r>
      <w:r w:rsidRPr="007C488E">
        <w:rPr>
          <w:bCs/>
          <w:sz w:val="22"/>
          <w:szCs w:val="22"/>
        </w:rPr>
        <w:t>su poznate.</w:t>
      </w:r>
    </w:p>
    <w:p w:rsidR="00DF76D5" w:rsidRPr="00192010" w:rsidRDefault="00DF76D5">
      <w:pPr>
        <w:tabs>
          <w:tab w:val="left" w:pos="540"/>
          <w:tab w:val="left" w:pos="569"/>
        </w:tabs>
        <w:jc w:val="both"/>
        <w:rPr>
          <w:bCs/>
          <w:sz w:val="22"/>
          <w:szCs w:val="22"/>
        </w:rPr>
      </w:pPr>
    </w:p>
    <w:p w:rsidR="00DF76D5" w:rsidRPr="007C488E" w:rsidRDefault="00DF76D5">
      <w:pPr>
        <w:tabs>
          <w:tab w:val="left" w:pos="540"/>
          <w:tab w:val="left" w:pos="569"/>
        </w:tabs>
        <w:jc w:val="both"/>
        <w:rPr>
          <w:bCs/>
          <w:sz w:val="22"/>
          <w:szCs w:val="22"/>
        </w:rPr>
      </w:pPr>
      <w:r w:rsidRPr="00192010">
        <w:rPr>
          <w:bCs/>
          <w:sz w:val="22"/>
          <w:szCs w:val="22"/>
        </w:rPr>
        <w:t xml:space="preserve">Kod pacijenata u terminalnoj fazi oboljenja bubrega (engl. </w:t>
      </w:r>
      <w:r w:rsidRPr="00192010">
        <w:rPr>
          <w:bCs/>
          <w:i/>
          <w:sz w:val="22"/>
          <w:szCs w:val="22"/>
        </w:rPr>
        <w:t>end-stage renal disease</w:t>
      </w:r>
      <w:r w:rsidRPr="00192010">
        <w:rPr>
          <w:bCs/>
          <w:sz w:val="22"/>
          <w:szCs w:val="22"/>
        </w:rPr>
        <w:t>, ESRD) (vr</w:t>
      </w:r>
      <w:r w:rsidR="007E1121" w:rsidRPr="00192010">
        <w:rPr>
          <w:bCs/>
          <w:sz w:val="22"/>
          <w:szCs w:val="22"/>
        </w:rPr>
        <w:t>ij</w:t>
      </w:r>
      <w:r w:rsidRPr="00192010">
        <w:rPr>
          <w:bCs/>
          <w:sz w:val="22"/>
          <w:szCs w:val="22"/>
        </w:rPr>
        <w:t>ednosti CrCl &lt;10 m</w:t>
      </w:r>
      <w:r w:rsidR="007C488E">
        <w:rPr>
          <w:bCs/>
          <w:sz w:val="22"/>
          <w:szCs w:val="22"/>
        </w:rPr>
        <w:t>l</w:t>
      </w:r>
      <w:r w:rsidRPr="007C488E">
        <w:rPr>
          <w:bCs/>
          <w:sz w:val="22"/>
          <w:szCs w:val="22"/>
        </w:rPr>
        <w:t>/min) koji zaht</w:t>
      </w:r>
      <w:r w:rsidR="007E1121" w:rsidRPr="007C488E">
        <w:rPr>
          <w:bCs/>
          <w:sz w:val="22"/>
          <w:szCs w:val="22"/>
        </w:rPr>
        <w:t>ij</w:t>
      </w:r>
      <w:r w:rsidRPr="007C488E">
        <w:rPr>
          <w:bCs/>
          <w:sz w:val="22"/>
          <w:szCs w:val="22"/>
        </w:rPr>
        <w:t>evaju hemodijalizu, između dijaliza su koncentracije tenofovira značajno rasle tokom 48 časova, postižući srednju C</w:t>
      </w:r>
      <w:r w:rsidRPr="007C488E">
        <w:rPr>
          <w:bCs/>
          <w:sz w:val="22"/>
          <w:szCs w:val="22"/>
          <w:vertAlign w:val="subscript"/>
        </w:rPr>
        <w:t>max</w:t>
      </w:r>
      <w:r w:rsidRPr="007C488E">
        <w:rPr>
          <w:bCs/>
          <w:sz w:val="22"/>
          <w:szCs w:val="22"/>
        </w:rPr>
        <w:t xml:space="preserve"> od 1032 nanograma/m</w:t>
      </w:r>
      <w:r w:rsidR="007C488E">
        <w:rPr>
          <w:bCs/>
          <w:sz w:val="22"/>
          <w:szCs w:val="22"/>
        </w:rPr>
        <w:t>l</w:t>
      </w:r>
      <w:r w:rsidRPr="007C488E">
        <w:rPr>
          <w:bCs/>
          <w:sz w:val="22"/>
          <w:szCs w:val="22"/>
        </w:rPr>
        <w:t xml:space="preserve"> i srednju vr</w:t>
      </w:r>
      <w:r w:rsidR="007E1121" w:rsidRPr="007C488E">
        <w:rPr>
          <w:bCs/>
          <w:sz w:val="22"/>
          <w:szCs w:val="22"/>
        </w:rPr>
        <w:t>ij</w:t>
      </w:r>
      <w:r w:rsidRPr="007C488E">
        <w:rPr>
          <w:bCs/>
          <w:sz w:val="22"/>
          <w:szCs w:val="22"/>
        </w:rPr>
        <w:t>ednost PIK</w:t>
      </w:r>
      <w:r w:rsidRPr="007C488E">
        <w:rPr>
          <w:bCs/>
          <w:sz w:val="22"/>
          <w:szCs w:val="22"/>
          <w:vertAlign w:val="subscript"/>
        </w:rPr>
        <w:t>0-48h</w:t>
      </w:r>
      <w:r w:rsidRPr="007C488E">
        <w:rPr>
          <w:bCs/>
          <w:sz w:val="22"/>
          <w:szCs w:val="22"/>
        </w:rPr>
        <w:t xml:space="preserve"> od 42857 nanograma·h/m</w:t>
      </w:r>
      <w:r w:rsidR="007C488E">
        <w:rPr>
          <w:bCs/>
          <w:sz w:val="22"/>
          <w:szCs w:val="22"/>
        </w:rPr>
        <w:t>l</w:t>
      </w:r>
      <w:r w:rsidRPr="007C488E">
        <w:rPr>
          <w:bCs/>
          <w:sz w:val="22"/>
          <w:szCs w:val="22"/>
        </w:rPr>
        <w:t>.</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sz w:val="22"/>
          <w:szCs w:val="22"/>
        </w:rPr>
      </w:pPr>
      <w:r w:rsidRPr="00192010">
        <w:rPr>
          <w:bCs/>
          <w:sz w:val="22"/>
          <w:szCs w:val="22"/>
        </w:rPr>
        <w:t>Preporučuje se da se interval između doza za tenofovir</w:t>
      </w:r>
      <w:r w:rsidR="007E1121" w:rsidRPr="00192010">
        <w:rPr>
          <w:bCs/>
          <w:sz w:val="22"/>
          <w:szCs w:val="22"/>
        </w:rPr>
        <w:t xml:space="preserve"> </w:t>
      </w:r>
      <w:r w:rsidRPr="00192010">
        <w:rPr>
          <w:bCs/>
          <w:sz w:val="22"/>
          <w:szCs w:val="22"/>
        </w:rPr>
        <w:t>dizoproksil od 245 mg modifikuje kod odraslih pacijenata sa klirensom kreatinina &lt;50 m</w:t>
      </w:r>
      <w:r w:rsidR="007C488E">
        <w:rPr>
          <w:bCs/>
          <w:sz w:val="22"/>
          <w:szCs w:val="22"/>
        </w:rPr>
        <w:t>l</w:t>
      </w:r>
      <w:r w:rsidRPr="007C488E">
        <w:rPr>
          <w:bCs/>
          <w:sz w:val="22"/>
          <w:szCs w:val="22"/>
        </w:rPr>
        <w:t>/min ili kod pacijenata koji već imaju ESRD i koji zaht</w:t>
      </w:r>
      <w:r w:rsidR="007E1121" w:rsidRPr="007C488E">
        <w:rPr>
          <w:bCs/>
          <w:sz w:val="22"/>
          <w:szCs w:val="22"/>
        </w:rPr>
        <w:t>ij</w:t>
      </w:r>
      <w:r w:rsidRPr="007C488E">
        <w:rPr>
          <w:bCs/>
          <w:sz w:val="22"/>
          <w:szCs w:val="22"/>
        </w:rPr>
        <w:t>evaju hemodijalizu (vid</w:t>
      </w:r>
      <w:r w:rsidR="007E1121" w:rsidRPr="00192010">
        <w:rPr>
          <w:bCs/>
          <w:sz w:val="22"/>
          <w:szCs w:val="22"/>
        </w:rPr>
        <w:t>j</w:t>
      </w:r>
      <w:r w:rsidRPr="00192010">
        <w:rPr>
          <w:bCs/>
          <w:sz w:val="22"/>
          <w:szCs w:val="22"/>
        </w:rPr>
        <w:t>eti od</w:t>
      </w:r>
      <w:r w:rsidR="007E1121" w:rsidRPr="00192010">
        <w:rPr>
          <w:bCs/>
          <w:sz w:val="22"/>
          <w:szCs w:val="22"/>
        </w:rPr>
        <w:t>j</w:t>
      </w:r>
      <w:r w:rsidRPr="00192010">
        <w:rPr>
          <w:bCs/>
          <w:sz w:val="22"/>
          <w:szCs w:val="22"/>
        </w:rPr>
        <w:t>eljak 4.2).</w:t>
      </w:r>
    </w:p>
    <w:p w:rsidR="00DF76D5" w:rsidRPr="00192010" w:rsidRDefault="00DF76D5">
      <w:pPr>
        <w:tabs>
          <w:tab w:val="left" w:pos="540"/>
          <w:tab w:val="left" w:pos="569"/>
        </w:tabs>
        <w:jc w:val="both"/>
        <w:rPr>
          <w:bCs/>
          <w:sz w:val="22"/>
          <w:szCs w:val="22"/>
        </w:rPr>
      </w:pPr>
    </w:p>
    <w:p w:rsidR="00DF76D5" w:rsidRPr="007C488E" w:rsidRDefault="00DF76D5">
      <w:pPr>
        <w:tabs>
          <w:tab w:val="left" w:pos="540"/>
          <w:tab w:val="left" w:pos="569"/>
        </w:tabs>
        <w:jc w:val="both"/>
        <w:rPr>
          <w:bCs/>
          <w:sz w:val="22"/>
          <w:szCs w:val="22"/>
        </w:rPr>
      </w:pPr>
      <w:r w:rsidRPr="00192010">
        <w:rPr>
          <w:bCs/>
          <w:sz w:val="22"/>
          <w:szCs w:val="22"/>
        </w:rPr>
        <w:t>Farmakokinetika tenofovira kod pacijenata koji ni</w:t>
      </w:r>
      <w:r w:rsidR="007C488E">
        <w:rPr>
          <w:bCs/>
          <w:sz w:val="22"/>
          <w:szCs w:val="22"/>
        </w:rPr>
        <w:t>je</w:t>
      </w:r>
      <w:r w:rsidRPr="007C488E">
        <w:rPr>
          <w:bCs/>
          <w:sz w:val="22"/>
          <w:szCs w:val="22"/>
        </w:rPr>
        <w:t>su na hemodijalizi sa klirensom kreatinina</w:t>
      </w:r>
      <w:r w:rsidR="007E1121" w:rsidRPr="007C488E">
        <w:rPr>
          <w:bCs/>
          <w:sz w:val="22"/>
          <w:szCs w:val="22"/>
        </w:rPr>
        <w:t xml:space="preserve"> </w:t>
      </w:r>
      <w:r w:rsidRPr="007C488E">
        <w:rPr>
          <w:bCs/>
          <w:sz w:val="22"/>
          <w:szCs w:val="22"/>
        </w:rPr>
        <w:t>&lt;10 m</w:t>
      </w:r>
      <w:r w:rsidR="007C488E">
        <w:rPr>
          <w:bCs/>
          <w:sz w:val="22"/>
          <w:szCs w:val="22"/>
        </w:rPr>
        <w:t>l</w:t>
      </w:r>
      <w:r w:rsidRPr="007C488E">
        <w:rPr>
          <w:bCs/>
          <w:sz w:val="22"/>
          <w:szCs w:val="22"/>
        </w:rPr>
        <w:t>/min i kod pacijenata sa ESRD koji se l</w:t>
      </w:r>
      <w:r w:rsidR="007E1121" w:rsidRPr="007C488E">
        <w:rPr>
          <w:bCs/>
          <w:sz w:val="22"/>
          <w:szCs w:val="22"/>
        </w:rPr>
        <w:t>ij</w:t>
      </w:r>
      <w:r w:rsidRPr="007C488E">
        <w:rPr>
          <w:bCs/>
          <w:sz w:val="22"/>
          <w:szCs w:val="22"/>
        </w:rPr>
        <w:t>eče pomoću peritonealne ili drugih vrsta dijalize nije ispitivana.</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sz w:val="22"/>
          <w:szCs w:val="22"/>
        </w:rPr>
      </w:pPr>
      <w:r w:rsidRPr="00192010">
        <w:rPr>
          <w:bCs/>
          <w:sz w:val="22"/>
          <w:szCs w:val="22"/>
        </w:rPr>
        <w:t>Farmakokinetika tenofovira kod pedijatrijskih pacijenata sa oštećenjem funkcije bubrega nije ispitivana.  Nema dovoljno podataka da bi se napravile preporuke o dozirajnu (vid</w:t>
      </w:r>
      <w:r w:rsidR="007E1121" w:rsidRPr="00192010">
        <w:rPr>
          <w:bCs/>
          <w:sz w:val="22"/>
          <w:szCs w:val="22"/>
        </w:rPr>
        <w:t>j</w:t>
      </w:r>
      <w:r w:rsidRPr="00192010">
        <w:rPr>
          <w:bCs/>
          <w:sz w:val="22"/>
          <w:szCs w:val="22"/>
        </w:rPr>
        <w:t>eti od</w:t>
      </w:r>
      <w:r w:rsidR="007E1121" w:rsidRPr="00192010">
        <w:rPr>
          <w:bCs/>
          <w:sz w:val="22"/>
          <w:szCs w:val="22"/>
        </w:rPr>
        <w:t>j</w:t>
      </w:r>
      <w:r w:rsidRPr="00192010">
        <w:rPr>
          <w:bCs/>
          <w:sz w:val="22"/>
          <w:szCs w:val="22"/>
        </w:rPr>
        <w:t>eljke 4.2. i 4.4).</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Oštećenje funkcije jetre</w:t>
      </w:r>
    </w:p>
    <w:p w:rsidR="00DF76D5" w:rsidRPr="007C488E" w:rsidRDefault="00DF76D5">
      <w:pPr>
        <w:tabs>
          <w:tab w:val="left" w:pos="540"/>
          <w:tab w:val="left" w:pos="569"/>
        </w:tabs>
        <w:jc w:val="both"/>
        <w:rPr>
          <w:bCs/>
          <w:sz w:val="22"/>
          <w:szCs w:val="22"/>
        </w:rPr>
      </w:pPr>
      <w:r w:rsidRPr="00192010">
        <w:rPr>
          <w:bCs/>
          <w:sz w:val="22"/>
          <w:szCs w:val="22"/>
        </w:rPr>
        <w:t>Pojedinačna doza od 245 mg tenofovir</w:t>
      </w:r>
      <w:r w:rsidR="007E1121" w:rsidRPr="00192010">
        <w:rPr>
          <w:bCs/>
          <w:sz w:val="22"/>
          <w:szCs w:val="22"/>
        </w:rPr>
        <w:t xml:space="preserve"> </w:t>
      </w:r>
      <w:r w:rsidRPr="00192010">
        <w:rPr>
          <w:bCs/>
          <w:sz w:val="22"/>
          <w:szCs w:val="22"/>
        </w:rPr>
        <w:t>dizoproksila je prim</w:t>
      </w:r>
      <w:r w:rsidR="007E1121" w:rsidRPr="00192010">
        <w:rPr>
          <w:bCs/>
          <w:sz w:val="22"/>
          <w:szCs w:val="22"/>
        </w:rPr>
        <w:t>ij</w:t>
      </w:r>
      <w:r w:rsidRPr="00192010">
        <w:rPr>
          <w:bCs/>
          <w:sz w:val="22"/>
          <w:szCs w:val="22"/>
        </w:rPr>
        <w:t>enjena na pacijentima koji ni</w:t>
      </w:r>
      <w:r w:rsidR="007C488E">
        <w:rPr>
          <w:bCs/>
          <w:sz w:val="22"/>
          <w:szCs w:val="22"/>
        </w:rPr>
        <w:t>je</w:t>
      </w:r>
      <w:r w:rsidRPr="007C488E">
        <w:rPr>
          <w:bCs/>
          <w:sz w:val="22"/>
          <w:szCs w:val="22"/>
        </w:rPr>
        <w:t>su inficirani HIV-om ili HBV- om, sa različitim stepenom oštećenja jet</w:t>
      </w:r>
      <w:r w:rsidRPr="00192010">
        <w:rPr>
          <w:bCs/>
          <w:sz w:val="22"/>
          <w:szCs w:val="22"/>
        </w:rPr>
        <w:t xml:space="preserve">re na osnovu </w:t>
      </w:r>
      <w:r w:rsidRPr="00192010">
        <w:rPr>
          <w:bCs/>
          <w:i/>
          <w:sz w:val="22"/>
          <w:szCs w:val="22"/>
        </w:rPr>
        <w:t xml:space="preserve">Child-Pugh-Turcotte  </w:t>
      </w:r>
      <w:r w:rsidRPr="00192010">
        <w:rPr>
          <w:bCs/>
          <w:sz w:val="22"/>
          <w:szCs w:val="22"/>
        </w:rPr>
        <w:t>(CPT) klasifikacije. Farmakokinetika tenofovira nije bila značajnije izm</w:t>
      </w:r>
      <w:r w:rsidR="007E1121" w:rsidRPr="00192010">
        <w:rPr>
          <w:bCs/>
          <w:sz w:val="22"/>
          <w:szCs w:val="22"/>
        </w:rPr>
        <w:t>ij</w:t>
      </w:r>
      <w:r w:rsidRPr="00192010">
        <w:rPr>
          <w:bCs/>
          <w:sz w:val="22"/>
          <w:szCs w:val="22"/>
        </w:rPr>
        <w:t>enjena kod pacijenata sa oštećenjem jetre, što ukazuje na to da kod ovih ispitanika prilagođavanje doze nije potrebno. Srednje vr</w:t>
      </w:r>
      <w:r w:rsidR="007E1121" w:rsidRPr="00192010">
        <w:rPr>
          <w:bCs/>
          <w:sz w:val="22"/>
          <w:szCs w:val="22"/>
        </w:rPr>
        <w:t>ij</w:t>
      </w:r>
      <w:r w:rsidRPr="00192010">
        <w:rPr>
          <w:bCs/>
          <w:sz w:val="22"/>
          <w:szCs w:val="22"/>
        </w:rPr>
        <w:t>ednosti (%CV) C</w:t>
      </w:r>
      <w:r w:rsidRPr="00192010">
        <w:rPr>
          <w:bCs/>
          <w:sz w:val="22"/>
          <w:szCs w:val="22"/>
          <w:vertAlign w:val="subscript"/>
        </w:rPr>
        <w:t>max</w:t>
      </w:r>
      <w:r w:rsidRPr="00192010">
        <w:rPr>
          <w:bCs/>
          <w:sz w:val="22"/>
          <w:szCs w:val="22"/>
        </w:rPr>
        <w:t xml:space="preserve"> i PIK</w:t>
      </w:r>
      <w:r w:rsidRPr="00192010">
        <w:rPr>
          <w:bCs/>
          <w:sz w:val="22"/>
          <w:szCs w:val="22"/>
          <w:vertAlign w:val="subscript"/>
        </w:rPr>
        <w:t>0-∞</w:t>
      </w:r>
      <w:r w:rsidRPr="00192010">
        <w:rPr>
          <w:bCs/>
          <w:sz w:val="22"/>
          <w:szCs w:val="22"/>
        </w:rPr>
        <w:t xml:space="preserve"> za tenofovir su bile 223 (34,8%) nanograma/m</w:t>
      </w:r>
      <w:r w:rsidR="007C488E">
        <w:rPr>
          <w:bCs/>
          <w:sz w:val="22"/>
          <w:szCs w:val="22"/>
        </w:rPr>
        <w:t>l</w:t>
      </w:r>
      <w:r w:rsidRPr="007C488E">
        <w:rPr>
          <w:bCs/>
          <w:sz w:val="22"/>
          <w:szCs w:val="22"/>
        </w:rPr>
        <w:t xml:space="preserve"> odnosno 2050 (50,8%) nanograma·h/m</w:t>
      </w:r>
      <w:r w:rsidR="007C488E">
        <w:rPr>
          <w:bCs/>
          <w:sz w:val="22"/>
          <w:szCs w:val="22"/>
        </w:rPr>
        <w:t>l</w:t>
      </w:r>
      <w:r w:rsidRPr="007C488E">
        <w:rPr>
          <w:bCs/>
          <w:sz w:val="22"/>
          <w:szCs w:val="22"/>
        </w:rPr>
        <w:t>, kod normalnih ispitanika, u poređenju sa 289 (46,0%) nanograma/m</w:t>
      </w:r>
      <w:r w:rsidR="007C488E">
        <w:rPr>
          <w:bCs/>
          <w:sz w:val="22"/>
          <w:szCs w:val="22"/>
        </w:rPr>
        <w:t>l</w:t>
      </w:r>
      <w:r w:rsidRPr="007C488E">
        <w:rPr>
          <w:bCs/>
          <w:sz w:val="22"/>
          <w:szCs w:val="22"/>
        </w:rPr>
        <w:t xml:space="preserve"> i 2310 (43,5%) nanograma·h/m</w:t>
      </w:r>
      <w:r w:rsidR="007C488E">
        <w:rPr>
          <w:bCs/>
          <w:sz w:val="22"/>
          <w:szCs w:val="22"/>
        </w:rPr>
        <w:t>l</w:t>
      </w:r>
      <w:r w:rsidRPr="007C488E">
        <w:rPr>
          <w:bCs/>
          <w:sz w:val="22"/>
          <w:szCs w:val="22"/>
        </w:rPr>
        <w:t xml:space="preserve"> kod ispitanika sa um</w:t>
      </w:r>
      <w:r w:rsidR="007E1121" w:rsidRPr="007C488E">
        <w:rPr>
          <w:bCs/>
          <w:sz w:val="22"/>
          <w:szCs w:val="22"/>
        </w:rPr>
        <w:t>j</w:t>
      </w:r>
      <w:r w:rsidRPr="007C488E">
        <w:rPr>
          <w:bCs/>
          <w:sz w:val="22"/>
          <w:szCs w:val="22"/>
        </w:rPr>
        <w:t>erenim oštećenjem jetre i 305 (24,8%) nanograma/m</w:t>
      </w:r>
      <w:r w:rsidR="007C488E">
        <w:rPr>
          <w:bCs/>
          <w:sz w:val="22"/>
          <w:szCs w:val="22"/>
        </w:rPr>
        <w:t>l</w:t>
      </w:r>
      <w:r w:rsidRPr="007C488E">
        <w:rPr>
          <w:bCs/>
          <w:sz w:val="22"/>
          <w:szCs w:val="22"/>
        </w:rPr>
        <w:t xml:space="preserve"> i 2740 (44,0%) nanograma·h/m</w:t>
      </w:r>
      <w:r w:rsidR="007C488E">
        <w:rPr>
          <w:bCs/>
          <w:sz w:val="22"/>
          <w:szCs w:val="22"/>
        </w:rPr>
        <w:t>l</w:t>
      </w:r>
      <w:r w:rsidRPr="007C488E">
        <w:rPr>
          <w:bCs/>
          <w:sz w:val="22"/>
          <w:szCs w:val="22"/>
        </w:rPr>
        <w:t xml:space="preserve"> kod pacijenata sa teškim oštećenjem jetre.</w:t>
      </w:r>
    </w:p>
    <w:p w:rsidR="00DF76D5" w:rsidRPr="00192010" w:rsidRDefault="00DF76D5">
      <w:pPr>
        <w:tabs>
          <w:tab w:val="left" w:pos="540"/>
          <w:tab w:val="left" w:pos="569"/>
        </w:tabs>
        <w:jc w:val="both"/>
        <w:rPr>
          <w:bCs/>
          <w:sz w:val="22"/>
          <w:szCs w:val="22"/>
        </w:rPr>
      </w:pPr>
    </w:p>
    <w:p w:rsidR="00DF76D5" w:rsidRPr="00192010" w:rsidRDefault="00DF76D5">
      <w:pPr>
        <w:tabs>
          <w:tab w:val="left" w:pos="540"/>
          <w:tab w:val="left" w:pos="569"/>
        </w:tabs>
        <w:jc w:val="both"/>
        <w:rPr>
          <w:bCs/>
          <w:i/>
          <w:sz w:val="22"/>
          <w:szCs w:val="22"/>
        </w:rPr>
      </w:pPr>
      <w:r w:rsidRPr="00192010">
        <w:rPr>
          <w:bCs/>
          <w:i/>
          <w:sz w:val="22"/>
          <w:szCs w:val="22"/>
        </w:rPr>
        <w:t>Intracelularna farmakokinetika</w:t>
      </w:r>
    </w:p>
    <w:p w:rsidR="00DF76D5" w:rsidRPr="00192010" w:rsidRDefault="00DF76D5">
      <w:pPr>
        <w:tabs>
          <w:tab w:val="left" w:pos="540"/>
          <w:tab w:val="left" w:pos="569"/>
        </w:tabs>
        <w:jc w:val="both"/>
        <w:rPr>
          <w:bCs/>
          <w:sz w:val="22"/>
          <w:szCs w:val="22"/>
        </w:rPr>
      </w:pPr>
      <w:r w:rsidRPr="00192010">
        <w:rPr>
          <w:bCs/>
          <w:sz w:val="22"/>
          <w:szCs w:val="22"/>
        </w:rPr>
        <w:t xml:space="preserve">Utvrđeno je da je u neproliferišućim ljudskim mononuklearnim ćelijama periferne krvi (engl. </w:t>
      </w:r>
      <w:r w:rsidRPr="00192010">
        <w:rPr>
          <w:bCs/>
          <w:i/>
          <w:sz w:val="22"/>
          <w:szCs w:val="22"/>
        </w:rPr>
        <w:t>peripheral blood mononuclear cells,</w:t>
      </w:r>
      <w:r w:rsidRPr="00192010">
        <w:rPr>
          <w:bCs/>
          <w:sz w:val="22"/>
          <w:szCs w:val="22"/>
        </w:rPr>
        <w:t xml:space="preserve"> PBMC), poluvr</w:t>
      </w:r>
      <w:r w:rsidR="007E1121" w:rsidRPr="00192010">
        <w:rPr>
          <w:bCs/>
          <w:sz w:val="22"/>
          <w:szCs w:val="22"/>
        </w:rPr>
        <w:t xml:space="preserve">ijeme eliminacije tenofovir </w:t>
      </w:r>
      <w:r w:rsidRPr="00192010">
        <w:rPr>
          <w:bCs/>
          <w:sz w:val="22"/>
          <w:szCs w:val="22"/>
        </w:rPr>
        <w:t>difosfata bilo približno 50 sati, pri čemu je poluvr</w:t>
      </w:r>
      <w:r w:rsidR="007E1121" w:rsidRPr="00192010">
        <w:rPr>
          <w:bCs/>
          <w:sz w:val="22"/>
          <w:szCs w:val="22"/>
        </w:rPr>
        <w:t>ij</w:t>
      </w:r>
      <w:r w:rsidRPr="00192010">
        <w:rPr>
          <w:bCs/>
          <w:sz w:val="22"/>
          <w:szCs w:val="22"/>
        </w:rPr>
        <w:t>eme eliminacije u PBMC stimulsanim fitohemaglutininom bilo približno 10 sati.</w:t>
      </w:r>
    </w:p>
    <w:p w:rsidR="0072020E" w:rsidRPr="00192010" w:rsidRDefault="0072020E" w:rsidP="00A443AA">
      <w:pPr>
        <w:tabs>
          <w:tab w:val="left" w:pos="540"/>
          <w:tab w:val="left" w:pos="569"/>
        </w:tabs>
        <w:jc w:val="both"/>
        <w:rPr>
          <w:bCs/>
          <w:sz w:val="22"/>
          <w:szCs w:val="22"/>
        </w:rPr>
      </w:pPr>
    </w:p>
    <w:p w:rsidR="0072020E" w:rsidRPr="00192010" w:rsidRDefault="0072020E" w:rsidP="00A443AA">
      <w:pPr>
        <w:tabs>
          <w:tab w:val="left" w:pos="540"/>
          <w:tab w:val="left" w:pos="569"/>
        </w:tabs>
        <w:jc w:val="both"/>
        <w:rPr>
          <w:b/>
          <w:bCs/>
          <w:sz w:val="22"/>
          <w:szCs w:val="22"/>
        </w:rPr>
      </w:pPr>
      <w:r w:rsidRPr="00192010">
        <w:rPr>
          <w:b/>
          <w:bCs/>
          <w:sz w:val="22"/>
          <w:szCs w:val="22"/>
        </w:rPr>
        <w:t xml:space="preserve">5.3. </w:t>
      </w:r>
      <w:r w:rsidR="00480FB1" w:rsidRPr="00192010">
        <w:rPr>
          <w:b/>
          <w:bCs/>
          <w:sz w:val="22"/>
          <w:szCs w:val="22"/>
        </w:rPr>
        <w:tab/>
      </w:r>
      <w:r w:rsidRPr="00192010">
        <w:rPr>
          <w:b/>
          <w:bCs/>
          <w:sz w:val="22"/>
          <w:szCs w:val="22"/>
        </w:rPr>
        <w:t xml:space="preserve">Pretklinički podaci o bezbjednosti </w:t>
      </w:r>
    </w:p>
    <w:p w:rsidR="00836B35" w:rsidRPr="00192010" w:rsidRDefault="00836B35" w:rsidP="00A443AA">
      <w:pPr>
        <w:tabs>
          <w:tab w:val="left" w:pos="540"/>
          <w:tab w:val="left" w:pos="569"/>
        </w:tabs>
        <w:jc w:val="both"/>
        <w:rPr>
          <w:bCs/>
          <w:sz w:val="22"/>
          <w:szCs w:val="22"/>
        </w:rPr>
      </w:pPr>
    </w:p>
    <w:p w:rsidR="00FC4990" w:rsidRPr="00192010" w:rsidRDefault="00FC4990" w:rsidP="00192010">
      <w:pPr>
        <w:tabs>
          <w:tab w:val="left" w:pos="540"/>
          <w:tab w:val="left" w:pos="569"/>
        </w:tabs>
        <w:jc w:val="both"/>
        <w:rPr>
          <w:bCs/>
          <w:sz w:val="22"/>
          <w:szCs w:val="22"/>
        </w:rPr>
      </w:pPr>
      <w:r w:rsidRPr="00192010">
        <w:rPr>
          <w:bCs/>
          <w:sz w:val="22"/>
          <w:szCs w:val="22"/>
        </w:rPr>
        <w:t>Pretklinička ispitivanja bezbjednosne farmakologije ne ukazuju na poseban rizik za ljude. Nalazi ispitivanja toksičnosti ponovljenih doza sprovedenih na pacovima, psima i majmunima pri nivoima ekspozicije većim ili jednakim kliničkim nivoima ekspozicije, a sa mogućim značajem za kliničku primjenu, uključuju toksičnost za bubrege i kosti kao i smanjenje koncentracija fosfata u serumu. Toksičnost za kosti dijagnostikovana je kao osteomalacija (kod majmuna) i smanjena mineralna gustina kostiju (BMD) (kod pacova i pasa). Kod mladih odraslih pacova i pasa toksičnost za kosti pokazala se pri izloženosti dozi ≥ 5 puta većoj od izloženosti kod pedijatrijskih ili odraslih pacijenata; toksičnost za kosti pojavila se kod mladih inficiranih majmuna pri vrlo visokim izloženostima nakon su</w:t>
      </w:r>
      <w:r w:rsidR="008E4104">
        <w:rPr>
          <w:bCs/>
          <w:sz w:val="22"/>
          <w:szCs w:val="22"/>
        </w:rPr>
        <w:t>b</w:t>
      </w:r>
      <w:r w:rsidRPr="008E4104">
        <w:rPr>
          <w:bCs/>
          <w:sz w:val="22"/>
          <w:szCs w:val="22"/>
        </w:rPr>
        <w:t>kutanog doziranja (≥ 40 puta veća izl</w:t>
      </w:r>
      <w:r w:rsidRPr="00192010">
        <w:rPr>
          <w:bCs/>
          <w:sz w:val="22"/>
          <w:szCs w:val="22"/>
        </w:rPr>
        <w:t>oženost nego kod ljudi). Nalazi dobijeni ispitivanjima na pacovima i majmunima pokazali su da postoji smanjenje intestinalne resorpcije fosfata, koje je bilo povezano sa aktivnom supstancom, uz potencijalno sekundarno smanjenje mineralne gustine kostiju.</w:t>
      </w:r>
    </w:p>
    <w:p w:rsidR="00FC4990" w:rsidRPr="00192010" w:rsidRDefault="00FC4990">
      <w:pPr>
        <w:tabs>
          <w:tab w:val="left" w:pos="540"/>
          <w:tab w:val="left" w:pos="569"/>
        </w:tabs>
        <w:jc w:val="both"/>
        <w:rPr>
          <w:bCs/>
          <w:sz w:val="22"/>
          <w:szCs w:val="22"/>
        </w:rPr>
      </w:pPr>
    </w:p>
    <w:p w:rsidR="00FC4990" w:rsidRPr="008E4104" w:rsidRDefault="00FC4990">
      <w:pPr>
        <w:tabs>
          <w:tab w:val="left" w:pos="540"/>
          <w:tab w:val="left" w:pos="569"/>
        </w:tabs>
        <w:jc w:val="both"/>
        <w:rPr>
          <w:bCs/>
          <w:sz w:val="22"/>
          <w:szCs w:val="22"/>
        </w:rPr>
      </w:pPr>
      <w:r w:rsidRPr="00192010">
        <w:rPr>
          <w:bCs/>
          <w:sz w:val="22"/>
          <w:szCs w:val="22"/>
        </w:rPr>
        <w:t xml:space="preserve">Studije genotoksičnosti su pokazale pozitivne rezultate u </w:t>
      </w:r>
      <w:r w:rsidRPr="00192010">
        <w:rPr>
          <w:bCs/>
          <w:i/>
          <w:sz w:val="22"/>
          <w:szCs w:val="22"/>
        </w:rPr>
        <w:t>in vitro</w:t>
      </w:r>
      <w:r w:rsidRPr="00192010">
        <w:rPr>
          <w:bCs/>
          <w:sz w:val="22"/>
          <w:szCs w:val="22"/>
        </w:rPr>
        <w:t xml:space="preserve"> studijama na limfomu miša, nepouzdane rezultate kod jednog soja korišćenog u Amesovom testu i slabo pozitivne rezultate UDS testa (test neplanirane DNK sinteze) na primarnim hepatocitima pacova, međutim, rezultati su bili negativni u </w:t>
      </w:r>
      <w:r w:rsidRPr="00192010">
        <w:rPr>
          <w:bCs/>
          <w:i/>
          <w:sz w:val="22"/>
          <w:szCs w:val="22"/>
        </w:rPr>
        <w:t>in vivo</w:t>
      </w:r>
      <w:r w:rsidRPr="00192010">
        <w:rPr>
          <w:bCs/>
          <w:sz w:val="22"/>
          <w:szCs w:val="22"/>
        </w:rPr>
        <w:t xml:space="preserve"> mikronukleus testu na kostnoj srži</w:t>
      </w:r>
      <w:r w:rsidR="008E4104">
        <w:rPr>
          <w:bCs/>
          <w:sz w:val="22"/>
          <w:szCs w:val="22"/>
        </w:rPr>
        <w:t xml:space="preserve"> miša</w:t>
      </w:r>
      <w:r w:rsidRPr="008E4104">
        <w:rPr>
          <w:bCs/>
          <w:sz w:val="22"/>
          <w:szCs w:val="22"/>
        </w:rPr>
        <w:t>.</w:t>
      </w:r>
    </w:p>
    <w:p w:rsidR="00FC4990" w:rsidRPr="00192010" w:rsidRDefault="00FC4990">
      <w:pPr>
        <w:tabs>
          <w:tab w:val="left" w:pos="540"/>
          <w:tab w:val="left" w:pos="569"/>
        </w:tabs>
        <w:jc w:val="both"/>
        <w:rPr>
          <w:bCs/>
          <w:sz w:val="22"/>
          <w:szCs w:val="22"/>
        </w:rPr>
      </w:pPr>
    </w:p>
    <w:p w:rsidR="00FC4990" w:rsidRPr="00192010" w:rsidRDefault="00FC4990">
      <w:pPr>
        <w:tabs>
          <w:tab w:val="left" w:pos="540"/>
          <w:tab w:val="left" w:pos="569"/>
        </w:tabs>
        <w:jc w:val="both"/>
        <w:rPr>
          <w:bCs/>
          <w:sz w:val="22"/>
          <w:szCs w:val="22"/>
        </w:rPr>
      </w:pPr>
      <w:r w:rsidRPr="00192010">
        <w:rPr>
          <w:bCs/>
          <w:sz w:val="22"/>
          <w:szCs w:val="22"/>
        </w:rPr>
        <w:t>U studijama karcinogenosti na pacovima i miševima, uočena je mala incidenca duodenalnih tumora pri ekstremno visokim oralnim dozama kod miševa. Mala je vjerovatnoća da ovi tumori mogu da budu od značaja kod ljudi.</w:t>
      </w:r>
    </w:p>
    <w:p w:rsidR="00FC4990" w:rsidRPr="00192010" w:rsidRDefault="00FC4990">
      <w:pPr>
        <w:tabs>
          <w:tab w:val="left" w:pos="540"/>
          <w:tab w:val="left" w:pos="569"/>
        </w:tabs>
        <w:jc w:val="both"/>
        <w:rPr>
          <w:bCs/>
          <w:sz w:val="22"/>
          <w:szCs w:val="22"/>
        </w:rPr>
      </w:pPr>
    </w:p>
    <w:p w:rsidR="00FC4990" w:rsidRPr="00192010" w:rsidRDefault="00FC4990">
      <w:pPr>
        <w:tabs>
          <w:tab w:val="left" w:pos="540"/>
          <w:tab w:val="left" w:pos="569"/>
        </w:tabs>
        <w:jc w:val="both"/>
        <w:rPr>
          <w:bCs/>
          <w:sz w:val="22"/>
          <w:szCs w:val="22"/>
        </w:rPr>
      </w:pPr>
      <w:r w:rsidRPr="00192010">
        <w:rPr>
          <w:bCs/>
          <w:sz w:val="22"/>
          <w:szCs w:val="22"/>
        </w:rPr>
        <w:t>Studije reproduktivne toksičnosti na pacovima i kunićima ni</w:t>
      </w:r>
      <w:r w:rsidR="00956C28">
        <w:rPr>
          <w:bCs/>
          <w:sz w:val="22"/>
          <w:szCs w:val="22"/>
        </w:rPr>
        <w:t>je</w:t>
      </w:r>
      <w:r w:rsidRPr="00956C28">
        <w:rPr>
          <w:bCs/>
          <w:sz w:val="22"/>
          <w:szCs w:val="22"/>
        </w:rPr>
        <w:t>su pokazale efekte na parenje, plodnost, trudnoću ili razvoj fetusa. Ipak, tenofovir</w:t>
      </w:r>
      <w:r w:rsidRPr="00192010">
        <w:rPr>
          <w:bCs/>
          <w:sz w:val="22"/>
          <w:szCs w:val="22"/>
        </w:rPr>
        <w:t xml:space="preserve"> dizoproksil je smanjio indeks preživljavanja i tjelesnu masu mladunaca tokom studija peri- i postnatalne toksičnosti pri dozama koje su bile toksične za majku.</w:t>
      </w:r>
    </w:p>
    <w:p w:rsidR="00FC4990" w:rsidRPr="00192010" w:rsidRDefault="00FC4990">
      <w:pPr>
        <w:tabs>
          <w:tab w:val="left" w:pos="540"/>
          <w:tab w:val="left" w:pos="569"/>
        </w:tabs>
        <w:jc w:val="both"/>
        <w:rPr>
          <w:bCs/>
          <w:sz w:val="22"/>
          <w:szCs w:val="22"/>
        </w:rPr>
      </w:pPr>
    </w:p>
    <w:p w:rsidR="00FC4990" w:rsidRPr="00192010" w:rsidRDefault="00FC4990">
      <w:pPr>
        <w:tabs>
          <w:tab w:val="left" w:pos="540"/>
          <w:tab w:val="left" w:pos="569"/>
        </w:tabs>
        <w:jc w:val="both"/>
        <w:rPr>
          <w:bCs/>
          <w:sz w:val="22"/>
          <w:szCs w:val="22"/>
        </w:rPr>
      </w:pPr>
      <w:r w:rsidRPr="00192010">
        <w:rPr>
          <w:bCs/>
          <w:sz w:val="22"/>
          <w:szCs w:val="22"/>
          <w:u w:val="single"/>
        </w:rPr>
        <w:t>Procjena rizika za životnu sredinu (ERA)</w:t>
      </w:r>
    </w:p>
    <w:p w:rsidR="00FC4990" w:rsidRPr="00192010" w:rsidRDefault="00FC4990">
      <w:pPr>
        <w:tabs>
          <w:tab w:val="left" w:pos="540"/>
          <w:tab w:val="left" w:pos="569"/>
        </w:tabs>
        <w:jc w:val="both"/>
        <w:rPr>
          <w:bCs/>
          <w:sz w:val="22"/>
          <w:szCs w:val="22"/>
        </w:rPr>
      </w:pPr>
      <w:r w:rsidRPr="00192010">
        <w:rPr>
          <w:bCs/>
          <w:sz w:val="22"/>
          <w:szCs w:val="22"/>
        </w:rPr>
        <w:t>Aktivna supstanca tenofovir dizoproksil i njegovi glavni metaboliti su postojani u životnoj sredini.</w:t>
      </w:r>
    </w:p>
    <w:p w:rsidR="00396DFD" w:rsidRDefault="00396DFD" w:rsidP="00480FB1">
      <w:pPr>
        <w:tabs>
          <w:tab w:val="left" w:pos="540"/>
          <w:tab w:val="left" w:pos="569"/>
        </w:tabs>
        <w:rPr>
          <w:b/>
          <w:bCs/>
          <w:sz w:val="22"/>
          <w:szCs w:val="22"/>
        </w:rPr>
      </w:pPr>
    </w:p>
    <w:p w:rsidR="007A5560" w:rsidRPr="00786071" w:rsidRDefault="007A5560"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836B35" w:rsidRPr="00786071" w:rsidRDefault="00836B35"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rsidR="00FC4990" w:rsidRPr="00786071" w:rsidRDefault="00FC4990" w:rsidP="00480FB1">
      <w:pPr>
        <w:tabs>
          <w:tab w:val="left" w:pos="540"/>
          <w:tab w:val="left" w:pos="569"/>
        </w:tabs>
        <w:rPr>
          <w:b/>
          <w:bCs/>
          <w:sz w:val="22"/>
          <w:szCs w:val="22"/>
        </w:rPr>
      </w:pPr>
    </w:p>
    <w:p w:rsidR="00FC4990" w:rsidRDefault="00FC4990" w:rsidP="00FC4990">
      <w:pPr>
        <w:tabs>
          <w:tab w:val="left" w:pos="540"/>
          <w:tab w:val="left" w:pos="569"/>
        </w:tabs>
        <w:rPr>
          <w:bCs/>
          <w:sz w:val="22"/>
          <w:szCs w:val="22"/>
        </w:rPr>
      </w:pPr>
      <w:r w:rsidRPr="00FC4990">
        <w:rPr>
          <w:bCs/>
          <w:i/>
          <w:sz w:val="22"/>
          <w:szCs w:val="22"/>
        </w:rPr>
        <w:t>Jezgro tablete</w:t>
      </w:r>
      <w:r w:rsidRPr="00FC4990">
        <w:rPr>
          <w:bCs/>
          <w:sz w:val="22"/>
          <w:szCs w:val="22"/>
        </w:rPr>
        <w:t xml:space="preserve">: </w:t>
      </w:r>
    </w:p>
    <w:p w:rsidR="00FC4990" w:rsidRDefault="00FC4990" w:rsidP="00FC4990">
      <w:pPr>
        <w:tabs>
          <w:tab w:val="left" w:pos="540"/>
          <w:tab w:val="left" w:pos="569"/>
        </w:tabs>
        <w:rPr>
          <w:bCs/>
          <w:sz w:val="22"/>
          <w:szCs w:val="22"/>
        </w:rPr>
      </w:pPr>
      <w:r>
        <w:rPr>
          <w:bCs/>
          <w:sz w:val="22"/>
          <w:szCs w:val="22"/>
        </w:rPr>
        <w:t>Laktoza</w:t>
      </w:r>
    </w:p>
    <w:p w:rsidR="00FC4990" w:rsidRPr="00FC4990" w:rsidRDefault="00FC4990" w:rsidP="00FC4990">
      <w:pPr>
        <w:tabs>
          <w:tab w:val="left" w:pos="540"/>
          <w:tab w:val="left" w:pos="569"/>
        </w:tabs>
        <w:rPr>
          <w:bCs/>
          <w:sz w:val="22"/>
          <w:szCs w:val="22"/>
        </w:rPr>
      </w:pPr>
      <w:r w:rsidRPr="00FC4990">
        <w:rPr>
          <w:bCs/>
          <w:sz w:val="22"/>
          <w:szCs w:val="22"/>
        </w:rPr>
        <w:t xml:space="preserve">Celuloza, mikrokristalna (E460) </w:t>
      </w:r>
    </w:p>
    <w:p w:rsidR="00FC4990" w:rsidRDefault="00FC4990" w:rsidP="00FC4990">
      <w:pPr>
        <w:tabs>
          <w:tab w:val="left" w:pos="540"/>
          <w:tab w:val="left" w:pos="569"/>
        </w:tabs>
        <w:rPr>
          <w:bCs/>
          <w:sz w:val="22"/>
          <w:szCs w:val="22"/>
        </w:rPr>
      </w:pPr>
      <w:r w:rsidRPr="00FC4990">
        <w:rPr>
          <w:bCs/>
          <w:sz w:val="22"/>
          <w:szCs w:val="22"/>
        </w:rPr>
        <w:t xml:space="preserve">Skrob, preželatinizirani (kukuruzni) </w:t>
      </w:r>
    </w:p>
    <w:p w:rsidR="00FC4990" w:rsidRPr="00FC4990" w:rsidRDefault="00FC4990" w:rsidP="00FC4990">
      <w:pPr>
        <w:tabs>
          <w:tab w:val="left" w:pos="540"/>
          <w:tab w:val="left" w:pos="569"/>
        </w:tabs>
        <w:rPr>
          <w:bCs/>
          <w:sz w:val="22"/>
          <w:szCs w:val="22"/>
        </w:rPr>
      </w:pPr>
      <w:r>
        <w:rPr>
          <w:bCs/>
          <w:sz w:val="22"/>
          <w:szCs w:val="22"/>
        </w:rPr>
        <w:t xml:space="preserve">Kroskarmeloza </w:t>
      </w:r>
      <w:r w:rsidRPr="00FC4990">
        <w:rPr>
          <w:bCs/>
          <w:sz w:val="22"/>
          <w:szCs w:val="22"/>
        </w:rPr>
        <w:t xml:space="preserve">natrijum </w:t>
      </w:r>
    </w:p>
    <w:p w:rsidR="00FC4990" w:rsidRDefault="00FC4990" w:rsidP="00FC4990">
      <w:pPr>
        <w:tabs>
          <w:tab w:val="left" w:pos="540"/>
          <w:tab w:val="left" w:pos="569"/>
        </w:tabs>
        <w:rPr>
          <w:bCs/>
          <w:sz w:val="22"/>
          <w:szCs w:val="22"/>
        </w:rPr>
      </w:pPr>
      <w:r>
        <w:rPr>
          <w:bCs/>
          <w:sz w:val="22"/>
          <w:szCs w:val="22"/>
        </w:rPr>
        <w:t xml:space="preserve">Magnezijum </w:t>
      </w:r>
      <w:r w:rsidRPr="00FC4990">
        <w:rPr>
          <w:bCs/>
          <w:sz w:val="22"/>
          <w:szCs w:val="22"/>
        </w:rPr>
        <w:t>stearat (E470b)</w:t>
      </w:r>
    </w:p>
    <w:p w:rsidR="00FC4990" w:rsidRPr="00FC4990" w:rsidRDefault="00FC4990" w:rsidP="00FC4990">
      <w:pPr>
        <w:tabs>
          <w:tab w:val="left" w:pos="540"/>
          <w:tab w:val="left" w:pos="569"/>
        </w:tabs>
        <w:rPr>
          <w:bCs/>
          <w:sz w:val="22"/>
          <w:szCs w:val="22"/>
        </w:rPr>
      </w:pPr>
    </w:p>
    <w:p w:rsidR="00FC4990" w:rsidRPr="00FC4990" w:rsidRDefault="00FC4990" w:rsidP="00FC4990">
      <w:pPr>
        <w:tabs>
          <w:tab w:val="left" w:pos="540"/>
          <w:tab w:val="left" w:pos="569"/>
        </w:tabs>
        <w:rPr>
          <w:bCs/>
          <w:sz w:val="22"/>
          <w:szCs w:val="22"/>
        </w:rPr>
      </w:pPr>
      <w:r w:rsidRPr="00FC4990">
        <w:rPr>
          <w:bCs/>
          <w:i/>
          <w:sz w:val="22"/>
          <w:szCs w:val="22"/>
        </w:rPr>
        <w:t>Film obloga</w:t>
      </w:r>
      <w:r w:rsidRPr="00FC4990">
        <w:rPr>
          <w:bCs/>
          <w:sz w:val="22"/>
          <w:szCs w:val="22"/>
        </w:rPr>
        <w:t xml:space="preserve">: </w:t>
      </w:r>
    </w:p>
    <w:p w:rsidR="00FC4990" w:rsidRPr="00FC4990" w:rsidRDefault="00FC4990" w:rsidP="00FC4990">
      <w:pPr>
        <w:tabs>
          <w:tab w:val="left" w:pos="540"/>
          <w:tab w:val="left" w:pos="569"/>
        </w:tabs>
        <w:rPr>
          <w:bCs/>
          <w:sz w:val="22"/>
          <w:szCs w:val="22"/>
        </w:rPr>
      </w:pPr>
      <w:r w:rsidRPr="00FC4990">
        <w:rPr>
          <w:bCs/>
          <w:sz w:val="22"/>
          <w:szCs w:val="22"/>
        </w:rPr>
        <w:t xml:space="preserve">Indigo Carmine Aluminium Lake (E132) </w:t>
      </w:r>
    </w:p>
    <w:p w:rsidR="00FC4990" w:rsidRPr="00FC4990" w:rsidRDefault="00FC4990" w:rsidP="00FC4990">
      <w:pPr>
        <w:tabs>
          <w:tab w:val="left" w:pos="540"/>
          <w:tab w:val="left" w:pos="569"/>
        </w:tabs>
        <w:rPr>
          <w:bCs/>
          <w:sz w:val="22"/>
          <w:szCs w:val="22"/>
        </w:rPr>
      </w:pPr>
      <w:r>
        <w:rPr>
          <w:bCs/>
          <w:sz w:val="22"/>
          <w:szCs w:val="22"/>
        </w:rPr>
        <w:t xml:space="preserve">Titan </w:t>
      </w:r>
      <w:r w:rsidRPr="00FC4990">
        <w:rPr>
          <w:bCs/>
          <w:sz w:val="22"/>
          <w:szCs w:val="22"/>
        </w:rPr>
        <w:t>dioksid (E171)</w:t>
      </w:r>
    </w:p>
    <w:p w:rsidR="00FC4990" w:rsidRPr="00FC4990" w:rsidRDefault="00FC4990" w:rsidP="00FC4990">
      <w:pPr>
        <w:tabs>
          <w:tab w:val="left" w:pos="540"/>
          <w:tab w:val="left" w:pos="569"/>
        </w:tabs>
        <w:rPr>
          <w:bCs/>
          <w:sz w:val="22"/>
          <w:szCs w:val="22"/>
        </w:rPr>
      </w:pPr>
      <w:r w:rsidRPr="00FC4990">
        <w:rPr>
          <w:bCs/>
          <w:sz w:val="22"/>
          <w:szCs w:val="22"/>
        </w:rPr>
        <w:t xml:space="preserve">Polivinil alkohol (E1203) </w:t>
      </w:r>
    </w:p>
    <w:p w:rsidR="00FC4990" w:rsidRPr="00FC4990" w:rsidRDefault="00FC4990" w:rsidP="00FC4990">
      <w:pPr>
        <w:tabs>
          <w:tab w:val="left" w:pos="540"/>
          <w:tab w:val="left" w:pos="569"/>
        </w:tabs>
        <w:rPr>
          <w:bCs/>
          <w:sz w:val="22"/>
          <w:szCs w:val="22"/>
        </w:rPr>
      </w:pPr>
      <w:r w:rsidRPr="00FC4990">
        <w:rPr>
          <w:bCs/>
          <w:sz w:val="22"/>
          <w:szCs w:val="22"/>
        </w:rPr>
        <w:t xml:space="preserve">Makrogol 3350 (E1521) </w:t>
      </w:r>
    </w:p>
    <w:p w:rsidR="00FC4990" w:rsidRPr="00FC4990" w:rsidRDefault="00FC4990" w:rsidP="00FC4990">
      <w:pPr>
        <w:tabs>
          <w:tab w:val="left" w:pos="540"/>
          <w:tab w:val="left" w:pos="569"/>
        </w:tabs>
        <w:rPr>
          <w:bCs/>
          <w:sz w:val="22"/>
          <w:szCs w:val="22"/>
        </w:rPr>
      </w:pPr>
      <w:r w:rsidRPr="00FC4990">
        <w:rPr>
          <w:bCs/>
          <w:sz w:val="22"/>
          <w:szCs w:val="22"/>
        </w:rPr>
        <w:t>Talk (E553b)</w:t>
      </w:r>
    </w:p>
    <w:p w:rsidR="0072020E" w:rsidRPr="00786071" w:rsidRDefault="0072020E"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rsidR="0072020E" w:rsidRDefault="0072020E" w:rsidP="00480FB1">
      <w:pPr>
        <w:tabs>
          <w:tab w:val="left" w:pos="540"/>
          <w:tab w:val="left" w:pos="569"/>
        </w:tabs>
        <w:rPr>
          <w:bCs/>
          <w:sz w:val="22"/>
          <w:szCs w:val="22"/>
        </w:rPr>
      </w:pPr>
    </w:p>
    <w:p w:rsidR="00FC4990" w:rsidRDefault="00FC4990" w:rsidP="00480FB1">
      <w:pPr>
        <w:tabs>
          <w:tab w:val="left" w:pos="540"/>
          <w:tab w:val="left" w:pos="569"/>
        </w:tabs>
        <w:rPr>
          <w:bCs/>
          <w:sz w:val="22"/>
          <w:szCs w:val="22"/>
        </w:rPr>
      </w:pPr>
      <w:r>
        <w:rPr>
          <w:bCs/>
          <w:sz w:val="22"/>
          <w:szCs w:val="22"/>
        </w:rPr>
        <w:t>Nije primjenljivo.</w:t>
      </w:r>
    </w:p>
    <w:p w:rsidR="00FC4990" w:rsidRPr="00786071" w:rsidRDefault="00FC4990"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rsidR="00FC4990" w:rsidRPr="00786071" w:rsidRDefault="00FC4990" w:rsidP="00480FB1">
      <w:pPr>
        <w:tabs>
          <w:tab w:val="left" w:pos="540"/>
          <w:tab w:val="left" w:pos="569"/>
        </w:tabs>
        <w:rPr>
          <w:b/>
          <w:bCs/>
          <w:sz w:val="22"/>
          <w:szCs w:val="22"/>
        </w:rPr>
      </w:pPr>
    </w:p>
    <w:p w:rsidR="0072020E" w:rsidRDefault="00681D3D" w:rsidP="00480FB1">
      <w:pPr>
        <w:tabs>
          <w:tab w:val="left" w:pos="540"/>
          <w:tab w:val="left" w:pos="569"/>
        </w:tabs>
        <w:rPr>
          <w:bCs/>
          <w:sz w:val="22"/>
          <w:szCs w:val="22"/>
        </w:rPr>
      </w:pPr>
      <w:r>
        <w:rPr>
          <w:bCs/>
          <w:sz w:val="22"/>
          <w:szCs w:val="22"/>
        </w:rPr>
        <w:t>5</w:t>
      </w:r>
      <w:r w:rsidR="00FC4990">
        <w:rPr>
          <w:bCs/>
          <w:sz w:val="22"/>
          <w:szCs w:val="22"/>
        </w:rPr>
        <w:t xml:space="preserve"> godin</w:t>
      </w:r>
      <w:r>
        <w:rPr>
          <w:bCs/>
          <w:sz w:val="22"/>
          <w:szCs w:val="22"/>
        </w:rPr>
        <w:t>a</w:t>
      </w:r>
      <w:r w:rsidR="00FC4990">
        <w:rPr>
          <w:bCs/>
          <w:sz w:val="22"/>
          <w:szCs w:val="22"/>
        </w:rPr>
        <w:t>.</w:t>
      </w:r>
    </w:p>
    <w:p w:rsidR="00FC4990" w:rsidRPr="00786071" w:rsidRDefault="00FC4990"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rsidR="00EC2532" w:rsidRDefault="00EC2532" w:rsidP="00480FB1">
      <w:pPr>
        <w:tabs>
          <w:tab w:val="left" w:pos="540"/>
          <w:tab w:val="left" w:pos="569"/>
        </w:tabs>
        <w:rPr>
          <w:bCs/>
          <w:sz w:val="22"/>
          <w:szCs w:val="22"/>
        </w:rPr>
      </w:pPr>
    </w:p>
    <w:p w:rsidR="00FC4990" w:rsidRDefault="00FC4990" w:rsidP="00480FB1">
      <w:pPr>
        <w:tabs>
          <w:tab w:val="left" w:pos="540"/>
          <w:tab w:val="left" w:pos="569"/>
        </w:tabs>
        <w:rPr>
          <w:bCs/>
          <w:sz w:val="22"/>
          <w:szCs w:val="22"/>
        </w:rPr>
      </w:pPr>
      <w:r>
        <w:rPr>
          <w:bCs/>
          <w:sz w:val="22"/>
          <w:szCs w:val="22"/>
        </w:rPr>
        <w:t>Lijek ne zahtijeva posebne uslove čuvanja.</w:t>
      </w:r>
    </w:p>
    <w:p w:rsidR="00FC4990" w:rsidRPr="00786071" w:rsidRDefault="00FC4990"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rsidR="00FC4990" w:rsidRPr="00786071" w:rsidRDefault="00FC4990" w:rsidP="00480FB1">
      <w:pPr>
        <w:tabs>
          <w:tab w:val="left" w:pos="540"/>
          <w:tab w:val="left" w:pos="569"/>
        </w:tabs>
        <w:rPr>
          <w:b/>
          <w:bCs/>
          <w:sz w:val="22"/>
          <w:szCs w:val="22"/>
        </w:rPr>
      </w:pPr>
    </w:p>
    <w:p w:rsidR="00FC4990" w:rsidRDefault="00FC4990" w:rsidP="00FC4990">
      <w:pPr>
        <w:tabs>
          <w:tab w:val="left" w:pos="540"/>
          <w:tab w:val="left" w:pos="569"/>
        </w:tabs>
        <w:jc w:val="both"/>
        <w:rPr>
          <w:bCs/>
          <w:sz w:val="22"/>
          <w:szCs w:val="22"/>
        </w:rPr>
      </w:pPr>
      <w:r>
        <w:rPr>
          <w:bCs/>
          <w:sz w:val="22"/>
          <w:szCs w:val="22"/>
        </w:rPr>
        <w:t>Unutraš</w:t>
      </w:r>
      <w:r w:rsidRPr="00FC4990">
        <w:rPr>
          <w:bCs/>
          <w:sz w:val="22"/>
          <w:szCs w:val="22"/>
        </w:rPr>
        <w:t>nje pakovanje je HDPE boca sa plastičnim (polipropilenskim) sigurnosnim zatvaračem za d</w:t>
      </w:r>
      <w:r>
        <w:rPr>
          <w:bCs/>
          <w:sz w:val="22"/>
          <w:szCs w:val="22"/>
        </w:rPr>
        <w:t>j</w:t>
      </w:r>
      <w:r w:rsidRPr="00FC4990">
        <w:rPr>
          <w:bCs/>
          <w:sz w:val="22"/>
          <w:szCs w:val="22"/>
        </w:rPr>
        <w:t>ecu i sa plastičnim HDPE kanisterom unutar boce koji sadrži silika gel. Boca sadrži 30 film tableta.</w:t>
      </w:r>
    </w:p>
    <w:p w:rsidR="00FC4990" w:rsidRPr="00FC4990" w:rsidRDefault="00FC4990" w:rsidP="00FC4990">
      <w:pPr>
        <w:tabs>
          <w:tab w:val="left" w:pos="540"/>
          <w:tab w:val="left" w:pos="569"/>
        </w:tabs>
        <w:jc w:val="both"/>
        <w:rPr>
          <w:bCs/>
          <w:sz w:val="22"/>
          <w:szCs w:val="22"/>
        </w:rPr>
      </w:pPr>
    </w:p>
    <w:p w:rsidR="00FC4990" w:rsidRPr="00FC4990" w:rsidRDefault="00FC4990" w:rsidP="00FC4990">
      <w:pPr>
        <w:tabs>
          <w:tab w:val="left" w:pos="540"/>
          <w:tab w:val="left" w:pos="569"/>
        </w:tabs>
        <w:jc w:val="both"/>
        <w:rPr>
          <w:bCs/>
          <w:sz w:val="22"/>
          <w:szCs w:val="22"/>
        </w:rPr>
      </w:pPr>
      <w:r w:rsidRPr="00FC4990">
        <w:rPr>
          <w:bCs/>
          <w:sz w:val="22"/>
          <w:szCs w:val="22"/>
        </w:rPr>
        <w:t>Spoljašnje pakovanje je složiva kartonska kutija u kojoj se nalazi jedna boca sa 30 film tableta i Uputstvo za l</w:t>
      </w:r>
      <w:r>
        <w:rPr>
          <w:bCs/>
          <w:sz w:val="22"/>
          <w:szCs w:val="22"/>
        </w:rPr>
        <w:t>ij</w:t>
      </w:r>
      <w:r w:rsidRPr="00FC4990">
        <w:rPr>
          <w:bCs/>
          <w:sz w:val="22"/>
          <w:szCs w:val="22"/>
        </w:rPr>
        <w:t>ek.</w:t>
      </w:r>
    </w:p>
    <w:p w:rsidR="0072020E" w:rsidRPr="00786071" w:rsidRDefault="0072020E" w:rsidP="00480FB1">
      <w:pPr>
        <w:tabs>
          <w:tab w:val="left" w:pos="540"/>
          <w:tab w:val="left" w:pos="569"/>
        </w:tabs>
        <w:rPr>
          <w:bCs/>
          <w:sz w:val="22"/>
          <w:szCs w:val="22"/>
        </w:rPr>
      </w:pPr>
    </w:p>
    <w:p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rsidR="00B66A70" w:rsidRDefault="00B66A70" w:rsidP="00480FB1">
      <w:pPr>
        <w:tabs>
          <w:tab w:val="left" w:pos="540"/>
          <w:tab w:val="left" w:pos="569"/>
        </w:tabs>
        <w:rPr>
          <w:b/>
          <w:bCs/>
          <w:sz w:val="22"/>
          <w:szCs w:val="22"/>
        </w:rPr>
      </w:pPr>
    </w:p>
    <w:p w:rsidR="00FC4990" w:rsidRPr="00FC4990" w:rsidRDefault="00FC4990" w:rsidP="00FC4990">
      <w:pPr>
        <w:tabs>
          <w:tab w:val="left" w:pos="540"/>
          <w:tab w:val="left" w:pos="569"/>
        </w:tabs>
        <w:jc w:val="both"/>
        <w:rPr>
          <w:bCs/>
          <w:sz w:val="22"/>
          <w:szCs w:val="22"/>
        </w:rPr>
      </w:pPr>
      <w:r w:rsidRPr="00FC4990">
        <w:rPr>
          <w:bCs/>
          <w:sz w:val="22"/>
          <w:szCs w:val="22"/>
        </w:rPr>
        <w:t>Svu neiskorišćenu količinu l</w:t>
      </w:r>
      <w:r>
        <w:rPr>
          <w:bCs/>
          <w:sz w:val="22"/>
          <w:szCs w:val="22"/>
        </w:rPr>
        <w:t>ij</w:t>
      </w:r>
      <w:r w:rsidRPr="00FC4990">
        <w:rPr>
          <w:bCs/>
          <w:sz w:val="22"/>
          <w:szCs w:val="22"/>
        </w:rPr>
        <w:t>eka ili otpadnog materijala nakon njegove upotrebe treba ukloniti, u skladu sa važećim propisima.</w:t>
      </w:r>
    </w:p>
    <w:p w:rsidR="0072020E" w:rsidRDefault="0072020E" w:rsidP="00480FB1">
      <w:pPr>
        <w:tabs>
          <w:tab w:val="left" w:pos="540"/>
          <w:tab w:val="left" w:pos="569"/>
        </w:tabs>
        <w:rPr>
          <w:bCs/>
          <w:sz w:val="22"/>
          <w:szCs w:val="22"/>
        </w:rPr>
      </w:pPr>
    </w:p>
    <w:p w:rsidR="007A5560" w:rsidRPr="00786071" w:rsidRDefault="007A5560" w:rsidP="00480FB1">
      <w:pPr>
        <w:tabs>
          <w:tab w:val="left" w:pos="540"/>
          <w:tab w:val="left" w:pos="569"/>
        </w:tabs>
        <w:rPr>
          <w:bCs/>
          <w:sz w:val="22"/>
          <w:szCs w:val="22"/>
        </w:rPr>
      </w:pPr>
    </w:p>
    <w:p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C61BE0" w:rsidRDefault="00C61BE0" w:rsidP="00480FB1">
      <w:pPr>
        <w:tabs>
          <w:tab w:val="left" w:pos="540"/>
          <w:tab w:val="left" w:pos="569"/>
        </w:tabs>
        <w:rPr>
          <w:bCs/>
          <w:sz w:val="22"/>
          <w:szCs w:val="22"/>
        </w:rPr>
      </w:pPr>
    </w:p>
    <w:p w:rsidR="00C37FD7" w:rsidRDefault="00FC4990" w:rsidP="00480FB1">
      <w:pPr>
        <w:tabs>
          <w:tab w:val="left" w:pos="540"/>
          <w:tab w:val="left" w:pos="569"/>
        </w:tabs>
        <w:rPr>
          <w:bCs/>
          <w:sz w:val="22"/>
          <w:szCs w:val="22"/>
        </w:rPr>
      </w:pPr>
      <w:r>
        <w:rPr>
          <w:bCs/>
          <w:sz w:val="22"/>
          <w:szCs w:val="22"/>
        </w:rPr>
        <w:t>Evropa Lek Pharma d.o.o.</w:t>
      </w:r>
      <w:r w:rsidR="000C0616">
        <w:rPr>
          <w:bCs/>
          <w:sz w:val="22"/>
          <w:szCs w:val="22"/>
        </w:rPr>
        <w:t xml:space="preserve"> Podgorica</w:t>
      </w:r>
    </w:p>
    <w:p w:rsidR="00FC4990" w:rsidRDefault="00FC4990" w:rsidP="00480FB1">
      <w:pPr>
        <w:tabs>
          <w:tab w:val="left" w:pos="540"/>
          <w:tab w:val="left" w:pos="569"/>
        </w:tabs>
        <w:rPr>
          <w:bCs/>
          <w:sz w:val="22"/>
          <w:szCs w:val="22"/>
        </w:rPr>
      </w:pPr>
      <w:r>
        <w:rPr>
          <w:bCs/>
          <w:sz w:val="22"/>
          <w:szCs w:val="22"/>
        </w:rPr>
        <w:t>Kritskog odreda 4/1, 81000 Podgorica</w:t>
      </w:r>
    </w:p>
    <w:p w:rsidR="00FC4990" w:rsidRDefault="00FC4990" w:rsidP="00480FB1">
      <w:pPr>
        <w:tabs>
          <w:tab w:val="left" w:pos="540"/>
          <w:tab w:val="left" w:pos="569"/>
        </w:tabs>
        <w:rPr>
          <w:bCs/>
          <w:sz w:val="22"/>
          <w:szCs w:val="22"/>
        </w:rPr>
      </w:pPr>
      <w:r>
        <w:rPr>
          <w:bCs/>
          <w:sz w:val="22"/>
          <w:szCs w:val="22"/>
        </w:rPr>
        <w:t>Crna Gora</w:t>
      </w:r>
    </w:p>
    <w:p w:rsidR="00FC4990" w:rsidRDefault="00FC4990" w:rsidP="00480FB1">
      <w:pPr>
        <w:tabs>
          <w:tab w:val="left" w:pos="540"/>
          <w:tab w:val="left" w:pos="569"/>
        </w:tabs>
        <w:rPr>
          <w:bCs/>
          <w:sz w:val="22"/>
          <w:szCs w:val="22"/>
        </w:rPr>
      </w:pPr>
    </w:p>
    <w:p w:rsidR="007A5560" w:rsidRPr="00786071" w:rsidRDefault="007A5560"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0E4762" w:rsidRPr="00681D3D" w:rsidRDefault="000E4762" w:rsidP="00681D3D">
      <w:r w:rsidRPr="00681D3D">
        <w:t>2030/22/2419 - 4163</w:t>
      </w:r>
    </w:p>
    <w:p w:rsidR="00F45F77" w:rsidRDefault="00F45F77" w:rsidP="00480FB1">
      <w:pPr>
        <w:tabs>
          <w:tab w:val="left" w:pos="540"/>
          <w:tab w:val="left" w:pos="569"/>
        </w:tabs>
        <w:rPr>
          <w:bCs/>
          <w:sz w:val="22"/>
          <w:szCs w:val="22"/>
        </w:rPr>
      </w:pPr>
    </w:p>
    <w:p w:rsidR="000E4762" w:rsidRPr="00786071" w:rsidRDefault="000E4762"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0E4762" w:rsidRPr="00A54E86" w:rsidRDefault="000E4762" w:rsidP="00480FB1">
      <w:pPr>
        <w:tabs>
          <w:tab w:val="left" w:pos="540"/>
          <w:tab w:val="left" w:pos="569"/>
        </w:tabs>
        <w:rPr>
          <w:bCs/>
          <w:sz w:val="22"/>
          <w:szCs w:val="22"/>
          <w:lang w:val="sr-Latn-ME"/>
        </w:rPr>
      </w:pPr>
      <w:r>
        <w:rPr>
          <w:bCs/>
          <w:sz w:val="22"/>
          <w:szCs w:val="22"/>
        </w:rPr>
        <w:t>30</w:t>
      </w:r>
      <w:r w:rsidRPr="00A54E86">
        <w:rPr>
          <w:bCs/>
          <w:sz w:val="22"/>
          <w:szCs w:val="22"/>
          <w:lang w:val="sr-Latn-ME"/>
        </w:rPr>
        <w:t>.09.2022. godine</w:t>
      </w:r>
    </w:p>
    <w:p w:rsidR="00836B35" w:rsidRDefault="00836B35" w:rsidP="00480FB1">
      <w:pPr>
        <w:tabs>
          <w:tab w:val="left" w:pos="540"/>
          <w:tab w:val="left" w:pos="569"/>
        </w:tabs>
        <w:rPr>
          <w:bCs/>
          <w:sz w:val="22"/>
          <w:szCs w:val="22"/>
          <w:lang w:val="sr-Latn-ME"/>
        </w:rPr>
      </w:pPr>
    </w:p>
    <w:p w:rsidR="00A54E86" w:rsidRPr="00A54E86" w:rsidRDefault="00A54E86" w:rsidP="00480FB1">
      <w:pPr>
        <w:tabs>
          <w:tab w:val="left" w:pos="540"/>
          <w:tab w:val="left" w:pos="569"/>
        </w:tabs>
        <w:rPr>
          <w:bCs/>
          <w:sz w:val="22"/>
          <w:szCs w:val="22"/>
          <w:lang w:val="sr-Latn-ME"/>
        </w:rPr>
      </w:pPr>
    </w:p>
    <w:p w:rsidR="003F6A59" w:rsidRPr="000E4762" w:rsidRDefault="0072020E" w:rsidP="00C05DF8">
      <w:pPr>
        <w:tabs>
          <w:tab w:val="left" w:pos="540"/>
          <w:tab w:val="left" w:pos="569"/>
        </w:tabs>
        <w:ind w:left="540" w:hanging="540"/>
        <w:rPr>
          <w:bCs/>
          <w:sz w:val="22"/>
          <w:szCs w:val="22"/>
          <w:lang w:val="sr-Latn-ME"/>
        </w:rPr>
      </w:pPr>
      <w:r w:rsidRPr="000E4762">
        <w:rPr>
          <w:b/>
          <w:bCs/>
          <w:sz w:val="22"/>
          <w:szCs w:val="22"/>
          <w:lang w:val="sr-Latn-ME"/>
        </w:rPr>
        <w:t xml:space="preserve">10. </w:t>
      </w:r>
      <w:r w:rsidR="00480FB1" w:rsidRPr="000E4762">
        <w:rPr>
          <w:b/>
          <w:bCs/>
          <w:sz w:val="22"/>
          <w:szCs w:val="22"/>
          <w:lang w:val="sr-Latn-ME"/>
        </w:rPr>
        <w:tab/>
      </w:r>
      <w:r w:rsidR="002846DB" w:rsidRPr="000E4762">
        <w:rPr>
          <w:b/>
          <w:bCs/>
          <w:sz w:val="22"/>
          <w:szCs w:val="22"/>
          <w:lang w:val="sr-Latn-ME"/>
        </w:rPr>
        <w:t>D</w:t>
      </w:r>
      <w:r w:rsidR="00EC2532" w:rsidRPr="000E4762">
        <w:rPr>
          <w:b/>
          <w:bCs/>
          <w:sz w:val="22"/>
          <w:szCs w:val="22"/>
          <w:lang w:val="sr-Latn-ME"/>
        </w:rPr>
        <w:t xml:space="preserve">ATUM REVIZIJE TEKSTA </w:t>
      </w:r>
    </w:p>
    <w:p w:rsidR="003F6A59" w:rsidRPr="000E4762" w:rsidRDefault="003F6A59" w:rsidP="00480FB1">
      <w:pPr>
        <w:tabs>
          <w:tab w:val="left" w:pos="540"/>
          <w:tab w:val="left" w:pos="569"/>
        </w:tabs>
        <w:rPr>
          <w:bCs/>
          <w:sz w:val="22"/>
          <w:szCs w:val="22"/>
          <w:lang w:val="sr-Latn-ME"/>
        </w:rPr>
      </w:pPr>
    </w:p>
    <w:p w:rsidR="008A6D43" w:rsidRPr="000E4762" w:rsidRDefault="00681D3D" w:rsidP="00480FB1">
      <w:pPr>
        <w:tabs>
          <w:tab w:val="left" w:pos="540"/>
          <w:tab w:val="left" w:pos="569"/>
        </w:tabs>
        <w:rPr>
          <w:bCs/>
          <w:sz w:val="22"/>
          <w:szCs w:val="22"/>
          <w:lang w:val="sr-Latn-ME"/>
        </w:rPr>
      </w:pPr>
      <w:r>
        <w:rPr>
          <w:bCs/>
          <w:sz w:val="22"/>
          <w:szCs w:val="22"/>
          <w:lang w:val="sr-Latn-ME"/>
        </w:rPr>
        <w:t>Jul</w:t>
      </w:r>
      <w:r w:rsidR="000E4762" w:rsidRPr="000E4762">
        <w:rPr>
          <w:bCs/>
          <w:sz w:val="22"/>
          <w:szCs w:val="22"/>
          <w:lang w:val="sr-Latn-ME"/>
        </w:rPr>
        <w:t>, 202</w:t>
      </w:r>
      <w:r>
        <w:rPr>
          <w:bCs/>
          <w:sz w:val="22"/>
          <w:szCs w:val="22"/>
          <w:lang w:val="sr-Latn-ME"/>
        </w:rPr>
        <w:t>4</w:t>
      </w:r>
      <w:r w:rsidR="000E4762" w:rsidRPr="000E4762">
        <w:rPr>
          <w:bCs/>
          <w:sz w:val="22"/>
          <w:szCs w:val="22"/>
          <w:lang w:val="sr-Latn-ME"/>
        </w:rPr>
        <w:t>. godine</w:t>
      </w:r>
    </w:p>
    <w:p w:rsidR="003F6A59" w:rsidRPr="00786071" w:rsidRDefault="003F6A59" w:rsidP="00DE3F5C">
      <w:pPr>
        <w:rPr>
          <w:sz w:val="22"/>
          <w:szCs w:val="22"/>
          <w:lang w:val="pl-PL"/>
        </w:rPr>
      </w:pPr>
    </w:p>
    <w:sectPr w:rsidR="003F6A59" w:rsidRPr="0078607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E40" w:rsidRDefault="009D7E40">
      <w:r>
        <w:separator/>
      </w:r>
    </w:p>
  </w:endnote>
  <w:endnote w:type="continuationSeparator" w:id="0">
    <w:p w:rsidR="009D7E40" w:rsidRDefault="009D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62" w:rsidRPr="00B23F69" w:rsidRDefault="000E476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B272C">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B272C">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E40" w:rsidRDefault="009D7E40">
      <w:r>
        <w:separator/>
      </w:r>
    </w:p>
  </w:footnote>
  <w:footnote w:type="continuationSeparator" w:id="0">
    <w:p w:rsidR="009D7E40" w:rsidRDefault="009D7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47466A"/>
    <w:multiLevelType w:val="hybridMultilevel"/>
    <w:tmpl w:val="479A7630"/>
    <w:lvl w:ilvl="0" w:tplc="7918F7C6">
      <w:numFmt w:val="bullet"/>
      <w:lvlText w:val=""/>
      <w:lvlJc w:val="left"/>
      <w:pPr>
        <w:ind w:left="684" w:hanging="543"/>
      </w:pPr>
      <w:rPr>
        <w:rFonts w:ascii="Symbol" w:eastAsia="Symbol" w:hAnsi="Symbol" w:cs="Symbol" w:hint="default"/>
        <w:b w:val="0"/>
        <w:bCs w:val="0"/>
        <w:i w:val="0"/>
        <w:iCs w:val="0"/>
        <w:w w:val="100"/>
        <w:sz w:val="22"/>
        <w:szCs w:val="22"/>
      </w:rPr>
    </w:lvl>
    <w:lvl w:ilvl="1" w:tplc="0E448BE4">
      <w:numFmt w:val="bullet"/>
      <w:lvlText w:val="•"/>
      <w:lvlJc w:val="left"/>
      <w:pPr>
        <w:ind w:left="1622" w:hanging="543"/>
      </w:pPr>
      <w:rPr>
        <w:rFonts w:hint="default"/>
      </w:rPr>
    </w:lvl>
    <w:lvl w:ilvl="2" w:tplc="456A712E">
      <w:numFmt w:val="bullet"/>
      <w:lvlText w:val="•"/>
      <w:lvlJc w:val="left"/>
      <w:pPr>
        <w:ind w:left="2565" w:hanging="543"/>
      </w:pPr>
      <w:rPr>
        <w:rFonts w:hint="default"/>
      </w:rPr>
    </w:lvl>
    <w:lvl w:ilvl="3" w:tplc="4A3A28BA">
      <w:numFmt w:val="bullet"/>
      <w:lvlText w:val="•"/>
      <w:lvlJc w:val="left"/>
      <w:pPr>
        <w:ind w:left="3507" w:hanging="543"/>
      </w:pPr>
      <w:rPr>
        <w:rFonts w:hint="default"/>
      </w:rPr>
    </w:lvl>
    <w:lvl w:ilvl="4" w:tplc="B6E636CC">
      <w:numFmt w:val="bullet"/>
      <w:lvlText w:val="•"/>
      <w:lvlJc w:val="left"/>
      <w:pPr>
        <w:ind w:left="4450" w:hanging="543"/>
      </w:pPr>
      <w:rPr>
        <w:rFonts w:hint="default"/>
      </w:rPr>
    </w:lvl>
    <w:lvl w:ilvl="5" w:tplc="9360504C">
      <w:numFmt w:val="bullet"/>
      <w:lvlText w:val="•"/>
      <w:lvlJc w:val="left"/>
      <w:pPr>
        <w:ind w:left="5392" w:hanging="543"/>
      </w:pPr>
      <w:rPr>
        <w:rFonts w:hint="default"/>
      </w:rPr>
    </w:lvl>
    <w:lvl w:ilvl="6" w:tplc="05EEB7BC">
      <w:numFmt w:val="bullet"/>
      <w:lvlText w:val="•"/>
      <w:lvlJc w:val="left"/>
      <w:pPr>
        <w:ind w:left="6335" w:hanging="543"/>
      </w:pPr>
      <w:rPr>
        <w:rFonts w:hint="default"/>
      </w:rPr>
    </w:lvl>
    <w:lvl w:ilvl="7" w:tplc="264C9C62">
      <w:numFmt w:val="bullet"/>
      <w:lvlText w:val="•"/>
      <w:lvlJc w:val="left"/>
      <w:pPr>
        <w:ind w:left="7277" w:hanging="543"/>
      </w:pPr>
      <w:rPr>
        <w:rFonts w:hint="default"/>
      </w:rPr>
    </w:lvl>
    <w:lvl w:ilvl="8" w:tplc="E86C2A1E">
      <w:numFmt w:val="bullet"/>
      <w:lvlText w:val="•"/>
      <w:lvlJc w:val="left"/>
      <w:pPr>
        <w:ind w:left="8220" w:hanging="543"/>
      </w:pPr>
      <w:rPr>
        <w:rFonts w:hint="default"/>
      </w:rPr>
    </w:lvl>
  </w:abstractNum>
  <w:abstractNum w:abstractNumId="8" w15:restartNumberingAfterBreak="0">
    <w:nsid w:val="40FB18D1"/>
    <w:multiLevelType w:val="multilevel"/>
    <w:tmpl w:val="B1AED190"/>
    <w:lvl w:ilvl="0">
      <w:start w:val="4"/>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cs="Times New Roman" w:hint="default"/>
        <w:b/>
        <w:bCs/>
        <w:spacing w:val="-1"/>
        <w:w w:val="103"/>
        <w:sz w:val="20"/>
        <w:szCs w:val="20"/>
      </w:rPr>
    </w:lvl>
    <w:lvl w:ilvl="2">
      <w:numFmt w:val="bullet"/>
      <w:lvlText w:val=""/>
      <w:lvlJc w:val="left"/>
      <w:pPr>
        <w:ind w:left="880" w:hanging="341"/>
      </w:pPr>
      <w:rPr>
        <w:rFonts w:ascii="Symbol" w:eastAsia="Symbol" w:hAnsi="Symbol" w:cs="Symbol" w:hint="default"/>
        <w:w w:val="102"/>
        <w:sz w:val="22"/>
        <w:szCs w:val="22"/>
      </w:rPr>
    </w:lvl>
    <w:lvl w:ilvl="3">
      <w:numFmt w:val="bullet"/>
      <w:lvlText w:val="•"/>
      <w:lvlJc w:val="left"/>
      <w:pPr>
        <w:ind w:left="3066" w:hanging="341"/>
      </w:pPr>
      <w:rPr>
        <w:rFonts w:hint="default"/>
      </w:rPr>
    </w:lvl>
    <w:lvl w:ilvl="4">
      <w:numFmt w:val="bullet"/>
      <w:lvlText w:val="•"/>
      <w:lvlJc w:val="left"/>
      <w:pPr>
        <w:ind w:left="4160" w:hanging="341"/>
      </w:pPr>
      <w:rPr>
        <w:rFonts w:hint="default"/>
      </w:rPr>
    </w:lvl>
    <w:lvl w:ilvl="5">
      <w:numFmt w:val="bullet"/>
      <w:lvlText w:val="•"/>
      <w:lvlJc w:val="left"/>
      <w:pPr>
        <w:ind w:left="5253" w:hanging="341"/>
      </w:pPr>
      <w:rPr>
        <w:rFonts w:hint="default"/>
      </w:rPr>
    </w:lvl>
    <w:lvl w:ilvl="6">
      <w:numFmt w:val="bullet"/>
      <w:lvlText w:val="•"/>
      <w:lvlJc w:val="left"/>
      <w:pPr>
        <w:ind w:left="6346" w:hanging="341"/>
      </w:pPr>
      <w:rPr>
        <w:rFonts w:hint="default"/>
      </w:rPr>
    </w:lvl>
    <w:lvl w:ilvl="7">
      <w:numFmt w:val="bullet"/>
      <w:lvlText w:val="•"/>
      <w:lvlJc w:val="left"/>
      <w:pPr>
        <w:ind w:left="7440" w:hanging="341"/>
      </w:pPr>
      <w:rPr>
        <w:rFonts w:hint="default"/>
      </w:rPr>
    </w:lvl>
    <w:lvl w:ilvl="8">
      <w:numFmt w:val="bullet"/>
      <w:lvlText w:val="•"/>
      <w:lvlJc w:val="left"/>
      <w:pPr>
        <w:ind w:left="8533" w:hanging="341"/>
      </w:pPr>
      <w:rPr>
        <w:rFont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F733D57"/>
    <w:multiLevelType w:val="hybridMultilevel"/>
    <w:tmpl w:val="060C3AF0"/>
    <w:lvl w:ilvl="0" w:tplc="241A0001">
      <w:start w:val="1"/>
      <w:numFmt w:val="bullet"/>
      <w:lvlText w:val=""/>
      <w:lvlJc w:val="left"/>
      <w:pPr>
        <w:ind w:left="900" w:hanging="360"/>
      </w:pPr>
      <w:rPr>
        <w:rFonts w:ascii="Symbol" w:hAnsi="Symbol"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601598"/>
    <w:multiLevelType w:val="hybridMultilevel"/>
    <w:tmpl w:val="1F322A04"/>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9"/>
  </w:num>
  <w:num w:numId="8">
    <w:abstractNumId w:val="3"/>
  </w:num>
  <w:num w:numId="9">
    <w:abstractNumId w:val="6"/>
  </w:num>
  <w:num w:numId="10">
    <w:abstractNumId w:val="14"/>
  </w:num>
  <w:num w:numId="11">
    <w:abstractNumId w:val="5"/>
  </w:num>
  <w:num w:numId="12">
    <w:abstractNumId w:val="8"/>
  </w:num>
  <w:num w:numId="13">
    <w:abstractNumId w:val="7"/>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2DE"/>
    <w:rsid w:val="000A3F58"/>
    <w:rsid w:val="000B1781"/>
    <w:rsid w:val="000C0616"/>
    <w:rsid w:val="000D2343"/>
    <w:rsid w:val="000D3449"/>
    <w:rsid w:val="000D425A"/>
    <w:rsid w:val="000D60CC"/>
    <w:rsid w:val="000E2084"/>
    <w:rsid w:val="000E4762"/>
    <w:rsid w:val="000E6F55"/>
    <w:rsid w:val="000F77FA"/>
    <w:rsid w:val="00107BF7"/>
    <w:rsid w:val="00111552"/>
    <w:rsid w:val="00126F53"/>
    <w:rsid w:val="00140452"/>
    <w:rsid w:val="0014766D"/>
    <w:rsid w:val="001536CC"/>
    <w:rsid w:val="00192010"/>
    <w:rsid w:val="001A3FBA"/>
    <w:rsid w:val="001A5518"/>
    <w:rsid w:val="001A6A30"/>
    <w:rsid w:val="001B1C6A"/>
    <w:rsid w:val="001B272C"/>
    <w:rsid w:val="001C1263"/>
    <w:rsid w:val="001C1417"/>
    <w:rsid w:val="001E390B"/>
    <w:rsid w:val="001E58A5"/>
    <w:rsid w:val="001F42FB"/>
    <w:rsid w:val="001F719A"/>
    <w:rsid w:val="002012C0"/>
    <w:rsid w:val="002031B3"/>
    <w:rsid w:val="0020581D"/>
    <w:rsid w:val="00215931"/>
    <w:rsid w:val="00224C91"/>
    <w:rsid w:val="00227BDB"/>
    <w:rsid w:val="0023449C"/>
    <w:rsid w:val="00234CB1"/>
    <w:rsid w:val="002352F8"/>
    <w:rsid w:val="00243148"/>
    <w:rsid w:val="002510A5"/>
    <w:rsid w:val="00254A0A"/>
    <w:rsid w:val="00264966"/>
    <w:rsid w:val="00266046"/>
    <w:rsid w:val="002846DB"/>
    <w:rsid w:val="00284CCD"/>
    <w:rsid w:val="002C6637"/>
    <w:rsid w:val="002D343A"/>
    <w:rsid w:val="002E0135"/>
    <w:rsid w:val="002E37A5"/>
    <w:rsid w:val="00310F03"/>
    <w:rsid w:val="003247D2"/>
    <w:rsid w:val="003445C1"/>
    <w:rsid w:val="00355B61"/>
    <w:rsid w:val="00362686"/>
    <w:rsid w:val="00371510"/>
    <w:rsid w:val="00375457"/>
    <w:rsid w:val="00396DFD"/>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87FFC"/>
    <w:rsid w:val="004A3FA0"/>
    <w:rsid w:val="004C331F"/>
    <w:rsid w:val="004C471A"/>
    <w:rsid w:val="004D3FC6"/>
    <w:rsid w:val="004D6103"/>
    <w:rsid w:val="004E3BCE"/>
    <w:rsid w:val="004E70AD"/>
    <w:rsid w:val="004F0E97"/>
    <w:rsid w:val="004F3D93"/>
    <w:rsid w:val="005002B3"/>
    <w:rsid w:val="00501DD1"/>
    <w:rsid w:val="00515C21"/>
    <w:rsid w:val="00530BD7"/>
    <w:rsid w:val="00544BFD"/>
    <w:rsid w:val="00545CD2"/>
    <w:rsid w:val="005476F3"/>
    <w:rsid w:val="005521EA"/>
    <w:rsid w:val="00572527"/>
    <w:rsid w:val="00573E40"/>
    <w:rsid w:val="00576348"/>
    <w:rsid w:val="00597F43"/>
    <w:rsid w:val="005A0B2E"/>
    <w:rsid w:val="005A23D2"/>
    <w:rsid w:val="005A36CB"/>
    <w:rsid w:val="005B49B8"/>
    <w:rsid w:val="005C0741"/>
    <w:rsid w:val="005C5EF4"/>
    <w:rsid w:val="005D711C"/>
    <w:rsid w:val="005E2E0B"/>
    <w:rsid w:val="005E7A7D"/>
    <w:rsid w:val="005F64DF"/>
    <w:rsid w:val="00602457"/>
    <w:rsid w:val="00627A6E"/>
    <w:rsid w:val="00644FC3"/>
    <w:rsid w:val="00646BD1"/>
    <w:rsid w:val="006561C2"/>
    <w:rsid w:val="00671CB3"/>
    <w:rsid w:val="00674BAF"/>
    <w:rsid w:val="00680049"/>
    <w:rsid w:val="00681D3D"/>
    <w:rsid w:val="00682200"/>
    <w:rsid w:val="0069187D"/>
    <w:rsid w:val="00692BF6"/>
    <w:rsid w:val="006A1497"/>
    <w:rsid w:val="006B0BD1"/>
    <w:rsid w:val="006B29C3"/>
    <w:rsid w:val="006B5404"/>
    <w:rsid w:val="006D20A5"/>
    <w:rsid w:val="006D37BF"/>
    <w:rsid w:val="006E4A93"/>
    <w:rsid w:val="007005D9"/>
    <w:rsid w:val="00702E22"/>
    <w:rsid w:val="0072020E"/>
    <w:rsid w:val="0074527F"/>
    <w:rsid w:val="00745C2C"/>
    <w:rsid w:val="00750368"/>
    <w:rsid w:val="007813A6"/>
    <w:rsid w:val="00786071"/>
    <w:rsid w:val="0078797C"/>
    <w:rsid w:val="007A3ECB"/>
    <w:rsid w:val="007A5560"/>
    <w:rsid w:val="007C488E"/>
    <w:rsid w:val="007D7BB3"/>
    <w:rsid w:val="007E1121"/>
    <w:rsid w:val="007E7541"/>
    <w:rsid w:val="00824AB9"/>
    <w:rsid w:val="008366A4"/>
    <w:rsid w:val="00836B35"/>
    <w:rsid w:val="00843BDE"/>
    <w:rsid w:val="00847FEE"/>
    <w:rsid w:val="008577B0"/>
    <w:rsid w:val="00874922"/>
    <w:rsid w:val="0087588C"/>
    <w:rsid w:val="00880998"/>
    <w:rsid w:val="0089705C"/>
    <w:rsid w:val="008A6D43"/>
    <w:rsid w:val="008B318E"/>
    <w:rsid w:val="008B491E"/>
    <w:rsid w:val="008B7AAE"/>
    <w:rsid w:val="008C1A28"/>
    <w:rsid w:val="008C2E98"/>
    <w:rsid w:val="008C52F8"/>
    <w:rsid w:val="008E4104"/>
    <w:rsid w:val="008E49BD"/>
    <w:rsid w:val="008E53E9"/>
    <w:rsid w:val="008E5771"/>
    <w:rsid w:val="008F4ACF"/>
    <w:rsid w:val="00924166"/>
    <w:rsid w:val="00940B9B"/>
    <w:rsid w:val="00942F8D"/>
    <w:rsid w:val="00945676"/>
    <w:rsid w:val="0095676E"/>
    <w:rsid w:val="00956983"/>
    <w:rsid w:val="00956C28"/>
    <w:rsid w:val="00963CF0"/>
    <w:rsid w:val="00964BB1"/>
    <w:rsid w:val="009775D9"/>
    <w:rsid w:val="009859DC"/>
    <w:rsid w:val="00997175"/>
    <w:rsid w:val="009A1847"/>
    <w:rsid w:val="009B062A"/>
    <w:rsid w:val="009B7B6E"/>
    <w:rsid w:val="009C6721"/>
    <w:rsid w:val="009D05CE"/>
    <w:rsid w:val="009D078F"/>
    <w:rsid w:val="009D7E40"/>
    <w:rsid w:val="009E7C6F"/>
    <w:rsid w:val="009F1793"/>
    <w:rsid w:val="009F2D23"/>
    <w:rsid w:val="00A01D69"/>
    <w:rsid w:val="00A02335"/>
    <w:rsid w:val="00A443AA"/>
    <w:rsid w:val="00A46C9A"/>
    <w:rsid w:val="00A545E4"/>
    <w:rsid w:val="00A54E86"/>
    <w:rsid w:val="00A619F3"/>
    <w:rsid w:val="00A62A73"/>
    <w:rsid w:val="00A81E6F"/>
    <w:rsid w:val="00A87FF6"/>
    <w:rsid w:val="00AA0A3B"/>
    <w:rsid w:val="00AA2763"/>
    <w:rsid w:val="00AA33B6"/>
    <w:rsid w:val="00AB3C16"/>
    <w:rsid w:val="00AB50CA"/>
    <w:rsid w:val="00AB6D64"/>
    <w:rsid w:val="00AC53CE"/>
    <w:rsid w:val="00AD2193"/>
    <w:rsid w:val="00AE08C9"/>
    <w:rsid w:val="00AF2AC7"/>
    <w:rsid w:val="00AF74CE"/>
    <w:rsid w:val="00B07DE1"/>
    <w:rsid w:val="00B208DB"/>
    <w:rsid w:val="00B23F69"/>
    <w:rsid w:val="00B40EA9"/>
    <w:rsid w:val="00B47C33"/>
    <w:rsid w:val="00B60619"/>
    <w:rsid w:val="00B66A70"/>
    <w:rsid w:val="00B67366"/>
    <w:rsid w:val="00B80EE1"/>
    <w:rsid w:val="00B81134"/>
    <w:rsid w:val="00B83CAB"/>
    <w:rsid w:val="00B84135"/>
    <w:rsid w:val="00BF6D2A"/>
    <w:rsid w:val="00C04D34"/>
    <w:rsid w:val="00C05DF8"/>
    <w:rsid w:val="00C06864"/>
    <w:rsid w:val="00C10F54"/>
    <w:rsid w:val="00C23D8D"/>
    <w:rsid w:val="00C24B44"/>
    <w:rsid w:val="00C31119"/>
    <w:rsid w:val="00C37AA3"/>
    <w:rsid w:val="00C37FD7"/>
    <w:rsid w:val="00C43419"/>
    <w:rsid w:val="00C44CF3"/>
    <w:rsid w:val="00C60AC5"/>
    <w:rsid w:val="00C61BE0"/>
    <w:rsid w:val="00C6707E"/>
    <w:rsid w:val="00C70B0E"/>
    <w:rsid w:val="00C773CA"/>
    <w:rsid w:val="00C83785"/>
    <w:rsid w:val="00C90E99"/>
    <w:rsid w:val="00C94C0D"/>
    <w:rsid w:val="00CA1FEB"/>
    <w:rsid w:val="00CC2066"/>
    <w:rsid w:val="00CD4F85"/>
    <w:rsid w:val="00CD6F02"/>
    <w:rsid w:val="00CE246D"/>
    <w:rsid w:val="00CF07A0"/>
    <w:rsid w:val="00CF3E03"/>
    <w:rsid w:val="00D0082A"/>
    <w:rsid w:val="00D21455"/>
    <w:rsid w:val="00D45C75"/>
    <w:rsid w:val="00D47634"/>
    <w:rsid w:val="00D6162F"/>
    <w:rsid w:val="00D709B3"/>
    <w:rsid w:val="00D72684"/>
    <w:rsid w:val="00D73D18"/>
    <w:rsid w:val="00D95E36"/>
    <w:rsid w:val="00DA19E4"/>
    <w:rsid w:val="00DA2ED6"/>
    <w:rsid w:val="00DB76B8"/>
    <w:rsid w:val="00DC2EA1"/>
    <w:rsid w:val="00DD6AAF"/>
    <w:rsid w:val="00DE3F5C"/>
    <w:rsid w:val="00DF1D20"/>
    <w:rsid w:val="00DF76D5"/>
    <w:rsid w:val="00E21324"/>
    <w:rsid w:val="00E246B9"/>
    <w:rsid w:val="00E31FEA"/>
    <w:rsid w:val="00E4312F"/>
    <w:rsid w:val="00E45169"/>
    <w:rsid w:val="00E47787"/>
    <w:rsid w:val="00E51C30"/>
    <w:rsid w:val="00E64180"/>
    <w:rsid w:val="00E70205"/>
    <w:rsid w:val="00E74AEE"/>
    <w:rsid w:val="00E84177"/>
    <w:rsid w:val="00E868E5"/>
    <w:rsid w:val="00E9237A"/>
    <w:rsid w:val="00E92708"/>
    <w:rsid w:val="00E939FA"/>
    <w:rsid w:val="00E967F8"/>
    <w:rsid w:val="00EA5765"/>
    <w:rsid w:val="00EC2532"/>
    <w:rsid w:val="00ED7812"/>
    <w:rsid w:val="00EF0263"/>
    <w:rsid w:val="00EF2342"/>
    <w:rsid w:val="00EF3B86"/>
    <w:rsid w:val="00F317E9"/>
    <w:rsid w:val="00F33B79"/>
    <w:rsid w:val="00F34554"/>
    <w:rsid w:val="00F41270"/>
    <w:rsid w:val="00F434D9"/>
    <w:rsid w:val="00F45F77"/>
    <w:rsid w:val="00F5167F"/>
    <w:rsid w:val="00F52258"/>
    <w:rsid w:val="00F6550A"/>
    <w:rsid w:val="00F8570A"/>
    <w:rsid w:val="00F91C7B"/>
    <w:rsid w:val="00F92A3C"/>
    <w:rsid w:val="00FC4990"/>
    <w:rsid w:val="00FC4F4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C3111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9C6721"/>
    <w:pPr>
      <w:ind w:left="720"/>
      <w:contextualSpacing/>
    </w:pPr>
  </w:style>
  <w:style w:type="character" w:customStyle="1" w:styleId="Heading3Char">
    <w:name w:val="Heading 3 Char"/>
    <w:basedOn w:val="DefaultParagraphFont"/>
    <w:link w:val="Heading3"/>
    <w:semiHidden/>
    <w:rsid w:val="00C31119"/>
    <w:rPr>
      <w:rFonts w:asciiTheme="majorHAnsi" w:eastAsiaTheme="majorEastAsia" w:hAnsiTheme="majorHAnsi" w:cstheme="majorBidi"/>
      <w:color w:val="1F4D78" w:themeColor="accent1" w:themeShade="7F"/>
      <w:sz w:val="24"/>
      <w:szCs w:val="24"/>
      <w:lang w:val="en-US" w:eastAsia="en-US"/>
    </w:rPr>
  </w:style>
  <w:style w:type="paragraph" w:styleId="NormalWeb">
    <w:name w:val="Normal (Web)"/>
    <w:basedOn w:val="Normal"/>
    <w:uiPriority w:val="99"/>
    <w:unhideWhenUsed/>
    <w:rsid w:val="00CC2066"/>
    <w:pPr>
      <w:spacing w:before="100" w:beforeAutospacing="1" w:after="100" w:afterAutospacing="1"/>
    </w:pPr>
    <w:rPr>
      <w:lang w:val="en-GB" w:eastAsia="en-GB"/>
    </w:rPr>
  </w:style>
  <w:style w:type="table" w:styleId="TableGrid">
    <w:name w:val="Table Grid"/>
    <w:basedOn w:val="TableNormal"/>
    <w:rsid w:val="004A3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9EC8-DA93-4661-8A5B-32033B3D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18546</Words>
  <Characters>105718</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124016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2</cp:revision>
  <dcterms:created xsi:type="dcterms:W3CDTF">2024-07-09T10:03:00Z</dcterms:created>
  <dcterms:modified xsi:type="dcterms:W3CDTF">2024-07-09T10:03:00Z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