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C7B" w:rsidRPr="006B0439" w:rsidRDefault="00F91C7B" w:rsidP="001A5518">
      <w:pPr>
        <w:rPr>
          <w:b/>
          <w:bCs/>
          <w:i/>
          <w:iCs/>
          <w:sz w:val="22"/>
          <w:szCs w:val="22"/>
          <w:u w:val="single"/>
        </w:rPr>
      </w:pPr>
    </w:p>
    <w:p w:rsidR="002510A5" w:rsidRPr="006B0439" w:rsidRDefault="002510A5" w:rsidP="002510A5">
      <w:pPr>
        <w:jc w:val="center"/>
        <w:rPr>
          <w:b/>
          <w:bCs/>
          <w:iCs/>
          <w:sz w:val="22"/>
          <w:szCs w:val="22"/>
          <w:u w:val="single"/>
        </w:rPr>
      </w:pPr>
      <w:r w:rsidRPr="006B0439">
        <w:rPr>
          <w:b/>
          <w:bCs/>
          <w:iCs/>
          <w:sz w:val="22"/>
          <w:szCs w:val="22"/>
          <w:u w:val="single"/>
        </w:rPr>
        <w:t>SAŽETAK KARAKTERISTIKA LIJEKA</w:t>
      </w:r>
    </w:p>
    <w:p w:rsidR="002510A5" w:rsidRPr="006B0439" w:rsidRDefault="002510A5" w:rsidP="002510A5">
      <w:pPr>
        <w:rPr>
          <w:b/>
          <w:bCs/>
          <w:i/>
          <w:iCs/>
          <w:sz w:val="22"/>
          <w:szCs w:val="22"/>
          <w:u w:val="single"/>
        </w:rPr>
      </w:pPr>
    </w:p>
    <w:p w:rsidR="003C17AB" w:rsidRPr="006B0439" w:rsidRDefault="003C17AB" w:rsidP="00F5167F">
      <w:pPr>
        <w:tabs>
          <w:tab w:val="left" w:pos="540"/>
          <w:tab w:val="left" w:pos="569"/>
        </w:tabs>
        <w:rPr>
          <w:noProof/>
          <w:sz w:val="22"/>
          <w:szCs w:val="22"/>
          <w:lang w:val="hr-HR"/>
        </w:rPr>
      </w:pPr>
    </w:p>
    <w:p w:rsidR="00C37FD7" w:rsidRPr="006B0439" w:rsidRDefault="00C37FD7" w:rsidP="00F5167F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:rsidR="00411B4B" w:rsidRPr="006B0439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6B0439">
        <w:rPr>
          <w:b/>
          <w:bCs/>
          <w:sz w:val="22"/>
          <w:szCs w:val="22"/>
        </w:rPr>
        <w:t>1.</w:t>
      </w:r>
      <w:r w:rsidR="00F5167F" w:rsidRPr="006B0439">
        <w:rPr>
          <w:b/>
          <w:bCs/>
          <w:sz w:val="22"/>
          <w:szCs w:val="22"/>
        </w:rPr>
        <w:tab/>
      </w:r>
      <w:r w:rsidR="002846DB" w:rsidRPr="006B0439">
        <w:rPr>
          <w:b/>
          <w:bCs/>
          <w:sz w:val="22"/>
          <w:szCs w:val="22"/>
        </w:rPr>
        <w:t xml:space="preserve">NAZIV </w:t>
      </w:r>
      <w:r w:rsidRPr="006B0439">
        <w:rPr>
          <w:b/>
          <w:bCs/>
          <w:sz w:val="22"/>
          <w:szCs w:val="22"/>
        </w:rPr>
        <w:t>LIJEKA</w:t>
      </w:r>
    </w:p>
    <w:p w:rsidR="00EC2532" w:rsidRPr="006B0439" w:rsidRDefault="00EC2532">
      <w:pPr>
        <w:rPr>
          <w:sz w:val="22"/>
          <w:szCs w:val="22"/>
          <w:lang w:val="pl-PL"/>
        </w:rPr>
      </w:pPr>
    </w:p>
    <w:p w:rsidR="00CC7D68" w:rsidRPr="006B0439" w:rsidRDefault="00CC7D68" w:rsidP="00CC7D68">
      <w:pPr>
        <w:pStyle w:val="Header"/>
        <w:tabs>
          <w:tab w:val="left" w:pos="284"/>
        </w:tabs>
        <w:rPr>
          <w:bCs/>
          <w:sz w:val="22"/>
          <w:szCs w:val="22"/>
          <w:lang w:val="sr-Latn-CS" w:eastAsia="sr-Latn-CS"/>
        </w:rPr>
      </w:pPr>
      <w:r w:rsidRPr="006B0439">
        <w:rPr>
          <w:bCs/>
          <w:sz w:val="22"/>
          <w:szCs w:val="22"/>
          <w:lang w:val="sr-Latn-CS" w:eastAsia="sr-Latn-CS"/>
        </w:rPr>
        <w:t>IRITEC, 40 mg/2 ml, koncentrat za rastvor za infuziju</w:t>
      </w:r>
    </w:p>
    <w:p w:rsidR="00CC7D68" w:rsidRPr="006B0439" w:rsidRDefault="00CC7D68" w:rsidP="00CC7D68">
      <w:pPr>
        <w:pStyle w:val="Header"/>
        <w:tabs>
          <w:tab w:val="left" w:pos="284"/>
        </w:tabs>
        <w:rPr>
          <w:bCs/>
          <w:sz w:val="22"/>
          <w:szCs w:val="22"/>
          <w:lang w:val="sr-Latn-CS" w:eastAsia="sr-Latn-CS"/>
        </w:rPr>
      </w:pPr>
      <w:r w:rsidRPr="006B0439">
        <w:rPr>
          <w:bCs/>
          <w:sz w:val="22"/>
          <w:szCs w:val="22"/>
          <w:lang w:val="sr-Latn-CS" w:eastAsia="sr-Latn-CS"/>
        </w:rPr>
        <w:t>IRITEC, 100 mg/5 ml, koncentrat za rastvor za infuziju</w:t>
      </w:r>
    </w:p>
    <w:p w:rsidR="000D425A" w:rsidRPr="006B0439" w:rsidRDefault="000D425A">
      <w:pPr>
        <w:rPr>
          <w:bCs/>
          <w:sz w:val="22"/>
          <w:szCs w:val="22"/>
          <w:lang w:val="sv-SE"/>
        </w:rPr>
      </w:pPr>
    </w:p>
    <w:p w:rsidR="006D20A5" w:rsidRPr="006B0439" w:rsidRDefault="006D20A5" w:rsidP="006D20A5">
      <w:pPr>
        <w:rPr>
          <w:sz w:val="22"/>
          <w:szCs w:val="22"/>
          <w:lang w:val="sr-Latn-CS"/>
        </w:rPr>
      </w:pPr>
      <w:r w:rsidRPr="006B0439">
        <w:rPr>
          <w:sz w:val="22"/>
          <w:szCs w:val="22"/>
          <w:lang w:val="sv-SE"/>
        </w:rPr>
        <w:t>INN:</w:t>
      </w:r>
      <w:r w:rsidR="00CC7D68" w:rsidRPr="006B0439">
        <w:rPr>
          <w:sz w:val="22"/>
          <w:szCs w:val="22"/>
          <w:lang w:val="sv-SE"/>
        </w:rPr>
        <w:t xml:space="preserve"> irinotekan</w:t>
      </w:r>
    </w:p>
    <w:p w:rsidR="006D20A5" w:rsidRPr="006B0439" w:rsidRDefault="006D20A5">
      <w:pPr>
        <w:rPr>
          <w:bCs/>
          <w:sz w:val="22"/>
          <w:szCs w:val="22"/>
          <w:lang w:val="sv-SE"/>
        </w:rPr>
      </w:pPr>
    </w:p>
    <w:p w:rsidR="00530BD7" w:rsidRPr="006B0439" w:rsidRDefault="00530BD7">
      <w:pPr>
        <w:rPr>
          <w:bCs/>
          <w:sz w:val="22"/>
          <w:szCs w:val="22"/>
          <w:lang w:val="sv-SE"/>
        </w:rPr>
      </w:pPr>
    </w:p>
    <w:p w:rsidR="00411B4B" w:rsidRPr="006B0439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6B0439">
        <w:rPr>
          <w:b/>
          <w:bCs/>
          <w:sz w:val="22"/>
          <w:szCs w:val="22"/>
        </w:rPr>
        <w:t xml:space="preserve">2. </w:t>
      </w:r>
      <w:r w:rsidR="00F5167F" w:rsidRPr="006B0439">
        <w:rPr>
          <w:b/>
          <w:bCs/>
          <w:sz w:val="22"/>
          <w:szCs w:val="22"/>
        </w:rPr>
        <w:tab/>
      </w:r>
      <w:r w:rsidRPr="006B0439">
        <w:rPr>
          <w:b/>
          <w:bCs/>
          <w:sz w:val="22"/>
          <w:szCs w:val="22"/>
        </w:rPr>
        <w:t>KVALITATIVNI I KVANTITATIVNI SASTAV</w:t>
      </w:r>
    </w:p>
    <w:p w:rsidR="005A0B2E" w:rsidRPr="006B0439" w:rsidRDefault="005A0B2E">
      <w:pPr>
        <w:rPr>
          <w:sz w:val="22"/>
          <w:szCs w:val="22"/>
          <w:lang w:val="sr-Latn-CS"/>
        </w:rPr>
      </w:pPr>
    </w:p>
    <w:p w:rsidR="005075D0" w:rsidRPr="006B0439" w:rsidRDefault="00CC7D68" w:rsidP="00CC7D68">
      <w:pPr>
        <w:autoSpaceDE w:val="0"/>
        <w:autoSpaceDN w:val="0"/>
        <w:adjustRightInd w:val="0"/>
        <w:rPr>
          <w:sz w:val="22"/>
          <w:szCs w:val="22"/>
          <w:lang w:val="sr-Latn-CS" w:eastAsia="sr-Latn-CS"/>
        </w:rPr>
      </w:pPr>
      <w:r w:rsidRPr="006B0439">
        <w:rPr>
          <w:sz w:val="22"/>
          <w:szCs w:val="22"/>
          <w:lang w:val="sr-Latn-CS" w:eastAsia="sr-Latn-CS"/>
        </w:rPr>
        <w:t>Aktivna supstanca</w:t>
      </w:r>
      <w:r w:rsidR="005075D0" w:rsidRPr="006B0439">
        <w:rPr>
          <w:sz w:val="22"/>
          <w:szCs w:val="22"/>
          <w:lang w:val="sr-Latn-CS" w:eastAsia="sr-Latn-CS"/>
        </w:rPr>
        <w:t xml:space="preserve"> je</w:t>
      </w:r>
      <w:r w:rsidR="008B0F4D" w:rsidRPr="006B0439">
        <w:rPr>
          <w:sz w:val="22"/>
          <w:szCs w:val="22"/>
          <w:lang w:val="sr-Latn-CS" w:eastAsia="sr-Latn-CS"/>
        </w:rPr>
        <w:t xml:space="preserve"> </w:t>
      </w:r>
      <w:r w:rsidR="005075D0" w:rsidRPr="006B0439">
        <w:rPr>
          <w:sz w:val="22"/>
          <w:szCs w:val="22"/>
          <w:lang w:val="sr-Latn-CS" w:eastAsia="sr-Latn-CS"/>
        </w:rPr>
        <w:t>irinotekan hidrohlorid trihidrat.</w:t>
      </w:r>
    </w:p>
    <w:p w:rsidR="00CC7D68" w:rsidRPr="006B0439" w:rsidRDefault="008B0F4D" w:rsidP="00CC7D68">
      <w:pPr>
        <w:autoSpaceDE w:val="0"/>
        <w:autoSpaceDN w:val="0"/>
        <w:adjustRightInd w:val="0"/>
        <w:rPr>
          <w:sz w:val="22"/>
          <w:szCs w:val="22"/>
          <w:lang w:val="sr-Latn-CS" w:eastAsia="sr-Latn-CS"/>
        </w:rPr>
      </w:pPr>
      <w:r w:rsidRPr="006B0439">
        <w:rPr>
          <w:sz w:val="22"/>
          <w:szCs w:val="22"/>
          <w:lang w:val="sr-Latn-CS" w:eastAsia="sr-Latn-CS"/>
        </w:rPr>
        <w:t>Koncentrat sadrži 20 mg/ml irinotekan hidrohlorid trihidrata</w:t>
      </w:r>
      <w:r w:rsidR="00CC7D68" w:rsidRPr="006B0439">
        <w:rPr>
          <w:sz w:val="22"/>
          <w:szCs w:val="22"/>
          <w:lang w:val="sr-Latn-CS" w:eastAsia="sr-Latn-CS"/>
        </w:rPr>
        <w:t xml:space="preserve">  (što odgovara 17,33 mg</w:t>
      </w:r>
      <w:r w:rsidRPr="006B0439">
        <w:rPr>
          <w:sz w:val="22"/>
          <w:szCs w:val="22"/>
          <w:lang w:val="sr-Latn-CS" w:eastAsia="sr-Latn-CS"/>
        </w:rPr>
        <w:t>/ml</w:t>
      </w:r>
      <w:r w:rsidR="00CC7D68" w:rsidRPr="006B0439">
        <w:rPr>
          <w:sz w:val="22"/>
          <w:szCs w:val="22"/>
          <w:lang w:val="sr-Latn-CS" w:eastAsia="sr-Latn-CS"/>
        </w:rPr>
        <w:t xml:space="preserve"> irinotekana).</w:t>
      </w:r>
    </w:p>
    <w:p w:rsidR="00CC7D68" w:rsidRPr="006B0439" w:rsidRDefault="00CC7D68" w:rsidP="00CC7D68">
      <w:pPr>
        <w:autoSpaceDE w:val="0"/>
        <w:autoSpaceDN w:val="0"/>
        <w:adjustRightInd w:val="0"/>
        <w:rPr>
          <w:sz w:val="22"/>
          <w:szCs w:val="22"/>
          <w:lang w:val="sr-Latn-CS" w:eastAsia="sr-Latn-CS"/>
        </w:rPr>
      </w:pPr>
    </w:p>
    <w:p w:rsidR="00CC7D68" w:rsidRPr="006B0439" w:rsidRDefault="00CC7D68" w:rsidP="00CC7D68">
      <w:pPr>
        <w:autoSpaceDE w:val="0"/>
        <w:autoSpaceDN w:val="0"/>
        <w:adjustRightInd w:val="0"/>
        <w:rPr>
          <w:sz w:val="22"/>
          <w:szCs w:val="22"/>
          <w:u w:val="single"/>
          <w:lang w:val="sr-Latn-CS" w:eastAsia="sr-Latn-CS"/>
        </w:rPr>
      </w:pPr>
      <w:r w:rsidRPr="006B0439">
        <w:rPr>
          <w:sz w:val="22"/>
          <w:szCs w:val="22"/>
          <w:u w:val="single"/>
          <w:lang w:val="sr-Latn-CS" w:eastAsia="sr-Latn-CS"/>
        </w:rPr>
        <w:t xml:space="preserve">IRITEC, </w:t>
      </w:r>
      <w:r w:rsidR="005075D0" w:rsidRPr="006B0439">
        <w:rPr>
          <w:bCs/>
          <w:sz w:val="22"/>
          <w:szCs w:val="22"/>
          <w:u w:val="single"/>
          <w:lang w:val="sr-Latn-CS" w:eastAsia="sr-Latn-CS"/>
        </w:rPr>
        <w:t>40 mg/2 ml, koncentrat za rastvor za infuziju</w:t>
      </w:r>
      <w:r w:rsidR="005075D0" w:rsidRPr="006B0439" w:rsidDel="005075D0">
        <w:rPr>
          <w:sz w:val="22"/>
          <w:szCs w:val="22"/>
          <w:u w:val="single"/>
          <w:lang w:val="sr-Latn-CS" w:eastAsia="sr-Latn-CS"/>
        </w:rPr>
        <w:t xml:space="preserve"> </w:t>
      </w:r>
    </w:p>
    <w:p w:rsidR="00CC7D68" w:rsidRPr="006B0439" w:rsidRDefault="00CC7D68" w:rsidP="00CC7D68">
      <w:pPr>
        <w:autoSpaceDE w:val="0"/>
        <w:autoSpaceDN w:val="0"/>
        <w:adjustRightInd w:val="0"/>
        <w:rPr>
          <w:sz w:val="22"/>
          <w:szCs w:val="22"/>
          <w:lang w:val="sr-Latn-CS" w:eastAsia="sr-Latn-CS"/>
        </w:rPr>
      </w:pPr>
      <w:r w:rsidRPr="006B0439">
        <w:rPr>
          <w:sz w:val="22"/>
          <w:szCs w:val="22"/>
          <w:lang w:val="sr-Latn-CS" w:eastAsia="sr-Latn-CS"/>
        </w:rPr>
        <w:t>Jedna bo</w:t>
      </w:r>
      <w:r w:rsidRPr="006B0439">
        <w:rPr>
          <w:rFonts w:eastAsia="TimesNewRoman"/>
          <w:sz w:val="22"/>
          <w:szCs w:val="22"/>
          <w:lang w:val="sr-Latn-CS" w:eastAsia="sr-Latn-CS"/>
        </w:rPr>
        <w:t>č</w:t>
      </w:r>
      <w:r w:rsidRPr="006B0439">
        <w:rPr>
          <w:sz w:val="22"/>
          <w:szCs w:val="22"/>
          <w:lang w:val="sr-Latn-CS" w:eastAsia="sr-Latn-CS"/>
        </w:rPr>
        <w:t>ica sadrži</w:t>
      </w:r>
      <w:r w:rsidR="008B0F4D" w:rsidRPr="006B0439">
        <w:rPr>
          <w:sz w:val="22"/>
          <w:szCs w:val="22"/>
          <w:lang w:val="sr-Latn-CS" w:eastAsia="sr-Latn-CS"/>
        </w:rPr>
        <w:t xml:space="preserve"> 34,66 mg irinotekana, što odgovara</w:t>
      </w:r>
      <w:r w:rsidRPr="006B0439">
        <w:rPr>
          <w:sz w:val="22"/>
          <w:szCs w:val="22"/>
          <w:lang w:val="sr-Latn-CS" w:eastAsia="sr-Latn-CS"/>
        </w:rPr>
        <w:t xml:space="preserve"> 40 mg irinotekan hidrohlorid trihidrata</w:t>
      </w:r>
      <w:r w:rsidR="008B0F4D" w:rsidRPr="006B0439">
        <w:rPr>
          <w:sz w:val="22"/>
          <w:szCs w:val="22"/>
          <w:lang w:val="sr-Latn-CS" w:eastAsia="sr-Latn-CS"/>
        </w:rPr>
        <w:t xml:space="preserve"> (40 mg/2ml)</w:t>
      </w:r>
      <w:r w:rsidRPr="006B0439">
        <w:rPr>
          <w:sz w:val="22"/>
          <w:szCs w:val="22"/>
          <w:lang w:val="sr-Latn-CS" w:eastAsia="sr-Latn-CS"/>
        </w:rPr>
        <w:t>.</w:t>
      </w:r>
    </w:p>
    <w:p w:rsidR="005075D0" w:rsidRPr="006B0439" w:rsidRDefault="005075D0" w:rsidP="00CC7D68">
      <w:pPr>
        <w:autoSpaceDE w:val="0"/>
        <w:autoSpaceDN w:val="0"/>
        <w:adjustRightInd w:val="0"/>
        <w:rPr>
          <w:sz w:val="22"/>
          <w:szCs w:val="22"/>
          <w:lang w:val="sr-Latn-CS" w:eastAsia="sr-Latn-CS"/>
        </w:rPr>
      </w:pPr>
    </w:p>
    <w:p w:rsidR="006B0439" w:rsidRDefault="005075D0" w:rsidP="005075D0">
      <w:pPr>
        <w:rPr>
          <w:sz w:val="22"/>
          <w:szCs w:val="22"/>
          <w:lang w:val="sr-Latn-CS" w:eastAsia="sr-Latn-CS"/>
        </w:rPr>
      </w:pPr>
      <w:r w:rsidRPr="006B0439">
        <w:rPr>
          <w:sz w:val="22"/>
          <w:szCs w:val="22"/>
          <w:lang w:val="sr-Latn-CS" w:eastAsia="sr-Latn-CS"/>
        </w:rPr>
        <w:t xml:space="preserve">Pomoćna supstanca sa potvrđenim dejstvom: </w:t>
      </w:r>
      <w:r w:rsidR="00E07473" w:rsidRPr="006B0439">
        <w:rPr>
          <w:sz w:val="22"/>
          <w:szCs w:val="22"/>
          <w:lang w:val="sr-Latn-CS" w:eastAsia="sr-Latn-CS"/>
        </w:rPr>
        <w:t>s</w:t>
      </w:r>
      <w:r w:rsidRPr="006B0439">
        <w:rPr>
          <w:sz w:val="22"/>
          <w:szCs w:val="22"/>
          <w:lang w:val="sr-Latn-CS" w:eastAsia="sr-Latn-CS"/>
        </w:rPr>
        <w:t xml:space="preserve">orbitol. </w:t>
      </w:r>
    </w:p>
    <w:p w:rsidR="005075D0" w:rsidRPr="006B0439" w:rsidRDefault="005075D0" w:rsidP="005075D0">
      <w:pPr>
        <w:rPr>
          <w:sz w:val="22"/>
          <w:szCs w:val="22"/>
          <w:lang w:val="sr-Latn-CS"/>
        </w:rPr>
      </w:pPr>
      <w:r w:rsidRPr="006B0439">
        <w:rPr>
          <w:sz w:val="22"/>
          <w:szCs w:val="22"/>
          <w:lang w:val="sr-Latn-CS"/>
        </w:rPr>
        <w:t>IRITEC, 40</w:t>
      </w:r>
      <w:r w:rsidRPr="006B0439">
        <w:rPr>
          <w:sz w:val="22"/>
          <w:szCs w:val="22"/>
          <w:lang w:val="sr-Latn-RS"/>
        </w:rPr>
        <w:t>mg</w:t>
      </w:r>
      <w:r w:rsidRPr="006B0439">
        <w:rPr>
          <w:sz w:val="22"/>
          <w:szCs w:val="22"/>
          <w:lang w:val="sr-Latn-CS"/>
        </w:rPr>
        <w:t>/2ml, koncentrat za rastvor za infuziju sadrži 90 mg sorbitola (</w:t>
      </w:r>
      <w:r w:rsidRPr="006B0439">
        <w:rPr>
          <w:sz w:val="22"/>
          <w:szCs w:val="22"/>
          <w:lang w:val="sr-Latn-RS"/>
        </w:rPr>
        <w:t>E420</w:t>
      </w:r>
      <w:r w:rsidRPr="006B0439">
        <w:rPr>
          <w:sz w:val="22"/>
          <w:szCs w:val="22"/>
          <w:lang w:val="sr-Latn-CS"/>
        </w:rPr>
        <w:t xml:space="preserve">) </w:t>
      </w:r>
      <w:r w:rsidRPr="006B0439">
        <w:rPr>
          <w:sz w:val="22"/>
          <w:szCs w:val="22"/>
        </w:rPr>
        <w:t>u</w:t>
      </w:r>
      <w:r w:rsidRPr="006B0439">
        <w:rPr>
          <w:sz w:val="22"/>
          <w:szCs w:val="22"/>
          <w:lang w:val="sr-Latn-CS"/>
        </w:rPr>
        <w:t xml:space="preserve"> </w:t>
      </w:r>
      <w:r w:rsidRPr="006B0439">
        <w:rPr>
          <w:sz w:val="22"/>
          <w:szCs w:val="22"/>
        </w:rPr>
        <w:t>svaka</w:t>
      </w:r>
      <w:r w:rsidRPr="006B0439">
        <w:rPr>
          <w:sz w:val="22"/>
          <w:szCs w:val="22"/>
          <w:lang w:val="sr-Latn-CS"/>
        </w:rPr>
        <w:t xml:space="preserve"> 2 </w:t>
      </w:r>
      <w:r w:rsidRPr="006B0439">
        <w:rPr>
          <w:sz w:val="22"/>
          <w:szCs w:val="22"/>
        </w:rPr>
        <w:t>ml</w:t>
      </w:r>
      <w:r w:rsidRPr="006B0439">
        <w:rPr>
          <w:sz w:val="22"/>
          <w:szCs w:val="22"/>
          <w:lang w:val="sr-Latn-CS"/>
        </w:rPr>
        <w:t xml:space="preserve"> </w:t>
      </w:r>
      <w:r w:rsidRPr="006B0439">
        <w:rPr>
          <w:sz w:val="22"/>
          <w:szCs w:val="22"/>
        </w:rPr>
        <w:t>rastvora</w:t>
      </w:r>
      <w:r w:rsidRPr="006B0439">
        <w:rPr>
          <w:sz w:val="22"/>
          <w:szCs w:val="22"/>
          <w:lang w:val="sr-Latn-CS"/>
        </w:rPr>
        <w:t>, što odgovara 90 mg/2ml.</w:t>
      </w:r>
    </w:p>
    <w:p w:rsidR="005075D0" w:rsidRPr="006B0439" w:rsidRDefault="005075D0" w:rsidP="005075D0">
      <w:pPr>
        <w:autoSpaceDE w:val="0"/>
        <w:autoSpaceDN w:val="0"/>
        <w:adjustRightInd w:val="0"/>
        <w:rPr>
          <w:sz w:val="22"/>
          <w:szCs w:val="22"/>
          <w:lang w:val="sr-Latn-CS" w:eastAsia="sr-Latn-CS"/>
        </w:rPr>
      </w:pPr>
    </w:p>
    <w:p w:rsidR="005075D0" w:rsidRPr="006B0439" w:rsidRDefault="005075D0" w:rsidP="005075D0">
      <w:pPr>
        <w:pStyle w:val="Header"/>
        <w:tabs>
          <w:tab w:val="left" w:pos="284"/>
        </w:tabs>
        <w:rPr>
          <w:bCs/>
          <w:sz w:val="22"/>
          <w:szCs w:val="22"/>
          <w:u w:val="single"/>
          <w:lang w:val="sr-Latn-CS" w:eastAsia="sr-Latn-CS"/>
        </w:rPr>
      </w:pPr>
      <w:r w:rsidRPr="006B0439">
        <w:rPr>
          <w:bCs/>
          <w:sz w:val="22"/>
          <w:szCs w:val="22"/>
          <w:u w:val="single"/>
          <w:lang w:val="sr-Latn-CS" w:eastAsia="sr-Latn-CS"/>
        </w:rPr>
        <w:t>IRITEC, 100 mg/5 ml, koncentrat za rastvor za infuziju</w:t>
      </w:r>
    </w:p>
    <w:p w:rsidR="00CC7D68" w:rsidRPr="006B0439" w:rsidRDefault="00CC7D68" w:rsidP="00CC7D68">
      <w:pPr>
        <w:autoSpaceDE w:val="0"/>
        <w:autoSpaceDN w:val="0"/>
        <w:adjustRightInd w:val="0"/>
        <w:rPr>
          <w:sz w:val="22"/>
          <w:szCs w:val="22"/>
          <w:lang w:val="sr-Latn-CS" w:eastAsia="sr-Latn-CS"/>
        </w:rPr>
      </w:pPr>
      <w:r w:rsidRPr="006B0439">
        <w:rPr>
          <w:sz w:val="22"/>
          <w:szCs w:val="22"/>
          <w:lang w:val="sr-Latn-CS" w:eastAsia="sr-Latn-CS"/>
        </w:rPr>
        <w:t>Jedna bo</w:t>
      </w:r>
      <w:r w:rsidRPr="006B0439">
        <w:rPr>
          <w:rFonts w:eastAsia="TimesNewRoman"/>
          <w:sz w:val="22"/>
          <w:szCs w:val="22"/>
          <w:lang w:val="sr-Latn-CS" w:eastAsia="sr-Latn-CS"/>
        </w:rPr>
        <w:t>č</w:t>
      </w:r>
      <w:r w:rsidRPr="006B0439">
        <w:rPr>
          <w:sz w:val="22"/>
          <w:szCs w:val="22"/>
          <w:lang w:val="sr-Latn-CS" w:eastAsia="sr-Latn-CS"/>
        </w:rPr>
        <w:t>ica sadrži</w:t>
      </w:r>
      <w:r w:rsidR="008B0F4D" w:rsidRPr="006B0439">
        <w:rPr>
          <w:sz w:val="22"/>
          <w:szCs w:val="22"/>
          <w:lang w:val="sr-Latn-CS" w:eastAsia="sr-Latn-CS"/>
        </w:rPr>
        <w:t xml:space="preserve"> 86,65 mg irinotekana, što odgovara</w:t>
      </w:r>
      <w:r w:rsidRPr="006B0439">
        <w:rPr>
          <w:sz w:val="22"/>
          <w:szCs w:val="22"/>
          <w:lang w:val="sr-Latn-CS" w:eastAsia="sr-Latn-CS"/>
        </w:rPr>
        <w:t xml:space="preserve"> 100 mg irinotekan hidrohlorid trihidrata</w:t>
      </w:r>
      <w:r w:rsidR="008B0F4D" w:rsidRPr="006B0439">
        <w:rPr>
          <w:sz w:val="22"/>
          <w:szCs w:val="22"/>
          <w:lang w:val="sr-Latn-CS" w:eastAsia="sr-Latn-CS"/>
        </w:rPr>
        <w:t xml:space="preserve"> (100 mg/5ml)</w:t>
      </w:r>
      <w:r w:rsidRPr="006B0439">
        <w:rPr>
          <w:sz w:val="22"/>
          <w:szCs w:val="22"/>
          <w:lang w:val="sr-Latn-CS" w:eastAsia="sr-Latn-CS"/>
        </w:rPr>
        <w:t>.</w:t>
      </w:r>
    </w:p>
    <w:p w:rsidR="005075D0" w:rsidRPr="006B0439" w:rsidRDefault="005075D0" w:rsidP="00CC7D68">
      <w:pPr>
        <w:autoSpaceDE w:val="0"/>
        <w:autoSpaceDN w:val="0"/>
        <w:adjustRightInd w:val="0"/>
        <w:rPr>
          <w:sz w:val="22"/>
          <w:szCs w:val="22"/>
          <w:lang w:val="sr-Latn-CS" w:eastAsia="sr-Latn-CS"/>
        </w:rPr>
      </w:pPr>
    </w:p>
    <w:p w:rsidR="006B0439" w:rsidRDefault="00CC7D68">
      <w:pPr>
        <w:rPr>
          <w:sz w:val="22"/>
          <w:szCs w:val="22"/>
          <w:lang w:val="sr-Latn-CS" w:eastAsia="sr-Latn-CS"/>
        </w:rPr>
      </w:pPr>
      <w:r w:rsidRPr="006B0439">
        <w:rPr>
          <w:sz w:val="22"/>
          <w:szCs w:val="22"/>
          <w:lang w:val="sr-Latn-CS" w:eastAsia="sr-Latn-CS"/>
        </w:rPr>
        <w:t>Pomoćna supstanca sa potvrđenim dejstvom:</w:t>
      </w:r>
      <w:r w:rsidR="005075D0" w:rsidRPr="006B0439">
        <w:rPr>
          <w:sz w:val="22"/>
          <w:szCs w:val="22"/>
          <w:lang w:val="sr-Latn-CS" w:eastAsia="sr-Latn-CS"/>
        </w:rPr>
        <w:t xml:space="preserve"> </w:t>
      </w:r>
      <w:r w:rsidR="00E07473" w:rsidRPr="006B0439">
        <w:rPr>
          <w:sz w:val="22"/>
          <w:szCs w:val="22"/>
          <w:lang w:val="sr-Latn-CS" w:eastAsia="sr-Latn-CS"/>
        </w:rPr>
        <w:t>s</w:t>
      </w:r>
      <w:r w:rsidR="008B0F4D" w:rsidRPr="006B0439">
        <w:rPr>
          <w:sz w:val="22"/>
          <w:szCs w:val="22"/>
          <w:lang w:val="sr-Latn-CS" w:eastAsia="sr-Latn-CS"/>
        </w:rPr>
        <w:t>orbitol</w:t>
      </w:r>
      <w:r w:rsidR="005075D0" w:rsidRPr="006B0439">
        <w:rPr>
          <w:sz w:val="22"/>
          <w:szCs w:val="22"/>
          <w:lang w:val="sr-Latn-CS" w:eastAsia="sr-Latn-CS"/>
        </w:rPr>
        <w:t xml:space="preserve">. </w:t>
      </w:r>
    </w:p>
    <w:p w:rsidR="00251B3A" w:rsidRPr="006B0439" w:rsidRDefault="00251B3A">
      <w:pPr>
        <w:rPr>
          <w:sz w:val="22"/>
          <w:szCs w:val="22"/>
          <w:lang w:val="sr-Latn-CS"/>
        </w:rPr>
      </w:pPr>
      <w:r w:rsidRPr="006B0439">
        <w:rPr>
          <w:sz w:val="22"/>
          <w:szCs w:val="22"/>
          <w:lang w:val="sr-Latn-CS"/>
        </w:rPr>
        <w:t>IRITEC, 100 mg/5ml, koncentrat za rastvor za infuziju sadrži 225 mg sorbitola (</w:t>
      </w:r>
      <w:r w:rsidRPr="006B0439">
        <w:rPr>
          <w:sz w:val="22"/>
          <w:szCs w:val="22"/>
          <w:lang w:val="sr-Latn-RS"/>
        </w:rPr>
        <w:t>E420</w:t>
      </w:r>
      <w:r w:rsidRPr="006B0439">
        <w:rPr>
          <w:sz w:val="22"/>
          <w:szCs w:val="22"/>
          <w:lang w:val="sr-Latn-CS"/>
        </w:rPr>
        <w:t>) u svakih 5 ml rastvora što odgovara 225 mg/5ml</w:t>
      </w:r>
    </w:p>
    <w:p w:rsidR="00251B3A" w:rsidRPr="006B0439" w:rsidRDefault="00251B3A">
      <w:pPr>
        <w:rPr>
          <w:sz w:val="22"/>
          <w:szCs w:val="22"/>
          <w:lang w:val="sr-Latn-CS"/>
        </w:rPr>
      </w:pPr>
    </w:p>
    <w:p w:rsidR="0003793F" w:rsidRPr="006B0439" w:rsidRDefault="0003793F">
      <w:pPr>
        <w:rPr>
          <w:sz w:val="22"/>
          <w:szCs w:val="22"/>
          <w:lang w:val="sr-Latn-CS"/>
        </w:rPr>
      </w:pPr>
      <w:r w:rsidRPr="006B0439">
        <w:rPr>
          <w:sz w:val="22"/>
          <w:szCs w:val="22"/>
          <w:lang w:val="sr-Latn-CS"/>
        </w:rPr>
        <w:t>Za spisak svih ekscipijenasa, pogledati dio 6.1.</w:t>
      </w:r>
    </w:p>
    <w:p w:rsidR="0003793F" w:rsidRPr="006B0439" w:rsidRDefault="0003793F">
      <w:pPr>
        <w:rPr>
          <w:sz w:val="22"/>
          <w:szCs w:val="22"/>
          <w:lang w:val="sr-Latn-CS"/>
        </w:rPr>
      </w:pPr>
    </w:p>
    <w:p w:rsidR="00C37FD7" w:rsidRPr="006B0439" w:rsidRDefault="00C37FD7">
      <w:pPr>
        <w:rPr>
          <w:sz w:val="22"/>
          <w:szCs w:val="22"/>
          <w:lang w:val="sr-Latn-CS"/>
        </w:rPr>
      </w:pPr>
    </w:p>
    <w:p w:rsidR="00411B4B" w:rsidRPr="006B0439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6B0439">
        <w:rPr>
          <w:b/>
          <w:bCs/>
          <w:sz w:val="22"/>
          <w:szCs w:val="22"/>
        </w:rPr>
        <w:t xml:space="preserve">3. </w:t>
      </w:r>
      <w:r w:rsidR="00F5167F" w:rsidRPr="006B0439">
        <w:rPr>
          <w:b/>
          <w:bCs/>
          <w:sz w:val="22"/>
          <w:szCs w:val="22"/>
        </w:rPr>
        <w:tab/>
      </w:r>
      <w:r w:rsidRPr="006B0439">
        <w:rPr>
          <w:b/>
          <w:bCs/>
          <w:sz w:val="22"/>
          <w:szCs w:val="22"/>
        </w:rPr>
        <w:t>FARMACEUTSKI OBLIK</w:t>
      </w:r>
      <w:r w:rsidR="009F2D23" w:rsidRPr="006B0439">
        <w:rPr>
          <w:b/>
          <w:bCs/>
          <w:sz w:val="22"/>
          <w:szCs w:val="22"/>
        </w:rPr>
        <w:t xml:space="preserve"> </w:t>
      </w:r>
    </w:p>
    <w:p w:rsidR="00411B4B" w:rsidRPr="006B0439" w:rsidRDefault="00411B4B">
      <w:pPr>
        <w:rPr>
          <w:bCs/>
          <w:sz w:val="22"/>
          <w:szCs w:val="22"/>
          <w:lang w:val="sr-Latn-CS"/>
        </w:rPr>
      </w:pPr>
    </w:p>
    <w:p w:rsidR="00CC7D68" w:rsidRPr="006B0439" w:rsidRDefault="00CC7D68" w:rsidP="00CC7D68">
      <w:pPr>
        <w:pStyle w:val="Header"/>
        <w:tabs>
          <w:tab w:val="left" w:pos="284"/>
        </w:tabs>
        <w:rPr>
          <w:sz w:val="22"/>
          <w:szCs w:val="22"/>
          <w:lang w:val="sr-Latn-CS" w:eastAsia="sr-Latn-CS"/>
        </w:rPr>
      </w:pPr>
      <w:r w:rsidRPr="006B0439">
        <w:rPr>
          <w:bCs/>
          <w:sz w:val="22"/>
          <w:szCs w:val="22"/>
          <w:lang w:val="sr-Latn-CS" w:eastAsia="sr-Latn-CS"/>
        </w:rPr>
        <w:t>K</w:t>
      </w:r>
      <w:r w:rsidRPr="006B0439">
        <w:rPr>
          <w:sz w:val="22"/>
          <w:szCs w:val="22"/>
          <w:lang w:val="sr-Latn-CS" w:eastAsia="sr-Latn-CS"/>
        </w:rPr>
        <w:t>oncentrat za rastvor za infuziju.</w:t>
      </w:r>
    </w:p>
    <w:p w:rsidR="005075D0" w:rsidRPr="006B0439" w:rsidRDefault="005075D0" w:rsidP="00CC7D68">
      <w:pPr>
        <w:pStyle w:val="Header"/>
        <w:tabs>
          <w:tab w:val="left" w:pos="284"/>
        </w:tabs>
        <w:rPr>
          <w:sz w:val="22"/>
          <w:szCs w:val="22"/>
          <w:lang w:val="sr-Latn-CS" w:eastAsia="sr-Latn-CS"/>
        </w:rPr>
      </w:pPr>
    </w:p>
    <w:p w:rsidR="00195AFB" w:rsidRPr="006B0439" w:rsidRDefault="00195AFB" w:rsidP="00CC7D68">
      <w:pPr>
        <w:pStyle w:val="Header"/>
        <w:tabs>
          <w:tab w:val="left" w:pos="284"/>
        </w:tabs>
        <w:rPr>
          <w:sz w:val="22"/>
          <w:szCs w:val="22"/>
          <w:lang w:val="sr-Latn-CS" w:eastAsia="sr-Latn-CS"/>
        </w:rPr>
      </w:pPr>
      <w:r w:rsidRPr="006B0439">
        <w:rPr>
          <w:sz w:val="22"/>
          <w:szCs w:val="22"/>
          <w:lang w:val="sr-Latn-CS" w:eastAsia="sr-Latn-CS"/>
        </w:rPr>
        <w:t>Prije rekonstitucije</w:t>
      </w:r>
      <w:r w:rsidR="00251B3A" w:rsidRPr="006B0439">
        <w:rPr>
          <w:sz w:val="22"/>
          <w:szCs w:val="22"/>
          <w:lang w:val="sr-Latn-CS" w:eastAsia="sr-Latn-CS"/>
        </w:rPr>
        <w:t xml:space="preserve"> lijek IRITEC</w:t>
      </w:r>
      <w:r w:rsidRPr="006B0439">
        <w:rPr>
          <w:sz w:val="22"/>
          <w:szCs w:val="22"/>
          <w:lang w:val="sr-Latn-CS" w:eastAsia="sr-Latn-CS"/>
        </w:rPr>
        <w:t xml:space="preserve"> je bistar rastvor, svijetložute boje.</w:t>
      </w:r>
    </w:p>
    <w:p w:rsidR="00195AFB" w:rsidRPr="006B0439" w:rsidRDefault="00195AFB" w:rsidP="00CC7D68">
      <w:pPr>
        <w:pStyle w:val="Header"/>
        <w:tabs>
          <w:tab w:val="left" w:pos="284"/>
        </w:tabs>
        <w:rPr>
          <w:sz w:val="22"/>
          <w:szCs w:val="22"/>
          <w:lang w:val="sr-Latn-CS" w:eastAsia="sr-Latn-CS"/>
        </w:rPr>
      </w:pPr>
      <w:r w:rsidRPr="006B0439">
        <w:rPr>
          <w:sz w:val="22"/>
          <w:szCs w:val="22"/>
          <w:lang w:val="sr-Latn-CS" w:eastAsia="sr-Latn-CS"/>
        </w:rPr>
        <w:t>Koncentrat za rastvor za infuziju ima pH vrijednost između 3,0 i 3,8 i osmolalnost od 290 mOsmol/kg.</w:t>
      </w:r>
    </w:p>
    <w:p w:rsidR="00EC2532" w:rsidRPr="006B0439" w:rsidRDefault="00EC2532">
      <w:pPr>
        <w:rPr>
          <w:bCs/>
          <w:sz w:val="22"/>
          <w:szCs w:val="22"/>
          <w:lang w:val="sr-Latn-CS"/>
        </w:rPr>
      </w:pPr>
    </w:p>
    <w:p w:rsidR="00E07473" w:rsidRPr="006B0439" w:rsidRDefault="00E07473">
      <w:pPr>
        <w:rPr>
          <w:bCs/>
          <w:sz w:val="22"/>
          <w:szCs w:val="22"/>
          <w:lang w:val="sr-Latn-CS"/>
        </w:rPr>
      </w:pPr>
    </w:p>
    <w:p w:rsidR="00411B4B" w:rsidRPr="006B0439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CS"/>
        </w:rPr>
      </w:pPr>
      <w:r w:rsidRPr="006B0439">
        <w:rPr>
          <w:b/>
          <w:bCs/>
          <w:sz w:val="22"/>
          <w:szCs w:val="22"/>
          <w:lang w:val="sr-Latn-CS"/>
        </w:rPr>
        <w:t xml:space="preserve">4. </w:t>
      </w:r>
      <w:r w:rsidR="00480FB1" w:rsidRPr="006B0439">
        <w:rPr>
          <w:b/>
          <w:bCs/>
          <w:sz w:val="22"/>
          <w:szCs w:val="22"/>
          <w:lang w:val="sr-Latn-CS"/>
        </w:rPr>
        <w:tab/>
      </w:r>
      <w:r w:rsidRPr="006B0439">
        <w:rPr>
          <w:b/>
          <w:bCs/>
          <w:sz w:val="22"/>
          <w:szCs w:val="22"/>
        </w:rPr>
        <w:t>KLINI</w:t>
      </w:r>
      <w:r w:rsidRPr="006B0439">
        <w:rPr>
          <w:b/>
          <w:bCs/>
          <w:sz w:val="22"/>
          <w:szCs w:val="22"/>
          <w:lang w:val="sr-Latn-CS"/>
        </w:rPr>
        <w:t>Č</w:t>
      </w:r>
      <w:r w:rsidRPr="006B0439">
        <w:rPr>
          <w:b/>
          <w:bCs/>
          <w:sz w:val="22"/>
          <w:szCs w:val="22"/>
        </w:rPr>
        <w:t>KI</w:t>
      </w:r>
      <w:r w:rsidRPr="006B0439">
        <w:rPr>
          <w:b/>
          <w:bCs/>
          <w:sz w:val="22"/>
          <w:szCs w:val="22"/>
          <w:lang w:val="sr-Latn-CS"/>
        </w:rPr>
        <w:t xml:space="preserve"> </w:t>
      </w:r>
      <w:r w:rsidRPr="006B0439">
        <w:rPr>
          <w:b/>
          <w:bCs/>
          <w:sz w:val="22"/>
          <w:szCs w:val="22"/>
        </w:rPr>
        <w:t>PODACI</w:t>
      </w:r>
    </w:p>
    <w:p w:rsidR="00CD6F02" w:rsidRPr="006B0439" w:rsidRDefault="00CD6F02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CS"/>
        </w:rPr>
      </w:pPr>
    </w:p>
    <w:p w:rsidR="00411B4B" w:rsidRPr="006B0439" w:rsidRDefault="00411B4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CS"/>
        </w:rPr>
      </w:pPr>
      <w:r w:rsidRPr="006B0439">
        <w:rPr>
          <w:b/>
          <w:bCs/>
          <w:sz w:val="22"/>
          <w:szCs w:val="22"/>
          <w:lang w:val="sr-Latn-CS"/>
        </w:rPr>
        <w:t xml:space="preserve">4.1. </w:t>
      </w:r>
      <w:r w:rsidR="00480FB1" w:rsidRPr="006B0439">
        <w:rPr>
          <w:b/>
          <w:bCs/>
          <w:sz w:val="22"/>
          <w:szCs w:val="22"/>
          <w:lang w:val="sr-Latn-CS"/>
        </w:rPr>
        <w:tab/>
      </w:r>
      <w:r w:rsidRPr="006B0439">
        <w:rPr>
          <w:b/>
          <w:bCs/>
          <w:sz w:val="22"/>
          <w:szCs w:val="22"/>
        </w:rPr>
        <w:t>Terapijske</w:t>
      </w:r>
      <w:r w:rsidRPr="006B0439">
        <w:rPr>
          <w:b/>
          <w:bCs/>
          <w:sz w:val="22"/>
          <w:szCs w:val="22"/>
          <w:lang w:val="sr-Latn-CS"/>
        </w:rPr>
        <w:t xml:space="preserve"> </w:t>
      </w:r>
      <w:r w:rsidRPr="006B0439">
        <w:rPr>
          <w:b/>
          <w:bCs/>
          <w:sz w:val="22"/>
          <w:szCs w:val="22"/>
        </w:rPr>
        <w:t>indikacije</w:t>
      </w:r>
    </w:p>
    <w:p w:rsidR="00411B4B" w:rsidRPr="006B0439" w:rsidRDefault="00411B4B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CS"/>
        </w:rPr>
      </w:pPr>
    </w:p>
    <w:p w:rsidR="00CC7D68" w:rsidRPr="006B0439" w:rsidRDefault="00CC7D68" w:rsidP="00B26150">
      <w:pPr>
        <w:autoSpaceDE w:val="0"/>
        <w:autoSpaceDN w:val="0"/>
        <w:adjustRightInd w:val="0"/>
        <w:jc w:val="both"/>
        <w:rPr>
          <w:sz w:val="22"/>
          <w:szCs w:val="22"/>
          <w:lang w:val="sr-Latn-CS" w:eastAsia="sr-Latn-CS"/>
        </w:rPr>
      </w:pPr>
      <w:r w:rsidRPr="006B0439">
        <w:rPr>
          <w:bCs/>
          <w:sz w:val="22"/>
          <w:szCs w:val="22"/>
          <w:lang w:val="sr-Latn-CS" w:eastAsia="sr-Latn-CS"/>
        </w:rPr>
        <w:t>IRITEC</w:t>
      </w:r>
      <w:r w:rsidRPr="006B0439">
        <w:rPr>
          <w:sz w:val="22"/>
          <w:szCs w:val="22"/>
          <w:lang w:val="sr-Latn-CS" w:eastAsia="sr-Latn-CS"/>
        </w:rPr>
        <w:t xml:space="preserve"> je indikovan za lije</w:t>
      </w:r>
      <w:r w:rsidRPr="006B0439">
        <w:rPr>
          <w:rFonts w:eastAsia="TimesNewRoman"/>
          <w:sz w:val="22"/>
          <w:szCs w:val="22"/>
          <w:lang w:val="sr-Latn-CS" w:eastAsia="sr-Latn-CS"/>
        </w:rPr>
        <w:t>č</w:t>
      </w:r>
      <w:r w:rsidRPr="006B0439">
        <w:rPr>
          <w:sz w:val="22"/>
          <w:szCs w:val="22"/>
          <w:lang w:val="sr-Latn-CS" w:eastAsia="sr-Latn-CS"/>
        </w:rPr>
        <w:t>enje pacijenata sa uznapredovalim kolorektalnim karcinomom:</w:t>
      </w:r>
    </w:p>
    <w:p w:rsidR="00CC7D68" w:rsidRPr="006B0439" w:rsidRDefault="00CC7D68" w:rsidP="00B26150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sz w:val="22"/>
          <w:szCs w:val="22"/>
          <w:lang w:val="sr-Latn-CS" w:eastAsia="sr-Latn-CS"/>
        </w:rPr>
      </w:pPr>
      <w:r w:rsidRPr="006B0439">
        <w:rPr>
          <w:sz w:val="22"/>
          <w:szCs w:val="22"/>
          <w:lang w:val="sr-Latn-CS" w:eastAsia="sr-Latn-CS"/>
        </w:rPr>
        <w:t xml:space="preserve">u kombinaciji sa 5-fluorouracilom i folinskom kiselinom, kod pacijenata koji nisu prethodno primali </w:t>
      </w:r>
      <w:r w:rsidR="007C6AB1" w:rsidRPr="006B0439">
        <w:rPr>
          <w:sz w:val="22"/>
          <w:szCs w:val="22"/>
          <w:lang w:val="sr-Latn-CS" w:eastAsia="sr-Latn-CS"/>
        </w:rPr>
        <w:t>hemio</w:t>
      </w:r>
      <w:r w:rsidRPr="006B0439">
        <w:rPr>
          <w:sz w:val="22"/>
          <w:szCs w:val="22"/>
          <w:lang w:val="sr-Latn-CS" w:eastAsia="sr-Latn-CS"/>
        </w:rPr>
        <w:t>terapiju za odmakli stadijum bolesti;</w:t>
      </w:r>
    </w:p>
    <w:p w:rsidR="00CC7D68" w:rsidRPr="006B0439" w:rsidRDefault="00CC7D68" w:rsidP="00B26150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sz w:val="22"/>
          <w:szCs w:val="22"/>
          <w:lang w:val="sr-Latn-CS" w:eastAsia="sr-Latn-CS"/>
        </w:rPr>
      </w:pPr>
      <w:r w:rsidRPr="006B0439">
        <w:rPr>
          <w:sz w:val="22"/>
          <w:szCs w:val="22"/>
          <w:lang w:val="sr-Latn-CS" w:eastAsia="sr-Latn-CS"/>
        </w:rPr>
        <w:t>u monoterapiji, kod pacijenata koji su prethodno neuspješno liječeni standardnim terapijskim protokolom sa 5-fluorouracilom.</w:t>
      </w:r>
    </w:p>
    <w:p w:rsidR="00CC7D68" w:rsidRPr="006B0439" w:rsidRDefault="00CC7D68" w:rsidP="00B26150">
      <w:pPr>
        <w:autoSpaceDE w:val="0"/>
        <w:autoSpaceDN w:val="0"/>
        <w:adjustRightInd w:val="0"/>
        <w:jc w:val="both"/>
        <w:rPr>
          <w:sz w:val="22"/>
          <w:szCs w:val="22"/>
          <w:lang w:val="sr-Latn-CS" w:eastAsia="sr-Latn-CS"/>
        </w:rPr>
      </w:pPr>
      <w:r w:rsidRPr="006B0439">
        <w:rPr>
          <w:bCs/>
          <w:sz w:val="22"/>
          <w:szCs w:val="22"/>
          <w:lang w:val="sr-Latn-CS" w:eastAsia="sr-Latn-CS"/>
        </w:rPr>
        <w:t>IRITEC</w:t>
      </w:r>
      <w:r w:rsidRPr="006B0439">
        <w:rPr>
          <w:b/>
          <w:bCs/>
          <w:sz w:val="22"/>
          <w:szCs w:val="22"/>
          <w:lang w:val="sr-Latn-CS" w:eastAsia="sr-Latn-CS"/>
        </w:rPr>
        <w:t xml:space="preserve"> </w:t>
      </w:r>
      <w:r w:rsidRPr="006B0439">
        <w:rPr>
          <w:bCs/>
          <w:sz w:val="22"/>
          <w:szCs w:val="22"/>
          <w:lang w:val="sr-Latn-CS" w:eastAsia="sr-Latn-CS"/>
        </w:rPr>
        <w:t>u</w:t>
      </w:r>
      <w:r w:rsidRPr="006B0439">
        <w:rPr>
          <w:sz w:val="22"/>
          <w:szCs w:val="22"/>
          <w:lang w:val="sr-Latn-CS" w:eastAsia="sr-Latn-CS"/>
        </w:rPr>
        <w:t xml:space="preserve"> kombinaciji sa cetuksimabom, je indikovan za liječenje pacijenata sa metastatskim kolorektalnim karcinomom KRAS</w:t>
      </w:r>
      <w:r w:rsidRPr="006B0439">
        <w:rPr>
          <w:i/>
          <w:sz w:val="22"/>
          <w:szCs w:val="22"/>
          <w:lang w:val="sr-Latn-CS" w:eastAsia="sr-Latn-CS"/>
        </w:rPr>
        <w:t xml:space="preserve"> </w:t>
      </w:r>
      <w:r w:rsidRPr="006B0439">
        <w:rPr>
          <w:sz w:val="22"/>
          <w:szCs w:val="22"/>
          <w:lang w:val="sr-Latn-CS" w:eastAsia="sr-Latn-CS"/>
        </w:rPr>
        <w:t xml:space="preserve">divljeg tipa, sa izraženim receptorima za epidermalni faktor rasta </w:t>
      </w:r>
      <w:r w:rsidRPr="006B0439">
        <w:rPr>
          <w:sz w:val="22"/>
          <w:szCs w:val="22"/>
          <w:lang w:val="sr-Latn-CS" w:eastAsia="sr-Latn-CS"/>
        </w:rPr>
        <w:lastRenderedPageBreak/>
        <w:t>(</w:t>
      </w:r>
      <w:r w:rsidRPr="006B0439">
        <w:rPr>
          <w:i/>
          <w:iCs/>
          <w:sz w:val="22"/>
          <w:szCs w:val="22"/>
          <w:lang w:val="sr-Latn-CS" w:eastAsia="sr-Latn-CS"/>
        </w:rPr>
        <w:t xml:space="preserve">epidermal growth factor receptors </w:t>
      </w:r>
      <w:r w:rsidRPr="006B0439">
        <w:rPr>
          <w:sz w:val="22"/>
          <w:szCs w:val="22"/>
          <w:lang w:val="sr-Latn-CS" w:eastAsia="sr-Latn-CS"/>
        </w:rPr>
        <w:t>– EGFR), a koji</w:t>
      </w:r>
      <w:r w:rsidR="00B26150" w:rsidRPr="006B0439">
        <w:rPr>
          <w:sz w:val="22"/>
          <w:szCs w:val="22"/>
          <w:lang w:val="sr-Latn-CS" w:eastAsia="sr-Latn-CS"/>
        </w:rPr>
        <w:t xml:space="preserve"> je</w:t>
      </w:r>
      <w:r w:rsidRPr="006B0439">
        <w:rPr>
          <w:sz w:val="22"/>
          <w:szCs w:val="22"/>
          <w:lang w:val="sr-Latn-CS" w:eastAsia="sr-Latn-CS"/>
        </w:rPr>
        <w:t xml:space="preserve"> prethodno neuspješno liječen citotoksi</w:t>
      </w:r>
      <w:r w:rsidRPr="006B0439">
        <w:rPr>
          <w:rFonts w:eastAsia="TimesNewRoman"/>
          <w:sz w:val="22"/>
          <w:szCs w:val="22"/>
          <w:lang w:val="sr-Latn-CS" w:eastAsia="sr-Latn-CS"/>
        </w:rPr>
        <w:t>č</w:t>
      </w:r>
      <w:r w:rsidRPr="006B0439">
        <w:rPr>
          <w:sz w:val="22"/>
          <w:szCs w:val="22"/>
          <w:lang w:val="sr-Latn-CS" w:eastAsia="sr-Latn-CS"/>
        </w:rPr>
        <w:t>nim ljekovima</w:t>
      </w:r>
      <w:r w:rsidR="00B26150" w:rsidRPr="006B0439">
        <w:rPr>
          <w:sz w:val="22"/>
          <w:szCs w:val="22"/>
          <w:lang w:val="sr-Latn-CS" w:eastAsia="sr-Latn-CS"/>
        </w:rPr>
        <w:t>,</w:t>
      </w:r>
      <w:r w:rsidRPr="006B0439">
        <w:rPr>
          <w:sz w:val="22"/>
          <w:szCs w:val="22"/>
          <w:lang w:val="sr-Latn-CS" w:eastAsia="sr-Latn-CS"/>
        </w:rPr>
        <w:t xml:space="preserve">  među kojima je bio i irinotekan.</w:t>
      </w:r>
    </w:p>
    <w:p w:rsidR="00CC7D68" w:rsidRPr="006B0439" w:rsidRDefault="00CC7D68" w:rsidP="00CC7D68">
      <w:pPr>
        <w:autoSpaceDE w:val="0"/>
        <w:autoSpaceDN w:val="0"/>
        <w:adjustRightInd w:val="0"/>
        <w:rPr>
          <w:b/>
          <w:bCs/>
          <w:sz w:val="22"/>
          <w:szCs w:val="22"/>
          <w:lang w:val="sr-Latn-CS" w:eastAsia="sr-Latn-CS"/>
        </w:rPr>
      </w:pPr>
    </w:p>
    <w:p w:rsidR="00CC7D68" w:rsidRPr="006B0439" w:rsidRDefault="00CC7D68" w:rsidP="00CC7D68">
      <w:pPr>
        <w:autoSpaceDE w:val="0"/>
        <w:autoSpaceDN w:val="0"/>
        <w:adjustRightInd w:val="0"/>
        <w:rPr>
          <w:sz w:val="22"/>
          <w:szCs w:val="22"/>
          <w:lang w:val="sr-Latn-CS" w:eastAsia="sr-Latn-CS"/>
        </w:rPr>
      </w:pPr>
      <w:r w:rsidRPr="006B0439">
        <w:rPr>
          <w:bCs/>
          <w:sz w:val="22"/>
          <w:szCs w:val="22"/>
          <w:lang w:val="sr-Latn-CS" w:eastAsia="sr-Latn-CS"/>
        </w:rPr>
        <w:t>IRITEC</w:t>
      </w:r>
      <w:r w:rsidRPr="006B0439">
        <w:rPr>
          <w:b/>
          <w:bCs/>
          <w:sz w:val="22"/>
          <w:szCs w:val="22"/>
          <w:lang w:val="sr-Latn-CS" w:eastAsia="sr-Latn-CS"/>
        </w:rPr>
        <w:t xml:space="preserve"> </w:t>
      </w:r>
      <w:r w:rsidRPr="006B0439">
        <w:rPr>
          <w:bCs/>
          <w:sz w:val="22"/>
          <w:szCs w:val="22"/>
          <w:lang w:val="sr-Latn-CS" w:eastAsia="sr-Latn-CS"/>
        </w:rPr>
        <w:t>u</w:t>
      </w:r>
      <w:r w:rsidRPr="006B0439">
        <w:rPr>
          <w:sz w:val="22"/>
          <w:szCs w:val="22"/>
          <w:lang w:val="sr-Latn-CS" w:eastAsia="sr-Latn-CS"/>
        </w:rPr>
        <w:t xml:space="preserve"> kombinaciji sa 5-fluorouracilom, folinskom kiselinom i bevacizumabom, predstavlja terapiju prvog izbora kod pacijenata sa metastatskim karcinomom kolona ili rektuma.</w:t>
      </w:r>
    </w:p>
    <w:p w:rsidR="00CC7D68" w:rsidRPr="006B0439" w:rsidRDefault="00CC7D68" w:rsidP="009E652E">
      <w:pPr>
        <w:pStyle w:val="Header"/>
        <w:tabs>
          <w:tab w:val="left" w:pos="284"/>
        </w:tabs>
        <w:spacing w:before="80" w:after="80"/>
        <w:rPr>
          <w:bCs/>
          <w:sz w:val="22"/>
          <w:szCs w:val="22"/>
          <w:lang w:val="sr-Latn-CS"/>
        </w:rPr>
      </w:pPr>
      <w:r w:rsidRPr="006B0439">
        <w:rPr>
          <w:bCs/>
          <w:sz w:val="22"/>
          <w:szCs w:val="22"/>
        </w:rPr>
        <w:t>IRITEC</w:t>
      </w:r>
      <w:r w:rsidRPr="006B0439">
        <w:rPr>
          <w:b/>
          <w:bCs/>
          <w:sz w:val="22"/>
          <w:szCs w:val="22"/>
          <w:lang w:val="sr-Latn-CS"/>
        </w:rPr>
        <w:t xml:space="preserve"> </w:t>
      </w:r>
      <w:r w:rsidRPr="006B0439">
        <w:rPr>
          <w:bCs/>
          <w:sz w:val="22"/>
          <w:szCs w:val="22"/>
        </w:rPr>
        <w:t>u</w:t>
      </w:r>
      <w:r w:rsidRPr="006B0439">
        <w:rPr>
          <w:bCs/>
          <w:sz w:val="22"/>
          <w:szCs w:val="22"/>
          <w:lang w:val="sr-Latn-CS"/>
        </w:rPr>
        <w:t xml:space="preserve"> </w:t>
      </w:r>
      <w:r w:rsidRPr="006B0439">
        <w:rPr>
          <w:bCs/>
          <w:sz w:val="22"/>
          <w:szCs w:val="22"/>
        </w:rPr>
        <w:t>kombinaciji</w:t>
      </w:r>
      <w:r w:rsidRPr="006B0439">
        <w:rPr>
          <w:bCs/>
          <w:sz w:val="22"/>
          <w:szCs w:val="22"/>
          <w:lang w:val="sr-Latn-CS"/>
        </w:rPr>
        <w:t xml:space="preserve"> </w:t>
      </w:r>
      <w:proofErr w:type="gramStart"/>
      <w:r w:rsidRPr="006B0439">
        <w:rPr>
          <w:bCs/>
          <w:sz w:val="22"/>
          <w:szCs w:val="22"/>
        </w:rPr>
        <w:t>sa</w:t>
      </w:r>
      <w:proofErr w:type="gramEnd"/>
      <w:r w:rsidRPr="006B0439">
        <w:rPr>
          <w:bCs/>
          <w:sz w:val="22"/>
          <w:szCs w:val="22"/>
          <w:lang w:val="sr-Latn-CS"/>
        </w:rPr>
        <w:t xml:space="preserve"> </w:t>
      </w:r>
      <w:r w:rsidRPr="006B0439">
        <w:rPr>
          <w:bCs/>
          <w:sz w:val="22"/>
          <w:szCs w:val="22"/>
        </w:rPr>
        <w:t>kapecitabinom</w:t>
      </w:r>
      <w:r w:rsidRPr="006B0439">
        <w:rPr>
          <w:bCs/>
          <w:sz w:val="22"/>
          <w:szCs w:val="22"/>
          <w:lang w:val="sr-Latn-CS"/>
        </w:rPr>
        <w:t xml:space="preserve"> </w:t>
      </w:r>
      <w:r w:rsidRPr="006B0439">
        <w:rPr>
          <w:bCs/>
          <w:sz w:val="22"/>
          <w:szCs w:val="22"/>
        </w:rPr>
        <w:t>sa</w:t>
      </w:r>
      <w:r w:rsidRPr="006B0439">
        <w:rPr>
          <w:bCs/>
          <w:sz w:val="22"/>
          <w:szCs w:val="22"/>
          <w:lang w:val="sr-Latn-CS"/>
        </w:rPr>
        <w:t xml:space="preserve"> </w:t>
      </w:r>
      <w:r w:rsidRPr="006B0439">
        <w:rPr>
          <w:bCs/>
          <w:sz w:val="22"/>
          <w:szCs w:val="22"/>
        </w:rPr>
        <w:t>ili</w:t>
      </w:r>
      <w:r w:rsidRPr="006B0439">
        <w:rPr>
          <w:bCs/>
          <w:sz w:val="22"/>
          <w:szCs w:val="22"/>
          <w:lang w:val="sr-Latn-CS"/>
        </w:rPr>
        <w:t xml:space="preserve"> </w:t>
      </w:r>
      <w:r w:rsidRPr="006B0439">
        <w:rPr>
          <w:bCs/>
          <w:sz w:val="22"/>
          <w:szCs w:val="22"/>
        </w:rPr>
        <w:t>bez</w:t>
      </w:r>
      <w:r w:rsidRPr="006B0439">
        <w:rPr>
          <w:bCs/>
          <w:sz w:val="22"/>
          <w:szCs w:val="22"/>
          <w:lang w:val="sr-Latn-CS"/>
        </w:rPr>
        <w:t xml:space="preserve"> </w:t>
      </w:r>
      <w:r w:rsidRPr="006B0439">
        <w:rPr>
          <w:bCs/>
          <w:sz w:val="22"/>
          <w:szCs w:val="22"/>
        </w:rPr>
        <w:t>b</w:t>
      </w:r>
      <w:r w:rsidR="00B26150" w:rsidRPr="006B0439">
        <w:rPr>
          <w:bCs/>
          <w:sz w:val="22"/>
          <w:szCs w:val="22"/>
        </w:rPr>
        <w:t>evacizumaba</w:t>
      </w:r>
      <w:r w:rsidRPr="006B0439">
        <w:rPr>
          <w:bCs/>
          <w:sz w:val="22"/>
          <w:szCs w:val="22"/>
          <w:lang w:val="sr-Latn-CS"/>
        </w:rPr>
        <w:t xml:space="preserve">, </w:t>
      </w:r>
      <w:r w:rsidRPr="006B0439">
        <w:rPr>
          <w:bCs/>
          <w:sz w:val="22"/>
          <w:szCs w:val="22"/>
        </w:rPr>
        <w:t>je</w:t>
      </w:r>
      <w:r w:rsidRPr="006B0439">
        <w:rPr>
          <w:bCs/>
          <w:sz w:val="22"/>
          <w:szCs w:val="22"/>
          <w:lang w:val="sr-Latn-CS"/>
        </w:rPr>
        <w:t xml:space="preserve"> </w:t>
      </w:r>
      <w:r w:rsidRPr="006B0439">
        <w:rPr>
          <w:bCs/>
          <w:sz w:val="22"/>
          <w:szCs w:val="22"/>
        </w:rPr>
        <w:t>indikovan</w:t>
      </w:r>
      <w:r w:rsidRPr="006B0439">
        <w:rPr>
          <w:bCs/>
          <w:sz w:val="22"/>
          <w:szCs w:val="22"/>
          <w:lang w:val="sr-Latn-CS"/>
        </w:rPr>
        <w:t xml:space="preserve"> </w:t>
      </w:r>
      <w:r w:rsidRPr="006B0439">
        <w:rPr>
          <w:bCs/>
          <w:sz w:val="22"/>
          <w:szCs w:val="22"/>
        </w:rPr>
        <w:t>kao</w:t>
      </w:r>
      <w:r w:rsidRPr="006B0439">
        <w:rPr>
          <w:bCs/>
          <w:sz w:val="22"/>
          <w:szCs w:val="22"/>
          <w:lang w:val="sr-Latn-CS"/>
        </w:rPr>
        <w:t xml:space="preserve"> </w:t>
      </w:r>
      <w:r w:rsidRPr="006B0439">
        <w:rPr>
          <w:bCs/>
          <w:sz w:val="22"/>
          <w:szCs w:val="22"/>
        </w:rPr>
        <w:t>terapija</w:t>
      </w:r>
      <w:r w:rsidRPr="006B0439">
        <w:rPr>
          <w:bCs/>
          <w:sz w:val="22"/>
          <w:szCs w:val="22"/>
          <w:lang w:val="sr-Latn-CS"/>
        </w:rPr>
        <w:t xml:space="preserve"> </w:t>
      </w:r>
      <w:r w:rsidRPr="006B0439">
        <w:rPr>
          <w:bCs/>
          <w:sz w:val="22"/>
          <w:szCs w:val="22"/>
        </w:rPr>
        <w:t>prvog</w:t>
      </w:r>
      <w:r w:rsidRPr="006B0439">
        <w:rPr>
          <w:bCs/>
          <w:sz w:val="22"/>
          <w:szCs w:val="22"/>
          <w:lang w:val="sr-Latn-CS"/>
        </w:rPr>
        <w:t xml:space="preserve"> </w:t>
      </w:r>
      <w:r w:rsidRPr="006B0439">
        <w:rPr>
          <w:bCs/>
          <w:sz w:val="22"/>
          <w:szCs w:val="22"/>
        </w:rPr>
        <w:t>izbora</w:t>
      </w:r>
      <w:r w:rsidRPr="006B0439">
        <w:rPr>
          <w:bCs/>
          <w:sz w:val="22"/>
          <w:szCs w:val="22"/>
          <w:lang w:val="sr-Latn-CS"/>
        </w:rPr>
        <w:t xml:space="preserve"> </w:t>
      </w:r>
      <w:r w:rsidRPr="006B0439">
        <w:rPr>
          <w:bCs/>
          <w:sz w:val="22"/>
          <w:szCs w:val="22"/>
        </w:rPr>
        <w:t>za</w:t>
      </w:r>
      <w:r w:rsidRPr="006B0439">
        <w:rPr>
          <w:bCs/>
          <w:sz w:val="22"/>
          <w:szCs w:val="22"/>
          <w:lang w:val="sr-Latn-CS"/>
        </w:rPr>
        <w:t xml:space="preserve"> </w:t>
      </w:r>
      <w:r w:rsidRPr="006B0439">
        <w:rPr>
          <w:bCs/>
          <w:sz w:val="22"/>
          <w:szCs w:val="22"/>
        </w:rPr>
        <w:t>lije</w:t>
      </w:r>
      <w:r w:rsidRPr="006B0439">
        <w:rPr>
          <w:bCs/>
          <w:sz w:val="22"/>
          <w:szCs w:val="22"/>
          <w:lang w:val="sr-Latn-CS"/>
        </w:rPr>
        <w:t>č</w:t>
      </w:r>
      <w:r w:rsidRPr="006B0439">
        <w:rPr>
          <w:bCs/>
          <w:sz w:val="22"/>
          <w:szCs w:val="22"/>
        </w:rPr>
        <w:t>enje</w:t>
      </w:r>
      <w:r w:rsidRPr="006B0439">
        <w:rPr>
          <w:bCs/>
          <w:sz w:val="22"/>
          <w:szCs w:val="22"/>
          <w:lang w:val="sr-Latn-CS"/>
        </w:rPr>
        <w:t xml:space="preserve"> </w:t>
      </w:r>
      <w:r w:rsidRPr="006B0439">
        <w:rPr>
          <w:bCs/>
          <w:sz w:val="22"/>
          <w:szCs w:val="22"/>
        </w:rPr>
        <w:t>pacijenata</w:t>
      </w:r>
      <w:r w:rsidRPr="006B0439">
        <w:rPr>
          <w:bCs/>
          <w:sz w:val="22"/>
          <w:szCs w:val="22"/>
          <w:lang w:val="sr-Latn-CS"/>
        </w:rPr>
        <w:t xml:space="preserve"> </w:t>
      </w:r>
      <w:r w:rsidRPr="006B0439">
        <w:rPr>
          <w:bCs/>
          <w:sz w:val="22"/>
          <w:szCs w:val="22"/>
        </w:rPr>
        <w:t>sa</w:t>
      </w:r>
      <w:r w:rsidRPr="006B0439">
        <w:rPr>
          <w:bCs/>
          <w:sz w:val="22"/>
          <w:szCs w:val="22"/>
          <w:lang w:val="sr-Latn-CS"/>
        </w:rPr>
        <w:t xml:space="preserve"> </w:t>
      </w:r>
      <w:r w:rsidRPr="006B0439">
        <w:rPr>
          <w:bCs/>
          <w:sz w:val="22"/>
          <w:szCs w:val="22"/>
        </w:rPr>
        <w:t>metastatskim</w:t>
      </w:r>
      <w:r w:rsidRPr="006B0439">
        <w:rPr>
          <w:bCs/>
          <w:sz w:val="22"/>
          <w:szCs w:val="22"/>
          <w:lang w:val="sr-Latn-CS"/>
        </w:rPr>
        <w:t xml:space="preserve"> </w:t>
      </w:r>
      <w:r w:rsidRPr="006B0439">
        <w:rPr>
          <w:bCs/>
          <w:sz w:val="22"/>
          <w:szCs w:val="22"/>
        </w:rPr>
        <w:t>kolorektalnim</w:t>
      </w:r>
      <w:r w:rsidRPr="006B0439">
        <w:rPr>
          <w:bCs/>
          <w:sz w:val="22"/>
          <w:szCs w:val="22"/>
          <w:lang w:val="sr-Latn-CS"/>
        </w:rPr>
        <w:t xml:space="preserve"> </w:t>
      </w:r>
      <w:r w:rsidRPr="006B0439">
        <w:rPr>
          <w:bCs/>
          <w:sz w:val="22"/>
          <w:szCs w:val="22"/>
        </w:rPr>
        <w:t>karcinomom</w:t>
      </w:r>
      <w:r w:rsidRPr="006B0439">
        <w:rPr>
          <w:bCs/>
          <w:sz w:val="22"/>
          <w:szCs w:val="22"/>
          <w:lang w:val="sr-Latn-CS"/>
        </w:rPr>
        <w:t>.</w:t>
      </w:r>
    </w:p>
    <w:p w:rsidR="00CC7D68" w:rsidRPr="006B0439" w:rsidRDefault="00CC7D68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CS"/>
        </w:rPr>
      </w:pPr>
    </w:p>
    <w:p w:rsidR="00411B4B" w:rsidRPr="006B0439" w:rsidRDefault="00411B4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6B0439">
        <w:rPr>
          <w:b/>
          <w:bCs/>
          <w:sz w:val="22"/>
          <w:szCs w:val="22"/>
        </w:rPr>
        <w:t xml:space="preserve">4.2. </w:t>
      </w:r>
      <w:r w:rsidR="00480FB1" w:rsidRPr="006B0439">
        <w:rPr>
          <w:b/>
          <w:bCs/>
          <w:sz w:val="22"/>
          <w:szCs w:val="22"/>
        </w:rPr>
        <w:tab/>
      </w:r>
      <w:r w:rsidRPr="006B0439">
        <w:rPr>
          <w:b/>
          <w:bCs/>
          <w:sz w:val="22"/>
          <w:szCs w:val="22"/>
        </w:rPr>
        <w:t>Doziranje i način primjene</w:t>
      </w:r>
    </w:p>
    <w:p w:rsidR="0072020E" w:rsidRPr="006B0439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:rsidR="00B26150" w:rsidRPr="006B0439" w:rsidRDefault="00B26150" w:rsidP="00B26150">
      <w:pPr>
        <w:autoSpaceDE w:val="0"/>
        <w:autoSpaceDN w:val="0"/>
        <w:adjustRightInd w:val="0"/>
        <w:jc w:val="both"/>
        <w:rPr>
          <w:sz w:val="22"/>
          <w:szCs w:val="22"/>
          <w:lang w:val="sr-Latn-CS" w:eastAsia="sr-Latn-CS"/>
        </w:rPr>
      </w:pPr>
      <w:r w:rsidRPr="006B0439">
        <w:rPr>
          <w:sz w:val="22"/>
          <w:szCs w:val="22"/>
          <w:lang w:val="sr-Latn-CS" w:eastAsia="sr-Latn-CS"/>
        </w:rPr>
        <w:t>Primjenjuje se isklju</w:t>
      </w:r>
      <w:r w:rsidRPr="006B0439">
        <w:rPr>
          <w:rFonts w:eastAsia="TimesNewRoman"/>
          <w:sz w:val="22"/>
          <w:szCs w:val="22"/>
          <w:lang w:val="sr-Latn-CS" w:eastAsia="sr-Latn-CS"/>
        </w:rPr>
        <w:t>č</w:t>
      </w:r>
      <w:r w:rsidRPr="006B0439">
        <w:rPr>
          <w:sz w:val="22"/>
          <w:szCs w:val="22"/>
          <w:lang w:val="sr-Latn-CS" w:eastAsia="sr-Latn-CS"/>
        </w:rPr>
        <w:t xml:space="preserve">ivo kod odraslih. </w:t>
      </w:r>
      <w:r w:rsidRPr="006B0439">
        <w:rPr>
          <w:bCs/>
          <w:sz w:val="22"/>
          <w:szCs w:val="22"/>
          <w:lang w:val="sr-Latn-CS" w:eastAsia="sr-Latn-CS"/>
        </w:rPr>
        <w:t>IRITEC</w:t>
      </w:r>
      <w:r w:rsidRPr="006B0439">
        <w:rPr>
          <w:sz w:val="22"/>
          <w:szCs w:val="22"/>
          <w:lang w:val="sr-Latn-CS" w:eastAsia="sr-Latn-CS"/>
        </w:rPr>
        <w:t xml:space="preserve"> rastvor za infuziju treba ubrizgavati u perifernu ili centralnu venu.</w:t>
      </w:r>
    </w:p>
    <w:p w:rsidR="00B26150" w:rsidRPr="006B0439" w:rsidRDefault="00B26150" w:rsidP="00B26150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r-Latn-CS" w:eastAsia="sr-Latn-CS"/>
        </w:rPr>
      </w:pPr>
    </w:p>
    <w:p w:rsidR="00B26150" w:rsidRPr="006B0439" w:rsidRDefault="00B26150" w:rsidP="00B26150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r-Latn-CS" w:eastAsia="sr-Latn-CS"/>
        </w:rPr>
      </w:pPr>
      <w:r w:rsidRPr="006B0439">
        <w:rPr>
          <w:b/>
          <w:bCs/>
          <w:sz w:val="22"/>
          <w:szCs w:val="22"/>
          <w:lang w:val="sr-Latn-CS" w:eastAsia="sr-Latn-CS"/>
        </w:rPr>
        <w:t>Preporu</w:t>
      </w:r>
      <w:r w:rsidRPr="006B0439">
        <w:rPr>
          <w:rFonts w:eastAsia="TimesNewRoman,Bold"/>
          <w:b/>
          <w:bCs/>
          <w:sz w:val="22"/>
          <w:szCs w:val="22"/>
          <w:lang w:val="sr-Latn-CS" w:eastAsia="sr-Latn-CS"/>
        </w:rPr>
        <w:t>č</w:t>
      </w:r>
      <w:r w:rsidRPr="006B0439">
        <w:rPr>
          <w:b/>
          <w:bCs/>
          <w:sz w:val="22"/>
          <w:szCs w:val="22"/>
          <w:lang w:val="sr-Latn-CS" w:eastAsia="sr-Latn-CS"/>
        </w:rPr>
        <w:t>eno doziranje:</w:t>
      </w:r>
    </w:p>
    <w:p w:rsidR="00B26150" w:rsidRPr="006B0439" w:rsidRDefault="00B26150" w:rsidP="00B26150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r-Latn-CS" w:eastAsia="sr-Latn-CS"/>
        </w:rPr>
      </w:pPr>
    </w:p>
    <w:p w:rsidR="00B26150" w:rsidRPr="006B0439" w:rsidRDefault="00B26150" w:rsidP="00B26150">
      <w:pPr>
        <w:autoSpaceDE w:val="0"/>
        <w:autoSpaceDN w:val="0"/>
        <w:adjustRightInd w:val="0"/>
        <w:jc w:val="both"/>
        <w:rPr>
          <w:sz w:val="22"/>
          <w:szCs w:val="22"/>
          <w:lang w:val="sr-Latn-CS" w:eastAsia="sr-Latn-CS"/>
        </w:rPr>
      </w:pPr>
      <w:r w:rsidRPr="006B0439">
        <w:rPr>
          <w:sz w:val="22"/>
          <w:szCs w:val="22"/>
          <w:u w:val="single"/>
          <w:lang w:val="sr-Latn-CS" w:eastAsia="sr-Latn-CS"/>
        </w:rPr>
        <w:t>U monoterapiji (kod pacijenata koji su ve</w:t>
      </w:r>
      <w:r w:rsidRPr="006B0439">
        <w:rPr>
          <w:rFonts w:eastAsia="TimesNewRoman"/>
          <w:sz w:val="22"/>
          <w:szCs w:val="22"/>
          <w:u w:val="single"/>
          <w:lang w:val="sr-Latn-CS" w:eastAsia="sr-Latn-CS"/>
        </w:rPr>
        <w:t xml:space="preserve">ć </w:t>
      </w:r>
      <w:r w:rsidRPr="006B0439">
        <w:rPr>
          <w:sz w:val="22"/>
          <w:szCs w:val="22"/>
          <w:u w:val="single"/>
          <w:lang w:val="sr-Latn-CS" w:eastAsia="sr-Latn-CS"/>
        </w:rPr>
        <w:t>prethodno liječeni):</w:t>
      </w:r>
    </w:p>
    <w:p w:rsidR="00B26150" w:rsidRPr="006B0439" w:rsidRDefault="00B26150" w:rsidP="00B26150">
      <w:pPr>
        <w:autoSpaceDE w:val="0"/>
        <w:autoSpaceDN w:val="0"/>
        <w:adjustRightInd w:val="0"/>
        <w:jc w:val="both"/>
        <w:rPr>
          <w:sz w:val="22"/>
          <w:szCs w:val="22"/>
          <w:lang w:val="sr-Latn-CS" w:eastAsia="sr-Latn-CS"/>
        </w:rPr>
      </w:pPr>
      <w:r w:rsidRPr="006B0439">
        <w:rPr>
          <w:sz w:val="22"/>
          <w:szCs w:val="22"/>
          <w:lang w:val="sr-Latn-CS" w:eastAsia="sr-Latn-CS"/>
        </w:rPr>
        <w:t>Preporu</w:t>
      </w:r>
      <w:r w:rsidRPr="006B0439">
        <w:rPr>
          <w:rFonts w:eastAsia="TimesNewRoman"/>
          <w:sz w:val="22"/>
          <w:szCs w:val="22"/>
          <w:lang w:val="sr-Latn-CS" w:eastAsia="sr-Latn-CS"/>
        </w:rPr>
        <w:t>č</w:t>
      </w:r>
      <w:r w:rsidRPr="006B0439">
        <w:rPr>
          <w:sz w:val="22"/>
          <w:szCs w:val="22"/>
          <w:lang w:val="sr-Latn-CS" w:eastAsia="sr-Latn-CS"/>
        </w:rPr>
        <w:t xml:space="preserve">ena doza lijeka </w:t>
      </w:r>
      <w:r w:rsidRPr="006B0439">
        <w:rPr>
          <w:bCs/>
          <w:sz w:val="22"/>
          <w:szCs w:val="22"/>
          <w:lang w:val="sr-Latn-CS" w:eastAsia="sr-Latn-CS"/>
        </w:rPr>
        <w:t>IRITEC</w:t>
      </w:r>
      <w:r w:rsidRPr="006B0439">
        <w:rPr>
          <w:sz w:val="22"/>
          <w:szCs w:val="22"/>
          <w:lang w:val="sr-Latn-CS" w:eastAsia="sr-Latn-CS"/>
        </w:rPr>
        <w:t xml:space="preserve"> je 350 mg/m</w:t>
      </w:r>
      <w:r w:rsidRPr="006B0439">
        <w:rPr>
          <w:sz w:val="22"/>
          <w:szCs w:val="22"/>
          <w:vertAlign w:val="superscript"/>
          <w:lang w:val="sr-Latn-CS" w:eastAsia="sr-Latn-CS"/>
        </w:rPr>
        <w:t>2</w:t>
      </w:r>
      <w:r w:rsidRPr="006B0439">
        <w:rPr>
          <w:sz w:val="22"/>
          <w:szCs w:val="22"/>
          <w:lang w:val="sr-Latn-CS" w:eastAsia="sr-Latn-CS"/>
        </w:rPr>
        <w:t>, primijenjena u vidu intravenske infuzije koja traje 30-90 minuta, jednom u tri ned</w:t>
      </w:r>
      <w:r w:rsidR="00254A4B" w:rsidRPr="006B0439">
        <w:rPr>
          <w:sz w:val="22"/>
          <w:szCs w:val="22"/>
          <w:lang w:val="sr-Latn-CS" w:eastAsia="sr-Latn-CS"/>
        </w:rPr>
        <w:t>j</w:t>
      </w:r>
      <w:r w:rsidRPr="006B0439">
        <w:rPr>
          <w:sz w:val="22"/>
          <w:szCs w:val="22"/>
          <w:lang w:val="sr-Latn-CS" w:eastAsia="sr-Latn-CS"/>
        </w:rPr>
        <w:t xml:space="preserve">elje (vidjeti </w:t>
      </w:r>
      <w:r w:rsidR="00254A4B" w:rsidRPr="006B0439">
        <w:rPr>
          <w:sz w:val="22"/>
          <w:szCs w:val="22"/>
          <w:lang w:val="sr-Latn-CS" w:eastAsia="sr-Latn-CS"/>
        </w:rPr>
        <w:t xml:space="preserve">dijelove </w:t>
      </w:r>
      <w:r w:rsidRPr="006B0439">
        <w:rPr>
          <w:sz w:val="22"/>
          <w:szCs w:val="22"/>
          <w:lang w:val="sr-Latn-CS" w:eastAsia="sr-Latn-CS"/>
        </w:rPr>
        <w:t>4.4 i 6.6).</w:t>
      </w:r>
    </w:p>
    <w:p w:rsidR="00B26150" w:rsidRPr="006B0439" w:rsidRDefault="00B26150" w:rsidP="00B26150">
      <w:pPr>
        <w:autoSpaceDE w:val="0"/>
        <w:autoSpaceDN w:val="0"/>
        <w:adjustRightInd w:val="0"/>
        <w:jc w:val="both"/>
        <w:rPr>
          <w:sz w:val="22"/>
          <w:szCs w:val="22"/>
          <w:u w:val="single"/>
          <w:lang w:val="sr-Latn-CS" w:eastAsia="sr-Latn-CS"/>
        </w:rPr>
      </w:pPr>
    </w:p>
    <w:p w:rsidR="00B26150" w:rsidRPr="006B0439" w:rsidRDefault="00B26150" w:rsidP="00B26150">
      <w:pPr>
        <w:autoSpaceDE w:val="0"/>
        <w:autoSpaceDN w:val="0"/>
        <w:adjustRightInd w:val="0"/>
        <w:jc w:val="both"/>
        <w:rPr>
          <w:sz w:val="22"/>
          <w:szCs w:val="22"/>
          <w:u w:val="single"/>
          <w:lang w:val="sr-Latn-CS" w:eastAsia="sr-Latn-CS"/>
        </w:rPr>
      </w:pPr>
      <w:r w:rsidRPr="006B0439">
        <w:rPr>
          <w:sz w:val="22"/>
          <w:szCs w:val="22"/>
          <w:u w:val="single"/>
          <w:lang w:val="sr-Latn-CS" w:eastAsia="sr-Latn-CS"/>
        </w:rPr>
        <w:t>U kombinaciji sa drugim ljekovima (kod pacijenata koji nisu prethodno liječeni):</w:t>
      </w:r>
    </w:p>
    <w:p w:rsidR="00B26150" w:rsidRPr="006B0439" w:rsidRDefault="00B26150" w:rsidP="00B26150">
      <w:pPr>
        <w:autoSpaceDE w:val="0"/>
        <w:autoSpaceDN w:val="0"/>
        <w:adjustRightInd w:val="0"/>
        <w:jc w:val="both"/>
        <w:rPr>
          <w:sz w:val="22"/>
          <w:szCs w:val="22"/>
          <w:lang w:val="sr-Latn-CS" w:eastAsia="sr-Latn-CS"/>
        </w:rPr>
      </w:pPr>
      <w:r w:rsidRPr="006B0439">
        <w:rPr>
          <w:sz w:val="22"/>
          <w:szCs w:val="22"/>
          <w:lang w:val="sr-Latn-CS" w:eastAsia="sr-Latn-CS"/>
        </w:rPr>
        <w:t xml:space="preserve">Bezbjednost i efikasnost lijeka </w:t>
      </w:r>
      <w:r w:rsidRPr="006B0439">
        <w:rPr>
          <w:bCs/>
          <w:sz w:val="22"/>
          <w:szCs w:val="22"/>
          <w:lang w:val="sr-Latn-CS" w:eastAsia="sr-Latn-CS"/>
        </w:rPr>
        <w:t>IRITEC</w:t>
      </w:r>
      <w:r w:rsidRPr="006B0439">
        <w:rPr>
          <w:sz w:val="22"/>
          <w:szCs w:val="22"/>
          <w:lang w:val="sr-Latn-CS" w:eastAsia="sr-Latn-CS"/>
        </w:rPr>
        <w:t xml:space="preserve"> u kombinaciji sa 5-fluorouracilom (5FU) i folinskom kiselinom (</w:t>
      </w:r>
      <w:r w:rsidRPr="006B0439">
        <w:rPr>
          <w:i/>
          <w:iCs/>
          <w:sz w:val="22"/>
          <w:szCs w:val="22"/>
          <w:lang w:val="sr-Latn-CS" w:eastAsia="sr-Latn-CS"/>
        </w:rPr>
        <w:t xml:space="preserve">folinic acid </w:t>
      </w:r>
      <w:r w:rsidRPr="006B0439">
        <w:rPr>
          <w:sz w:val="22"/>
          <w:szCs w:val="22"/>
          <w:lang w:val="sr-Latn-CS" w:eastAsia="sr-Latn-CS"/>
        </w:rPr>
        <w:t>– FA) ispitani su u odnosu na sl</w:t>
      </w:r>
      <w:r w:rsidR="00254A4B" w:rsidRPr="006B0439">
        <w:rPr>
          <w:sz w:val="22"/>
          <w:szCs w:val="22"/>
          <w:lang w:val="sr-Latn-CS" w:eastAsia="sr-Latn-CS"/>
        </w:rPr>
        <w:t>j</w:t>
      </w:r>
      <w:r w:rsidRPr="006B0439">
        <w:rPr>
          <w:sz w:val="22"/>
          <w:szCs w:val="22"/>
          <w:lang w:val="sr-Latn-CS" w:eastAsia="sr-Latn-CS"/>
        </w:rPr>
        <w:t>ede</w:t>
      </w:r>
      <w:r w:rsidRPr="006B0439">
        <w:rPr>
          <w:rFonts w:eastAsia="TimesNewRoman"/>
          <w:sz w:val="22"/>
          <w:szCs w:val="22"/>
          <w:lang w:val="sr-Latn-CS" w:eastAsia="sr-Latn-CS"/>
        </w:rPr>
        <w:t>ć</w:t>
      </w:r>
      <w:r w:rsidRPr="006B0439">
        <w:rPr>
          <w:sz w:val="22"/>
          <w:szCs w:val="22"/>
          <w:lang w:val="sr-Latn-CS" w:eastAsia="sr-Latn-CS"/>
        </w:rPr>
        <w:t xml:space="preserve">i protokol (vidjeti </w:t>
      </w:r>
      <w:r w:rsidR="00254A4B" w:rsidRPr="006B0439">
        <w:rPr>
          <w:sz w:val="22"/>
          <w:szCs w:val="22"/>
          <w:lang w:val="sr-Latn-CS" w:eastAsia="sr-Latn-CS"/>
        </w:rPr>
        <w:t xml:space="preserve">dio </w:t>
      </w:r>
      <w:r w:rsidRPr="006B0439">
        <w:rPr>
          <w:sz w:val="22"/>
          <w:szCs w:val="22"/>
          <w:lang w:val="sr-Latn-CS" w:eastAsia="sr-Latn-CS"/>
        </w:rPr>
        <w:t>5.1):</w:t>
      </w:r>
    </w:p>
    <w:p w:rsidR="00B26150" w:rsidRPr="006B0439" w:rsidRDefault="00B26150" w:rsidP="00B26150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sz w:val="22"/>
          <w:szCs w:val="22"/>
          <w:lang w:val="sr-Latn-CS" w:eastAsia="sr-Latn-CS"/>
        </w:rPr>
      </w:pPr>
      <w:r w:rsidRPr="006B0439">
        <w:rPr>
          <w:sz w:val="22"/>
          <w:szCs w:val="22"/>
          <w:lang w:val="sr-Latn-CS" w:eastAsia="sr-Latn-CS"/>
        </w:rPr>
        <w:t>IRITEC plus 5FU/FA jednom u dvije ned</w:t>
      </w:r>
      <w:r w:rsidR="00254A4B" w:rsidRPr="006B0439">
        <w:rPr>
          <w:sz w:val="22"/>
          <w:szCs w:val="22"/>
          <w:lang w:val="sr-Latn-CS" w:eastAsia="sr-Latn-CS"/>
        </w:rPr>
        <w:t>j</w:t>
      </w:r>
      <w:r w:rsidRPr="006B0439">
        <w:rPr>
          <w:sz w:val="22"/>
          <w:szCs w:val="22"/>
          <w:lang w:val="sr-Latn-CS" w:eastAsia="sr-Latn-CS"/>
        </w:rPr>
        <w:t>elje</w:t>
      </w:r>
    </w:p>
    <w:p w:rsidR="00B26150" w:rsidRPr="006B0439" w:rsidRDefault="00B26150" w:rsidP="00B26150">
      <w:pPr>
        <w:autoSpaceDE w:val="0"/>
        <w:autoSpaceDN w:val="0"/>
        <w:adjustRightInd w:val="0"/>
        <w:jc w:val="both"/>
        <w:rPr>
          <w:sz w:val="22"/>
          <w:szCs w:val="22"/>
          <w:lang w:val="sr-Latn-CS" w:eastAsia="sr-Latn-CS"/>
        </w:rPr>
      </w:pPr>
      <w:r w:rsidRPr="006B0439">
        <w:rPr>
          <w:sz w:val="22"/>
          <w:szCs w:val="22"/>
          <w:lang w:val="sr-Latn-CS" w:eastAsia="sr-Latn-CS"/>
        </w:rPr>
        <w:t>Preporu</w:t>
      </w:r>
      <w:r w:rsidRPr="006B0439">
        <w:rPr>
          <w:rFonts w:eastAsia="TimesNewRoman"/>
          <w:sz w:val="22"/>
          <w:szCs w:val="22"/>
          <w:lang w:val="sr-Latn-CS" w:eastAsia="sr-Latn-CS"/>
        </w:rPr>
        <w:t>č</w:t>
      </w:r>
      <w:r w:rsidRPr="006B0439">
        <w:rPr>
          <w:sz w:val="22"/>
          <w:szCs w:val="22"/>
          <w:lang w:val="sr-Latn-CS" w:eastAsia="sr-Latn-CS"/>
        </w:rPr>
        <w:t>ena doza lijeka IRITEC je 180 mg/m</w:t>
      </w:r>
      <w:r w:rsidRPr="006B0439">
        <w:rPr>
          <w:sz w:val="22"/>
          <w:szCs w:val="22"/>
          <w:vertAlign w:val="superscript"/>
          <w:lang w:val="sr-Latn-CS" w:eastAsia="sr-Latn-CS"/>
        </w:rPr>
        <w:t>2</w:t>
      </w:r>
      <w:r w:rsidRPr="006B0439">
        <w:rPr>
          <w:sz w:val="22"/>
          <w:szCs w:val="22"/>
          <w:lang w:val="sr-Latn-CS" w:eastAsia="sr-Latn-CS"/>
        </w:rPr>
        <w:t>, primijenjena u vidu intravenske infuzije koja traje 30-90 minuta, jednom u dvije ned</w:t>
      </w:r>
      <w:r w:rsidR="00254A4B" w:rsidRPr="006B0439">
        <w:rPr>
          <w:sz w:val="22"/>
          <w:szCs w:val="22"/>
          <w:lang w:val="sr-Latn-CS" w:eastAsia="sr-Latn-CS"/>
        </w:rPr>
        <w:t>j</w:t>
      </w:r>
      <w:r w:rsidRPr="006B0439">
        <w:rPr>
          <w:sz w:val="22"/>
          <w:szCs w:val="22"/>
          <w:lang w:val="sr-Latn-CS" w:eastAsia="sr-Latn-CS"/>
        </w:rPr>
        <w:t>elje, a koja je  praćena infuzijama folinske kiseline i 5-fluorouracila.</w:t>
      </w:r>
    </w:p>
    <w:p w:rsidR="00B26150" w:rsidRPr="006B0439" w:rsidRDefault="00B26150" w:rsidP="00B26150">
      <w:pPr>
        <w:autoSpaceDE w:val="0"/>
        <w:autoSpaceDN w:val="0"/>
        <w:adjustRightInd w:val="0"/>
        <w:jc w:val="both"/>
        <w:rPr>
          <w:sz w:val="22"/>
          <w:szCs w:val="22"/>
          <w:lang w:val="sr-Latn-CS" w:eastAsia="sr-Latn-CS"/>
        </w:rPr>
      </w:pPr>
      <w:r w:rsidRPr="006B0439">
        <w:rPr>
          <w:sz w:val="22"/>
          <w:szCs w:val="22"/>
          <w:lang w:val="sr-Latn-CS" w:eastAsia="sr-Latn-CS"/>
        </w:rPr>
        <w:t>Za doziranje i na</w:t>
      </w:r>
      <w:r w:rsidRPr="006B0439">
        <w:rPr>
          <w:rFonts w:eastAsia="TimesNewRoman"/>
          <w:sz w:val="22"/>
          <w:szCs w:val="22"/>
          <w:lang w:val="sr-Latn-CS" w:eastAsia="sr-Latn-CS"/>
        </w:rPr>
        <w:t>č</w:t>
      </w:r>
      <w:r w:rsidRPr="006B0439">
        <w:rPr>
          <w:sz w:val="22"/>
          <w:szCs w:val="22"/>
          <w:lang w:val="sr-Latn-CS" w:eastAsia="sr-Latn-CS"/>
        </w:rPr>
        <w:t>in prateće primjene cetuksimaba treba konsultovati  sažetak karakteristika l</w:t>
      </w:r>
      <w:r w:rsidR="00AE0A6E" w:rsidRPr="006B0439">
        <w:rPr>
          <w:sz w:val="22"/>
          <w:szCs w:val="22"/>
          <w:lang w:val="sr-Latn-CS" w:eastAsia="sr-Latn-CS"/>
        </w:rPr>
        <w:t>ij</w:t>
      </w:r>
      <w:r w:rsidRPr="006B0439">
        <w:rPr>
          <w:sz w:val="22"/>
          <w:szCs w:val="22"/>
          <w:lang w:val="sr-Latn-CS" w:eastAsia="sr-Latn-CS"/>
        </w:rPr>
        <w:t>eka za ovaj lijek.</w:t>
      </w:r>
    </w:p>
    <w:p w:rsidR="00B26150" w:rsidRPr="006B0439" w:rsidRDefault="00B26150" w:rsidP="00B26150">
      <w:pPr>
        <w:autoSpaceDE w:val="0"/>
        <w:autoSpaceDN w:val="0"/>
        <w:adjustRightInd w:val="0"/>
        <w:jc w:val="both"/>
        <w:rPr>
          <w:sz w:val="22"/>
          <w:szCs w:val="22"/>
          <w:lang w:val="sr-Latn-CS" w:eastAsia="sr-Latn-CS"/>
        </w:rPr>
      </w:pPr>
      <w:r w:rsidRPr="006B0439">
        <w:rPr>
          <w:sz w:val="22"/>
          <w:szCs w:val="22"/>
          <w:lang w:val="sr-Latn-CS" w:eastAsia="sr-Latn-CS"/>
        </w:rPr>
        <w:t>Standardno, doze irinotekana treba da budu iste kao i u posl</w:t>
      </w:r>
      <w:r w:rsidR="00254A4B" w:rsidRPr="006B0439">
        <w:rPr>
          <w:sz w:val="22"/>
          <w:szCs w:val="22"/>
          <w:lang w:val="sr-Latn-CS" w:eastAsia="sr-Latn-CS"/>
        </w:rPr>
        <w:t>j</w:t>
      </w:r>
      <w:r w:rsidRPr="006B0439">
        <w:rPr>
          <w:sz w:val="22"/>
          <w:szCs w:val="22"/>
          <w:lang w:val="sr-Latn-CS" w:eastAsia="sr-Latn-CS"/>
        </w:rPr>
        <w:t>ednjim ciklusima prethodno koriš</w:t>
      </w:r>
      <w:r w:rsidRPr="006B0439">
        <w:rPr>
          <w:rFonts w:eastAsia="TimesNewRoman"/>
          <w:sz w:val="22"/>
          <w:szCs w:val="22"/>
          <w:lang w:val="sr-Latn-CS" w:eastAsia="sr-Latn-CS"/>
        </w:rPr>
        <w:t>ć</w:t>
      </w:r>
      <w:r w:rsidRPr="006B0439">
        <w:rPr>
          <w:sz w:val="22"/>
          <w:szCs w:val="22"/>
          <w:lang w:val="sr-Latn-CS" w:eastAsia="sr-Latn-CS"/>
        </w:rPr>
        <w:t>enog protokola sa irinotekanom. Irinotekan se ne smije primijeniti pr</w:t>
      </w:r>
      <w:r w:rsidR="00254A4B" w:rsidRPr="006B0439">
        <w:rPr>
          <w:sz w:val="22"/>
          <w:szCs w:val="22"/>
          <w:lang w:val="sr-Latn-CS" w:eastAsia="sr-Latn-CS"/>
        </w:rPr>
        <w:t>ij</w:t>
      </w:r>
      <w:r w:rsidRPr="006B0439">
        <w:rPr>
          <w:sz w:val="22"/>
          <w:szCs w:val="22"/>
          <w:lang w:val="sr-Latn-CS" w:eastAsia="sr-Latn-CS"/>
        </w:rPr>
        <w:t>e nego što pro</w:t>
      </w:r>
      <w:r w:rsidRPr="006B0439">
        <w:rPr>
          <w:rFonts w:eastAsia="TimesNewRoman"/>
          <w:sz w:val="22"/>
          <w:szCs w:val="22"/>
          <w:lang w:val="sr-Latn-CS" w:eastAsia="sr-Latn-CS"/>
        </w:rPr>
        <w:t>đ</w:t>
      </w:r>
      <w:r w:rsidRPr="006B0439">
        <w:rPr>
          <w:sz w:val="22"/>
          <w:szCs w:val="22"/>
          <w:lang w:val="sr-Latn-CS" w:eastAsia="sr-Latn-CS"/>
        </w:rPr>
        <w:t>e bar jedan sat od završetka infuzije cetuksimaba.</w:t>
      </w:r>
    </w:p>
    <w:p w:rsidR="00B26150" w:rsidRPr="006B0439" w:rsidRDefault="00B26150" w:rsidP="00B26150">
      <w:pPr>
        <w:autoSpaceDE w:val="0"/>
        <w:autoSpaceDN w:val="0"/>
        <w:adjustRightInd w:val="0"/>
        <w:jc w:val="both"/>
        <w:rPr>
          <w:sz w:val="22"/>
          <w:szCs w:val="22"/>
          <w:lang w:val="sr-Latn-CS" w:eastAsia="sr-Latn-CS"/>
        </w:rPr>
      </w:pPr>
      <w:r w:rsidRPr="006B0439">
        <w:rPr>
          <w:sz w:val="22"/>
          <w:szCs w:val="22"/>
          <w:lang w:val="sr-Latn-CS" w:eastAsia="sr-Latn-CS"/>
        </w:rPr>
        <w:t>Kada su u pitanju doziranje i na</w:t>
      </w:r>
      <w:r w:rsidRPr="006B0439">
        <w:rPr>
          <w:rFonts w:eastAsia="TimesNewRoman"/>
          <w:sz w:val="22"/>
          <w:szCs w:val="22"/>
          <w:lang w:val="sr-Latn-CS" w:eastAsia="sr-Latn-CS"/>
        </w:rPr>
        <w:t>č</w:t>
      </w:r>
      <w:r w:rsidRPr="006B0439">
        <w:rPr>
          <w:sz w:val="22"/>
          <w:szCs w:val="22"/>
          <w:lang w:val="sr-Latn-CS" w:eastAsia="sr-Latn-CS"/>
        </w:rPr>
        <w:t>in primjene bevacizumaba, treba konsultovati sažetak karakteristika lijeka za bevacizumab.</w:t>
      </w:r>
    </w:p>
    <w:p w:rsidR="00B26150" w:rsidRPr="006B0439" w:rsidRDefault="00B26150" w:rsidP="00B26150">
      <w:pPr>
        <w:autoSpaceDE w:val="0"/>
        <w:autoSpaceDN w:val="0"/>
        <w:adjustRightInd w:val="0"/>
        <w:jc w:val="both"/>
        <w:rPr>
          <w:sz w:val="22"/>
          <w:szCs w:val="22"/>
          <w:lang w:val="sr-Latn-CS" w:eastAsia="sr-Latn-CS"/>
        </w:rPr>
      </w:pPr>
      <w:r w:rsidRPr="006B0439">
        <w:rPr>
          <w:sz w:val="22"/>
          <w:szCs w:val="22"/>
          <w:lang w:val="sr-Latn-CS" w:eastAsia="sr-Latn-CS"/>
        </w:rPr>
        <w:t xml:space="preserve">Kada su u pitanju doziranje i način kombinovane primjene sa kapecitabinom, treba vidjeti </w:t>
      </w:r>
      <w:r w:rsidR="00254A4B" w:rsidRPr="006B0439">
        <w:rPr>
          <w:sz w:val="22"/>
          <w:szCs w:val="22"/>
          <w:lang w:val="sr-Latn-CS" w:eastAsia="sr-Latn-CS"/>
        </w:rPr>
        <w:t xml:space="preserve">dio </w:t>
      </w:r>
      <w:r w:rsidRPr="006B0439">
        <w:rPr>
          <w:sz w:val="22"/>
          <w:szCs w:val="22"/>
          <w:lang w:val="sr-Latn-CS" w:eastAsia="sr-Latn-CS"/>
        </w:rPr>
        <w:t>5.1 i konsultovati</w:t>
      </w:r>
      <w:r w:rsidR="00AE0A6E" w:rsidRPr="006B0439">
        <w:rPr>
          <w:sz w:val="22"/>
          <w:szCs w:val="22"/>
          <w:lang w:val="sr-Latn-CS" w:eastAsia="sr-Latn-CS"/>
        </w:rPr>
        <w:t xml:space="preserve"> odgovarajuće odjeljke</w:t>
      </w:r>
      <w:r w:rsidRPr="006B0439">
        <w:rPr>
          <w:sz w:val="22"/>
          <w:szCs w:val="22"/>
          <w:lang w:val="sr-Latn-CS" w:eastAsia="sr-Latn-CS"/>
        </w:rPr>
        <w:t xml:space="preserve"> </w:t>
      </w:r>
      <w:r w:rsidR="00AE0A6E" w:rsidRPr="006B0439">
        <w:rPr>
          <w:sz w:val="22"/>
          <w:szCs w:val="22"/>
          <w:lang w:val="sr-Latn-CS" w:eastAsia="sr-Latn-CS"/>
        </w:rPr>
        <w:t>S</w:t>
      </w:r>
      <w:r w:rsidRPr="006B0439">
        <w:rPr>
          <w:sz w:val="22"/>
          <w:szCs w:val="22"/>
          <w:lang w:val="sr-Latn-CS" w:eastAsia="sr-Latn-CS"/>
        </w:rPr>
        <w:t>ažet</w:t>
      </w:r>
      <w:r w:rsidR="00AE0A6E" w:rsidRPr="006B0439">
        <w:rPr>
          <w:sz w:val="22"/>
          <w:szCs w:val="22"/>
          <w:lang w:val="sr-Latn-CS" w:eastAsia="sr-Latn-CS"/>
        </w:rPr>
        <w:t>a</w:t>
      </w:r>
      <w:r w:rsidRPr="006B0439">
        <w:rPr>
          <w:sz w:val="22"/>
          <w:szCs w:val="22"/>
          <w:lang w:val="sr-Latn-CS" w:eastAsia="sr-Latn-CS"/>
        </w:rPr>
        <w:t>k karakteristika lijeka za kapecitabin.</w:t>
      </w:r>
    </w:p>
    <w:p w:rsidR="00B26150" w:rsidRPr="006B0439" w:rsidRDefault="00B26150" w:rsidP="00B26150">
      <w:pPr>
        <w:autoSpaceDE w:val="0"/>
        <w:autoSpaceDN w:val="0"/>
        <w:adjustRightInd w:val="0"/>
        <w:jc w:val="both"/>
        <w:rPr>
          <w:sz w:val="22"/>
          <w:szCs w:val="22"/>
          <w:lang w:val="sr-Latn-CS" w:eastAsia="sr-Latn-CS"/>
        </w:rPr>
      </w:pPr>
    </w:p>
    <w:p w:rsidR="00B26150" w:rsidRPr="006B0439" w:rsidRDefault="00B26150" w:rsidP="00B26150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r-Latn-CS" w:eastAsia="sr-Latn-CS"/>
        </w:rPr>
      </w:pPr>
      <w:r w:rsidRPr="006B0439">
        <w:rPr>
          <w:b/>
          <w:bCs/>
          <w:sz w:val="22"/>
          <w:szCs w:val="22"/>
          <w:lang w:val="sr-Latn-CS" w:eastAsia="sr-Latn-CS"/>
        </w:rPr>
        <w:t>Podešavanje doziranja:</w:t>
      </w:r>
    </w:p>
    <w:p w:rsidR="00B26150" w:rsidRPr="006B0439" w:rsidRDefault="00B26150" w:rsidP="00B26150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r-Latn-CS" w:eastAsia="sr-Latn-CS"/>
        </w:rPr>
      </w:pPr>
    </w:p>
    <w:p w:rsidR="00B26150" w:rsidRPr="006B0439" w:rsidRDefault="00AE0A6E" w:rsidP="00B26150">
      <w:pPr>
        <w:autoSpaceDE w:val="0"/>
        <w:autoSpaceDN w:val="0"/>
        <w:adjustRightInd w:val="0"/>
        <w:jc w:val="both"/>
        <w:rPr>
          <w:sz w:val="22"/>
          <w:szCs w:val="22"/>
          <w:lang w:val="sr-Latn-CS" w:eastAsia="sr-Latn-CS"/>
        </w:rPr>
      </w:pPr>
      <w:r w:rsidRPr="006B0439">
        <w:rPr>
          <w:sz w:val="22"/>
          <w:szCs w:val="22"/>
          <w:lang w:val="sr-Latn-CS" w:eastAsia="sr-Latn-CS"/>
        </w:rPr>
        <w:t xml:space="preserve">Lijek </w:t>
      </w:r>
      <w:r w:rsidR="00B26150" w:rsidRPr="006B0439">
        <w:rPr>
          <w:sz w:val="22"/>
          <w:szCs w:val="22"/>
          <w:lang w:val="sr-Latn-CS" w:eastAsia="sr-Latn-CS"/>
        </w:rPr>
        <w:t>IRITEC  treba primjenjivati tek posl</w:t>
      </w:r>
      <w:r w:rsidR="00254A4B" w:rsidRPr="006B0439">
        <w:rPr>
          <w:sz w:val="22"/>
          <w:szCs w:val="22"/>
          <w:lang w:val="sr-Latn-CS" w:eastAsia="sr-Latn-CS"/>
        </w:rPr>
        <w:t>ij</w:t>
      </w:r>
      <w:r w:rsidR="00B26150" w:rsidRPr="006B0439">
        <w:rPr>
          <w:sz w:val="22"/>
          <w:szCs w:val="22"/>
          <w:lang w:val="sr-Latn-CS" w:eastAsia="sr-Latn-CS"/>
        </w:rPr>
        <w:t>e odgovaraju</w:t>
      </w:r>
      <w:r w:rsidR="00B26150" w:rsidRPr="006B0439">
        <w:rPr>
          <w:rFonts w:eastAsia="TimesNewRoman"/>
          <w:sz w:val="22"/>
          <w:szCs w:val="22"/>
          <w:lang w:val="sr-Latn-CS" w:eastAsia="sr-Latn-CS"/>
        </w:rPr>
        <w:t>ć</w:t>
      </w:r>
      <w:r w:rsidR="00B26150" w:rsidRPr="006B0439">
        <w:rPr>
          <w:sz w:val="22"/>
          <w:szCs w:val="22"/>
          <w:lang w:val="sr-Latn-CS" w:eastAsia="sr-Latn-CS"/>
        </w:rPr>
        <w:t>eg oporavka, odnosno posl</w:t>
      </w:r>
      <w:r w:rsidR="00080574" w:rsidRPr="006B0439">
        <w:rPr>
          <w:sz w:val="22"/>
          <w:szCs w:val="22"/>
          <w:lang w:val="sr-Latn-CS" w:eastAsia="sr-Latn-CS"/>
        </w:rPr>
        <w:t>ij</w:t>
      </w:r>
      <w:r w:rsidR="00B26150" w:rsidRPr="006B0439">
        <w:rPr>
          <w:sz w:val="22"/>
          <w:szCs w:val="22"/>
          <w:lang w:val="sr-Latn-CS" w:eastAsia="sr-Latn-CS"/>
        </w:rPr>
        <w:t>e svo</w:t>
      </w:r>
      <w:r w:rsidR="00B26150" w:rsidRPr="006B0439">
        <w:rPr>
          <w:rFonts w:eastAsia="TimesNewRoman"/>
          <w:sz w:val="22"/>
          <w:szCs w:val="22"/>
          <w:lang w:val="sr-Latn-CS" w:eastAsia="sr-Latn-CS"/>
        </w:rPr>
        <w:t>đ</w:t>
      </w:r>
      <w:r w:rsidR="00B26150" w:rsidRPr="006B0439">
        <w:rPr>
          <w:sz w:val="22"/>
          <w:szCs w:val="22"/>
          <w:lang w:val="sr-Latn-CS" w:eastAsia="sr-Latn-CS"/>
        </w:rPr>
        <w:t>enja intenziteta neželjenih dejstava na stepen 0 ili 1, prema NCI-CTC kriterijumima (</w:t>
      </w:r>
      <w:r w:rsidR="00B26150" w:rsidRPr="006B0439">
        <w:rPr>
          <w:i/>
          <w:iCs/>
          <w:sz w:val="22"/>
          <w:szCs w:val="22"/>
          <w:lang w:val="sr-Latn-CS" w:eastAsia="sr-Latn-CS"/>
        </w:rPr>
        <w:t>National Cancer Institute Common Toxicity Criteria</w:t>
      </w:r>
      <w:r w:rsidR="00B26150" w:rsidRPr="006B0439">
        <w:rPr>
          <w:sz w:val="22"/>
          <w:szCs w:val="22"/>
          <w:lang w:val="sr-Latn-CS" w:eastAsia="sr-Latn-CS"/>
        </w:rPr>
        <w:t>), kao i posl</w:t>
      </w:r>
      <w:r w:rsidR="00254A4B" w:rsidRPr="006B0439">
        <w:rPr>
          <w:sz w:val="22"/>
          <w:szCs w:val="22"/>
          <w:lang w:val="sr-Latn-CS" w:eastAsia="sr-Latn-CS"/>
        </w:rPr>
        <w:t>ij</w:t>
      </w:r>
      <w:r w:rsidR="00B26150" w:rsidRPr="006B0439">
        <w:rPr>
          <w:sz w:val="22"/>
          <w:szCs w:val="22"/>
          <w:lang w:val="sr-Latn-CS" w:eastAsia="sr-Latn-CS"/>
        </w:rPr>
        <w:t>e potpunog povla</w:t>
      </w:r>
      <w:r w:rsidR="00B26150" w:rsidRPr="006B0439">
        <w:rPr>
          <w:rFonts w:eastAsia="TimesNewRoman"/>
          <w:sz w:val="22"/>
          <w:szCs w:val="22"/>
          <w:lang w:val="sr-Latn-CS" w:eastAsia="sr-Latn-CS"/>
        </w:rPr>
        <w:t>č</w:t>
      </w:r>
      <w:r w:rsidR="00B26150" w:rsidRPr="006B0439">
        <w:rPr>
          <w:sz w:val="22"/>
          <w:szCs w:val="22"/>
          <w:lang w:val="sr-Latn-CS" w:eastAsia="sr-Latn-CS"/>
        </w:rPr>
        <w:t>enja dijareje izazvane terapijom.</w:t>
      </w:r>
    </w:p>
    <w:p w:rsidR="00B26150" w:rsidRPr="006B0439" w:rsidRDefault="00B26150" w:rsidP="00B26150">
      <w:pPr>
        <w:autoSpaceDE w:val="0"/>
        <w:autoSpaceDN w:val="0"/>
        <w:adjustRightInd w:val="0"/>
        <w:jc w:val="both"/>
        <w:rPr>
          <w:sz w:val="22"/>
          <w:szCs w:val="22"/>
          <w:lang w:val="sr-Latn-CS" w:eastAsia="sr-Latn-CS"/>
        </w:rPr>
      </w:pPr>
      <w:r w:rsidRPr="006B0439">
        <w:rPr>
          <w:sz w:val="22"/>
          <w:szCs w:val="22"/>
          <w:lang w:val="sr-Latn-CS" w:eastAsia="sr-Latn-CS"/>
        </w:rPr>
        <w:t>Kada se zapo</w:t>
      </w:r>
      <w:r w:rsidRPr="006B0439">
        <w:rPr>
          <w:rFonts w:eastAsia="TimesNewRoman"/>
          <w:sz w:val="22"/>
          <w:szCs w:val="22"/>
          <w:lang w:val="sr-Latn-CS" w:eastAsia="sr-Latn-CS"/>
        </w:rPr>
        <w:t>č</w:t>
      </w:r>
      <w:r w:rsidRPr="006B0439">
        <w:rPr>
          <w:sz w:val="22"/>
          <w:szCs w:val="22"/>
          <w:lang w:val="sr-Latn-CS" w:eastAsia="sr-Latn-CS"/>
        </w:rPr>
        <w:t>inje sa novim infuzijama, doza lijeka IRITEC, kao i 5FU (ukoliko se i on koristi u liječenju), treba da se smanji u skladu sa najtežim stepenom neželjenih dejstava koji je primjećen tokom prethodne infuzije. Liječenje treba da se odloži za 1-2 ned</w:t>
      </w:r>
      <w:r w:rsidR="00254A4B" w:rsidRPr="006B0439">
        <w:rPr>
          <w:sz w:val="22"/>
          <w:szCs w:val="22"/>
          <w:lang w:val="sr-Latn-CS" w:eastAsia="sr-Latn-CS"/>
        </w:rPr>
        <w:t>j</w:t>
      </w:r>
      <w:r w:rsidRPr="006B0439">
        <w:rPr>
          <w:sz w:val="22"/>
          <w:szCs w:val="22"/>
          <w:lang w:val="sr-Latn-CS" w:eastAsia="sr-Latn-CS"/>
        </w:rPr>
        <w:t>elje da bi se omogu</w:t>
      </w:r>
      <w:r w:rsidRPr="006B0439">
        <w:rPr>
          <w:rFonts w:eastAsia="TimesNewRoman"/>
          <w:sz w:val="22"/>
          <w:szCs w:val="22"/>
          <w:lang w:val="sr-Latn-CS" w:eastAsia="sr-Latn-CS"/>
        </w:rPr>
        <w:t>ć</w:t>
      </w:r>
      <w:r w:rsidRPr="006B0439">
        <w:rPr>
          <w:sz w:val="22"/>
          <w:szCs w:val="22"/>
          <w:lang w:val="sr-Latn-CS" w:eastAsia="sr-Latn-CS"/>
        </w:rPr>
        <w:t>io oporavak od neželjenih dejstava izazvanih terapijom.</w:t>
      </w:r>
    </w:p>
    <w:p w:rsidR="00B26150" w:rsidRPr="006B0439" w:rsidRDefault="00B26150" w:rsidP="00B26150">
      <w:pPr>
        <w:autoSpaceDE w:val="0"/>
        <w:autoSpaceDN w:val="0"/>
        <w:adjustRightInd w:val="0"/>
        <w:jc w:val="both"/>
        <w:rPr>
          <w:sz w:val="22"/>
          <w:szCs w:val="22"/>
          <w:lang w:val="sr-Latn-CS" w:eastAsia="sr-Latn-CS"/>
        </w:rPr>
      </w:pPr>
      <w:r w:rsidRPr="006B0439">
        <w:rPr>
          <w:sz w:val="22"/>
          <w:szCs w:val="22"/>
          <w:lang w:val="sr-Latn-CS" w:eastAsia="sr-Latn-CS"/>
        </w:rPr>
        <w:t>Pri pojavi sl</w:t>
      </w:r>
      <w:r w:rsidR="00254A4B" w:rsidRPr="006B0439">
        <w:rPr>
          <w:sz w:val="22"/>
          <w:szCs w:val="22"/>
          <w:lang w:val="sr-Latn-CS" w:eastAsia="sr-Latn-CS"/>
        </w:rPr>
        <w:t>j</w:t>
      </w:r>
      <w:r w:rsidRPr="006B0439">
        <w:rPr>
          <w:sz w:val="22"/>
          <w:szCs w:val="22"/>
          <w:lang w:val="sr-Latn-CS" w:eastAsia="sr-Latn-CS"/>
        </w:rPr>
        <w:t>ede</w:t>
      </w:r>
      <w:r w:rsidRPr="006B0439">
        <w:rPr>
          <w:rFonts w:eastAsia="TimesNewRoman"/>
          <w:sz w:val="22"/>
          <w:szCs w:val="22"/>
          <w:lang w:val="sr-Latn-CS" w:eastAsia="sr-Latn-CS"/>
        </w:rPr>
        <w:t>ć</w:t>
      </w:r>
      <w:r w:rsidRPr="006B0439">
        <w:rPr>
          <w:sz w:val="22"/>
          <w:szCs w:val="22"/>
          <w:lang w:val="sr-Latn-CS" w:eastAsia="sr-Latn-CS"/>
        </w:rPr>
        <w:t>ih neželjenih dejstava, doze lijekova IRITEC, kao i 5FU, (ukoliko se primjenjuje) treba smanjiti za 15-20%:</w:t>
      </w:r>
    </w:p>
    <w:p w:rsidR="00B26150" w:rsidRPr="006B0439" w:rsidRDefault="00B26150" w:rsidP="00B26150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sz w:val="22"/>
          <w:szCs w:val="22"/>
          <w:lang w:val="sr-Latn-CS" w:eastAsia="sr-Latn-CS"/>
        </w:rPr>
      </w:pPr>
      <w:r w:rsidRPr="006B0439">
        <w:rPr>
          <w:sz w:val="22"/>
          <w:szCs w:val="22"/>
          <w:lang w:val="sr-Latn-CS" w:eastAsia="sr-Latn-CS"/>
        </w:rPr>
        <w:t>hematološka toksi</w:t>
      </w:r>
      <w:r w:rsidRPr="006B0439">
        <w:rPr>
          <w:rFonts w:eastAsia="TimesNewRoman"/>
          <w:sz w:val="22"/>
          <w:szCs w:val="22"/>
          <w:lang w:val="sr-Latn-CS" w:eastAsia="sr-Latn-CS"/>
        </w:rPr>
        <w:t>č</w:t>
      </w:r>
      <w:r w:rsidRPr="006B0439">
        <w:rPr>
          <w:sz w:val="22"/>
          <w:szCs w:val="22"/>
          <w:lang w:val="sr-Latn-CS" w:eastAsia="sr-Latn-CS"/>
        </w:rPr>
        <w:t>nost (neutropenija 4. stepena, febrilna neutropenija (neutropenija 3-4. stepena i povišena</w:t>
      </w:r>
      <w:r w:rsidR="00AE0A6E" w:rsidRPr="006B0439">
        <w:rPr>
          <w:sz w:val="22"/>
          <w:szCs w:val="22"/>
          <w:lang w:val="sr-Latn-CS" w:eastAsia="sr-Latn-CS"/>
        </w:rPr>
        <w:t xml:space="preserve"> tjelesna</w:t>
      </w:r>
      <w:r w:rsidRPr="006B0439">
        <w:rPr>
          <w:sz w:val="22"/>
          <w:szCs w:val="22"/>
          <w:lang w:val="sr-Latn-CS" w:eastAsia="sr-Latn-CS"/>
        </w:rPr>
        <w:t xml:space="preserve"> temperatura 2-4. stepena), trombocitopenija i leukopenija (4. stepena)).</w:t>
      </w:r>
    </w:p>
    <w:p w:rsidR="00B26150" w:rsidRPr="006B0439" w:rsidRDefault="00B26150" w:rsidP="00B26150">
      <w:pPr>
        <w:pStyle w:val="Header"/>
        <w:numPr>
          <w:ilvl w:val="0"/>
          <w:numId w:val="13"/>
        </w:numPr>
        <w:tabs>
          <w:tab w:val="clear" w:pos="4320"/>
          <w:tab w:val="clear" w:pos="8640"/>
          <w:tab w:val="left" w:pos="284"/>
        </w:tabs>
        <w:jc w:val="both"/>
        <w:rPr>
          <w:sz w:val="22"/>
          <w:szCs w:val="22"/>
          <w:lang w:val="sr-Latn-CS" w:eastAsia="sr-Latn-CS"/>
        </w:rPr>
      </w:pPr>
      <w:r w:rsidRPr="006B0439">
        <w:rPr>
          <w:sz w:val="22"/>
          <w:szCs w:val="22"/>
          <w:lang w:val="sr-Latn-CS" w:eastAsia="sr-Latn-CS"/>
        </w:rPr>
        <w:t>nehematološka toksi</w:t>
      </w:r>
      <w:r w:rsidRPr="006B0439">
        <w:rPr>
          <w:rFonts w:eastAsia="TimesNewRoman"/>
          <w:sz w:val="22"/>
          <w:szCs w:val="22"/>
          <w:lang w:val="sr-Latn-CS" w:eastAsia="sr-Latn-CS"/>
        </w:rPr>
        <w:t>č</w:t>
      </w:r>
      <w:r w:rsidRPr="006B0439">
        <w:rPr>
          <w:sz w:val="22"/>
          <w:szCs w:val="22"/>
          <w:lang w:val="sr-Latn-CS" w:eastAsia="sr-Latn-CS"/>
        </w:rPr>
        <w:t>nost (3-4. stepena).</w:t>
      </w:r>
    </w:p>
    <w:p w:rsidR="00B26150" w:rsidRPr="006B0439" w:rsidRDefault="00B26150" w:rsidP="00B26150">
      <w:pPr>
        <w:autoSpaceDE w:val="0"/>
        <w:autoSpaceDN w:val="0"/>
        <w:adjustRightInd w:val="0"/>
        <w:jc w:val="both"/>
        <w:rPr>
          <w:sz w:val="22"/>
          <w:szCs w:val="22"/>
          <w:lang w:val="sr-Latn-CS" w:eastAsia="sr-Latn-CS"/>
        </w:rPr>
      </w:pPr>
      <w:r w:rsidRPr="006B0439">
        <w:rPr>
          <w:sz w:val="22"/>
          <w:szCs w:val="22"/>
          <w:lang w:val="sr-Latn-CS" w:eastAsia="sr-Latn-CS"/>
        </w:rPr>
        <w:t>Preporuke za podešavanje doze cetuksimaba, kada se daje u kombinaciji sa irinotekanom, treba da odgovaraju smjernicama iz prate</w:t>
      </w:r>
      <w:r w:rsidRPr="006B0439">
        <w:rPr>
          <w:rFonts w:eastAsia="TimesNewRoman"/>
          <w:sz w:val="22"/>
          <w:szCs w:val="22"/>
          <w:lang w:val="sr-Latn-CS" w:eastAsia="sr-Latn-CS"/>
        </w:rPr>
        <w:t>ć</w:t>
      </w:r>
      <w:r w:rsidRPr="006B0439">
        <w:rPr>
          <w:sz w:val="22"/>
          <w:szCs w:val="22"/>
          <w:lang w:val="sr-Latn-CS" w:eastAsia="sr-Latn-CS"/>
        </w:rPr>
        <w:t>e dokumentacije za cetuksimab.</w:t>
      </w:r>
    </w:p>
    <w:p w:rsidR="00B26150" w:rsidRPr="006B0439" w:rsidRDefault="00B26150" w:rsidP="00B26150">
      <w:pPr>
        <w:jc w:val="both"/>
        <w:rPr>
          <w:sz w:val="22"/>
          <w:szCs w:val="22"/>
          <w:lang w:val="sr-Latn-CS" w:eastAsia="sr-Latn-CS"/>
        </w:rPr>
      </w:pPr>
      <w:r w:rsidRPr="006B0439">
        <w:rPr>
          <w:sz w:val="22"/>
          <w:szCs w:val="22"/>
          <w:lang w:val="sr-Latn-CS" w:eastAsia="sr-Latn-CS"/>
        </w:rPr>
        <w:t>U kombinaciji sa kapecitabinom kod pacijenta starosti 65 godina i više, redukcija početne doze kapecitabina se preporučuje na 800 mg/m</w:t>
      </w:r>
      <w:r w:rsidRPr="006B0439">
        <w:rPr>
          <w:sz w:val="22"/>
          <w:szCs w:val="22"/>
          <w:vertAlign w:val="superscript"/>
          <w:lang w:val="sr-Latn-CS" w:eastAsia="sr-Latn-CS"/>
        </w:rPr>
        <w:t>2</w:t>
      </w:r>
      <w:r w:rsidRPr="006B0439">
        <w:rPr>
          <w:sz w:val="22"/>
          <w:szCs w:val="22"/>
          <w:lang w:val="sr-Latn-CS" w:eastAsia="sr-Latn-CS"/>
        </w:rPr>
        <w:t xml:space="preserve"> dva puta na dan u skladu sa sažetkom karakteristika lijeka za kapecitabin. Za podešavanje doze kapecitabina, ukoliko se on primjenjuje u kombinovanoj terapiji, treba konsultovati sažetak karakteristika lijeka za kapecitabin.</w:t>
      </w:r>
    </w:p>
    <w:p w:rsidR="00B26150" w:rsidRPr="006B0439" w:rsidRDefault="00B26150" w:rsidP="00B26150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r-Latn-CS" w:eastAsia="sr-Latn-CS"/>
        </w:rPr>
      </w:pPr>
      <w:r w:rsidRPr="006B0439">
        <w:rPr>
          <w:b/>
          <w:bCs/>
          <w:sz w:val="22"/>
          <w:szCs w:val="22"/>
          <w:lang w:val="sr-Latn-CS" w:eastAsia="sr-Latn-CS"/>
        </w:rPr>
        <w:lastRenderedPageBreak/>
        <w:t>Trajanje liječenja:</w:t>
      </w:r>
    </w:p>
    <w:p w:rsidR="00B26150" w:rsidRPr="006B0439" w:rsidRDefault="00B26150" w:rsidP="00B26150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r-Latn-CS" w:eastAsia="sr-Latn-CS"/>
        </w:rPr>
      </w:pPr>
    </w:p>
    <w:p w:rsidR="00B26150" w:rsidRPr="006B0439" w:rsidRDefault="00B26150" w:rsidP="00B26150">
      <w:pPr>
        <w:autoSpaceDE w:val="0"/>
        <w:autoSpaceDN w:val="0"/>
        <w:adjustRightInd w:val="0"/>
        <w:jc w:val="both"/>
        <w:rPr>
          <w:sz w:val="22"/>
          <w:szCs w:val="22"/>
          <w:lang w:val="sr-Latn-CS" w:eastAsia="sr-Latn-CS"/>
        </w:rPr>
      </w:pPr>
      <w:r w:rsidRPr="006B0439">
        <w:rPr>
          <w:sz w:val="22"/>
          <w:szCs w:val="22"/>
          <w:lang w:val="sr-Latn-CS" w:eastAsia="sr-Latn-CS"/>
        </w:rPr>
        <w:t>Liječenje lijekom IRITEC  treba nastaviti sve dok ne do</w:t>
      </w:r>
      <w:r w:rsidRPr="006B0439">
        <w:rPr>
          <w:rFonts w:eastAsia="TimesNewRoman"/>
          <w:sz w:val="22"/>
          <w:szCs w:val="22"/>
          <w:lang w:val="sr-Latn-CS" w:eastAsia="sr-Latn-CS"/>
        </w:rPr>
        <w:t>đ</w:t>
      </w:r>
      <w:r w:rsidRPr="006B0439">
        <w:rPr>
          <w:sz w:val="22"/>
          <w:szCs w:val="22"/>
          <w:lang w:val="sr-Latn-CS" w:eastAsia="sr-Latn-CS"/>
        </w:rPr>
        <w:t>e do objektivne progresije bolesti ili neprihvatljive toksi</w:t>
      </w:r>
      <w:r w:rsidRPr="006B0439">
        <w:rPr>
          <w:rFonts w:eastAsia="TimesNewRoman"/>
          <w:sz w:val="22"/>
          <w:szCs w:val="22"/>
          <w:lang w:val="sr-Latn-CS" w:eastAsia="sr-Latn-CS"/>
        </w:rPr>
        <w:t>č</w:t>
      </w:r>
      <w:r w:rsidRPr="006B0439">
        <w:rPr>
          <w:sz w:val="22"/>
          <w:szCs w:val="22"/>
          <w:lang w:val="sr-Latn-CS" w:eastAsia="sr-Latn-CS"/>
        </w:rPr>
        <w:t>nosti.</w:t>
      </w:r>
    </w:p>
    <w:p w:rsidR="00B26150" w:rsidRPr="006B0439" w:rsidRDefault="00B26150" w:rsidP="00B26150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r-Latn-CS" w:eastAsia="sr-Latn-CS"/>
        </w:rPr>
      </w:pPr>
    </w:p>
    <w:p w:rsidR="00B26150" w:rsidRPr="006B0439" w:rsidRDefault="00B26150" w:rsidP="00B26150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r-Latn-CS" w:eastAsia="sr-Latn-CS"/>
        </w:rPr>
      </w:pPr>
      <w:r w:rsidRPr="006B0439">
        <w:rPr>
          <w:b/>
          <w:bCs/>
          <w:sz w:val="22"/>
          <w:szCs w:val="22"/>
          <w:lang w:val="sr-Latn-CS" w:eastAsia="sr-Latn-CS"/>
        </w:rPr>
        <w:t>Posebne populacije pacijenata:</w:t>
      </w:r>
    </w:p>
    <w:p w:rsidR="00B26150" w:rsidRPr="006B0439" w:rsidRDefault="00B26150" w:rsidP="00B26150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r-Latn-CS" w:eastAsia="sr-Latn-CS"/>
        </w:rPr>
      </w:pPr>
    </w:p>
    <w:p w:rsidR="00B26150" w:rsidRPr="006B0439" w:rsidRDefault="00B26150" w:rsidP="00B26150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r-Latn-CS" w:eastAsia="sr-Latn-CS"/>
        </w:rPr>
      </w:pPr>
      <w:r w:rsidRPr="006B0439">
        <w:rPr>
          <w:b/>
          <w:bCs/>
          <w:sz w:val="22"/>
          <w:szCs w:val="22"/>
          <w:lang w:val="sr-Latn-CS" w:eastAsia="sr-Latn-CS"/>
        </w:rPr>
        <w:t>Pacijenti sa ošte</w:t>
      </w:r>
      <w:r w:rsidRPr="006B0439">
        <w:rPr>
          <w:rFonts w:eastAsia="TimesNewRoman,Bold"/>
          <w:b/>
          <w:bCs/>
          <w:sz w:val="22"/>
          <w:szCs w:val="22"/>
          <w:lang w:val="sr-Latn-CS" w:eastAsia="sr-Latn-CS"/>
        </w:rPr>
        <w:t>ć</w:t>
      </w:r>
      <w:r w:rsidRPr="006B0439">
        <w:rPr>
          <w:b/>
          <w:bCs/>
          <w:sz w:val="22"/>
          <w:szCs w:val="22"/>
          <w:lang w:val="sr-Latn-CS" w:eastAsia="sr-Latn-CS"/>
        </w:rPr>
        <w:t xml:space="preserve">enom funkcijom jetre: </w:t>
      </w:r>
    </w:p>
    <w:p w:rsidR="00B26150" w:rsidRPr="006B0439" w:rsidRDefault="00B26150" w:rsidP="00B26150">
      <w:pPr>
        <w:autoSpaceDE w:val="0"/>
        <w:autoSpaceDN w:val="0"/>
        <w:adjustRightInd w:val="0"/>
        <w:jc w:val="both"/>
        <w:rPr>
          <w:sz w:val="22"/>
          <w:szCs w:val="22"/>
          <w:lang w:val="sr-Latn-CS" w:eastAsia="sr-Latn-CS"/>
        </w:rPr>
      </w:pPr>
      <w:r w:rsidRPr="006B0439">
        <w:rPr>
          <w:sz w:val="22"/>
          <w:szCs w:val="22"/>
          <w:lang w:val="sr-Latn-CS" w:eastAsia="sr-Latn-CS"/>
        </w:rPr>
        <w:t>U monoterapiji: Kod pacijenata sa funkcionalnim statusom ≤ 2 i vrijednostima nivoa bilirubina u krvi koje nisu više od 3 puta od gornje granice normalnih vrijednosti, po</w:t>
      </w:r>
      <w:r w:rsidRPr="006B0439">
        <w:rPr>
          <w:rFonts w:eastAsia="TimesNewRoman"/>
          <w:sz w:val="22"/>
          <w:szCs w:val="22"/>
          <w:lang w:val="sr-Latn-CS" w:eastAsia="sr-Latn-CS"/>
        </w:rPr>
        <w:t>č</w:t>
      </w:r>
      <w:r w:rsidRPr="006B0439">
        <w:rPr>
          <w:sz w:val="22"/>
          <w:szCs w:val="22"/>
          <w:lang w:val="sr-Latn-CS" w:eastAsia="sr-Latn-CS"/>
        </w:rPr>
        <w:t>etna doza lijeka IRITEC treba da se odredi na osnovu nivoa bilirubina u krvi. Kod takvih pacijenata sa hiperbilirubinemijom i protrombinskim vremenom ve</w:t>
      </w:r>
      <w:r w:rsidRPr="006B0439">
        <w:rPr>
          <w:rFonts w:eastAsia="TimesNewRoman"/>
          <w:sz w:val="22"/>
          <w:szCs w:val="22"/>
          <w:lang w:val="sr-Latn-CS" w:eastAsia="sr-Latn-CS"/>
        </w:rPr>
        <w:t>ć</w:t>
      </w:r>
      <w:r w:rsidRPr="006B0439">
        <w:rPr>
          <w:sz w:val="22"/>
          <w:szCs w:val="22"/>
          <w:lang w:val="sr-Latn-CS" w:eastAsia="sr-Latn-CS"/>
        </w:rPr>
        <w:t xml:space="preserve">im od 50%, klirens irinotekana je smanjen (vidjeti </w:t>
      </w:r>
      <w:r w:rsidR="00254A4B" w:rsidRPr="006B0439">
        <w:rPr>
          <w:sz w:val="22"/>
          <w:szCs w:val="22"/>
          <w:lang w:val="sr-Latn-CS" w:eastAsia="sr-Latn-CS"/>
        </w:rPr>
        <w:t xml:space="preserve">dio </w:t>
      </w:r>
      <w:r w:rsidRPr="006B0439">
        <w:rPr>
          <w:sz w:val="22"/>
          <w:szCs w:val="22"/>
          <w:lang w:val="sr-Latn-CS" w:eastAsia="sr-Latn-CS"/>
        </w:rPr>
        <w:t xml:space="preserve">5.2), </w:t>
      </w:r>
      <w:r w:rsidR="00AE0A6E" w:rsidRPr="006B0439">
        <w:rPr>
          <w:sz w:val="22"/>
          <w:szCs w:val="22"/>
          <w:lang w:val="sr-Latn-CS" w:eastAsia="sr-Latn-CS"/>
        </w:rPr>
        <w:t xml:space="preserve">i stoga je povećan </w:t>
      </w:r>
      <w:r w:rsidRPr="006B0439">
        <w:rPr>
          <w:sz w:val="22"/>
          <w:szCs w:val="22"/>
          <w:lang w:val="sr-Latn-CS" w:eastAsia="sr-Latn-CS"/>
        </w:rPr>
        <w:t xml:space="preserve"> rizik od hematotoksi</w:t>
      </w:r>
      <w:r w:rsidRPr="006B0439">
        <w:rPr>
          <w:rFonts w:eastAsia="TimesNewRoman"/>
          <w:sz w:val="22"/>
          <w:szCs w:val="22"/>
          <w:lang w:val="sr-Latn-CS" w:eastAsia="sr-Latn-CS"/>
        </w:rPr>
        <w:t>č</w:t>
      </w:r>
      <w:r w:rsidRPr="006B0439">
        <w:rPr>
          <w:sz w:val="22"/>
          <w:szCs w:val="22"/>
          <w:lang w:val="sr-Latn-CS" w:eastAsia="sr-Latn-CS"/>
        </w:rPr>
        <w:t>nosti . Stoga, kod ovih pacijenata treba svake ned</w:t>
      </w:r>
      <w:r w:rsidR="00254A4B" w:rsidRPr="006B0439">
        <w:rPr>
          <w:sz w:val="22"/>
          <w:szCs w:val="22"/>
          <w:lang w:val="sr-Latn-CS" w:eastAsia="sr-Latn-CS"/>
        </w:rPr>
        <w:t>j</w:t>
      </w:r>
      <w:r w:rsidRPr="006B0439">
        <w:rPr>
          <w:sz w:val="22"/>
          <w:szCs w:val="22"/>
          <w:lang w:val="sr-Latn-CS" w:eastAsia="sr-Latn-CS"/>
        </w:rPr>
        <w:t xml:space="preserve">elje redovno </w:t>
      </w:r>
      <w:r w:rsidR="00520AF9" w:rsidRPr="006B0439">
        <w:rPr>
          <w:sz w:val="22"/>
          <w:szCs w:val="22"/>
          <w:lang w:val="sr-Latn-CS" w:eastAsia="sr-Latn-CS"/>
        </w:rPr>
        <w:t>kontrolisati kompletnu</w:t>
      </w:r>
      <w:r w:rsidRPr="006B0439">
        <w:rPr>
          <w:sz w:val="22"/>
          <w:szCs w:val="22"/>
          <w:lang w:val="sr-Latn-CS" w:eastAsia="sr-Latn-CS"/>
        </w:rPr>
        <w:t xml:space="preserve"> krvnu sliku.</w:t>
      </w:r>
    </w:p>
    <w:p w:rsidR="00B26150" w:rsidRPr="006B0439" w:rsidRDefault="00B26150" w:rsidP="00B26150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sz w:val="22"/>
          <w:szCs w:val="22"/>
          <w:lang w:val="sr-Latn-CS" w:eastAsia="sr-Latn-CS"/>
        </w:rPr>
      </w:pPr>
      <w:r w:rsidRPr="006B0439">
        <w:rPr>
          <w:sz w:val="22"/>
          <w:szCs w:val="22"/>
          <w:lang w:val="sr-Latn-CS" w:eastAsia="sr-Latn-CS"/>
        </w:rPr>
        <w:t>Kod pacijenata sa nivoima bilirubina koji su do 1,5 puta ve</w:t>
      </w:r>
      <w:r w:rsidRPr="006B0439">
        <w:rPr>
          <w:rFonts w:eastAsia="TimesNewRoman"/>
          <w:sz w:val="22"/>
          <w:szCs w:val="22"/>
          <w:lang w:val="sr-Latn-CS" w:eastAsia="sr-Latn-CS"/>
        </w:rPr>
        <w:t>ć</w:t>
      </w:r>
      <w:r w:rsidRPr="006B0439">
        <w:rPr>
          <w:sz w:val="22"/>
          <w:szCs w:val="22"/>
          <w:lang w:val="sr-Latn-CS" w:eastAsia="sr-Latn-CS"/>
        </w:rPr>
        <w:t>i od gornje granice normalnih vrijednosti, preporu</w:t>
      </w:r>
      <w:r w:rsidRPr="006B0439">
        <w:rPr>
          <w:rFonts w:eastAsia="TimesNewRoman"/>
          <w:sz w:val="22"/>
          <w:szCs w:val="22"/>
          <w:lang w:val="sr-Latn-CS" w:eastAsia="sr-Latn-CS"/>
        </w:rPr>
        <w:t>č</w:t>
      </w:r>
      <w:r w:rsidRPr="006B0439">
        <w:rPr>
          <w:sz w:val="22"/>
          <w:szCs w:val="22"/>
          <w:lang w:val="sr-Latn-CS" w:eastAsia="sr-Latn-CS"/>
        </w:rPr>
        <w:t>ena doza lijeka IRITEC iznosi 350 mg/m</w:t>
      </w:r>
      <w:r w:rsidRPr="006B0439">
        <w:rPr>
          <w:sz w:val="22"/>
          <w:szCs w:val="22"/>
          <w:vertAlign w:val="superscript"/>
          <w:lang w:val="sr-Latn-CS" w:eastAsia="sr-Latn-CS"/>
        </w:rPr>
        <w:t>2</w:t>
      </w:r>
      <w:r w:rsidRPr="006B0439">
        <w:rPr>
          <w:sz w:val="22"/>
          <w:szCs w:val="22"/>
          <w:lang w:val="sr-Latn-CS" w:eastAsia="sr-Latn-CS"/>
        </w:rPr>
        <w:t>.</w:t>
      </w:r>
    </w:p>
    <w:p w:rsidR="00B26150" w:rsidRPr="006B0439" w:rsidRDefault="00B26150" w:rsidP="00B26150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sz w:val="22"/>
          <w:szCs w:val="22"/>
          <w:lang w:val="sr-Latn-CS" w:eastAsia="sr-Latn-CS"/>
        </w:rPr>
      </w:pPr>
      <w:r w:rsidRPr="006B0439">
        <w:rPr>
          <w:sz w:val="22"/>
          <w:szCs w:val="22"/>
          <w:lang w:val="sr-Latn-CS" w:eastAsia="sr-Latn-CS"/>
        </w:rPr>
        <w:t>Kod pacijenata sa nivoima bilirubina koji su 1,5-3 puta ve</w:t>
      </w:r>
      <w:r w:rsidRPr="006B0439">
        <w:rPr>
          <w:rFonts w:eastAsia="TimesNewRoman"/>
          <w:sz w:val="22"/>
          <w:szCs w:val="22"/>
          <w:lang w:val="sr-Latn-CS" w:eastAsia="sr-Latn-CS"/>
        </w:rPr>
        <w:t>ć</w:t>
      </w:r>
      <w:r w:rsidRPr="006B0439">
        <w:rPr>
          <w:sz w:val="22"/>
          <w:szCs w:val="22"/>
          <w:lang w:val="sr-Latn-CS" w:eastAsia="sr-Latn-CS"/>
        </w:rPr>
        <w:t>i od gornje granice normalnih vrijednosti, preporu</w:t>
      </w:r>
      <w:r w:rsidRPr="006B0439">
        <w:rPr>
          <w:rFonts w:eastAsia="TimesNewRoman"/>
          <w:sz w:val="22"/>
          <w:szCs w:val="22"/>
          <w:lang w:val="sr-Latn-CS" w:eastAsia="sr-Latn-CS"/>
        </w:rPr>
        <w:t>č</w:t>
      </w:r>
      <w:r w:rsidRPr="006B0439">
        <w:rPr>
          <w:sz w:val="22"/>
          <w:szCs w:val="22"/>
          <w:lang w:val="sr-Latn-CS" w:eastAsia="sr-Latn-CS"/>
        </w:rPr>
        <w:t>ena doza lijeka IRITEC iznosi 200 mg/m</w:t>
      </w:r>
      <w:r w:rsidRPr="006B0439">
        <w:rPr>
          <w:sz w:val="22"/>
          <w:szCs w:val="22"/>
          <w:vertAlign w:val="superscript"/>
          <w:lang w:val="sr-Latn-CS" w:eastAsia="sr-Latn-CS"/>
        </w:rPr>
        <w:t>2</w:t>
      </w:r>
      <w:r w:rsidRPr="006B0439">
        <w:rPr>
          <w:sz w:val="22"/>
          <w:szCs w:val="22"/>
          <w:lang w:val="sr-Latn-CS" w:eastAsia="sr-Latn-CS"/>
        </w:rPr>
        <w:t>.</w:t>
      </w:r>
    </w:p>
    <w:p w:rsidR="00B26150" w:rsidRPr="006B0439" w:rsidRDefault="00B26150" w:rsidP="00B26150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sz w:val="22"/>
          <w:szCs w:val="22"/>
          <w:lang w:val="sr-Latn-CS" w:eastAsia="sr-Latn-CS"/>
        </w:rPr>
      </w:pPr>
      <w:r w:rsidRPr="006B0439">
        <w:rPr>
          <w:sz w:val="22"/>
          <w:szCs w:val="22"/>
          <w:lang w:val="sr-Latn-CS" w:eastAsia="sr-Latn-CS"/>
        </w:rPr>
        <w:t xml:space="preserve">Pacijenti </w:t>
      </w:r>
      <w:r w:rsidRPr="006B0439">
        <w:rPr>
          <w:rFonts w:eastAsia="TimesNewRoman"/>
          <w:sz w:val="22"/>
          <w:szCs w:val="22"/>
          <w:lang w:val="sr-Latn-CS" w:eastAsia="sr-Latn-CS"/>
        </w:rPr>
        <w:t>č</w:t>
      </w:r>
      <w:r w:rsidRPr="006B0439">
        <w:rPr>
          <w:sz w:val="22"/>
          <w:szCs w:val="22"/>
          <w:lang w:val="sr-Latn-CS" w:eastAsia="sr-Latn-CS"/>
        </w:rPr>
        <w:t>iji nivoi bilirubina prelaze više od 3 puta od gornje granice normalnih vrijednosti ne bi trebalo lije</w:t>
      </w:r>
      <w:r w:rsidRPr="006B0439">
        <w:rPr>
          <w:rFonts w:eastAsia="TimesNewRoman"/>
          <w:sz w:val="22"/>
          <w:szCs w:val="22"/>
          <w:lang w:val="sr-Latn-CS" w:eastAsia="sr-Latn-CS"/>
        </w:rPr>
        <w:t>č</w:t>
      </w:r>
      <w:r w:rsidRPr="006B0439">
        <w:rPr>
          <w:sz w:val="22"/>
          <w:szCs w:val="22"/>
          <w:lang w:val="sr-Latn-CS" w:eastAsia="sr-Latn-CS"/>
        </w:rPr>
        <w:t xml:space="preserve">iti lijekom IRITEC (vidjeti </w:t>
      </w:r>
      <w:r w:rsidR="002750EB" w:rsidRPr="006B0439">
        <w:rPr>
          <w:sz w:val="22"/>
          <w:szCs w:val="22"/>
          <w:lang w:val="sr-Latn-CS" w:eastAsia="sr-Latn-CS"/>
        </w:rPr>
        <w:t xml:space="preserve">dijelove </w:t>
      </w:r>
      <w:r w:rsidRPr="006B0439">
        <w:rPr>
          <w:sz w:val="22"/>
          <w:szCs w:val="22"/>
          <w:lang w:val="sr-Latn-CS" w:eastAsia="sr-Latn-CS"/>
        </w:rPr>
        <w:t>4.3 i 4.4).</w:t>
      </w:r>
    </w:p>
    <w:p w:rsidR="00B26150" w:rsidRPr="006B0439" w:rsidRDefault="00B26150" w:rsidP="00B26150">
      <w:pPr>
        <w:autoSpaceDE w:val="0"/>
        <w:autoSpaceDN w:val="0"/>
        <w:adjustRightInd w:val="0"/>
        <w:jc w:val="both"/>
        <w:rPr>
          <w:sz w:val="22"/>
          <w:szCs w:val="22"/>
          <w:lang w:val="sr-Latn-CS" w:eastAsia="sr-Latn-CS"/>
        </w:rPr>
      </w:pPr>
      <w:r w:rsidRPr="006B0439">
        <w:rPr>
          <w:sz w:val="22"/>
          <w:szCs w:val="22"/>
          <w:lang w:val="sr-Latn-CS" w:eastAsia="sr-Latn-CS"/>
        </w:rPr>
        <w:t>Nema podataka o liječenju pacijenata sa insuficijencijom jetre lijekom IRITEC u kombinaciji sa drugim ljekovima.</w:t>
      </w:r>
    </w:p>
    <w:p w:rsidR="00B26150" w:rsidRPr="006B0439" w:rsidRDefault="00B26150" w:rsidP="00B26150">
      <w:pPr>
        <w:autoSpaceDE w:val="0"/>
        <w:autoSpaceDN w:val="0"/>
        <w:adjustRightInd w:val="0"/>
        <w:jc w:val="both"/>
        <w:rPr>
          <w:sz w:val="22"/>
          <w:szCs w:val="22"/>
          <w:lang w:val="sr-Latn-CS" w:eastAsia="sr-Latn-CS"/>
        </w:rPr>
      </w:pPr>
    </w:p>
    <w:p w:rsidR="00B26150" w:rsidRPr="006B0439" w:rsidRDefault="00B26150" w:rsidP="00B26150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r-Latn-CS" w:eastAsia="sr-Latn-CS"/>
        </w:rPr>
      </w:pPr>
      <w:r w:rsidRPr="006B0439">
        <w:rPr>
          <w:b/>
          <w:bCs/>
          <w:sz w:val="22"/>
          <w:szCs w:val="22"/>
          <w:lang w:val="sr-Latn-CS" w:eastAsia="sr-Latn-CS"/>
        </w:rPr>
        <w:t>Pacijenti sa ošte</w:t>
      </w:r>
      <w:r w:rsidRPr="006B0439">
        <w:rPr>
          <w:rFonts w:eastAsia="TimesNewRoman,Bold"/>
          <w:b/>
          <w:bCs/>
          <w:sz w:val="22"/>
          <w:szCs w:val="22"/>
          <w:lang w:val="sr-Latn-CS" w:eastAsia="sr-Latn-CS"/>
        </w:rPr>
        <w:t>ć</w:t>
      </w:r>
      <w:r w:rsidRPr="006B0439">
        <w:rPr>
          <w:b/>
          <w:bCs/>
          <w:sz w:val="22"/>
          <w:szCs w:val="22"/>
          <w:lang w:val="sr-Latn-CS" w:eastAsia="sr-Latn-CS"/>
        </w:rPr>
        <w:t xml:space="preserve">enom funkcijom bubrega: </w:t>
      </w:r>
    </w:p>
    <w:p w:rsidR="00B26150" w:rsidRPr="006B0439" w:rsidRDefault="00B26150" w:rsidP="00B26150">
      <w:pPr>
        <w:autoSpaceDE w:val="0"/>
        <w:autoSpaceDN w:val="0"/>
        <w:adjustRightInd w:val="0"/>
        <w:jc w:val="both"/>
        <w:rPr>
          <w:sz w:val="22"/>
          <w:szCs w:val="22"/>
          <w:lang w:val="sr-Latn-CS" w:eastAsia="sr-Latn-CS"/>
        </w:rPr>
      </w:pPr>
      <w:r w:rsidRPr="006B0439">
        <w:rPr>
          <w:sz w:val="22"/>
          <w:szCs w:val="22"/>
          <w:lang w:val="sr-Latn-CS" w:eastAsia="sr-Latn-CS"/>
        </w:rPr>
        <w:t>IRITEC se ne preporu</w:t>
      </w:r>
      <w:r w:rsidRPr="006B0439">
        <w:rPr>
          <w:rFonts w:eastAsia="TimesNewRoman"/>
          <w:sz w:val="22"/>
          <w:szCs w:val="22"/>
          <w:lang w:val="sr-Latn-CS" w:eastAsia="sr-Latn-CS"/>
        </w:rPr>
        <w:t>č</w:t>
      </w:r>
      <w:r w:rsidRPr="006B0439">
        <w:rPr>
          <w:sz w:val="22"/>
          <w:szCs w:val="22"/>
          <w:lang w:val="sr-Latn-CS" w:eastAsia="sr-Latn-CS"/>
        </w:rPr>
        <w:t>uje kod pacijenata sa ošte</w:t>
      </w:r>
      <w:r w:rsidRPr="006B0439">
        <w:rPr>
          <w:rFonts w:eastAsia="TimesNewRoman"/>
          <w:sz w:val="22"/>
          <w:szCs w:val="22"/>
          <w:lang w:val="sr-Latn-CS" w:eastAsia="sr-Latn-CS"/>
        </w:rPr>
        <w:t>ć</w:t>
      </w:r>
      <w:r w:rsidRPr="006B0439">
        <w:rPr>
          <w:sz w:val="22"/>
          <w:szCs w:val="22"/>
          <w:lang w:val="sr-Latn-CS" w:eastAsia="sr-Latn-CS"/>
        </w:rPr>
        <w:t xml:space="preserve">enom funkcijom bubrega, pošto  </w:t>
      </w:r>
      <w:r w:rsidR="00AE0A6E" w:rsidRPr="006B0439">
        <w:rPr>
          <w:sz w:val="22"/>
          <w:szCs w:val="22"/>
          <w:lang w:val="sr-Latn-CS" w:eastAsia="sr-Latn-CS"/>
        </w:rPr>
        <w:t xml:space="preserve">nisu sprovedene </w:t>
      </w:r>
      <w:r w:rsidRPr="006B0439">
        <w:rPr>
          <w:sz w:val="22"/>
          <w:szCs w:val="22"/>
          <w:lang w:val="sr-Latn-CS" w:eastAsia="sr-Latn-CS"/>
        </w:rPr>
        <w:t>posebn</w:t>
      </w:r>
      <w:r w:rsidR="00AE0A6E" w:rsidRPr="006B0439">
        <w:rPr>
          <w:sz w:val="22"/>
          <w:szCs w:val="22"/>
          <w:lang w:val="sr-Latn-CS" w:eastAsia="sr-Latn-CS"/>
        </w:rPr>
        <w:t>e</w:t>
      </w:r>
      <w:r w:rsidRPr="006B0439">
        <w:rPr>
          <w:sz w:val="22"/>
          <w:szCs w:val="22"/>
          <w:lang w:val="sr-Latn-CS" w:eastAsia="sr-Latn-CS"/>
        </w:rPr>
        <w:t xml:space="preserve"> studij</w:t>
      </w:r>
      <w:r w:rsidR="00AE0A6E" w:rsidRPr="006B0439">
        <w:rPr>
          <w:sz w:val="22"/>
          <w:szCs w:val="22"/>
          <w:lang w:val="sr-Latn-CS" w:eastAsia="sr-Latn-CS"/>
        </w:rPr>
        <w:t>e</w:t>
      </w:r>
      <w:r w:rsidRPr="006B0439">
        <w:rPr>
          <w:sz w:val="22"/>
          <w:szCs w:val="22"/>
          <w:lang w:val="sr-Latn-CS" w:eastAsia="sr-Latn-CS"/>
        </w:rPr>
        <w:t xml:space="preserve"> na ovoj populaciji pacijenata. (vidjeti </w:t>
      </w:r>
      <w:r w:rsidR="002750EB" w:rsidRPr="006B0439">
        <w:rPr>
          <w:sz w:val="22"/>
          <w:szCs w:val="22"/>
          <w:lang w:val="sr-Latn-CS" w:eastAsia="sr-Latn-CS"/>
        </w:rPr>
        <w:t xml:space="preserve">dijelove </w:t>
      </w:r>
      <w:r w:rsidRPr="006B0439">
        <w:rPr>
          <w:sz w:val="22"/>
          <w:szCs w:val="22"/>
          <w:lang w:val="sr-Latn-CS" w:eastAsia="sr-Latn-CS"/>
        </w:rPr>
        <w:t>4.4 i 5.2).</w:t>
      </w:r>
    </w:p>
    <w:p w:rsidR="00B26150" w:rsidRPr="006B0439" w:rsidRDefault="00B26150" w:rsidP="00B26150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r-Latn-CS" w:eastAsia="sr-Latn-CS"/>
        </w:rPr>
      </w:pPr>
    </w:p>
    <w:p w:rsidR="00B26150" w:rsidRPr="006B0439" w:rsidRDefault="00B26150" w:rsidP="00B26150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r-Latn-CS" w:eastAsia="sr-Latn-CS"/>
        </w:rPr>
      </w:pPr>
      <w:r w:rsidRPr="006B0439">
        <w:rPr>
          <w:b/>
          <w:bCs/>
          <w:sz w:val="22"/>
          <w:szCs w:val="22"/>
          <w:lang w:val="sr-Latn-CS" w:eastAsia="sr-Latn-CS"/>
        </w:rPr>
        <w:t>Stariji</w:t>
      </w:r>
      <w:r w:rsidR="00CB3E13" w:rsidRPr="006B0439">
        <w:rPr>
          <w:b/>
          <w:bCs/>
          <w:sz w:val="22"/>
          <w:szCs w:val="22"/>
          <w:lang w:val="sr-Latn-CS" w:eastAsia="sr-Latn-CS"/>
        </w:rPr>
        <w:t xml:space="preserve"> pacijenti</w:t>
      </w:r>
      <w:r w:rsidRPr="006B0439">
        <w:rPr>
          <w:b/>
          <w:bCs/>
          <w:sz w:val="22"/>
          <w:szCs w:val="22"/>
          <w:lang w:val="sr-Latn-CS" w:eastAsia="sr-Latn-CS"/>
        </w:rPr>
        <w:t xml:space="preserve">: </w:t>
      </w:r>
    </w:p>
    <w:p w:rsidR="00452E9D" w:rsidRPr="006B0439" w:rsidRDefault="00B26150" w:rsidP="00520AF9">
      <w:pPr>
        <w:autoSpaceDE w:val="0"/>
        <w:autoSpaceDN w:val="0"/>
        <w:adjustRightInd w:val="0"/>
        <w:jc w:val="both"/>
        <w:rPr>
          <w:sz w:val="22"/>
          <w:szCs w:val="22"/>
          <w:lang w:val="sr-Latn-CS" w:eastAsia="sr-Latn-CS"/>
        </w:rPr>
      </w:pPr>
      <w:r w:rsidRPr="006B0439">
        <w:rPr>
          <w:sz w:val="22"/>
          <w:szCs w:val="22"/>
          <w:lang w:val="sr-Latn-CS" w:eastAsia="sr-Latn-CS"/>
        </w:rPr>
        <w:t>Nema posebnih farmakokineti</w:t>
      </w:r>
      <w:r w:rsidRPr="006B0439">
        <w:rPr>
          <w:rFonts w:eastAsia="TimesNewRoman"/>
          <w:sz w:val="22"/>
          <w:szCs w:val="22"/>
          <w:lang w:val="sr-Latn-CS" w:eastAsia="sr-Latn-CS"/>
        </w:rPr>
        <w:t>č</w:t>
      </w:r>
      <w:r w:rsidRPr="006B0439">
        <w:rPr>
          <w:sz w:val="22"/>
          <w:szCs w:val="22"/>
          <w:lang w:val="sr-Latn-CS" w:eastAsia="sr-Latn-CS"/>
        </w:rPr>
        <w:t>kih studija na starijim pacijentima. Me</w:t>
      </w:r>
      <w:r w:rsidRPr="006B0439">
        <w:rPr>
          <w:rFonts w:eastAsia="TimesNewRoman"/>
          <w:sz w:val="22"/>
          <w:szCs w:val="22"/>
          <w:lang w:val="sr-Latn-CS" w:eastAsia="sr-Latn-CS"/>
        </w:rPr>
        <w:t>đ</w:t>
      </w:r>
      <w:r w:rsidRPr="006B0439">
        <w:rPr>
          <w:sz w:val="22"/>
          <w:szCs w:val="22"/>
          <w:lang w:val="sr-Latn-CS" w:eastAsia="sr-Latn-CS"/>
        </w:rPr>
        <w:t>utim, treba pažljivo odabrati</w:t>
      </w:r>
      <w:r w:rsidR="00520AF9" w:rsidRPr="006B0439">
        <w:rPr>
          <w:sz w:val="22"/>
          <w:szCs w:val="22"/>
          <w:lang w:val="sr-Latn-CS" w:eastAsia="sr-Latn-CS"/>
        </w:rPr>
        <w:t xml:space="preserve"> </w:t>
      </w:r>
      <w:r w:rsidRPr="006B0439">
        <w:rPr>
          <w:sz w:val="22"/>
          <w:szCs w:val="22"/>
          <w:lang w:val="sr-Latn-CS" w:eastAsia="sr-Latn-CS"/>
        </w:rPr>
        <w:t xml:space="preserve">dozu, kada je ova populacija u pitanju, zbog </w:t>
      </w:r>
      <w:r w:rsidRPr="006B0439">
        <w:rPr>
          <w:rFonts w:eastAsia="TimesNewRoman"/>
          <w:sz w:val="22"/>
          <w:szCs w:val="22"/>
          <w:lang w:val="sr-Latn-CS" w:eastAsia="sr-Latn-CS"/>
        </w:rPr>
        <w:t>č</w:t>
      </w:r>
      <w:r w:rsidRPr="006B0439">
        <w:rPr>
          <w:sz w:val="22"/>
          <w:szCs w:val="22"/>
          <w:lang w:val="sr-Latn-CS" w:eastAsia="sr-Latn-CS"/>
        </w:rPr>
        <w:t>eš</w:t>
      </w:r>
      <w:r w:rsidRPr="006B0439">
        <w:rPr>
          <w:rFonts w:eastAsia="TimesNewRoman"/>
          <w:sz w:val="22"/>
          <w:szCs w:val="22"/>
          <w:lang w:val="sr-Latn-CS" w:eastAsia="sr-Latn-CS"/>
        </w:rPr>
        <w:t>ć</w:t>
      </w:r>
      <w:r w:rsidRPr="006B0439">
        <w:rPr>
          <w:sz w:val="22"/>
          <w:szCs w:val="22"/>
          <w:lang w:val="sr-Latn-CS" w:eastAsia="sr-Latn-CS"/>
        </w:rPr>
        <w:t>eg slabljenja bioloških funkcija kod starijih. Ova grupa pacijenata zaht</w:t>
      </w:r>
      <w:r w:rsidR="002750EB" w:rsidRPr="006B0439">
        <w:rPr>
          <w:sz w:val="22"/>
          <w:szCs w:val="22"/>
          <w:lang w:val="sr-Latn-CS" w:eastAsia="sr-Latn-CS"/>
        </w:rPr>
        <w:t>i</w:t>
      </w:r>
      <w:r w:rsidRPr="006B0439">
        <w:rPr>
          <w:sz w:val="22"/>
          <w:szCs w:val="22"/>
          <w:lang w:val="sr-Latn-CS" w:eastAsia="sr-Latn-CS"/>
        </w:rPr>
        <w:t xml:space="preserve">jeva intenzivniji nadzor (vidjeti </w:t>
      </w:r>
      <w:r w:rsidR="002750EB" w:rsidRPr="006B0439">
        <w:rPr>
          <w:sz w:val="22"/>
          <w:szCs w:val="22"/>
          <w:lang w:val="sr-Latn-CS" w:eastAsia="sr-Latn-CS"/>
        </w:rPr>
        <w:t xml:space="preserve">dio </w:t>
      </w:r>
      <w:r w:rsidRPr="006B0439">
        <w:rPr>
          <w:sz w:val="22"/>
          <w:szCs w:val="22"/>
          <w:lang w:val="sr-Latn-CS" w:eastAsia="sr-Latn-CS"/>
        </w:rPr>
        <w:t>4.4).</w:t>
      </w:r>
    </w:p>
    <w:p w:rsidR="00CB3E13" w:rsidRPr="006B0439" w:rsidRDefault="00CB3E13" w:rsidP="00520AF9">
      <w:pPr>
        <w:autoSpaceDE w:val="0"/>
        <w:autoSpaceDN w:val="0"/>
        <w:adjustRightInd w:val="0"/>
        <w:jc w:val="both"/>
        <w:rPr>
          <w:sz w:val="22"/>
          <w:szCs w:val="22"/>
          <w:lang w:val="sr-Latn-CS" w:eastAsia="sr-Latn-CS"/>
        </w:rPr>
      </w:pPr>
    </w:p>
    <w:p w:rsidR="00CB3E13" w:rsidRPr="006B0439" w:rsidRDefault="00CB3E13" w:rsidP="00520AF9">
      <w:pPr>
        <w:autoSpaceDE w:val="0"/>
        <w:autoSpaceDN w:val="0"/>
        <w:adjustRightInd w:val="0"/>
        <w:jc w:val="both"/>
        <w:rPr>
          <w:sz w:val="22"/>
          <w:szCs w:val="22"/>
          <w:lang w:val="sr-Latn-CS" w:eastAsia="sr-Latn-CS"/>
        </w:rPr>
      </w:pPr>
      <w:r w:rsidRPr="006B0439">
        <w:rPr>
          <w:sz w:val="22"/>
          <w:szCs w:val="22"/>
          <w:lang w:val="sr-Latn-CS" w:eastAsia="sr-Latn-CS"/>
        </w:rPr>
        <w:t>Pedijatrijska populacija:</w:t>
      </w:r>
    </w:p>
    <w:p w:rsidR="00CB3E13" w:rsidRPr="006B0439" w:rsidRDefault="00CB3E13" w:rsidP="00520AF9">
      <w:pPr>
        <w:autoSpaceDE w:val="0"/>
        <w:autoSpaceDN w:val="0"/>
        <w:adjustRightInd w:val="0"/>
        <w:jc w:val="both"/>
        <w:rPr>
          <w:sz w:val="22"/>
          <w:szCs w:val="22"/>
          <w:lang w:eastAsia="sr-Latn-CS"/>
        </w:rPr>
      </w:pPr>
      <w:r w:rsidRPr="006B0439">
        <w:rPr>
          <w:sz w:val="22"/>
          <w:szCs w:val="22"/>
          <w:lang w:eastAsia="sr-Latn-CS"/>
        </w:rPr>
        <w:t>Bezbjednost</w:t>
      </w:r>
      <w:r w:rsidRPr="006B0439">
        <w:rPr>
          <w:sz w:val="22"/>
          <w:szCs w:val="22"/>
          <w:lang w:val="sr-Latn-CS" w:eastAsia="sr-Latn-CS"/>
        </w:rPr>
        <w:t xml:space="preserve"> </w:t>
      </w:r>
      <w:r w:rsidRPr="006B0439">
        <w:rPr>
          <w:sz w:val="22"/>
          <w:szCs w:val="22"/>
          <w:lang w:eastAsia="sr-Latn-CS"/>
        </w:rPr>
        <w:t>i</w:t>
      </w:r>
      <w:r w:rsidRPr="006B0439">
        <w:rPr>
          <w:sz w:val="22"/>
          <w:szCs w:val="22"/>
          <w:lang w:val="sr-Latn-CS" w:eastAsia="sr-Latn-CS"/>
        </w:rPr>
        <w:t xml:space="preserve"> </w:t>
      </w:r>
      <w:r w:rsidRPr="006B0439">
        <w:rPr>
          <w:sz w:val="22"/>
          <w:szCs w:val="22"/>
          <w:lang w:eastAsia="sr-Latn-CS"/>
        </w:rPr>
        <w:t>efikasnost</w:t>
      </w:r>
      <w:r w:rsidRPr="006B0439">
        <w:rPr>
          <w:sz w:val="22"/>
          <w:szCs w:val="22"/>
          <w:lang w:val="sr-Latn-CS" w:eastAsia="sr-Latn-CS"/>
        </w:rPr>
        <w:t xml:space="preserve"> </w:t>
      </w:r>
      <w:r w:rsidRPr="006B0439">
        <w:rPr>
          <w:sz w:val="22"/>
          <w:szCs w:val="22"/>
          <w:lang w:eastAsia="sr-Latn-CS"/>
        </w:rPr>
        <w:t>irinotekana</w:t>
      </w:r>
      <w:r w:rsidRPr="006B0439">
        <w:rPr>
          <w:sz w:val="22"/>
          <w:szCs w:val="22"/>
          <w:lang w:val="sr-Latn-CS" w:eastAsia="sr-Latn-CS"/>
        </w:rPr>
        <w:t xml:space="preserve"> </w:t>
      </w:r>
      <w:r w:rsidRPr="006B0439">
        <w:rPr>
          <w:sz w:val="22"/>
          <w:szCs w:val="22"/>
          <w:lang w:eastAsia="sr-Latn-CS"/>
        </w:rPr>
        <w:t>kod</w:t>
      </w:r>
      <w:r w:rsidRPr="006B0439">
        <w:rPr>
          <w:sz w:val="22"/>
          <w:szCs w:val="22"/>
          <w:lang w:val="sr-Latn-CS" w:eastAsia="sr-Latn-CS"/>
        </w:rPr>
        <w:t xml:space="preserve"> </w:t>
      </w:r>
      <w:r w:rsidRPr="006B0439">
        <w:rPr>
          <w:sz w:val="22"/>
          <w:szCs w:val="22"/>
          <w:lang w:eastAsia="sr-Latn-CS"/>
        </w:rPr>
        <w:t>pedijatrijskih</w:t>
      </w:r>
      <w:r w:rsidRPr="006B0439">
        <w:rPr>
          <w:sz w:val="22"/>
          <w:szCs w:val="22"/>
          <w:lang w:val="sr-Latn-CS" w:eastAsia="sr-Latn-CS"/>
        </w:rPr>
        <w:t xml:space="preserve"> </w:t>
      </w:r>
      <w:r w:rsidRPr="006B0439">
        <w:rPr>
          <w:sz w:val="22"/>
          <w:szCs w:val="22"/>
          <w:lang w:eastAsia="sr-Latn-CS"/>
        </w:rPr>
        <w:t>pacijenata</w:t>
      </w:r>
      <w:r w:rsidRPr="006B0439">
        <w:rPr>
          <w:sz w:val="22"/>
          <w:szCs w:val="22"/>
          <w:lang w:val="sr-Latn-CS" w:eastAsia="sr-Latn-CS"/>
        </w:rPr>
        <w:t xml:space="preserve"> </w:t>
      </w:r>
      <w:r w:rsidRPr="006B0439">
        <w:rPr>
          <w:sz w:val="22"/>
          <w:szCs w:val="22"/>
          <w:lang w:eastAsia="sr-Latn-CS"/>
        </w:rPr>
        <w:t>jo</w:t>
      </w:r>
      <w:r w:rsidRPr="006B0439">
        <w:rPr>
          <w:sz w:val="22"/>
          <w:szCs w:val="22"/>
          <w:lang w:val="sr-Latn-CS" w:eastAsia="sr-Latn-CS"/>
        </w:rPr>
        <w:t xml:space="preserve">š </w:t>
      </w:r>
      <w:r w:rsidRPr="006B0439">
        <w:rPr>
          <w:sz w:val="22"/>
          <w:szCs w:val="22"/>
          <w:lang w:eastAsia="sr-Latn-CS"/>
        </w:rPr>
        <w:t>uvijek</w:t>
      </w:r>
      <w:r w:rsidRPr="006B0439">
        <w:rPr>
          <w:sz w:val="22"/>
          <w:szCs w:val="22"/>
          <w:lang w:val="sr-Latn-CS" w:eastAsia="sr-Latn-CS"/>
        </w:rPr>
        <w:t xml:space="preserve"> </w:t>
      </w:r>
      <w:r w:rsidRPr="006B0439">
        <w:rPr>
          <w:sz w:val="22"/>
          <w:szCs w:val="22"/>
          <w:lang w:eastAsia="sr-Latn-CS"/>
        </w:rPr>
        <w:t>nije</w:t>
      </w:r>
      <w:r w:rsidRPr="006B0439">
        <w:rPr>
          <w:sz w:val="22"/>
          <w:szCs w:val="22"/>
          <w:lang w:val="sr-Latn-CS" w:eastAsia="sr-Latn-CS"/>
        </w:rPr>
        <w:t xml:space="preserve"> </w:t>
      </w:r>
      <w:r w:rsidRPr="006B0439">
        <w:rPr>
          <w:sz w:val="22"/>
          <w:szCs w:val="22"/>
          <w:lang w:eastAsia="sr-Latn-CS"/>
        </w:rPr>
        <w:t>ustanovljena</w:t>
      </w:r>
      <w:r w:rsidRPr="006B0439">
        <w:rPr>
          <w:sz w:val="22"/>
          <w:szCs w:val="22"/>
          <w:lang w:val="sr-Latn-CS" w:eastAsia="sr-Latn-CS"/>
        </w:rPr>
        <w:t xml:space="preserve">. </w:t>
      </w:r>
      <w:r w:rsidRPr="006B0439">
        <w:rPr>
          <w:sz w:val="22"/>
          <w:szCs w:val="22"/>
          <w:lang w:eastAsia="sr-Latn-CS"/>
        </w:rPr>
        <w:t>Nema dotupnih podataka.</w:t>
      </w:r>
    </w:p>
    <w:p w:rsidR="00CB3E13" w:rsidRPr="006B0439" w:rsidRDefault="00CB3E13" w:rsidP="00520AF9">
      <w:pPr>
        <w:autoSpaceDE w:val="0"/>
        <w:autoSpaceDN w:val="0"/>
        <w:adjustRightInd w:val="0"/>
        <w:jc w:val="both"/>
        <w:rPr>
          <w:sz w:val="22"/>
          <w:szCs w:val="22"/>
          <w:lang w:eastAsia="sr-Latn-CS"/>
        </w:rPr>
      </w:pPr>
    </w:p>
    <w:p w:rsidR="00CB3E13" w:rsidRPr="006B0439" w:rsidRDefault="00CB3E13" w:rsidP="00520AF9">
      <w:pPr>
        <w:autoSpaceDE w:val="0"/>
        <w:autoSpaceDN w:val="0"/>
        <w:adjustRightInd w:val="0"/>
        <w:jc w:val="both"/>
        <w:rPr>
          <w:sz w:val="22"/>
          <w:szCs w:val="22"/>
          <w:lang w:eastAsia="sr-Latn-CS"/>
        </w:rPr>
      </w:pPr>
      <w:r w:rsidRPr="006B0439">
        <w:rPr>
          <w:sz w:val="22"/>
          <w:szCs w:val="22"/>
          <w:lang w:eastAsia="sr-Latn-CS"/>
        </w:rPr>
        <w:t>Način primjene</w:t>
      </w:r>
    </w:p>
    <w:p w:rsidR="00CB3E13" w:rsidRPr="006B0439" w:rsidRDefault="00CB3E13" w:rsidP="00520AF9">
      <w:pPr>
        <w:autoSpaceDE w:val="0"/>
        <w:autoSpaceDN w:val="0"/>
        <w:adjustRightInd w:val="0"/>
        <w:jc w:val="both"/>
        <w:rPr>
          <w:sz w:val="22"/>
          <w:szCs w:val="22"/>
          <w:lang w:eastAsia="sr-Latn-CS"/>
        </w:rPr>
      </w:pPr>
    </w:p>
    <w:p w:rsidR="00CB3E13" w:rsidRPr="006B0439" w:rsidRDefault="00CB3E13" w:rsidP="00520AF9">
      <w:pPr>
        <w:autoSpaceDE w:val="0"/>
        <w:autoSpaceDN w:val="0"/>
        <w:adjustRightInd w:val="0"/>
        <w:jc w:val="both"/>
        <w:rPr>
          <w:sz w:val="22"/>
          <w:szCs w:val="22"/>
          <w:lang w:eastAsia="sr-Latn-CS"/>
        </w:rPr>
      </w:pPr>
      <w:r w:rsidRPr="006B0439">
        <w:rPr>
          <w:sz w:val="22"/>
          <w:szCs w:val="22"/>
          <w:lang w:eastAsia="sr-Latn-CS"/>
        </w:rPr>
        <w:t>Potreban je oprez pri rukovanju i primjeni lijeka.</w:t>
      </w:r>
    </w:p>
    <w:p w:rsidR="00CB3E13" w:rsidRPr="006B0439" w:rsidRDefault="00CB3E13" w:rsidP="00520AF9">
      <w:pPr>
        <w:autoSpaceDE w:val="0"/>
        <w:autoSpaceDN w:val="0"/>
        <w:adjustRightInd w:val="0"/>
        <w:jc w:val="both"/>
        <w:rPr>
          <w:sz w:val="22"/>
          <w:szCs w:val="22"/>
          <w:lang w:eastAsia="sr-Latn-CS"/>
        </w:rPr>
      </w:pPr>
      <w:r w:rsidRPr="006B0439">
        <w:rPr>
          <w:sz w:val="22"/>
          <w:szCs w:val="22"/>
          <w:lang w:eastAsia="sr-Latn-CS"/>
        </w:rPr>
        <w:t xml:space="preserve">Za uputstvo o razblaživanju lijeka prije primjene vidjeti </w:t>
      </w:r>
      <w:r w:rsidR="002750EB" w:rsidRPr="006B0439">
        <w:rPr>
          <w:sz w:val="22"/>
          <w:szCs w:val="22"/>
          <w:lang w:eastAsia="sr-Latn-CS"/>
        </w:rPr>
        <w:t xml:space="preserve">dio </w:t>
      </w:r>
      <w:r w:rsidRPr="006B0439">
        <w:rPr>
          <w:sz w:val="22"/>
          <w:szCs w:val="22"/>
          <w:lang w:eastAsia="sr-Latn-CS"/>
        </w:rPr>
        <w:t>6.6.</w:t>
      </w:r>
    </w:p>
    <w:p w:rsidR="00CB3E13" w:rsidRPr="006B0439" w:rsidRDefault="00CB3E13" w:rsidP="00520AF9">
      <w:pPr>
        <w:autoSpaceDE w:val="0"/>
        <w:autoSpaceDN w:val="0"/>
        <w:adjustRightInd w:val="0"/>
        <w:jc w:val="both"/>
        <w:rPr>
          <w:sz w:val="22"/>
          <w:szCs w:val="22"/>
          <w:lang w:eastAsia="sr-Latn-CS"/>
        </w:rPr>
      </w:pPr>
    </w:p>
    <w:p w:rsidR="00411B4B" w:rsidRPr="006B0439" w:rsidRDefault="00411B4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6B0439">
        <w:rPr>
          <w:b/>
          <w:bCs/>
          <w:sz w:val="22"/>
          <w:szCs w:val="22"/>
        </w:rPr>
        <w:t xml:space="preserve">4.3. </w:t>
      </w:r>
      <w:r w:rsidR="00480FB1" w:rsidRPr="006B0439">
        <w:rPr>
          <w:b/>
          <w:bCs/>
          <w:sz w:val="22"/>
          <w:szCs w:val="22"/>
        </w:rPr>
        <w:tab/>
      </w:r>
      <w:r w:rsidRPr="006B0439">
        <w:rPr>
          <w:b/>
          <w:bCs/>
          <w:sz w:val="22"/>
          <w:szCs w:val="22"/>
        </w:rPr>
        <w:t>Kontraindikacije</w:t>
      </w:r>
    </w:p>
    <w:p w:rsidR="0072020E" w:rsidRPr="006B0439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:rsidR="00520AF9" w:rsidRPr="006B0439" w:rsidRDefault="00520AF9" w:rsidP="00520AF9">
      <w:pPr>
        <w:numPr>
          <w:ilvl w:val="0"/>
          <w:numId w:val="13"/>
        </w:numPr>
        <w:autoSpaceDE w:val="0"/>
        <w:autoSpaceDN w:val="0"/>
        <w:adjustRightInd w:val="0"/>
        <w:rPr>
          <w:sz w:val="22"/>
          <w:szCs w:val="22"/>
          <w:lang w:val="sr-Latn-CS" w:eastAsia="sr-Latn-CS"/>
        </w:rPr>
      </w:pPr>
      <w:r w:rsidRPr="006B0439">
        <w:rPr>
          <w:sz w:val="22"/>
          <w:szCs w:val="22"/>
          <w:lang w:val="sr-Latn-CS" w:eastAsia="sr-Latn-CS"/>
        </w:rPr>
        <w:t xml:space="preserve">Hronična inflamatorna bolest crijeva i/ili opstrukcija crijeva (vidjeti </w:t>
      </w:r>
      <w:r w:rsidR="002750EB" w:rsidRPr="006B0439">
        <w:rPr>
          <w:sz w:val="22"/>
          <w:szCs w:val="22"/>
          <w:lang w:val="sr-Latn-CS" w:eastAsia="sr-Latn-CS"/>
        </w:rPr>
        <w:t xml:space="preserve">dio </w:t>
      </w:r>
      <w:r w:rsidRPr="006B0439">
        <w:rPr>
          <w:sz w:val="22"/>
          <w:szCs w:val="22"/>
          <w:lang w:val="sr-Latn-CS" w:eastAsia="sr-Latn-CS"/>
        </w:rPr>
        <w:t>4.4).</w:t>
      </w:r>
    </w:p>
    <w:p w:rsidR="00520AF9" w:rsidRPr="006B0439" w:rsidRDefault="00520AF9" w:rsidP="00520AF9">
      <w:pPr>
        <w:numPr>
          <w:ilvl w:val="0"/>
          <w:numId w:val="13"/>
        </w:numPr>
        <w:autoSpaceDE w:val="0"/>
        <w:autoSpaceDN w:val="0"/>
        <w:adjustRightInd w:val="0"/>
        <w:rPr>
          <w:sz w:val="22"/>
          <w:szCs w:val="22"/>
          <w:lang w:val="sr-Latn-CS" w:eastAsia="sr-Latn-CS"/>
        </w:rPr>
      </w:pPr>
      <w:r w:rsidRPr="006B0439">
        <w:rPr>
          <w:sz w:val="22"/>
          <w:szCs w:val="22"/>
          <w:lang w:val="sr-Latn-CS" w:eastAsia="sr-Latn-CS"/>
        </w:rPr>
        <w:t>Prethodna istorija o teškim reakcijama preosetljivosti na irinotekan-hidrohlorid, trihidrat ili na neki od pomoćnih sastojaka lijeka IRITEC.</w:t>
      </w:r>
    </w:p>
    <w:p w:rsidR="00520AF9" w:rsidRPr="006B0439" w:rsidRDefault="00520AF9" w:rsidP="00520AF9">
      <w:pPr>
        <w:numPr>
          <w:ilvl w:val="0"/>
          <w:numId w:val="13"/>
        </w:numPr>
        <w:autoSpaceDE w:val="0"/>
        <w:autoSpaceDN w:val="0"/>
        <w:adjustRightInd w:val="0"/>
        <w:rPr>
          <w:sz w:val="22"/>
          <w:szCs w:val="22"/>
          <w:lang w:val="sr-Latn-CS" w:eastAsia="sr-Latn-CS"/>
        </w:rPr>
      </w:pPr>
      <w:r w:rsidRPr="006B0439">
        <w:rPr>
          <w:sz w:val="22"/>
          <w:szCs w:val="22"/>
          <w:lang w:val="sr-Latn-CS" w:eastAsia="sr-Latn-CS"/>
        </w:rPr>
        <w:t xml:space="preserve">Dojenje (vidjeti </w:t>
      </w:r>
      <w:r w:rsidR="002750EB" w:rsidRPr="006B0439">
        <w:rPr>
          <w:sz w:val="22"/>
          <w:szCs w:val="22"/>
          <w:lang w:val="sr-Latn-CS" w:eastAsia="sr-Latn-CS"/>
        </w:rPr>
        <w:t xml:space="preserve">dijelove </w:t>
      </w:r>
      <w:r w:rsidRPr="006B0439">
        <w:rPr>
          <w:sz w:val="22"/>
          <w:szCs w:val="22"/>
          <w:lang w:val="sr-Latn-CS" w:eastAsia="sr-Latn-CS"/>
        </w:rPr>
        <w:t>4.6  i 4.4).</w:t>
      </w:r>
    </w:p>
    <w:p w:rsidR="00520AF9" w:rsidRPr="006B0439" w:rsidRDefault="00520AF9" w:rsidP="00520AF9">
      <w:pPr>
        <w:numPr>
          <w:ilvl w:val="0"/>
          <w:numId w:val="13"/>
        </w:numPr>
        <w:autoSpaceDE w:val="0"/>
        <w:autoSpaceDN w:val="0"/>
        <w:adjustRightInd w:val="0"/>
        <w:rPr>
          <w:sz w:val="22"/>
          <w:szCs w:val="22"/>
          <w:lang w:val="sr-Latn-CS" w:eastAsia="sr-Latn-CS"/>
        </w:rPr>
      </w:pPr>
      <w:r w:rsidRPr="006B0439">
        <w:rPr>
          <w:sz w:val="22"/>
          <w:szCs w:val="22"/>
          <w:lang w:val="sr-Latn-CS" w:eastAsia="sr-Latn-CS"/>
        </w:rPr>
        <w:t>Bilirubin  &gt; 3 puta pove</w:t>
      </w:r>
      <w:r w:rsidRPr="006B0439">
        <w:rPr>
          <w:rFonts w:eastAsia="TimesNewRoman"/>
          <w:sz w:val="22"/>
          <w:szCs w:val="22"/>
          <w:lang w:val="sr-Latn-CS" w:eastAsia="sr-Latn-CS"/>
        </w:rPr>
        <w:t>ć</w:t>
      </w:r>
      <w:r w:rsidRPr="006B0439">
        <w:rPr>
          <w:sz w:val="22"/>
          <w:szCs w:val="22"/>
          <w:lang w:val="sr-Latn-CS" w:eastAsia="sr-Latn-CS"/>
        </w:rPr>
        <w:t xml:space="preserve">an u odnosu na gornju granicu normalnih vrijednosti (vidjeti </w:t>
      </w:r>
      <w:r w:rsidR="002750EB" w:rsidRPr="006B0439">
        <w:rPr>
          <w:sz w:val="22"/>
          <w:szCs w:val="22"/>
          <w:lang w:val="sr-Latn-CS" w:eastAsia="sr-Latn-CS"/>
        </w:rPr>
        <w:t xml:space="preserve">dio </w:t>
      </w:r>
      <w:r w:rsidRPr="006B0439">
        <w:rPr>
          <w:sz w:val="22"/>
          <w:szCs w:val="22"/>
          <w:lang w:val="sr-Latn-CS" w:eastAsia="sr-Latn-CS"/>
        </w:rPr>
        <w:t>4.4).</w:t>
      </w:r>
    </w:p>
    <w:p w:rsidR="00520AF9" w:rsidRPr="006B0439" w:rsidRDefault="00520AF9" w:rsidP="00520AF9">
      <w:pPr>
        <w:numPr>
          <w:ilvl w:val="0"/>
          <w:numId w:val="13"/>
        </w:numPr>
        <w:autoSpaceDE w:val="0"/>
        <w:autoSpaceDN w:val="0"/>
        <w:adjustRightInd w:val="0"/>
        <w:rPr>
          <w:sz w:val="22"/>
          <w:szCs w:val="22"/>
          <w:lang w:val="sr-Latn-CS" w:eastAsia="sr-Latn-CS"/>
        </w:rPr>
      </w:pPr>
      <w:r w:rsidRPr="006B0439">
        <w:rPr>
          <w:sz w:val="22"/>
          <w:szCs w:val="22"/>
          <w:lang w:val="sr-Latn-CS" w:eastAsia="sr-Latn-CS"/>
        </w:rPr>
        <w:t>Teško ošte</w:t>
      </w:r>
      <w:r w:rsidRPr="006B0439">
        <w:rPr>
          <w:rFonts w:eastAsia="TimesNewRoman"/>
          <w:sz w:val="22"/>
          <w:szCs w:val="22"/>
          <w:lang w:val="sr-Latn-CS" w:eastAsia="sr-Latn-CS"/>
        </w:rPr>
        <w:t>ć</w:t>
      </w:r>
      <w:r w:rsidRPr="006B0439">
        <w:rPr>
          <w:sz w:val="22"/>
          <w:szCs w:val="22"/>
          <w:lang w:val="sr-Latn-CS" w:eastAsia="sr-Latn-CS"/>
        </w:rPr>
        <w:t>enje kostne srži.</w:t>
      </w:r>
    </w:p>
    <w:p w:rsidR="00520AF9" w:rsidRPr="006B0439" w:rsidRDefault="00520AF9" w:rsidP="00520AF9">
      <w:pPr>
        <w:numPr>
          <w:ilvl w:val="0"/>
          <w:numId w:val="13"/>
        </w:numPr>
        <w:autoSpaceDE w:val="0"/>
        <w:autoSpaceDN w:val="0"/>
        <w:adjustRightInd w:val="0"/>
        <w:rPr>
          <w:sz w:val="22"/>
          <w:szCs w:val="22"/>
          <w:lang w:val="sr-Latn-CS" w:eastAsia="sr-Latn-CS"/>
        </w:rPr>
      </w:pPr>
      <w:r w:rsidRPr="006B0439">
        <w:rPr>
          <w:sz w:val="22"/>
          <w:szCs w:val="22"/>
          <w:lang w:val="sr-Latn-CS" w:eastAsia="sr-Latn-CS"/>
        </w:rPr>
        <w:t>Funkcionalni status (prema skali Svjetske zdravstvene organizacije)  &gt; 2.</w:t>
      </w:r>
    </w:p>
    <w:p w:rsidR="00520AF9" w:rsidRPr="006B0439" w:rsidRDefault="00520AF9" w:rsidP="00520AF9">
      <w:pPr>
        <w:numPr>
          <w:ilvl w:val="0"/>
          <w:numId w:val="13"/>
        </w:numPr>
        <w:autoSpaceDE w:val="0"/>
        <w:autoSpaceDN w:val="0"/>
        <w:adjustRightInd w:val="0"/>
        <w:rPr>
          <w:sz w:val="22"/>
          <w:szCs w:val="22"/>
          <w:lang w:val="sr-Latn-CS" w:eastAsia="sr-Latn-CS"/>
        </w:rPr>
      </w:pPr>
      <w:r w:rsidRPr="006B0439">
        <w:rPr>
          <w:sz w:val="22"/>
          <w:szCs w:val="22"/>
          <w:lang w:val="sr-Latn-CS" w:eastAsia="sr-Latn-CS"/>
        </w:rPr>
        <w:t xml:space="preserve">Istovremena primjena sa preparatima koji sadrže ekstrakt kantariona (vidjeti </w:t>
      </w:r>
      <w:r w:rsidR="002750EB" w:rsidRPr="006B0439">
        <w:rPr>
          <w:sz w:val="22"/>
          <w:szCs w:val="22"/>
          <w:lang w:val="sr-Latn-CS" w:eastAsia="sr-Latn-CS"/>
        </w:rPr>
        <w:t xml:space="preserve">dio </w:t>
      </w:r>
      <w:r w:rsidRPr="006B0439">
        <w:rPr>
          <w:sz w:val="22"/>
          <w:szCs w:val="22"/>
          <w:lang w:val="sr-Latn-CS" w:eastAsia="sr-Latn-CS"/>
        </w:rPr>
        <w:t>4.5).</w:t>
      </w:r>
    </w:p>
    <w:p w:rsidR="002750EB" w:rsidRPr="006B0439" w:rsidRDefault="002750EB" w:rsidP="002750EB">
      <w:pPr>
        <w:numPr>
          <w:ilvl w:val="0"/>
          <w:numId w:val="13"/>
        </w:numPr>
        <w:autoSpaceDE w:val="0"/>
        <w:autoSpaceDN w:val="0"/>
        <w:adjustRightInd w:val="0"/>
        <w:rPr>
          <w:sz w:val="22"/>
          <w:szCs w:val="22"/>
          <w:lang w:val="sr-Latn-CS" w:eastAsia="sr-Latn-CS"/>
        </w:rPr>
      </w:pPr>
      <w:r w:rsidRPr="006B0439">
        <w:rPr>
          <w:sz w:val="22"/>
          <w:szCs w:val="22"/>
          <w:lang w:val="sr-Latn-CS" w:eastAsia="sr-Latn-CS"/>
        </w:rPr>
        <w:t>Živa atenuirana vakcina (vidjeti dio 4.5)</w:t>
      </w:r>
    </w:p>
    <w:p w:rsidR="00520AF9" w:rsidRPr="006B0439" w:rsidRDefault="00520AF9" w:rsidP="00520AF9">
      <w:pPr>
        <w:autoSpaceDE w:val="0"/>
        <w:autoSpaceDN w:val="0"/>
        <w:adjustRightInd w:val="0"/>
        <w:rPr>
          <w:sz w:val="22"/>
          <w:szCs w:val="22"/>
          <w:lang w:val="sr-Latn-CS" w:eastAsia="sr-Latn-CS"/>
        </w:rPr>
      </w:pPr>
      <w:r w:rsidRPr="006B0439">
        <w:rPr>
          <w:sz w:val="22"/>
          <w:szCs w:val="22"/>
          <w:lang w:val="sr-Latn-CS" w:eastAsia="sr-Latn-CS"/>
        </w:rPr>
        <w:t>Za druge kontraindikacije koje se odnose na cetuksimab ili bevacizumab ili kapecitabin, treba konsultovati sažetke karakteristika l</w:t>
      </w:r>
      <w:r w:rsidR="002750EB" w:rsidRPr="006B0439">
        <w:rPr>
          <w:sz w:val="22"/>
          <w:szCs w:val="22"/>
          <w:lang w:val="sr-Latn-CS" w:eastAsia="sr-Latn-CS"/>
        </w:rPr>
        <w:t>ij</w:t>
      </w:r>
      <w:r w:rsidRPr="006B0439">
        <w:rPr>
          <w:sz w:val="22"/>
          <w:szCs w:val="22"/>
          <w:lang w:val="sr-Latn-CS" w:eastAsia="sr-Latn-CS"/>
        </w:rPr>
        <w:t>eka za ove ljekove.</w:t>
      </w:r>
    </w:p>
    <w:p w:rsidR="00520AF9" w:rsidRPr="006B0439" w:rsidRDefault="00520AF9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CS"/>
        </w:rPr>
      </w:pPr>
    </w:p>
    <w:p w:rsidR="00520AF9" w:rsidRPr="006B0439" w:rsidRDefault="00520AF9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CS"/>
        </w:rPr>
      </w:pPr>
    </w:p>
    <w:p w:rsidR="00411B4B" w:rsidRPr="006B0439" w:rsidRDefault="00411B4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6B0439">
        <w:rPr>
          <w:b/>
          <w:bCs/>
          <w:sz w:val="22"/>
          <w:szCs w:val="22"/>
        </w:rPr>
        <w:lastRenderedPageBreak/>
        <w:t xml:space="preserve">4.4. </w:t>
      </w:r>
      <w:r w:rsidR="00480FB1" w:rsidRPr="006B0439">
        <w:rPr>
          <w:b/>
          <w:bCs/>
          <w:sz w:val="22"/>
          <w:szCs w:val="22"/>
        </w:rPr>
        <w:tab/>
      </w:r>
      <w:r w:rsidRPr="006B0439">
        <w:rPr>
          <w:b/>
          <w:bCs/>
          <w:sz w:val="22"/>
          <w:szCs w:val="22"/>
        </w:rPr>
        <w:t>Posebna upozorenja i mjere opreza pri upotrebi lijeka</w:t>
      </w:r>
    </w:p>
    <w:p w:rsidR="0072020E" w:rsidRPr="006B0439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tbl>
      <w:tblPr>
        <w:tblW w:w="9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77"/>
      </w:tblGrid>
      <w:tr w:rsidR="00DD6FCF" w:rsidRPr="006B0439" w:rsidTr="006B0439">
        <w:trPr>
          <w:trHeight w:val="553"/>
        </w:trPr>
        <w:tc>
          <w:tcPr>
            <w:tcW w:w="9177" w:type="dxa"/>
            <w:shd w:val="clear" w:color="auto" w:fill="auto"/>
          </w:tcPr>
          <w:p w:rsidR="00DD6FCF" w:rsidRPr="006B0439" w:rsidRDefault="00DD6FCF" w:rsidP="00621F29">
            <w:pPr>
              <w:autoSpaceDE w:val="0"/>
              <w:autoSpaceDN w:val="0"/>
              <w:adjustRightInd w:val="0"/>
              <w:rPr>
                <w:sz w:val="22"/>
                <w:szCs w:val="22"/>
                <w:lang w:val="sr-Latn-CS" w:eastAsia="sr-Latn-CS"/>
              </w:rPr>
            </w:pPr>
            <w:r w:rsidRPr="006B0439">
              <w:rPr>
                <w:sz w:val="22"/>
                <w:szCs w:val="22"/>
                <w:lang w:val="sr-Latn-CS" w:eastAsia="sr-Latn-CS"/>
              </w:rPr>
              <w:t>Primjenu lijeka IRITEC treba ograni</w:t>
            </w:r>
            <w:r w:rsidRPr="006B0439">
              <w:rPr>
                <w:rFonts w:eastAsia="TimesNewRoman"/>
                <w:sz w:val="22"/>
                <w:szCs w:val="22"/>
                <w:lang w:val="sr-Latn-CS" w:eastAsia="sr-Latn-CS"/>
              </w:rPr>
              <w:t>č</w:t>
            </w:r>
            <w:r w:rsidRPr="006B0439">
              <w:rPr>
                <w:sz w:val="22"/>
                <w:szCs w:val="22"/>
                <w:lang w:val="sr-Latn-CS" w:eastAsia="sr-Latn-CS"/>
              </w:rPr>
              <w:t>iti na odjeljenja specijalizovana za primjenu citotoksi</w:t>
            </w:r>
            <w:r w:rsidRPr="006B0439">
              <w:rPr>
                <w:rFonts w:eastAsia="TimesNewRoman"/>
                <w:sz w:val="22"/>
                <w:szCs w:val="22"/>
                <w:lang w:val="sr-Latn-CS" w:eastAsia="sr-Latn-CS"/>
              </w:rPr>
              <w:t>č</w:t>
            </w:r>
            <w:r w:rsidRPr="006B0439">
              <w:rPr>
                <w:sz w:val="22"/>
                <w:szCs w:val="22"/>
                <w:lang w:val="sr-Latn-CS" w:eastAsia="sr-Latn-CS"/>
              </w:rPr>
              <w:t>nih lijekova, a IRITEC treba primjenjivati samo pod nadzorom ljekara posebno obu</w:t>
            </w:r>
            <w:r w:rsidRPr="006B0439">
              <w:rPr>
                <w:rFonts w:eastAsia="TimesNewRoman"/>
                <w:sz w:val="22"/>
                <w:szCs w:val="22"/>
                <w:lang w:val="sr-Latn-CS" w:eastAsia="sr-Latn-CS"/>
              </w:rPr>
              <w:t>č</w:t>
            </w:r>
            <w:r w:rsidRPr="006B0439">
              <w:rPr>
                <w:sz w:val="22"/>
                <w:szCs w:val="22"/>
                <w:lang w:val="sr-Latn-CS" w:eastAsia="sr-Latn-CS"/>
              </w:rPr>
              <w:t>enih za hemioterapiju karcinoma.</w:t>
            </w:r>
          </w:p>
        </w:tc>
      </w:tr>
    </w:tbl>
    <w:p w:rsidR="00DD6FCF" w:rsidRPr="006B0439" w:rsidRDefault="00DD6FCF" w:rsidP="00DD6FCF">
      <w:pPr>
        <w:autoSpaceDE w:val="0"/>
        <w:autoSpaceDN w:val="0"/>
        <w:adjustRightInd w:val="0"/>
        <w:rPr>
          <w:sz w:val="22"/>
          <w:szCs w:val="22"/>
          <w:lang w:val="sr-Latn-CS" w:eastAsia="sr-Latn-CS"/>
        </w:rPr>
      </w:pPr>
    </w:p>
    <w:p w:rsidR="00DD6FCF" w:rsidRPr="006B0439" w:rsidRDefault="00DD6FCF" w:rsidP="00DD6FCF">
      <w:pPr>
        <w:autoSpaceDE w:val="0"/>
        <w:autoSpaceDN w:val="0"/>
        <w:adjustRightInd w:val="0"/>
        <w:jc w:val="both"/>
        <w:rPr>
          <w:sz w:val="22"/>
          <w:szCs w:val="22"/>
          <w:lang w:val="sr-Latn-CS" w:eastAsia="sr-Latn-CS"/>
        </w:rPr>
      </w:pPr>
      <w:r w:rsidRPr="006B0439">
        <w:rPr>
          <w:sz w:val="22"/>
          <w:szCs w:val="22"/>
          <w:lang w:val="sr-Latn-CS" w:eastAsia="sr-Latn-CS"/>
        </w:rPr>
        <w:t>Uzimaju</w:t>
      </w:r>
      <w:r w:rsidRPr="006B0439">
        <w:rPr>
          <w:rFonts w:eastAsia="TimesNewRoman"/>
          <w:sz w:val="22"/>
          <w:szCs w:val="22"/>
          <w:lang w:val="sr-Latn-CS" w:eastAsia="sr-Latn-CS"/>
        </w:rPr>
        <w:t>ć</w:t>
      </w:r>
      <w:r w:rsidRPr="006B0439">
        <w:rPr>
          <w:sz w:val="22"/>
          <w:szCs w:val="22"/>
          <w:lang w:val="sr-Latn-CS" w:eastAsia="sr-Latn-CS"/>
        </w:rPr>
        <w:t>i u obzir prirodu i u</w:t>
      </w:r>
      <w:r w:rsidRPr="006B0439">
        <w:rPr>
          <w:rFonts w:eastAsia="TimesNewRoman"/>
          <w:sz w:val="22"/>
          <w:szCs w:val="22"/>
          <w:lang w:val="sr-Latn-CS" w:eastAsia="sr-Latn-CS"/>
        </w:rPr>
        <w:t>č</w:t>
      </w:r>
      <w:r w:rsidRPr="006B0439">
        <w:rPr>
          <w:sz w:val="22"/>
          <w:szCs w:val="22"/>
          <w:lang w:val="sr-Latn-CS" w:eastAsia="sr-Latn-CS"/>
        </w:rPr>
        <w:t>estalost neželjenih doga</w:t>
      </w:r>
      <w:r w:rsidRPr="006B0439">
        <w:rPr>
          <w:rFonts w:eastAsia="TimesNewRoman"/>
          <w:sz w:val="22"/>
          <w:szCs w:val="22"/>
          <w:lang w:val="sr-Latn-CS" w:eastAsia="sr-Latn-CS"/>
        </w:rPr>
        <w:t>đa</w:t>
      </w:r>
      <w:r w:rsidRPr="006B0439">
        <w:rPr>
          <w:sz w:val="22"/>
          <w:szCs w:val="22"/>
          <w:lang w:val="sr-Latn-CS" w:eastAsia="sr-Latn-CS"/>
        </w:rPr>
        <w:t>ja,</w:t>
      </w:r>
      <w:r w:rsidR="00CB3E13" w:rsidRPr="006B0439">
        <w:rPr>
          <w:sz w:val="22"/>
          <w:szCs w:val="22"/>
          <w:lang w:val="sr-Latn-CS" w:eastAsia="sr-Latn-CS"/>
        </w:rPr>
        <w:t xml:space="preserve"> lijek</w:t>
      </w:r>
      <w:r w:rsidRPr="006B0439">
        <w:rPr>
          <w:sz w:val="22"/>
          <w:szCs w:val="22"/>
          <w:lang w:val="sr-Latn-CS" w:eastAsia="sr-Latn-CS"/>
        </w:rPr>
        <w:t xml:space="preserve"> IRITEC treba propisati u sl</w:t>
      </w:r>
      <w:r w:rsidR="002750EB" w:rsidRPr="006B0439">
        <w:rPr>
          <w:sz w:val="22"/>
          <w:szCs w:val="22"/>
          <w:lang w:val="sr-Latn-CS" w:eastAsia="sr-Latn-CS"/>
        </w:rPr>
        <w:t>j</w:t>
      </w:r>
      <w:r w:rsidRPr="006B0439">
        <w:rPr>
          <w:sz w:val="22"/>
          <w:szCs w:val="22"/>
          <w:lang w:val="sr-Latn-CS" w:eastAsia="sr-Latn-CS"/>
        </w:rPr>
        <w:t>ede</w:t>
      </w:r>
      <w:r w:rsidRPr="006B0439">
        <w:rPr>
          <w:rFonts w:eastAsia="TimesNewRoman"/>
          <w:sz w:val="22"/>
          <w:szCs w:val="22"/>
          <w:lang w:val="sr-Latn-CS" w:eastAsia="sr-Latn-CS"/>
        </w:rPr>
        <w:t>ć</w:t>
      </w:r>
      <w:r w:rsidRPr="006B0439">
        <w:rPr>
          <w:sz w:val="22"/>
          <w:szCs w:val="22"/>
          <w:lang w:val="sr-Latn-CS" w:eastAsia="sr-Latn-CS"/>
        </w:rPr>
        <w:t>im slu</w:t>
      </w:r>
      <w:r w:rsidRPr="006B0439">
        <w:rPr>
          <w:rFonts w:eastAsia="TimesNewRoman"/>
          <w:sz w:val="22"/>
          <w:szCs w:val="22"/>
          <w:lang w:val="sr-Latn-CS" w:eastAsia="sr-Latn-CS"/>
        </w:rPr>
        <w:t>č</w:t>
      </w:r>
      <w:r w:rsidRPr="006B0439">
        <w:rPr>
          <w:sz w:val="22"/>
          <w:szCs w:val="22"/>
          <w:lang w:val="sr-Latn-CS" w:eastAsia="sr-Latn-CS"/>
        </w:rPr>
        <w:t>ajevima samo posl</w:t>
      </w:r>
      <w:r w:rsidR="002750EB" w:rsidRPr="006B0439">
        <w:rPr>
          <w:sz w:val="22"/>
          <w:szCs w:val="22"/>
          <w:lang w:val="sr-Latn-CS" w:eastAsia="sr-Latn-CS"/>
        </w:rPr>
        <w:t>ij</w:t>
      </w:r>
      <w:r w:rsidRPr="006B0439">
        <w:rPr>
          <w:sz w:val="22"/>
          <w:szCs w:val="22"/>
          <w:lang w:val="sr-Latn-CS" w:eastAsia="sr-Latn-CS"/>
        </w:rPr>
        <w:t>e procjene odnosa o</w:t>
      </w:r>
      <w:r w:rsidRPr="006B0439">
        <w:rPr>
          <w:rFonts w:eastAsia="TimesNewRoman"/>
          <w:sz w:val="22"/>
          <w:szCs w:val="22"/>
          <w:lang w:val="sr-Latn-CS" w:eastAsia="sr-Latn-CS"/>
        </w:rPr>
        <w:t>č</w:t>
      </w:r>
      <w:r w:rsidRPr="006B0439">
        <w:rPr>
          <w:sz w:val="22"/>
          <w:szCs w:val="22"/>
          <w:lang w:val="sr-Latn-CS" w:eastAsia="sr-Latn-CS"/>
        </w:rPr>
        <w:t>ekivane koristi i mogu</w:t>
      </w:r>
      <w:r w:rsidRPr="006B0439">
        <w:rPr>
          <w:rFonts w:eastAsia="TimesNewRoman"/>
          <w:sz w:val="22"/>
          <w:szCs w:val="22"/>
          <w:lang w:val="sr-Latn-CS" w:eastAsia="sr-Latn-CS"/>
        </w:rPr>
        <w:t>ć</w:t>
      </w:r>
      <w:r w:rsidRPr="006B0439">
        <w:rPr>
          <w:sz w:val="22"/>
          <w:szCs w:val="22"/>
          <w:lang w:val="sr-Latn-CS" w:eastAsia="sr-Latn-CS"/>
        </w:rPr>
        <w:t>ih terapijskih rizika:</w:t>
      </w:r>
    </w:p>
    <w:p w:rsidR="00DD6FCF" w:rsidRPr="006B0439" w:rsidRDefault="00DD6FCF" w:rsidP="00DD6FCF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sz w:val="22"/>
          <w:szCs w:val="22"/>
          <w:lang w:val="sr-Latn-CS" w:eastAsia="sr-Latn-CS"/>
        </w:rPr>
      </w:pPr>
      <w:r w:rsidRPr="006B0439">
        <w:rPr>
          <w:sz w:val="22"/>
          <w:szCs w:val="22"/>
          <w:lang w:val="sr-Latn-CS" w:eastAsia="sr-Latn-CS"/>
        </w:rPr>
        <w:t>kod pacijenata sa nekim faktorom rizika, posebno kod onih sa funkcionalnim statusom koji je =2 (skala Svjetske zdravstvene organizacije).</w:t>
      </w:r>
    </w:p>
    <w:p w:rsidR="00DD6FCF" w:rsidRPr="006B0439" w:rsidRDefault="00DD6FCF" w:rsidP="00DD6FCF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sz w:val="22"/>
          <w:szCs w:val="22"/>
          <w:lang w:val="sr-Latn-CS" w:eastAsia="sr-Latn-CS"/>
        </w:rPr>
      </w:pPr>
      <w:r w:rsidRPr="006B0439">
        <w:rPr>
          <w:sz w:val="22"/>
          <w:szCs w:val="22"/>
          <w:lang w:val="sr-Latn-CS" w:eastAsia="sr-Latn-CS"/>
        </w:rPr>
        <w:t>u odre</w:t>
      </w:r>
      <w:r w:rsidRPr="006B0439">
        <w:rPr>
          <w:rFonts w:eastAsia="TimesNewRoman"/>
          <w:sz w:val="22"/>
          <w:szCs w:val="22"/>
          <w:lang w:val="sr-Latn-CS" w:eastAsia="sr-Latn-CS"/>
        </w:rPr>
        <w:t>đ</w:t>
      </w:r>
      <w:r w:rsidRPr="006B0439">
        <w:rPr>
          <w:sz w:val="22"/>
          <w:szCs w:val="22"/>
          <w:lang w:val="sr-Latn-CS" w:eastAsia="sr-Latn-CS"/>
        </w:rPr>
        <w:t>enim, rijetkim slu</w:t>
      </w:r>
      <w:r w:rsidRPr="006B0439">
        <w:rPr>
          <w:rFonts w:eastAsia="TimesNewRoman"/>
          <w:sz w:val="22"/>
          <w:szCs w:val="22"/>
          <w:lang w:val="sr-Latn-CS" w:eastAsia="sr-Latn-CS"/>
        </w:rPr>
        <w:t>č</w:t>
      </w:r>
      <w:r w:rsidRPr="006B0439">
        <w:rPr>
          <w:sz w:val="22"/>
          <w:szCs w:val="22"/>
          <w:lang w:val="sr-Latn-CS" w:eastAsia="sr-Latn-CS"/>
        </w:rPr>
        <w:t>ajevima gdje se smatra malo vjerovatnim da se pacijenti pridržavaju preporuka koje se odnose na zbrinjavanje neželjenih dejstava (u slu</w:t>
      </w:r>
      <w:r w:rsidRPr="006B0439">
        <w:rPr>
          <w:rFonts w:eastAsia="TimesNewRoman"/>
          <w:sz w:val="22"/>
          <w:szCs w:val="22"/>
          <w:lang w:val="sr-Latn-CS" w:eastAsia="sr-Latn-CS"/>
        </w:rPr>
        <w:t>č</w:t>
      </w:r>
      <w:r w:rsidRPr="006B0439">
        <w:rPr>
          <w:sz w:val="22"/>
          <w:szCs w:val="22"/>
          <w:lang w:val="sr-Latn-CS" w:eastAsia="sr-Latn-CS"/>
        </w:rPr>
        <w:t>aju pojave odložene dijareje, kada terapija zaustavljanja dijareje treba da po</w:t>
      </w:r>
      <w:r w:rsidRPr="006B0439">
        <w:rPr>
          <w:rFonts w:eastAsia="TimesNewRoman"/>
          <w:sz w:val="22"/>
          <w:szCs w:val="22"/>
          <w:lang w:val="sr-Latn-CS" w:eastAsia="sr-Latn-CS"/>
        </w:rPr>
        <w:t>č</w:t>
      </w:r>
      <w:r w:rsidRPr="006B0439">
        <w:rPr>
          <w:sz w:val="22"/>
          <w:szCs w:val="22"/>
          <w:lang w:val="sr-Latn-CS" w:eastAsia="sr-Latn-CS"/>
        </w:rPr>
        <w:t>ne odmah i da traje dovoljno dugo, uklju</w:t>
      </w:r>
      <w:r w:rsidRPr="006B0439">
        <w:rPr>
          <w:rFonts w:eastAsia="TimesNewRoman"/>
          <w:sz w:val="22"/>
          <w:szCs w:val="22"/>
          <w:lang w:val="sr-Latn-CS" w:eastAsia="sr-Latn-CS"/>
        </w:rPr>
        <w:t>č</w:t>
      </w:r>
      <w:r w:rsidRPr="006B0439">
        <w:rPr>
          <w:sz w:val="22"/>
          <w:szCs w:val="22"/>
          <w:lang w:val="sr-Latn-CS" w:eastAsia="sr-Latn-CS"/>
        </w:rPr>
        <w:t>uju</w:t>
      </w:r>
      <w:r w:rsidRPr="006B0439">
        <w:rPr>
          <w:rFonts w:eastAsia="TimesNewRoman"/>
          <w:sz w:val="22"/>
          <w:szCs w:val="22"/>
          <w:lang w:val="sr-Latn-CS" w:eastAsia="sr-Latn-CS"/>
        </w:rPr>
        <w:t>ć</w:t>
      </w:r>
      <w:r w:rsidRPr="006B0439">
        <w:rPr>
          <w:sz w:val="22"/>
          <w:szCs w:val="22"/>
          <w:lang w:val="sr-Latn-CS" w:eastAsia="sr-Latn-CS"/>
        </w:rPr>
        <w:t>i i unos velike koli</w:t>
      </w:r>
      <w:r w:rsidRPr="006B0439">
        <w:rPr>
          <w:rFonts w:eastAsia="TimesNewRoman"/>
          <w:sz w:val="22"/>
          <w:szCs w:val="22"/>
          <w:lang w:val="sr-Latn-CS" w:eastAsia="sr-Latn-CS"/>
        </w:rPr>
        <w:t>č</w:t>
      </w:r>
      <w:r w:rsidRPr="006B0439">
        <w:rPr>
          <w:sz w:val="22"/>
          <w:szCs w:val="22"/>
          <w:lang w:val="sr-Latn-CS" w:eastAsia="sr-Latn-CS"/>
        </w:rPr>
        <w:t>ine te</w:t>
      </w:r>
      <w:r w:rsidRPr="006B0439">
        <w:rPr>
          <w:rFonts w:eastAsia="TimesNewRoman"/>
          <w:sz w:val="22"/>
          <w:szCs w:val="22"/>
          <w:lang w:val="sr-Latn-CS" w:eastAsia="sr-Latn-CS"/>
        </w:rPr>
        <w:t>č</w:t>
      </w:r>
      <w:r w:rsidRPr="006B0439">
        <w:rPr>
          <w:sz w:val="22"/>
          <w:szCs w:val="22"/>
          <w:lang w:val="sr-Latn-CS" w:eastAsia="sr-Latn-CS"/>
        </w:rPr>
        <w:t xml:space="preserve">nosti). Kod takvih pacijenata neophodan je strogi intrahospitalni nadzor. </w:t>
      </w:r>
    </w:p>
    <w:p w:rsidR="00DD6FCF" w:rsidRPr="006B0439" w:rsidRDefault="00DD6FCF" w:rsidP="00DD6FCF">
      <w:pPr>
        <w:autoSpaceDE w:val="0"/>
        <w:autoSpaceDN w:val="0"/>
        <w:adjustRightInd w:val="0"/>
        <w:jc w:val="both"/>
        <w:rPr>
          <w:sz w:val="22"/>
          <w:szCs w:val="22"/>
          <w:lang w:val="sr-Latn-CS" w:eastAsia="sr-Latn-CS"/>
        </w:rPr>
      </w:pPr>
      <w:r w:rsidRPr="006B0439">
        <w:rPr>
          <w:sz w:val="22"/>
          <w:szCs w:val="22"/>
          <w:lang w:val="sr-Latn-CS" w:eastAsia="sr-Latn-CS"/>
        </w:rPr>
        <w:t>Kada se</w:t>
      </w:r>
      <w:r w:rsidR="00CB3E13" w:rsidRPr="006B0439">
        <w:rPr>
          <w:sz w:val="22"/>
          <w:szCs w:val="22"/>
          <w:lang w:val="sr-Latn-CS" w:eastAsia="sr-Latn-CS"/>
        </w:rPr>
        <w:t xml:space="preserve"> lijek</w:t>
      </w:r>
      <w:r w:rsidRPr="006B0439">
        <w:rPr>
          <w:sz w:val="22"/>
          <w:szCs w:val="22"/>
          <w:lang w:val="sr-Latn-CS" w:eastAsia="sr-Latn-CS"/>
        </w:rPr>
        <w:t xml:space="preserve"> IRITEC koristi u monoterapiji, obi</w:t>
      </w:r>
      <w:r w:rsidRPr="006B0439">
        <w:rPr>
          <w:rFonts w:eastAsia="TimesNewRoman"/>
          <w:sz w:val="22"/>
          <w:szCs w:val="22"/>
          <w:lang w:val="sr-Latn-CS" w:eastAsia="sr-Latn-CS"/>
        </w:rPr>
        <w:t>č</w:t>
      </w:r>
      <w:r w:rsidRPr="006B0439">
        <w:rPr>
          <w:sz w:val="22"/>
          <w:szCs w:val="22"/>
          <w:lang w:val="sr-Latn-CS" w:eastAsia="sr-Latn-CS"/>
        </w:rPr>
        <w:t>no se propisuje kao tronedeljni režim (davanje lijeka jednom u tri ned</w:t>
      </w:r>
      <w:r w:rsidR="002750EB" w:rsidRPr="006B0439">
        <w:rPr>
          <w:sz w:val="22"/>
          <w:szCs w:val="22"/>
          <w:lang w:val="sr-Latn-CS" w:eastAsia="sr-Latn-CS"/>
        </w:rPr>
        <w:t>j</w:t>
      </w:r>
      <w:r w:rsidRPr="006B0439">
        <w:rPr>
          <w:sz w:val="22"/>
          <w:szCs w:val="22"/>
          <w:lang w:val="sr-Latn-CS" w:eastAsia="sr-Latn-CS"/>
        </w:rPr>
        <w:t>elje). Me</w:t>
      </w:r>
      <w:r w:rsidRPr="006B0439">
        <w:rPr>
          <w:rFonts w:eastAsia="TimesNewRoman"/>
          <w:sz w:val="22"/>
          <w:szCs w:val="22"/>
          <w:lang w:val="sr-Latn-CS" w:eastAsia="sr-Latn-CS"/>
        </w:rPr>
        <w:t>đ</w:t>
      </w:r>
      <w:r w:rsidRPr="006B0439">
        <w:rPr>
          <w:sz w:val="22"/>
          <w:szCs w:val="22"/>
          <w:lang w:val="sr-Latn-CS" w:eastAsia="sr-Latn-CS"/>
        </w:rPr>
        <w:t xml:space="preserve">utim, treba uzeti u obzir i primjenu lijeka svake nedelje (vidjeti </w:t>
      </w:r>
      <w:r w:rsidR="002750EB" w:rsidRPr="006B0439">
        <w:rPr>
          <w:sz w:val="22"/>
          <w:szCs w:val="22"/>
          <w:lang w:val="sr-Latn-CS" w:eastAsia="sr-Latn-CS"/>
        </w:rPr>
        <w:t xml:space="preserve">dio </w:t>
      </w:r>
      <w:r w:rsidRPr="006B0439">
        <w:rPr>
          <w:sz w:val="22"/>
          <w:szCs w:val="22"/>
          <w:lang w:val="sr-Latn-CS" w:eastAsia="sr-Latn-CS"/>
        </w:rPr>
        <w:t>5) kod pacijenata koji zahtjevaju intenzivniji nadzor ili kod kojih postoji poseban rizik od teške neutropenije.</w:t>
      </w:r>
    </w:p>
    <w:p w:rsidR="00DD6FCF" w:rsidRPr="006B0439" w:rsidRDefault="00DD6FCF" w:rsidP="00DD6FCF">
      <w:pPr>
        <w:autoSpaceDE w:val="0"/>
        <w:autoSpaceDN w:val="0"/>
        <w:adjustRightInd w:val="0"/>
        <w:rPr>
          <w:sz w:val="22"/>
          <w:szCs w:val="22"/>
          <w:lang w:val="sr-Latn-CS" w:eastAsia="sr-Latn-CS"/>
        </w:rPr>
      </w:pPr>
    </w:p>
    <w:p w:rsidR="00DD6FCF" w:rsidRPr="006B0439" w:rsidRDefault="00DD6FCF" w:rsidP="00DD6FCF">
      <w:pPr>
        <w:autoSpaceDE w:val="0"/>
        <w:autoSpaceDN w:val="0"/>
        <w:adjustRightInd w:val="0"/>
        <w:rPr>
          <w:b/>
          <w:bCs/>
          <w:sz w:val="22"/>
          <w:szCs w:val="22"/>
          <w:lang w:val="sr-Latn-CS" w:eastAsia="sr-Latn-CS"/>
        </w:rPr>
      </w:pPr>
      <w:r w:rsidRPr="006B0439">
        <w:rPr>
          <w:b/>
          <w:bCs/>
          <w:sz w:val="22"/>
          <w:szCs w:val="22"/>
          <w:lang w:val="sr-Latn-CS" w:eastAsia="sr-Latn-CS"/>
        </w:rPr>
        <w:t>Odložena dijareja</w:t>
      </w:r>
    </w:p>
    <w:p w:rsidR="00DD6FCF" w:rsidRPr="006B0439" w:rsidRDefault="00DD6FCF" w:rsidP="00DD6FCF">
      <w:pPr>
        <w:autoSpaceDE w:val="0"/>
        <w:autoSpaceDN w:val="0"/>
        <w:adjustRightInd w:val="0"/>
        <w:rPr>
          <w:sz w:val="22"/>
          <w:szCs w:val="22"/>
          <w:lang w:val="sr-Latn-CS" w:eastAsia="sr-Latn-CS"/>
        </w:rPr>
      </w:pPr>
    </w:p>
    <w:p w:rsidR="00DD6FCF" w:rsidRPr="006B0439" w:rsidRDefault="00DD6FCF" w:rsidP="00DD6FCF">
      <w:pPr>
        <w:autoSpaceDE w:val="0"/>
        <w:autoSpaceDN w:val="0"/>
        <w:adjustRightInd w:val="0"/>
        <w:jc w:val="both"/>
        <w:rPr>
          <w:sz w:val="22"/>
          <w:szCs w:val="22"/>
          <w:lang w:val="sr-Latn-CS" w:eastAsia="sr-Latn-CS"/>
        </w:rPr>
      </w:pPr>
      <w:r w:rsidRPr="006B0439">
        <w:rPr>
          <w:sz w:val="22"/>
          <w:szCs w:val="22"/>
          <w:lang w:val="sr-Latn-CS" w:eastAsia="sr-Latn-CS"/>
        </w:rPr>
        <w:t>Pacijente treba upoznati sa rizikom od pojave odložene dijareje do koje dolazi poslije više od 24 h od primjene lijeka IRITEC i u bilo kom momentu prije sl</w:t>
      </w:r>
      <w:r w:rsidR="002750EB" w:rsidRPr="006B0439">
        <w:rPr>
          <w:sz w:val="22"/>
          <w:szCs w:val="22"/>
          <w:lang w:val="sr-Latn-CS" w:eastAsia="sr-Latn-CS"/>
        </w:rPr>
        <w:t>j</w:t>
      </w:r>
      <w:r w:rsidRPr="006B0439">
        <w:rPr>
          <w:sz w:val="22"/>
          <w:szCs w:val="22"/>
          <w:lang w:val="sr-Latn-CS" w:eastAsia="sr-Latn-CS"/>
        </w:rPr>
        <w:t>ede</w:t>
      </w:r>
      <w:r w:rsidRPr="006B0439">
        <w:rPr>
          <w:rFonts w:eastAsia="TimesNewRoman"/>
          <w:sz w:val="22"/>
          <w:szCs w:val="22"/>
          <w:lang w:val="sr-Latn-CS" w:eastAsia="sr-Latn-CS"/>
        </w:rPr>
        <w:t>ć</w:t>
      </w:r>
      <w:r w:rsidRPr="006B0439">
        <w:rPr>
          <w:sz w:val="22"/>
          <w:szCs w:val="22"/>
          <w:lang w:val="sr-Latn-CS" w:eastAsia="sr-Latn-CS"/>
        </w:rPr>
        <w:t>eg ciklusa. U monoterapiji, prva te</w:t>
      </w:r>
      <w:r w:rsidRPr="006B0439">
        <w:rPr>
          <w:rFonts w:eastAsia="TimesNewRoman"/>
          <w:sz w:val="22"/>
          <w:szCs w:val="22"/>
          <w:lang w:val="sr-Latn-CS" w:eastAsia="sr-Latn-CS"/>
        </w:rPr>
        <w:t>č</w:t>
      </w:r>
      <w:r w:rsidRPr="006B0439">
        <w:rPr>
          <w:sz w:val="22"/>
          <w:szCs w:val="22"/>
          <w:lang w:val="sr-Latn-CS" w:eastAsia="sr-Latn-CS"/>
        </w:rPr>
        <w:t>na stolica se javljala sa medijanom od 5 dana posl</w:t>
      </w:r>
      <w:r w:rsidR="002750EB" w:rsidRPr="006B0439">
        <w:rPr>
          <w:sz w:val="22"/>
          <w:szCs w:val="22"/>
          <w:lang w:val="sr-Latn-CS" w:eastAsia="sr-Latn-CS"/>
        </w:rPr>
        <w:t>ij</w:t>
      </w:r>
      <w:r w:rsidRPr="006B0439">
        <w:rPr>
          <w:sz w:val="22"/>
          <w:szCs w:val="22"/>
          <w:lang w:val="sr-Latn-CS" w:eastAsia="sr-Latn-CS"/>
        </w:rPr>
        <w:t xml:space="preserve">e infuzije lijeka IRITEC. Pacijenti treba </w:t>
      </w:r>
      <w:r w:rsidR="00CB3E13" w:rsidRPr="006B0439">
        <w:rPr>
          <w:sz w:val="22"/>
          <w:szCs w:val="22"/>
          <w:lang w:val="sr-Latn-CS" w:eastAsia="sr-Latn-CS"/>
        </w:rPr>
        <w:t>odmah</w:t>
      </w:r>
      <w:r w:rsidRPr="006B0439">
        <w:rPr>
          <w:sz w:val="22"/>
          <w:szCs w:val="22"/>
          <w:lang w:val="sr-Latn-CS" w:eastAsia="sr-Latn-CS"/>
        </w:rPr>
        <w:t xml:space="preserve"> da obavjeste ljekara o pojavi ove dijareje i da odmah zapo</w:t>
      </w:r>
      <w:r w:rsidRPr="006B0439">
        <w:rPr>
          <w:rFonts w:eastAsia="TimesNewRoman"/>
          <w:sz w:val="22"/>
          <w:szCs w:val="22"/>
          <w:lang w:val="sr-Latn-CS" w:eastAsia="sr-Latn-CS"/>
        </w:rPr>
        <w:t>č</w:t>
      </w:r>
      <w:r w:rsidRPr="006B0439">
        <w:rPr>
          <w:sz w:val="22"/>
          <w:szCs w:val="22"/>
          <w:lang w:val="sr-Latn-CS" w:eastAsia="sr-Latn-CS"/>
        </w:rPr>
        <w:t>nu sa odgovaraju</w:t>
      </w:r>
      <w:r w:rsidRPr="006B0439">
        <w:rPr>
          <w:rFonts w:eastAsia="TimesNewRoman"/>
          <w:sz w:val="22"/>
          <w:szCs w:val="22"/>
          <w:lang w:val="sr-Latn-CS" w:eastAsia="sr-Latn-CS"/>
        </w:rPr>
        <w:t>ć</w:t>
      </w:r>
      <w:r w:rsidRPr="006B0439">
        <w:rPr>
          <w:sz w:val="22"/>
          <w:szCs w:val="22"/>
          <w:lang w:val="sr-Latn-CS" w:eastAsia="sr-Latn-CS"/>
        </w:rPr>
        <w:t>om terapijom.</w:t>
      </w:r>
    </w:p>
    <w:p w:rsidR="00DD6FCF" w:rsidRPr="006B0439" w:rsidRDefault="00DD6FCF" w:rsidP="00DD6FCF">
      <w:pPr>
        <w:autoSpaceDE w:val="0"/>
        <w:autoSpaceDN w:val="0"/>
        <w:adjustRightInd w:val="0"/>
        <w:jc w:val="both"/>
        <w:rPr>
          <w:sz w:val="22"/>
          <w:szCs w:val="22"/>
          <w:lang w:val="sr-Latn-CS" w:eastAsia="sr-Latn-CS"/>
        </w:rPr>
      </w:pPr>
    </w:p>
    <w:p w:rsidR="00DD6FCF" w:rsidRPr="006B0439" w:rsidRDefault="00DD6FCF" w:rsidP="00DD6FCF">
      <w:pPr>
        <w:autoSpaceDE w:val="0"/>
        <w:autoSpaceDN w:val="0"/>
        <w:adjustRightInd w:val="0"/>
        <w:jc w:val="both"/>
        <w:rPr>
          <w:sz w:val="22"/>
          <w:szCs w:val="22"/>
          <w:lang w:val="sr-Latn-CS" w:eastAsia="sr-Latn-CS"/>
        </w:rPr>
      </w:pPr>
      <w:r w:rsidRPr="006B0439">
        <w:rPr>
          <w:sz w:val="22"/>
          <w:szCs w:val="22"/>
          <w:lang w:val="sr-Latn-CS" w:eastAsia="sr-Latn-CS"/>
        </w:rPr>
        <w:t>Pacijenti sa pove</w:t>
      </w:r>
      <w:r w:rsidRPr="006B0439">
        <w:rPr>
          <w:rFonts w:eastAsia="TimesNewRoman"/>
          <w:sz w:val="22"/>
          <w:szCs w:val="22"/>
          <w:lang w:val="sr-Latn-CS" w:eastAsia="sr-Latn-CS"/>
        </w:rPr>
        <w:t>ć</w:t>
      </w:r>
      <w:r w:rsidRPr="006B0439">
        <w:rPr>
          <w:sz w:val="22"/>
          <w:szCs w:val="22"/>
          <w:lang w:val="sr-Latn-CS" w:eastAsia="sr-Latn-CS"/>
        </w:rPr>
        <w:t>anim rizikom od pojave dijareje su oni koji su ve</w:t>
      </w:r>
      <w:r w:rsidRPr="006B0439">
        <w:rPr>
          <w:rFonts w:eastAsia="TimesNewRoman"/>
          <w:sz w:val="22"/>
          <w:szCs w:val="22"/>
          <w:lang w:val="sr-Latn-CS" w:eastAsia="sr-Latn-CS"/>
        </w:rPr>
        <w:t xml:space="preserve">ć </w:t>
      </w:r>
      <w:r w:rsidRPr="006B0439">
        <w:rPr>
          <w:sz w:val="22"/>
          <w:szCs w:val="22"/>
          <w:lang w:val="sr-Latn-CS" w:eastAsia="sr-Latn-CS"/>
        </w:rPr>
        <w:t>bili podvrgnuti radioterapiji abdomena i male karlice, oni sa hiperleukocitozom na po</w:t>
      </w:r>
      <w:r w:rsidRPr="006B0439">
        <w:rPr>
          <w:rFonts w:eastAsia="TimesNewRoman"/>
          <w:sz w:val="22"/>
          <w:szCs w:val="22"/>
          <w:lang w:val="sr-Latn-CS" w:eastAsia="sr-Latn-CS"/>
        </w:rPr>
        <w:t>č</w:t>
      </w:r>
      <w:r w:rsidRPr="006B0439">
        <w:rPr>
          <w:sz w:val="22"/>
          <w:szCs w:val="22"/>
          <w:lang w:val="sr-Latn-CS" w:eastAsia="sr-Latn-CS"/>
        </w:rPr>
        <w:t>etku liječenja, zatim pacijenti sa funkcionalnim statusom ≥ 2, kao i osobe ženskog pola. Ako se ne liječi sa odgovaraju</w:t>
      </w:r>
      <w:r w:rsidRPr="006B0439">
        <w:rPr>
          <w:rFonts w:eastAsia="TimesNewRoman"/>
          <w:sz w:val="22"/>
          <w:szCs w:val="22"/>
          <w:lang w:val="sr-Latn-CS" w:eastAsia="sr-Latn-CS"/>
        </w:rPr>
        <w:t>ć</w:t>
      </w:r>
      <w:r w:rsidRPr="006B0439">
        <w:rPr>
          <w:sz w:val="22"/>
          <w:szCs w:val="22"/>
          <w:lang w:val="sr-Latn-CS" w:eastAsia="sr-Latn-CS"/>
        </w:rPr>
        <w:t xml:space="preserve">om terapijom, dijareja može biti opasna po život, posebno kod pacijenata koji istovremeno imaju i neutropeniju. </w:t>
      </w:r>
    </w:p>
    <w:p w:rsidR="00DD6FCF" w:rsidRPr="006B0439" w:rsidRDefault="00DD6FCF" w:rsidP="00DD6FCF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CS" w:eastAsia="sr-Latn-CS"/>
        </w:rPr>
      </w:pPr>
    </w:p>
    <w:p w:rsidR="00DD6FCF" w:rsidRPr="006B0439" w:rsidRDefault="00DD6FCF" w:rsidP="00DD6FCF">
      <w:pPr>
        <w:autoSpaceDE w:val="0"/>
        <w:autoSpaceDN w:val="0"/>
        <w:adjustRightInd w:val="0"/>
        <w:jc w:val="both"/>
        <w:rPr>
          <w:sz w:val="22"/>
          <w:szCs w:val="22"/>
          <w:lang w:val="sr-Latn-CS" w:eastAsia="sr-Latn-CS"/>
        </w:rPr>
      </w:pPr>
      <w:r w:rsidRPr="006B0439">
        <w:rPr>
          <w:rFonts w:eastAsia="TimesNewRoman"/>
          <w:sz w:val="22"/>
          <w:szCs w:val="22"/>
          <w:lang w:val="sr-Latn-CS" w:eastAsia="sr-Latn-CS"/>
        </w:rPr>
        <w:t>Č</w:t>
      </w:r>
      <w:r w:rsidRPr="006B0439">
        <w:rPr>
          <w:sz w:val="22"/>
          <w:szCs w:val="22"/>
          <w:lang w:val="sr-Latn-CS" w:eastAsia="sr-Latn-CS"/>
        </w:rPr>
        <w:t>im se pojavi prva te</w:t>
      </w:r>
      <w:r w:rsidRPr="006B0439">
        <w:rPr>
          <w:rFonts w:eastAsia="TimesNewRoman"/>
          <w:sz w:val="22"/>
          <w:szCs w:val="22"/>
          <w:lang w:val="sr-Latn-CS" w:eastAsia="sr-Latn-CS"/>
        </w:rPr>
        <w:t>č</w:t>
      </w:r>
      <w:r w:rsidRPr="006B0439">
        <w:rPr>
          <w:sz w:val="22"/>
          <w:szCs w:val="22"/>
          <w:lang w:val="sr-Latn-CS" w:eastAsia="sr-Latn-CS"/>
        </w:rPr>
        <w:t>na stolica, pacijent treba da po</w:t>
      </w:r>
      <w:r w:rsidRPr="006B0439">
        <w:rPr>
          <w:rFonts w:eastAsia="TimesNewRoman"/>
          <w:sz w:val="22"/>
          <w:szCs w:val="22"/>
          <w:lang w:val="sr-Latn-CS" w:eastAsia="sr-Latn-CS"/>
        </w:rPr>
        <w:t>č</w:t>
      </w:r>
      <w:r w:rsidRPr="006B0439">
        <w:rPr>
          <w:sz w:val="22"/>
          <w:szCs w:val="22"/>
          <w:lang w:val="sr-Latn-CS" w:eastAsia="sr-Latn-CS"/>
        </w:rPr>
        <w:t>ne da pije velike koli</w:t>
      </w:r>
      <w:r w:rsidRPr="006B0439">
        <w:rPr>
          <w:rFonts w:eastAsia="TimesNewRoman"/>
          <w:sz w:val="22"/>
          <w:szCs w:val="22"/>
          <w:lang w:val="sr-Latn-CS" w:eastAsia="sr-Latn-CS"/>
        </w:rPr>
        <w:t>č</w:t>
      </w:r>
      <w:r w:rsidRPr="006B0439">
        <w:rPr>
          <w:sz w:val="22"/>
          <w:szCs w:val="22"/>
          <w:lang w:val="sr-Latn-CS" w:eastAsia="sr-Latn-CS"/>
        </w:rPr>
        <w:t>ine te</w:t>
      </w:r>
      <w:r w:rsidRPr="006B0439">
        <w:rPr>
          <w:rFonts w:eastAsia="TimesNewRoman"/>
          <w:sz w:val="22"/>
          <w:szCs w:val="22"/>
          <w:lang w:val="sr-Latn-CS" w:eastAsia="sr-Latn-CS"/>
        </w:rPr>
        <w:t>č</w:t>
      </w:r>
      <w:r w:rsidRPr="006B0439">
        <w:rPr>
          <w:sz w:val="22"/>
          <w:szCs w:val="22"/>
          <w:lang w:val="sr-Latn-CS" w:eastAsia="sr-Latn-CS"/>
        </w:rPr>
        <w:t>nosti (napitka) sa elektrolitima i smjesta zapo</w:t>
      </w:r>
      <w:r w:rsidRPr="006B0439">
        <w:rPr>
          <w:rFonts w:eastAsia="TimesNewRoman"/>
          <w:sz w:val="22"/>
          <w:szCs w:val="22"/>
          <w:lang w:val="sr-Latn-CS" w:eastAsia="sr-Latn-CS"/>
        </w:rPr>
        <w:t>č</w:t>
      </w:r>
      <w:r w:rsidRPr="006B0439">
        <w:rPr>
          <w:sz w:val="22"/>
          <w:szCs w:val="22"/>
          <w:lang w:val="sr-Latn-CS" w:eastAsia="sr-Latn-CS"/>
        </w:rPr>
        <w:t>ne sa odgovaraju</w:t>
      </w:r>
      <w:r w:rsidRPr="006B0439">
        <w:rPr>
          <w:rFonts w:eastAsia="TimesNewRoman"/>
          <w:sz w:val="22"/>
          <w:szCs w:val="22"/>
          <w:lang w:val="sr-Latn-CS" w:eastAsia="sr-Latn-CS"/>
        </w:rPr>
        <w:t>ć</w:t>
      </w:r>
      <w:r w:rsidRPr="006B0439">
        <w:rPr>
          <w:sz w:val="22"/>
          <w:szCs w:val="22"/>
          <w:lang w:val="sr-Latn-CS" w:eastAsia="sr-Latn-CS"/>
        </w:rPr>
        <w:t xml:space="preserve">om terapijom za zaustavljanje dijareje. Terapiju za zaustavljanje dijareje propisuje ljekar sa odjeljenja na kome je primjenjen preparat </w:t>
      </w:r>
      <w:r w:rsidR="00CB3E13" w:rsidRPr="006B0439">
        <w:rPr>
          <w:sz w:val="22"/>
          <w:szCs w:val="22"/>
          <w:lang w:val="sr-Latn-CS" w:eastAsia="sr-Latn-CS"/>
        </w:rPr>
        <w:t xml:space="preserve">iritec </w:t>
      </w:r>
      <w:r w:rsidRPr="006B0439">
        <w:rPr>
          <w:sz w:val="22"/>
          <w:szCs w:val="22"/>
          <w:lang w:val="sr-Latn-CS" w:eastAsia="sr-Latn-CS"/>
        </w:rPr>
        <w:t>IRITEC. Posl</w:t>
      </w:r>
      <w:r w:rsidR="002750EB" w:rsidRPr="006B0439">
        <w:rPr>
          <w:sz w:val="22"/>
          <w:szCs w:val="22"/>
          <w:lang w:val="sr-Latn-CS" w:eastAsia="sr-Latn-CS"/>
        </w:rPr>
        <w:t>ij</w:t>
      </w:r>
      <w:r w:rsidRPr="006B0439">
        <w:rPr>
          <w:sz w:val="22"/>
          <w:szCs w:val="22"/>
          <w:lang w:val="sr-Latn-CS" w:eastAsia="sr-Latn-CS"/>
        </w:rPr>
        <w:t>e otpusta iz bolnice, pacijent treba da se snabd</w:t>
      </w:r>
      <w:r w:rsidR="002750EB" w:rsidRPr="006B0439">
        <w:rPr>
          <w:sz w:val="22"/>
          <w:szCs w:val="22"/>
          <w:lang w:val="sr-Latn-CS" w:eastAsia="sr-Latn-CS"/>
        </w:rPr>
        <w:t>ij</w:t>
      </w:r>
      <w:r w:rsidRPr="006B0439">
        <w:rPr>
          <w:sz w:val="22"/>
          <w:szCs w:val="22"/>
          <w:lang w:val="sr-Latn-CS" w:eastAsia="sr-Latn-CS"/>
        </w:rPr>
        <w:t>e propisanim lijekom, tako da može da zapo</w:t>
      </w:r>
      <w:r w:rsidRPr="006B0439">
        <w:rPr>
          <w:rFonts w:eastAsia="TimesNewRoman"/>
          <w:sz w:val="22"/>
          <w:szCs w:val="22"/>
          <w:lang w:val="sr-Latn-CS" w:eastAsia="sr-Latn-CS"/>
        </w:rPr>
        <w:t>č</w:t>
      </w:r>
      <w:r w:rsidRPr="006B0439">
        <w:rPr>
          <w:sz w:val="22"/>
          <w:szCs w:val="22"/>
          <w:lang w:val="sr-Latn-CS" w:eastAsia="sr-Latn-CS"/>
        </w:rPr>
        <w:t xml:space="preserve">ne liječenje dijareje </w:t>
      </w:r>
      <w:r w:rsidRPr="006B0439">
        <w:rPr>
          <w:rFonts w:eastAsia="TimesNewRoman"/>
          <w:sz w:val="22"/>
          <w:szCs w:val="22"/>
          <w:lang w:val="sr-Latn-CS" w:eastAsia="sr-Latn-CS"/>
        </w:rPr>
        <w:t>č</w:t>
      </w:r>
      <w:r w:rsidRPr="006B0439">
        <w:rPr>
          <w:sz w:val="22"/>
          <w:szCs w:val="22"/>
          <w:lang w:val="sr-Latn-CS" w:eastAsia="sr-Latn-CS"/>
        </w:rPr>
        <w:t xml:space="preserve">im se ona pojavi. Osim toga, pacijenti treba da obavjeste da li se i kada dijareja pojavila, svog ljekara ili odjeljenje gde se </w:t>
      </w:r>
      <w:r w:rsidR="00CB3E13" w:rsidRPr="006B0439">
        <w:rPr>
          <w:sz w:val="22"/>
          <w:szCs w:val="22"/>
          <w:lang w:val="sr-Latn-CS" w:eastAsia="sr-Latn-CS"/>
        </w:rPr>
        <w:t xml:space="preserve">lijek </w:t>
      </w:r>
      <w:r w:rsidRPr="006B0439">
        <w:rPr>
          <w:sz w:val="22"/>
          <w:szCs w:val="22"/>
          <w:lang w:val="sr-Latn-CS" w:eastAsia="sr-Latn-CS"/>
        </w:rPr>
        <w:t>IRITEC primjenjuje.</w:t>
      </w:r>
    </w:p>
    <w:p w:rsidR="00DD6FCF" w:rsidRPr="006B0439" w:rsidRDefault="00DD6FCF" w:rsidP="00DD6FCF">
      <w:pPr>
        <w:autoSpaceDE w:val="0"/>
        <w:autoSpaceDN w:val="0"/>
        <w:adjustRightInd w:val="0"/>
        <w:jc w:val="both"/>
        <w:rPr>
          <w:sz w:val="22"/>
          <w:szCs w:val="22"/>
          <w:lang w:val="sr-Latn-CS" w:eastAsia="sr-Latn-CS"/>
        </w:rPr>
      </w:pPr>
    </w:p>
    <w:p w:rsidR="00DD6FCF" w:rsidRPr="006B0439" w:rsidRDefault="00DD6FCF" w:rsidP="00DD6FCF">
      <w:pPr>
        <w:autoSpaceDE w:val="0"/>
        <w:autoSpaceDN w:val="0"/>
        <w:adjustRightInd w:val="0"/>
        <w:jc w:val="both"/>
        <w:rPr>
          <w:sz w:val="22"/>
          <w:szCs w:val="22"/>
          <w:lang w:val="sr-Latn-CS" w:eastAsia="sr-Latn-CS"/>
        </w:rPr>
      </w:pPr>
      <w:r w:rsidRPr="006B0439">
        <w:rPr>
          <w:sz w:val="22"/>
          <w:szCs w:val="22"/>
          <w:lang w:val="sr-Latn-CS" w:eastAsia="sr-Latn-CS"/>
        </w:rPr>
        <w:t>Prema današnjim preporukama, terapija dijareje sastoji se od visokih doza loperamida (4 mg u prvoj dozi, a zatim po 2 mg na dva sata). U neizm</w:t>
      </w:r>
      <w:r w:rsidR="002750EB" w:rsidRPr="006B0439">
        <w:rPr>
          <w:sz w:val="22"/>
          <w:szCs w:val="22"/>
          <w:lang w:val="sr-Latn-CS" w:eastAsia="sr-Latn-CS"/>
        </w:rPr>
        <w:t>ij</w:t>
      </w:r>
      <w:r w:rsidRPr="006B0439">
        <w:rPr>
          <w:sz w:val="22"/>
          <w:szCs w:val="22"/>
          <w:lang w:val="sr-Latn-CS" w:eastAsia="sr-Latn-CS"/>
        </w:rPr>
        <w:t>enjenom obliku, ova terapija treba da traje 12 h nakon posl</w:t>
      </w:r>
      <w:r w:rsidR="002750EB" w:rsidRPr="006B0439">
        <w:rPr>
          <w:sz w:val="22"/>
          <w:szCs w:val="22"/>
          <w:lang w:val="sr-Latn-CS" w:eastAsia="sr-Latn-CS"/>
        </w:rPr>
        <w:t>j</w:t>
      </w:r>
      <w:r w:rsidRPr="006B0439">
        <w:rPr>
          <w:sz w:val="22"/>
          <w:szCs w:val="22"/>
          <w:lang w:val="sr-Latn-CS" w:eastAsia="sr-Latn-CS"/>
        </w:rPr>
        <w:t>ednje te</w:t>
      </w:r>
      <w:r w:rsidRPr="006B0439">
        <w:rPr>
          <w:rFonts w:eastAsia="TimesNewRoman"/>
          <w:sz w:val="22"/>
          <w:szCs w:val="22"/>
          <w:lang w:val="sr-Latn-CS" w:eastAsia="sr-Latn-CS"/>
        </w:rPr>
        <w:t>č</w:t>
      </w:r>
      <w:r w:rsidRPr="006B0439">
        <w:rPr>
          <w:sz w:val="22"/>
          <w:szCs w:val="22"/>
          <w:lang w:val="sr-Latn-CS" w:eastAsia="sr-Latn-CS"/>
        </w:rPr>
        <w:t>ne stolice i ne treba da se podešava. Ni u kom slu</w:t>
      </w:r>
      <w:r w:rsidRPr="006B0439">
        <w:rPr>
          <w:rFonts w:eastAsia="TimesNewRoman"/>
          <w:sz w:val="22"/>
          <w:szCs w:val="22"/>
          <w:lang w:val="sr-Latn-CS" w:eastAsia="sr-Latn-CS"/>
        </w:rPr>
        <w:t>č</w:t>
      </w:r>
      <w:r w:rsidRPr="006B0439">
        <w:rPr>
          <w:sz w:val="22"/>
          <w:szCs w:val="22"/>
          <w:lang w:val="sr-Latn-CS" w:eastAsia="sr-Latn-CS"/>
        </w:rPr>
        <w:t>aju, ove doze loperamida ne treba davati duže od 48 h bez prekida zbog rizika od pojave paraliti</w:t>
      </w:r>
      <w:r w:rsidRPr="006B0439">
        <w:rPr>
          <w:rFonts w:eastAsia="TimesNewRoman"/>
          <w:sz w:val="22"/>
          <w:szCs w:val="22"/>
          <w:lang w:val="sr-Latn-CS" w:eastAsia="sr-Latn-CS"/>
        </w:rPr>
        <w:t>č</w:t>
      </w:r>
      <w:r w:rsidRPr="006B0439">
        <w:rPr>
          <w:sz w:val="22"/>
          <w:szCs w:val="22"/>
          <w:lang w:val="sr-Latn-CS" w:eastAsia="sr-Latn-CS"/>
        </w:rPr>
        <w:t>kog ileusa, niti terapija loperamidom treba da traje kra</w:t>
      </w:r>
      <w:r w:rsidRPr="006B0439">
        <w:rPr>
          <w:rFonts w:eastAsia="TimesNewRoman"/>
          <w:sz w:val="22"/>
          <w:szCs w:val="22"/>
          <w:lang w:val="sr-Latn-CS" w:eastAsia="sr-Latn-CS"/>
        </w:rPr>
        <w:t>ć</w:t>
      </w:r>
      <w:r w:rsidRPr="006B0439">
        <w:rPr>
          <w:sz w:val="22"/>
          <w:szCs w:val="22"/>
          <w:lang w:val="sr-Latn-CS" w:eastAsia="sr-Latn-CS"/>
        </w:rPr>
        <w:t>e od 12 h.</w:t>
      </w:r>
    </w:p>
    <w:p w:rsidR="00DD6FCF" w:rsidRPr="006B0439" w:rsidRDefault="00DD6FCF" w:rsidP="00DD6FCF">
      <w:pPr>
        <w:autoSpaceDE w:val="0"/>
        <w:autoSpaceDN w:val="0"/>
        <w:adjustRightInd w:val="0"/>
        <w:rPr>
          <w:sz w:val="22"/>
          <w:szCs w:val="22"/>
          <w:lang w:val="sr-Latn-CS" w:eastAsia="sr-Latn-CS"/>
        </w:rPr>
      </w:pPr>
    </w:p>
    <w:p w:rsidR="00DD6FCF" w:rsidRPr="006B0439" w:rsidRDefault="00DD6FCF" w:rsidP="00DD6FCF">
      <w:pPr>
        <w:autoSpaceDE w:val="0"/>
        <w:autoSpaceDN w:val="0"/>
        <w:adjustRightInd w:val="0"/>
        <w:jc w:val="both"/>
        <w:rPr>
          <w:sz w:val="22"/>
          <w:szCs w:val="22"/>
          <w:lang w:val="sr-Latn-CS" w:eastAsia="sr-Latn-CS"/>
        </w:rPr>
      </w:pPr>
      <w:r w:rsidRPr="006B0439">
        <w:rPr>
          <w:sz w:val="22"/>
          <w:szCs w:val="22"/>
          <w:lang w:val="sr-Latn-CS" w:eastAsia="sr-Latn-CS"/>
        </w:rPr>
        <w:t>Terapiju za zaustavljanje dijareje treba dopuniti profilakti</w:t>
      </w:r>
      <w:r w:rsidRPr="006B0439">
        <w:rPr>
          <w:rFonts w:eastAsia="TimesNewRoman"/>
          <w:sz w:val="22"/>
          <w:szCs w:val="22"/>
          <w:lang w:val="sr-Latn-CS" w:eastAsia="sr-Latn-CS"/>
        </w:rPr>
        <w:t>č</w:t>
      </w:r>
      <w:r w:rsidRPr="006B0439">
        <w:rPr>
          <w:sz w:val="22"/>
          <w:szCs w:val="22"/>
          <w:lang w:val="sr-Latn-CS" w:eastAsia="sr-Latn-CS"/>
        </w:rPr>
        <w:t xml:space="preserve">kom primjenom antibiotika širokog spektra kod pacijenata koji istovremeno imaju tešku neutropeniju (broj neutrofila &lt; 500 </w:t>
      </w:r>
      <w:r w:rsidRPr="006B0439">
        <w:rPr>
          <w:rFonts w:eastAsia="TimesNewRoman"/>
          <w:sz w:val="22"/>
          <w:szCs w:val="22"/>
          <w:lang w:val="sr-Latn-CS" w:eastAsia="sr-Latn-CS"/>
        </w:rPr>
        <w:t>ć</w:t>
      </w:r>
      <w:r w:rsidRPr="006B0439">
        <w:rPr>
          <w:sz w:val="22"/>
          <w:szCs w:val="22"/>
          <w:lang w:val="sr-Latn-CS" w:eastAsia="sr-Latn-CS"/>
        </w:rPr>
        <w:t>elija/mm</w:t>
      </w:r>
      <w:r w:rsidRPr="006B0439">
        <w:rPr>
          <w:sz w:val="22"/>
          <w:szCs w:val="22"/>
          <w:vertAlign w:val="superscript"/>
          <w:lang w:val="sr-Latn-CS" w:eastAsia="sr-Latn-CS"/>
        </w:rPr>
        <w:t>3</w:t>
      </w:r>
      <w:r w:rsidRPr="006B0439">
        <w:rPr>
          <w:sz w:val="22"/>
          <w:szCs w:val="22"/>
          <w:lang w:val="sr-Latn-CS" w:eastAsia="sr-Latn-CS"/>
        </w:rPr>
        <w:t>).</w:t>
      </w:r>
    </w:p>
    <w:p w:rsidR="00DD6FCF" w:rsidRPr="006B0439" w:rsidRDefault="00DD6FCF" w:rsidP="00DD6FCF">
      <w:pPr>
        <w:autoSpaceDE w:val="0"/>
        <w:autoSpaceDN w:val="0"/>
        <w:adjustRightInd w:val="0"/>
        <w:jc w:val="both"/>
        <w:rPr>
          <w:sz w:val="22"/>
          <w:szCs w:val="22"/>
          <w:lang w:val="sr-Latn-CS" w:eastAsia="sr-Latn-CS"/>
        </w:rPr>
      </w:pPr>
    </w:p>
    <w:p w:rsidR="00DD6FCF" w:rsidRPr="006B0439" w:rsidRDefault="00DD6FCF" w:rsidP="00DD6FCF">
      <w:pPr>
        <w:autoSpaceDE w:val="0"/>
        <w:autoSpaceDN w:val="0"/>
        <w:adjustRightInd w:val="0"/>
        <w:jc w:val="both"/>
        <w:rPr>
          <w:sz w:val="22"/>
          <w:szCs w:val="22"/>
          <w:lang w:val="sr-Latn-CS" w:eastAsia="sr-Latn-CS"/>
        </w:rPr>
      </w:pPr>
      <w:r w:rsidRPr="006B0439">
        <w:rPr>
          <w:sz w:val="22"/>
          <w:szCs w:val="22"/>
          <w:lang w:val="sr-Latn-CS" w:eastAsia="sr-Latn-CS"/>
        </w:rPr>
        <w:t>Osim antibiotske terapije, u liječenju dijareje preporu</w:t>
      </w:r>
      <w:r w:rsidRPr="006B0439">
        <w:rPr>
          <w:rFonts w:eastAsia="TimesNewRoman"/>
          <w:sz w:val="22"/>
          <w:szCs w:val="22"/>
          <w:lang w:val="sr-Latn-CS" w:eastAsia="sr-Latn-CS"/>
        </w:rPr>
        <w:t>č</w:t>
      </w:r>
      <w:r w:rsidRPr="006B0439">
        <w:rPr>
          <w:sz w:val="22"/>
          <w:szCs w:val="22"/>
          <w:lang w:val="sr-Latn-CS" w:eastAsia="sr-Latn-CS"/>
        </w:rPr>
        <w:t>uje se i hospitalizacija u sl</w:t>
      </w:r>
      <w:r w:rsidR="002750EB" w:rsidRPr="006B0439">
        <w:rPr>
          <w:sz w:val="22"/>
          <w:szCs w:val="22"/>
          <w:lang w:val="sr-Latn-CS" w:eastAsia="sr-Latn-CS"/>
        </w:rPr>
        <w:t>j</w:t>
      </w:r>
      <w:r w:rsidRPr="006B0439">
        <w:rPr>
          <w:sz w:val="22"/>
          <w:szCs w:val="22"/>
          <w:lang w:val="sr-Latn-CS" w:eastAsia="sr-Latn-CS"/>
        </w:rPr>
        <w:t>ede</w:t>
      </w:r>
      <w:r w:rsidRPr="006B0439">
        <w:rPr>
          <w:rFonts w:eastAsia="TimesNewRoman"/>
          <w:sz w:val="22"/>
          <w:szCs w:val="22"/>
          <w:lang w:val="sr-Latn-CS" w:eastAsia="sr-Latn-CS"/>
        </w:rPr>
        <w:t>ć</w:t>
      </w:r>
      <w:r w:rsidRPr="006B0439">
        <w:rPr>
          <w:sz w:val="22"/>
          <w:szCs w:val="22"/>
          <w:lang w:val="sr-Latn-CS" w:eastAsia="sr-Latn-CS"/>
        </w:rPr>
        <w:t>im slu</w:t>
      </w:r>
      <w:r w:rsidRPr="006B0439">
        <w:rPr>
          <w:rFonts w:eastAsia="TimesNewRoman"/>
          <w:sz w:val="22"/>
          <w:szCs w:val="22"/>
          <w:lang w:val="sr-Latn-CS" w:eastAsia="sr-Latn-CS"/>
        </w:rPr>
        <w:t>č</w:t>
      </w:r>
      <w:r w:rsidRPr="006B0439">
        <w:rPr>
          <w:sz w:val="22"/>
          <w:szCs w:val="22"/>
          <w:lang w:val="sr-Latn-CS" w:eastAsia="sr-Latn-CS"/>
        </w:rPr>
        <w:t>ajevima:</w:t>
      </w:r>
    </w:p>
    <w:p w:rsidR="00DD6FCF" w:rsidRPr="006B0439" w:rsidRDefault="00DD6FCF" w:rsidP="00DD6FCF">
      <w:pPr>
        <w:autoSpaceDE w:val="0"/>
        <w:autoSpaceDN w:val="0"/>
        <w:adjustRightInd w:val="0"/>
        <w:jc w:val="both"/>
        <w:rPr>
          <w:sz w:val="22"/>
          <w:szCs w:val="22"/>
          <w:lang w:val="sr-Latn-CS" w:eastAsia="sr-Latn-CS"/>
        </w:rPr>
      </w:pPr>
      <w:r w:rsidRPr="006B0439">
        <w:rPr>
          <w:sz w:val="22"/>
          <w:szCs w:val="22"/>
          <w:lang w:val="sr-Latn-CS" w:eastAsia="sr-Latn-CS"/>
        </w:rPr>
        <w:t>- dijareja udružena sa povišenom</w:t>
      </w:r>
      <w:r w:rsidR="00CB3E13" w:rsidRPr="006B0439">
        <w:rPr>
          <w:sz w:val="22"/>
          <w:szCs w:val="22"/>
          <w:lang w:val="sr-Latn-CS" w:eastAsia="sr-Latn-CS"/>
        </w:rPr>
        <w:t xml:space="preserve"> tjelesnom</w:t>
      </w:r>
      <w:r w:rsidRPr="006B0439">
        <w:rPr>
          <w:sz w:val="22"/>
          <w:szCs w:val="22"/>
          <w:lang w:val="sr-Latn-CS" w:eastAsia="sr-Latn-CS"/>
        </w:rPr>
        <w:t xml:space="preserve"> temperaturom (groznicom);</w:t>
      </w:r>
    </w:p>
    <w:p w:rsidR="00DD6FCF" w:rsidRPr="006B0439" w:rsidRDefault="00DD6FCF" w:rsidP="00DD6FCF">
      <w:pPr>
        <w:autoSpaceDE w:val="0"/>
        <w:autoSpaceDN w:val="0"/>
        <w:adjustRightInd w:val="0"/>
        <w:jc w:val="both"/>
        <w:rPr>
          <w:sz w:val="22"/>
          <w:szCs w:val="22"/>
          <w:lang w:val="sr-Latn-CS" w:eastAsia="sr-Latn-CS"/>
        </w:rPr>
      </w:pPr>
      <w:r w:rsidRPr="006B0439">
        <w:rPr>
          <w:sz w:val="22"/>
          <w:szCs w:val="22"/>
          <w:lang w:val="sr-Latn-CS" w:eastAsia="sr-Latn-CS"/>
        </w:rPr>
        <w:t>- teška dijareja (koja zaht</w:t>
      </w:r>
      <w:r w:rsidR="002750EB" w:rsidRPr="006B0439">
        <w:rPr>
          <w:sz w:val="22"/>
          <w:szCs w:val="22"/>
          <w:lang w:val="sr-Latn-CS" w:eastAsia="sr-Latn-CS"/>
        </w:rPr>
        <w:t>i</w:t>
      </w:r>
      <w:r w:rsidRPr="006B0439">
        <w:rPr>
          <w:sz w:val="22"/>
          <w:szCs w:val="22"/>
          <w:lang w:val="sr-Latn-CS" w:eastAsia="sr-Latn-CS"/>
        </w:rPr>
        <w:t>jeva intravensku rehidrataciju);</w:t>
      </w:r>
    </w:p>
    <w:p w:rsidR="00DD6FCF" w:rsidRPr="006B0439" w:rsidRDefault="00DD6FCF" w:rsidP="00DD6FCF">
      <w:pPr>
        <w:autoSpaceDE w:val="0"/>
        <w:autoSpaceDN w:val="0"/>
        <w:adjustRightInd w:val="0"/>
        <w:jc w:val="both"/>
        <w:rPr>
          <w:sz w:val="22"/>
          <w:szCs w:val="22"/>
          <w:lang w:val="sr-Latn-CS" w:eastAsia="sr-Latn-CS"/>
        </w:rPr>
      </w:pPr>
      <w:r w:rsidRPr="006B0439">
        <w:rPr>
          <w:sz w:val="22"/>
          <w:szCs w:val="22"/>
          <w:lang w:val="sr-Latn-CS" w:eastAsia="sr-Latn-CS"/>
        </w:rPr>
        <w:t>- dijareja koja traje duže od 48 h posl</w:t>
      </w:r>
      <w:r w:rsidR="002750EB" w:rsidRPr="006B0439">
        <w:rPr>
          <w:sz w:val="22"/>
          <w:szCs w:val="22"/>
          <w:lang w:val="sr-Latn-CS" w:eastAsia="sr-Latn-CS"/>
        </w:rPr>
        <w:t>ij</w:t>
      </w:r>
      <w:r w:rsidRPr="006B0439">
        <w:rPr>
          <w:sz w:val="22"/>
          <w:szCs w:val="22"/>
          <w:lang w:val="sr-Latn-CS" w:eastAsia="sr-Latn-CS"/>
        </w:rPr>
        <w:t>e zapo</w:t>
      </w:r>
      <w:r w:rsidRPr="006B0439">
        <w:rPr>
          <w:rFonts w:eastAsia="TimesNewRoman"/>
          <w:sz w:val="22"/>
          <w:szCs w:val="22"/>
          <w:lang w:val="sr-Latn-CS" w:eastAsia="sr-Latn-CS"/>
        </w:rPr>
        <w:t>č</w:t>
      </w:r>
      <w:r w:rsidRPr="006B0439">
        <w:rPr>
          <w:sz w:val="22"/>
          <w:szCs w:val="22"/>
          <w:lang w:val="sr-Latn-CS" w:eastAsia="sr-Latn-CS"/>
        </w:rPr>
        <w:t>injanja terapije visokim dozama loperamida.</w:t>
      </w:r>
    </w:p>
    <w:p w:rsidR="00DD6FCF" w:rsidRPr="006B0439" w:rsidRDefault="00DD6FCF" w:rsidP="00DD6FCF">
      <w:pPr>
        <w:autoSpaceDE w:val="0"/>
        <w:autoSpaceDN w:val="0"/>
        <w:adjustRightInd w:val="0"/>
        <w:jc w:val="both"/>
        <w:rPr>
          <w:sz w:val="22"/>
          <w:szCs w:val="22"/>
          <w:lang w:val="sr-Latn-CS" w:eastAsia="sr-Latn-CS"/>
        </w:rPr>
      </w:pPr>
    </w:p>
    <w:p w:rsidR="00DD6FCF" w:rsidRPr="006B0439" w:rsidRDefault="00DD6FCF" w:rsidP="00DD6FCF">
      <w:pPr>
        <w:autoSpaceDE w:val="0"/>
        <w:autoSpaceDN w:val="0"/>
        <w:adjustRightInd w:val="0"/>
        <w:jc w:val="both"/>
        <w:rPr>
          <w:sz w:val="22"/>
          <w:szCs w:val="22"/>
          <w:lang w:val="sr-Latn-CS" w:eastAsia="sr-Latn-CS"/>
        </w:rPr>
      </w:pPr>
      <w:r w:rsidRPr="006B0439">
        <w:rPr>
          <w:sz w:val="22"/>
          <w:szCs w:val="22"/>
          <w:lang w:val="sr-Latn-CS" w:eastAsia="sr-Latn-CS"/>
        </w:rPr>
        <w:t>Loperamid ne treba davati u profilakti</w:t>
      </w:r>
      <w:r w:rsidRPr="006B0439">
        <w:rPr>
          <w:rFonts w:eastAsia="TimesNewRoman"/>
          <w:sz w:val="22"/>
          <w:szCs w:val="22"/>
          <w:lang w:val="sr-Latn-CS" w:eastAsia="sr-Latn-CS"/>
        </w:rPr>
        <w:t>č</w:t>
      </w:r>
      <w:r w:rsidRPr="006B0439">
        <w:rPr>
          <w:sz w:val="22"/>
          <w:szCs w:val="22"/>
          <w:lang w:val="sr-Latn-CS" w:eastAsia="sr-Latn-CS"/>
        </w:rPr>
        <w:t xml:space="preserve">ke svrhe, </w:t>
      </w:r>
      <w:r w:rsidRPr="006B0439">
        <w:rPr>
          <w:rFonts w:eastAsia="TimesNewRoman"/>
          <w:sz w:val="22"/>
          <w:szCs w:val="22"/>
          <w:lang w:val="sr-Latn-CS" w:eastAsia="sr-Latn-CS"/>
        </w:rPr>
        <w:t>č</w:t>
      </w:r>
      <w:r w:rsidRPr="006B0439">
        <w:rPr>
          <w:sz w:val="22"/>
          <w:szCs w:val="22"/>
          <w:lang w:val="sr-Latn-CS" w:eastAsia="sr-Latn-CS"/>
        </w:rPr>
        <w:t>ak ni kod pacijenata koji su ve</w:t>
      </w:r>
      <w:r w:rsidRPr="006B0439">
        <w:rPr>
          <w:rFonts w:eastAsia="TimesNewRoman"/>
          <w:sz w:val="22"/>
          <w:szCs w:val="22"/>
          <w:lang w:val="sr-Latn-CS" w:eastAsia="sr-Latn-CS"/>
        </w:rPr>
        <w:t xml:space="preserve">ć </w:t>
      </w:r>
      <w:r w:rsidRPr="006B0439">
        <w:rPr>
          <w:sz w:val="22"/>
          <w:szCs w:val="22"/>
          <w:lang w:val="sr-Latn-CS" w:eastAsia="sr-Latn-CS"/>
        </w:rPr>
        <w:t xml:space="preserve">imali odloženu dijareju tokom prethodnih ciklusa. </w:t>
      </w:r>
    </w:p>
    <w:p w:rsidR="00DD6FCF" w:rsidRPr="006B0439" w:rsidRDefault="00DD6FCF" w:rsidP="00DD6FCF">
      <w:pPr>
        <w:autoSpaceDE w:val="0"/>
        <w:autoSpaceDN w:val="0"/>
        <w:adjustRightInd w:val="0"/>
        <w:jc w:val="both"/>
        <w:rPr>
          <w:sz w:val="22"/>
          <w:szCs w:val="22"/>
          <w:lang w:val="sr-Latn-CS" w:eastAsia="sr-Latn-CS"/>
        </w:rPr>
      </w:pPr>
      <w:r w:rsidRPr="006B0439">
        <w:rPr>
          <w:sz w:val="22"/>
          <w:szCs w:val="22"/>
          <w:lang w:val="sr-Latn-CS" w:eastAsia="sr-Latn-CS"/>
        </w:rPr>
        <w:t>Kod pacijenata koji su imali tešku dijareju, preporu</w:t>
      </w:r>
      <w:r w:rsidRPr="006B0439">
        <w:rPr>
          <w:rFonts w:eastAsia="TimesNewRoman"/>
          <w:sz w:val="22"/>
          <w:szCs w:val="22"/>
          <w:lang w:val="sr-Latn-CS" w:eastAsia="sr-Latn-CS"/>
        </w:rPr>
        <w:t>č</w:t>
      </w:r>
      <w:r w:rsidRPr="006B0439">
        <w:rPr>
          <w:sz w:val="22"/>
          <w:szCs w:val="22"/>
          <w:lang w:val="sr-Latn-CS" w:eastAsia="sr-Latn-CS"/>
        </w:rPr>
        <w:t xml:space="preserve">uje se smanjenje doze za naredne cikluse (vidjeti </w:t>
      </w:r>
      <w:r w:rsidR="002750EB" w:rsidRPr="006B0439">
        <w:rPr>
          <w:sz w:val="22"/>
          <w:szCs w:val="22"/>
          <w:lang w:val="sr-Latn-CS" w:eastAsia="sr-Latn-CS"/>
        </w:rPr>
        <w:t xml:space="preserve">dio </w:t>
      </w:r>
      <w:r w:rsidRPr="006B0439">
        <w:rPr>
          <w:sz w:val="22"/>
          <w:szCs w:val="22"/>
          <w:lang w:val="sr-Latn-CS" w:eastAsia="sr-Latn-CS"/>
        </w:rPr>
        <w:t>4.2).</w:t>
      </w:r>
    </w:p>
    <w:p w:rsidR="00DD6FCF" w:rsidRPr="006B0439" w:rsidRDefault="00DD6FCF" w:rsidP="00DD6FCF">
      <w:pPr>
        <w:autoSpaceDE w:val="0"/>
        <w:autoSpaceDN w:val="0"/>
        <w:adjustRightInd w:val="0"/>
        <w:jc w:val="both"/>
        <w:rPr>
          <w:sz w:val="22"/>
          <w:szCs w:val="22"/>
          <w:lang w:val="sr-Latn-CS" w:eastAsia="sr-Latn-CS"/>
        </w:rPr>
      </w:pPr>
    </w:p>
    <w:p w:rsidR="00DD6FCF" w:rsidRPr="006B0439" w:rsidRDefault="00DD6FCF" w:rsidP="00DD6FCF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r-Latn-CS" w:eastAsia="sr-Latn-CS"/>
        </w:rPr>
      </w:pPr>
      <w:r w:rsidRPr="006B0439">
        <w:rPr>
          <w:b/>
          <w:bCs/>
          <w:sz w:val="22"/>
          <w:szCs w:val="22"/>
          <w:lang w:val="sr-Latn-CS" w:eastAsia="sr-Latn-CS"/>
        </w:rPr>
        <w:lastRenderedPageBreak/>
        <w:t>Hematologija</w:t>
      </w:r>
    </w:p>
    <w:p w:rsidR="00DD6FCF" w:rsidRPr="006B0439" w:rsidRDefault="00DD6FCF" w:rsidP="00DD6FCF">
      <w:pPr>
        <w:autoSpaceDE w:val="0"/>
        <w:autoSpaceDN w:val="0"/>
        <w:adjustRightInd w:val="0"/>
        <w:jc w:val="both"/>
        <w:rPr>
          <w:sz w:val="22"/>
          <w:szCs w:val="22"/>
          <w:lang w:val="sr-Latn-CS" w:eastAsia="sr-Latn-CS"/>
        </w:rPr>
      </w:pPr>
    </w:p>
    <w:p w:rsidR="00DD6FCF" w:rsidRPr="006B0439" w:rsidRDefault="00DD6FCF" w:rsidP="00DD6FCF">
      <w:pPr>
        <w:autoSpaceDE w:val="0"/>
        <w:autoSpaceDN w:val="0"/>
        <w:adjustRightInd w:val="0"/>
        <w:jc w:val="both"/>
        <w:rPr>
          <w:sz w:val="22"/>
          <w:szCs w:val="22"/>
          <w:lang w:val="sr-Latn-CS" w:eastAsia="sr-Latn-CS"/>
        </w:rPr>
      </w:pPr>
      <w:r w:rsidRPr="006B0439">
        <w:rPr>
          <w:sz w:val="22"/>
          <w:szCs w:val="22"/>
          <w:lang w:val="sr-Latn-CS" w:eastAsia="sr-Latn-CS"/>
        </w:rPr>
        <w:t>U kliničkim ispitivanjima, učestalost NCI CTC stepen 3 i 4 neutropenije bila je značajno viša kod pacijenata koji su već bili podvrgnuti zračenju abdomena i male karlice nego kod onih koji nisu primili takvo zračenje. Pacijenti sa ukupnim bilirubinom u serumu od 1,0 mg/dl ili više, na po</w:t>
      </w:r>
      <w:r w:rsidRPr="006B0439">
        <w:rPr>
          <w:rFonts w:eastAsia="TimesNewRoman"/>
          <w:sz w:val="22"/>
          <w:szCs w:val="22"/>
          <w:lang w:val="sr-Latn-CS" w:eastAsia="sr-Latn-CS"/>
        </w:rPr>
        <w:t>č</w:t>
      </w:r>
      <w:r w:rsidRPr="006B0439">
        <w:rPr>
          <w:sz w:val="22"/>
          <w:szCs w:val="22"/>
          <w:lang w:val="sr-Latn-CS" w:eastAsia="sr-Latn-CS"/>
        </w:rPr>
        <w:t>etku liječenja, takođe su imali značajno veću v</w:t>
      </w:r>
      <w:r w:rsidR="002750EB" w:rsidRPr="006B0439">
        <w:rPr>
          <w:sz w:val="22"/>
          <w:szCs w:val="22"/>
          <w:lang w:val="sr-Latn-CS" w:eastAsia="sr-Latn-CS"/>
        </w:rPr>
        <w:t>j</w:t>
      </w:r>
      <w:r w:rsidRPr="006B0439">
        <w:rPr>
          <w:sz w:val="22"/>
          <w:szCs w:val="22"/>
          <w:lang w:val="sr-Latn-CS" w:eastAsia="sr-Latn-CS"/>
        </w:rPr>
        <w:t>erovatnoću pojavljivanja neutropenije u prvom ciklusu stepena 3 ili 4 od onih koji su imali nivo bilirubina manji od 1,0 mg/dl.</w:t>
      </w:r>
    </w:p>
    <w:p w:rsidR="00DD6FCF" w:rsidRPr="006B0439" w:rsidRDefault="00DD6FCF" w:rsidP="00DD6FCF">
      <w:pPr>
        <w:autoSpaceDE w:val="0"/>
        <w:autoSpaceDN w:val="0"/>
        <w:adjustRightInd w:val="0"/>
        <w:jc w:val="both"/>
        <w:rPr>
          <w:sz w:val="22"/>
          <w:szCs w:val="22"/>
          <w:lang w:val="sr-Latn-CS" w:eastAsia="sr-Latn-CS"/>
        </w:rPr>
      </w:pPr>
    </w:p>
    <w:p w:rsidR="00DD6FCF" w:rsidRPr="006B0439" w:rsidRDefault="00DD6FCF" w:rsidP="00DD6FCF">
      <w:pPr>
        <w:autoSpaceDE w:val="0"/>
        <w:autoSpaceDN w:val="0"/>
        <w:adjustRightInd w:val="0"/>
        <w:jc w:val="both"/>
        <w:rPr>
          <w:sz w:val="22"/>
          <w:szCs w:val="22"/>
          <w:lang w:val="sr-Latn-CS" w:eastAsia="sr-Latn-CS"/>
        </w:rPr>
      </w:pPr>
      <w:r w:rsidRPr="006B0439">
        <w:rPr>
          <w:sz w:val="22"/>
          <w:szCs w:val="22"/>
          <w:lang w:val="sr-Latn-CS" w:eastAsia="sr-Latn-CS"/>
        </w:rPr>
        <w:t>Svake ned</w:t>
      </w:r>
      <w:r w:rsidR="002750EB" w:rsidRPr="006B0439">
        <w:rPr>
          <w:sz w:val="22"/>
          <w:szCs w:val="22"/>
          <w:lang w:val="sr-Latn-CS" w:eastAsia="sr-Latn-CS"/>
        </w:rPr>
        <w:t>j</w:t>
      </w:r>
      <w:r w:rsidRPr="006B0439">
        <w:rPr>
          <w:sz w:val="22"/>
          <w:szCs w:val="22"/>
          <w:lang w:val="sr-Latn-CS" w:eastAsia="sr-Latn-CS"/>
        </w:rPr>
        <w:t>elje treba kontrolisati cjelokupnu krvnu sliku tokom liječenja lijekom IRITEC. Pacijenti treba da budu upoznati sa rizikom od pojave neutropenije i zna</w:t>
      </w:r>
      <w:r w:rsidRPr="006B0439">
        <w:rPr>
          <w:rFonts w:eastAsia="TimesNewRoman"/>
          <w:sz w:val="22"/>
          <w:szCs w:val="22"/>
          <w:lang w:val="sr-Latn-CS" w:eastAsia="sr-Latn-CS"/>
        </w:rPr>
        <w:t>č</w:t>
      </w:r>
      <w:r w:rsidRPr="006B0439">
        <w:rPr>
          <w:sz w:val="22"/>
          <w:szCs w:val="22"/>
          <w:lang w:val="sr-Latn-CS" w:eastAsia="sr-Latn-CS"/>
        </w:rPr>
        <w:t xml:space="preserve">ajem pojave povišene temperature (groznice). Febrilnu neutropeniju (temperatura &gt; 38°C i broj neutrofila ≤ 1000 </w:t>
      </w:r>
      <w:r w:rsidRPr="006B0439">
        <w:rPr>
          <w:rFonts w:eastAsia="TimesNewRoman"/>
          <w:sz w:val="22"/>
          <w:szCs w:val="22"/>
          <w:lang w:val="sr-Latn-CS" w:eastAsia="sr-Latn-CS"/>
        </w:rPr>
        <w:t>ć</w:t>
      </w:r>
      <w:r w:rsidRPr="006B0439">
        <w:rPr>
          <w:sz w:val="22"/>
          <w:szCs w:val="22"/>
          <w:lang w:val="sr-Latn-CS" w:eastAsia="sr-Latn-CS"/>
        </w:rPr>
        <w:t>elija/mm</w:t>
      </w:r>
      <w:r w:rsidRPr="006B0439">
        <w:rPr>
          <w:sz w:val="22"/>
          <w:szCs w:val="22"/>
          <w:vertAlign w:val="superscript"/>
          <w:lang w:val="sr-Latn-CS" w:eastAsia="sr-Latn-CS"/>
        </w:rPr>
        <w:t>3</w:t>
      </w:r>
      <w:r w:rsidRPr="006B0439">
        <w:rPr>
          <w:sz w:val="22"/>
          <w:szCs w:val="22"/>
          <w:lang w:val="sr-Latn-CS" w:eastAsia="sr-Latn-CS"/>
        </w:rPr>
        <w:t>) treba odmah lije</w:t>
      </w:r>
      <w:r w:rsidRPr="006B0439">
        <w:rPr>
          <w:rFonts w:eastAsia="TimesNewRoman"/>
          <w:sz w:val="22"/>
          <w:szCs w:val="22"/>
          <w:lang w:val="sr-Latn-CS" w:eastAsia="sr-Latn-CS"/>
        </w:rPr>
        <w:t>č</w:t>
      </w:r>
      <w:r w:rsidRPr="006B0439">
        <w:rPr>
          <w:sz w:val="22"/>
          <w:szCs w:val="22"/>
          <w:lang w:val="sr-Latn-CS" w:eastAsia="sr-Latn-CS"/>
        </w:rPr>
        <w:t>iti intrahospitalno antibioticima širokog spektra za intravensku primjenu.</w:t>
      </w:r>
    </w:p>
    <w:p w:rsidR="00DD6FCF" w:rsidRPr="006B0439" w:rsidRDefault="00DD6FCF" w:rsidP="00DD6FCF">
      <w:pPr>
        <w:autoSpaceDE w:val="0"/>
        <w:autoSpaceDN w:val="0"/>
        <w:adjustRightInd w:val="0"/>
        <w:jc w:val="both"/>
        <w:rPr>
          <w:sz w:val="22"/>
          <w:szCs w:val="22"/>
          <w:lang w:val="sr-Latn-CS" w:eastAsia="sr-Latn-CS"/>
        </w:rPr>
      </w:pPr>
    </w:p>
    <w:p w:rsidR="00DD6FCF" w:rsidRPr="006B0439" w:rsidRDefault="00DD6FCF" w:rsidP="00DD6FCF">
      <w:pPr>
        <w:autoSpaceDE w:val="0"/>
        <w:autoSpaceDN w:val="0"/>
        <w:adjustRightInd w:val="0"/>
        <w:jc w:val="both"/>
        <w:rPr>
          <w:sz w:val="22"/>
          <w:szCs w:val="22"/>
          <w:lang w:val="sr-Latn-CS" w:eastAsia="sr-Latn-CS"/>
        </w:rPr>
      </w:pPr>
      <w:r w:rsidRPr="006B0439">
        <w:rPr>
          <w:sz w:val="22"/>
          <w:szCs w:val="22"/>
          <w:lang w:val="sr-Latn-CS" w:eastAsia="sr-Latn-CS"/>
        </w:rPr>
        <w:t>Kod pacijenata koji su imali teške hematološke doga</w:t>
      </w:r>
      <w:r w:rsidRPr="006B0439">
        <w:rPr>
          <w:rFonts w:eastAsia="TimesNewRoman"/>
          <w:sz w:val="22"/>
          <w:szCs w:val="22"/>
          <w:lang w:val="sr-Latn-CS" w:eastAsia="sr-Latn-CS"/>
        </w:rPr>
        <w:t>đ</w:t>
      </w:r>
      <w:r w:rsidRPr="006B0439">
        <w:rPr>
          <w:sz w:val="22"/>
          <w:szCs w:val="22"/>
          <w:lang w:val="sr-Latn-CS" w:eastAsia="sr-Latn-CS"/>
        </w:rPr>
        <w:t>aje, preporu</w:t>
      </w:r>
      <w:r w:rsidRPr="006B0439">
        <w:rPr>
          <w:rFonts w:eastAsia="TimesNewRoman"/>
          <w:sz w:val="22"/>
          <w:szCs w:val="22"/>
          <w:lang w:val="sr-Latn-CS" w:eastAsia="sr-Latn-CS"/>
        </w:rPr>
        <w:t>č</w:t>
      </w:r>
      <w:r w:rsidRPr="006B0439">
        <w:rPr>
          <w:sz w:val="22"/>
          <w:szCs w:val="22"/>
          <w:lang w:val="sr-Latn-CS" w:eastAsia="sr-Latn-CS"/>
        </w:rPr>
        <w:t>uje se smanjenje doze za slede</w:t>
      </w:r>
      <w:r w:rsidRPr="006B0439">
        <w:rPr>
          <w:rFonts w:eastAsia="TimesNewRoman"/>
          <w:sz w:val="22"/>
          <w:szCs w:val="22"/>
          <w:lang w:val="sr-Latn-CS" w:eastAsia="sr-Latn-CS"/>
        </w:rPr>
        <w:t>ć</w:t>
      </w:r>
      <w:r w:rsidRPr="006B0439">
        <w:rPr>
          <w:sz w:val="22"/>
          <w:szCs w:val="22"/>
          <w:lang w:val="sr-Latn-CS" w:eastAsia="sr-Latn-CS"/>
        </w:rPr>
        <w:t xml:space="preserve">i ciklus davanja lijeka (vidjeti </w:t>
      </w:r>
      <w:r w:rsidR="005D150F" w:rsidRPr="006B0439">
        <w:rPr>
          <w:sz w:val="22"/>
          <w:szCs w:val="22"/>
          <w:lang w:val="sr-Latn-CS" w:eastAsia="sr-Latn-CS"/>
        </w:rPr>
        <w:t xml:space="preserve">dio </w:t>
      </w:r>
      <w:r w:rsidRPr="006B0439">
        <w:rPr>
          <w:sz w:val="22"/>
          <w:szCs w:val="22"/>
          <w:lang w:val="sr-Latn-CS" w:eastAsia="sr-Latn-CS"/>
        </w:rPr>
        <w:t>4.2).</w:t>
      </w:r>
    </w:p>
    <w:p w:rsidR="00DD6FCF" w:rsidRPr="006B0439" w:rsidRDefault="00DD6FCF" w:rsidP="00DD6FCF">
      <w:pPr>
        <w:autoSpaceDE w:val="0"/>
        <w:autoSpaceDN w:val="0"/>
        <w:adjustRightInd w:val="0"/>
        <w:jc w:val="both"/>
        <w:rPr>
          <w:sz w:val="22"/>
          <w:szCs w:val="22"/>
          <w:lang w:val="sr-Latn-CS" w:eastAsia="sr-Latn-CS"/>
        </w:rPr>
      </w:pPr>
    </w:p>
    <w:p w:rsidR="00DD6FCF" w:rsidRPr="006B0439" w:rsidRDefault="00DD6FCF" w:rsidP="00DD6FCF">
      <w:pPr>
        <w:autoSpaceDE w:val="0"/>
        <w:autoSpaceDN w:val="0"/>
        <w:adjustRightInd w:val="0"/>
        <w:jc w:val="both"/>
        <w:rPr>
          <w:sz w:val="22"/>
          <w:szCs w:val="22"/>
          <w:lang w:val="sr-Latn-CS" w:eastAsia="sr-Latn-CS"/>
        </w:rPr>
      </w:pPr>
      <w:r w:rsidRPr="006B0439">
        <w:rPr>
          <w:sz w:val="22"/>
          <w:szCs w:val="22"/>
          <w:lang w:val="sr-Latn-CS" w:eastAsia="sr-Latn-CS"/>
        </w:rPr>
        <w:t>Kod pacijenata sa teškom dijarejom, pove</w:t>
      </w:r>
      <w:r w:rsidRPr="006B0439">
        <w:rPr>
          <w:rFonts w:eastAsia="TimesNewRoman"/>
          <w:sz w:val="22"/>
          <w:szCs w:val="22"/>
          <w:lang w:val="sr-Latn-CS" w:eastAsia="sr-Latn-CS"/>
        </w:rPr>
        <w:t>ć</w:t>
      </w:r>
      <w:r w:rsidRPr="006B0439">
        <w:rPr>
          <w:sz w:val="22"/>
          <w:szCs w:val="22"/>
          <w:lang w:val="sr-Latn-CS" w:eastAsia="sr-Latn-CS"/>
        </w:rPr>
        <w:t>an je rizik od infekcija i hematotoksi</w:t>
      </w:r>
      <w:r w:rsidRPr="006B0439">
        <w:rPr>
          <w:rFonts w:eastAsia="TimesNewRoman"/>
          <w:sz w:val="22"/>
          <w:szCs w:val="22"/>
          <w:lang w:val="sr-Latn-CS" w:eastAsia="sr-Latn-CS"/>
        </w:rPr>
        <w:t>č</w:t>
      </w:r>
      <w:r w:rsidRPr="006B0439">
        <w:rPr>
          <w:sz w:val="22"/>
          <w:szCs w:val="22"/>
          <w:lang w:val="sr-Latn-CS" w:eastAsia="sr-Latn-CS"/>
        </w:rPr>
        <w:t>nosti. Potrebna je kontrola cjelokupne krvne slike kod pacijenata sa teškom dijarejom.</w:t>
      </w:r>
    </w:p>
    <w:p w:rsidR="00DD6FCF" w:rsidRPr="006B0439" w:rsidRDefault="00DD6FCF" w:rsidP="00DD6FCF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r-Latn-CS" w:eastAsia="sr-Latn-CS"/>
        </w:rPr>
      </w:pPr>
    </w:p>
    <w:p w:rsidR="00DD6FCF" w:rsidRPr="006B0439" w:rsidRDefault="00DD6FCF" w:rsidP="00DD6FCF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r-Latn-CS" w:eastAsia="sr-Latn-CS"/>
        </w:rPr>
      </w:pPr>
      <w:r w:rsidRPr="006B0439">
        <w:rPr>
          <w:b/>
          <w:bCs/>
          <w:sz w:val="22"/>
          <w:szCs w:val="22"/>
          <w:lang w:val="sr-Latn-CS" w:eastAsia="sr-Latn-CS"/>
        </w:rPr>
        <w:t>Ošte</w:t>
      </w:r>
      <w:r w:rsidRPr="006B0439">
        <w:rPr>
          <w:rFonts w:eastAsia="TimesNewRoman,Bold"/>
          <w:b/>
          <w:bCs/>
          <w:sz w:val="22"/>
          <w:szCs w:val="22"/>
          <w:lang w:val="sr-Latn-CS" w:eastAsia="sr-Latn-CS"/>
        </w:rPr>
        <w:t>ć</w:t>
      </w:r>
      <w:r w:rsidRPr="006B0439">
        <w:rPr>
          <w:b/>
          <w:bCs/>
          <w:sz w:val="22"/>
          <w:szCs w:val="22"/>
          <w:lang w:val="sr-Latn-CS" w:eastAsia="sr-Latn-CS"/>
        </w:rPr>
        <w:t>enje</w:t>
      </w:r>
      <w:r w:rsidR="0095281F" w:rsidRPr="006B0439">
        <w:rPr>
          <w:b/>
          <w:bCs/>
          <w:sz w:val="22"/>
          <w:szCs w:val="22"/>
          <w:lang w:val="sr-Latn-CS" w:eastAsia="sr-Latn-CS"/>
        </w:rPr>
        <w:t xml:space="preserve"> funkcije</w:t>
      </w:r>
      <w:r w:rsidRPr="006B0439">
        <w:rPr>
          <w:b/>
          <w:bCs/>
          <w:sz w:val="22"/>
          <w:szCs w:val="22"/>
          <w:lang w:val="sr-Latn-CS" w:eastAsia="sr-Latn-CS"/>
        </w:rPr>
        <w:t xml:space="preserve"> jetre</w:t>
      </w:r>
    </w:p>
    <w:p w:rsidR="00DD6FCF" w:rsidRPr="006B0439" w:rsidRDefault="00DD6FCF" w:rsidP="00DD6FCF">
      <w:pPr>
        <w:autoSpaceDE w:val="0"/>
        <w:autoSpaceDN w:val="0"/>
        <w:adjustRightInd w:val="0"/>
        <w:jc w:val="both"/>
        <w:rPr>
          <w:sz w:val="22"/>
          <w:szCs w:val="22"/>
          <w:lang w:val="sr-Latn-CS" w:eastAsia="sr-Latn-CS"/>
        </w:rPr>
      </w:pPr>
    </w:p>
    <w:p w:rsidR="00DD6FCF" w:rsidRPr="006B0439" w:rsidRDefault="00DD6FCF" w:rsidP="00DD6FCF">
      <w:pPr>
        <w:autoSpaceDE w:val="0"/>
        <w:autoSpaceDN w:val="0"/>
        <w:adjustRightInd w:val="0"/>
        <w:jc w:val="both"/>
        <w:rPr>
          <w:sz w:val="22"/>
          <w:szCs w:val="22"/>
          <w:lang w:val="sr-Latn-CS" w:eastAsia="sr-Latn-CS"/>
        </w:rPr>
      </w:pPr>
      <w:r w:rsidRPr="006B0439">
        <w:rPr>
          <w:sz w:val="22"/>
          <w:szCs w:val="22"/>
          <w:lang w:val="sr-Latn-CS" w:eastAsia="sr-Latn-CS"/>
        </w:rPr>
        <w:t>Funkciju jetre treba testirati na po</w:t>
      </w:r>
      <w:r w:rsidRPr="006B0439">
        <w:rPr>
          <w:rFonts w:eastAsia="TimesNewRoman"/>
          <w:sz w:val="22"/>
          <w:szCs w:val="22"/>
          <w:lang w:val="sr-Latn-CS" w:eastAsia="sr-Latn-CS"/>
        </w:rPr>
        <w:t>č</w:t>
      </w:r>
      <w:r w:rsidRPr="006B0439">
        <w:rPr>
          <w:sz w:val="22"/>
          <w:szCs w:val="22"/>
          <w:lang w:val="sr-Latn-CS" w:eastAsia="sr-Latn-CS"/>
        </w:rPr>
        <w:t xml:space="preserve">etku liječenja i prije svakog ciklusa. </w:t>
      </w:r>
    </w:p>
    <w:p w:rsidR="00DD6FCF" w:rsidRPr="006B0439" w:rsidRDefault="00DD6FCF" w:rsidP="00DD6FCF">
      <w:pPr>
        <w:autoSpaceDE w:val="0"/>
        <w:autoSpaceDN w:val="0"/>
        <w:adjustRightInd w:val="0"/>
        <w:jc w:val="both"/>
        <w:rPr>
          <w:sz w:val="22"/>
          <w:szCs w:val="22"/>
          <w:lang w:val="sr-Latn-CS" w:eastAsia="sr-Latn-CS"/>
        </w:rPr>
      </w:pPr>
    </w:p>
    <w:p w:rsidR="00DD6FCF" w:rsidRPr="006B0439" w:rsidRDefault="0095281F" w:rsidP="00DD6FCF">
      <w:pPr>
        <w:autoSpaceDE w:val="0"/>
        <w:autoSpaceDN w:val="0"/>
        <w:adjustRightInd w:val="0"/>
        <w:jc w:val="both"/>
        <w:rPr>
          <w:sz w:val="22"/>
          <w:szCs w:val="22"/>
          <w:lang w:val="sr-Latn-CS" w:eastAsia="sr-Latn-CS"/>
        </w:rPr>
      </w:pPr>
      <w:r w:rsidRPr="006B0439">
        <w:rPr>
          <w:sz w:val="22"/>
          <w:szCs w:val="22"/>
          <w:lang w:val="sr-Latn-CS" w:eastAsia="sr-Latn-CS"/>
        </w:rPr>
        <w:t>Kompletnu</w:t>
      </w:r>
      <w:r w:rsidR="00DD6FCF" w:rsidRPr="006B0439">
        <w:rPr>
          <w:sz w:val="22"/>
          <w:szCs w:val="22"/>
          <w:lang w:val="sr-Latn-CS" w:eastAsia="sr-Latn-CS"/>
        </w:rPr>
        <w:t xml:space="preserve"> krvnu sliku treba kontrolisati jednom ned</w:t>
      </w:r>
      <w:r w:rsidR="005D150F" w:rsidRPr="006B0439">
        <w:rPr>
          <w:sz w:val="22"/>
          <w:szCs w:val="22"/>
          <w:lang w:val="sr-Latn-CS" w:eastAsia="sr-Latn-CS"/>
        </w:rPr>
        <w:t>j</w:t>
      </w:r>
      <w:r w:rsidR="00DD6FCF" w:rsidRPr="006B0439">
        <w:rPr>
          <w:sz w:val="22"/>
          <w:szCs w:val="22"/>
          <w:lang w:val="sr-Latn-CS" w:eastAsia="sr-Latn-CS"/>
        </w:rPr>
        <w:t>eljno kod pacijenata sa nivoima bilirubina koji su 1,5-3 puta ve</w:t>
      </w:r>
      <w:r w:rsidR="00DD6FCF" w:rsidRPr="006B0439">
        <w:rPr>
          <w:rFonts w:eastAsia="TimesNewRoman"/>
          <w:sz w:val="22"/>
          <w:szCs w:val="22"/>
          <w:lang w:val="sr-Latn-CS" w:eastAsia="sr-Latn-CS"/>
        </w:rPr>
        <w:t>ć</w:t>
      </w:r>
      <w:r w:rsidR="00DD6FCF" w:rsidRPr="006B0439">
        <w:rPr>
          <w:sz w:val="22"/>
          <w:szCs w:val="22"/>
          <w:lang w:val="sr-Latn-CS" w:eastAsia="sr-Latn-CS"/>
        </w:rPr>
        <w:t>i od gornje granice normalnih vrijednosti, zbog toga što je kod tih pacijenata smanjen klirens irinotekana</w:t>
      </w:r>
      <w:r w:rsidR="006653D8" w:rsidRPr="006B0439">
        <w:rPr>
          <w:sz w:val="22"/>
          <w:szCs w:val="22"/>
          <w:lang w:val="sr-Latn-CS" w:eastAsia="sr-Latn-CS"/>
        </w:rPr>
        <w:t xml:space="preserve"> (vidjeti </w:t>
      </w:r>
      <w:r w:rsidR="005D150F" w:rsidRPr="006B0439">
        <w:rPr>
          <w:sz w:val="22"/>
          <w:szCs w:val="22"/>
          <w:lang w:val="sr-Latn-CS" w:eastAsia="sr-Latn-CS"/>
        </w:rPr>
        <w:t xml:space="preserve">dio </w:t>
      </w:r>
      <w:r w:rsidR="006653D8" w:rsidRPr="006B0439">
        <w:rPr>
          <w:sz w:val="22"/>
          <w:szCs w:val="22"/>
          <w:lang w:val="sr-Latn-CS" w:eastAsia="sr-Latn-CS"/>
        </w:rPr>
        <w:t>5)</w:t>
      </w:r>
      <w:r w:rsidR="00DD6FCF" w:rsidRPr="006B0439">
        <w:rPr>
          <w:sz w:val="22"/>
          <w:szCs w:val="22"/>
          <w:lang w:val="sr-Latn-CS" w:eastAsia="sr-Latn-CS"/>
        </w:rPr>
        <w:t xml:space="preserve"> i</w:t>
      </w:r>
      <w:r w:rsidR="006653D8" w:rsidRPr="006B0439">
        <w:rPr>
          <w:sz w:val="22"/>
          <w:szCs w:val="22"/>
          <w:lang w:val="sr-Latn-CS" w:eastAsia="sr-Latn-CS"/>
        </w:rPr>
        <w:t xml:space="preserve"> time je</w:t>
      </w:r>
      <w:r w:rsidR="00DD6FCF" w:rsidRPr="006B0439">
        <w:rPr>
          <w:sz w:val="22"/>
          <w:szCs w:val="22"/>
          <w:lang w:val="sr-Latn-CS" w:eastAsia="sr-Latn-CS"/>
        </w:rPr>
        <w:t xml:space="preserve"> pove</w:t>
      </w:r>
      <w:r w:rsidR="00DD6FCF" w:rsidRPr="006B0439">
        <w:rPr>
          <w:rFonts w:eastAsia="TimesNewRoman"/>
          <w:sz w:val="22"/>
          <w:szCs w:val="22"/>
          <w:lang w:val="sr-Latn-CS" w:eastAsia="sr-Latn-CS"/>
        </w:rPr>
        <w:t>ć</w:t>
      </w:r>
      <w:r w:rsidR="00DD6FCF" w:rsidRPr="006B0439">
        <w:rPr>
          <w:sz w:val="22"/>
          <w:szCs w:val="22"/>
          <w:lang w:val="sr-Latn-CS" w:eastAsia="sr-Latn-CS"/>
        </w:rPr>
        <w:t>an rizik od hematotoksi</w:t>
      </w:r>
      <w:r w:rsidR="00DD6FCF" w:rsidRPr="006B0439">
        <w:rPr>
          <w:rFonts w:eastAsia="TimesNewRoman"/>
          <w:sz w:val="22"/>
          <w:szCs w:val="22"/>
          <w:lang w:val="sr-Latn-CS" w:eastAsia="sr-Latn-CS"/>
        </w:rPr>
        <w:t>č</w:t>
      </w:r>
      <w:r w:rsidR="00DD6FCF" w:rsidRPr="006B0439">
        <w:rPr>
          <w:sz w:val="22"/>
          <w:szCs w:val="22"/>
          <w:lang w:val="sr-Latn-CS" w:eastAsia="sr-Latn-CS"/>
        </w:rPr>
        <w:t>nosti. Irinotekan ne treba primjenjivati pacijentima sa nivoima bilirubina koji su &gt; 3 puta pove</w:t>
      </w:r>
      <w:r w:rsidR="00DD6FCF" w:rsidRPr="006B0439">
        <w:rPr>
          <w:rFonts w:eastAsia="TimesNewRoman"/>
          <w:sz w:val="22"/>
          <w:szCs w:val="22"/>
          <w:lang w:val="sr-Latn-CS" w:eastAsia="sr-Latn-CS"/>
        </w:rPr>
        <w:t>ć</w:t>
      </w:r>
      <w:r w:rsidR="00DD6FCF" w:rsidRPr="006B0439">
        <w:rPr>
          <w:sz w:val="22"/>
          <w:szCs w:val="22"/>
          <w:lang w:val="sr-Latn-CS" w:eastAsia="sr-Latn-CS"/>
        </w:rPr>
        <w:t xml:space="preserve">ani u odnosu na gornju granicu normalnih vrijednosti (vidjeti </w:t>
      </w:r>
      <w:r w:rsidR="005D150F" w:rsidRPr="006B0439">
        <w:rPr>
          <w:sz w:val="22"/>
          <w:szCs w:val="22"/>
          <w:lang w:val="sr-Latn-CS" w:eastAsia="sr-Latn-CS"/>
        </w:rPr>
        <w:t xml:space="preserve">dio </w:t>
      </w:r>
      <w:r w:rsidR="00DD6FCF" w:rsidRPr="006B0439">
        <w:rPr>
          <w:sz w:val="22"/>
          <w:szCs w:val="22"/>
          <w:lang w:val="sr-Latn-CS" w:eastAsia="sr-Latn-CS"/>
        </w:rPr>
        <w:t>4.3).</w:t>
      </w:r>
    </w:p>
    <w:p w:rsidR="00DD6FCF" w:rsidRPr="006B0439" w:rsidRDefault="00DD6FCF" w:rsidP="00DD6FCF">
      <w:pPr>
        <w:autoSpaceDE w:val="0"/>
        <w:autoSpaceDN w:val="0"/>
        <w:adjustRightInd w:val="0"/>
        <w:jc w:val="both"/>
        <w:rPr>
          <w:sz w:val="22"/>
          <w:szCs w:val="22"/>
          <w:lang w:val="sr-Latn-CS" w:eastAsia="sr-Latn-CS"/>
        </w:rPr>
      </w:pPr>
    </w:p>
    <w:p w:rsidR="00DD6FCF" w:rsidRPr="006B0439" w:rsidRDefault="00DD6FCF" w:rsidP="00DD6FCF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r-Latn-CS" w:eastAsia="sr-Latn-CS"/>
        </w:rPr>
      </w:pPr>
      <w:r w:rsidRPr="006B0439">
        <w:rPr>
          <w:b/>
          <w:bCs/>
          <w:sz w:val="22"/>
          <w:szCs w:val="22"/>
          <w:lang w:val="sr-Latn-CS" w:eastAsia="sr-Latn-CS"/>
        </w:rPr>
        <w:t>Mu</w:t>
      </w:r>
      <w:r w:rsidRPr="006B0439">
        <w:rPr>
          <w:rFonts w:eastAsia="TimesNewRoman,Bold"/>
          <w:b/>
          <w:bCs/>
          <w:sz w:val="22"/>
          <w:szCs w:val="22"/>
          <w:lang w:val="sr-Latn-CS" w:eastAsia="sr-Latn-CS"/>
        </w:rPr>
        <w:t>č</w:t>
      </w:r>
      <w:r w:rsidRPr="006B0439">
        <w:rPr>
          <w:b/>
          <w:bCs/>
          <w:sz w:val="22"/>
          <w:szCs w:val="22"/>
          <w:lang w:val="sr-Latn-CS" w:eastAsia="sr-Latn-CS"/>
        </w:rPr>
        <w:t>nina i povra</w:t>
      </w:r>
      <w:r w:rsidRPr="006B0439">
        <w:rPr>
          <w:rFonts w:eastAsia="TimesNewRoman,Bold"/>
          <w:b/>
          <w:bCs/>
          <w:sz w:val="22"/>
          <w:szCs w:val="22"/>
          <w:lang w:val="sr-Latn-CS" w:eastAsia="sr-Latn-CS"/>
        </w:rPr>
        <w:t>ć</w:t>
      </w:r>
      <w:r w:rsidRPr="006B0439">
        <w:rPr>
          <w:b/>
          <w:bCs/>
          <w:sz w:val="22"/>
          <w:szCs w:val="22"/>
          <w:lang w:val="sr-Latn-CS" w:eastAsia="sr-Latn-CS"/>
        </w:rPr>
        <w:t>anje</w:t>
      </w:r>
    </w:p>
    <w:p w:rsidR="00DD6FCF" w:rsidRPr="006B0439" w:rsidRDefault="00DD6FCF" w:rsidP="00DD6FCF">
      <w:pPr>
        <w:autoSpaceDE w:val="0"/>
        <w:autoSpaceDN w:val="0"/>
        <w:adjustRightInd w:val="0"/>
        <w:jc w:val="both"/>
        <w:rPr>
          <w:sz w:val="22"/>
          <w:szCs w:val="22"/>
          <w:lang w:val="sr-Latn-CS" w:eastAsia="sr-Latn-CS"/>
        </w:rPr>
      </w:pPr>
    </w:p>
    <w:p w:rsidR="00DD6FCF" w:rsidRPr="006B0439" w:rsidRDefault="00DD6FCF" w:rsidP="00DD6FCF">
      <w:pPr>
        <w:autoSpaceDE w:val="0"/>
        <w:autoSpaceDN w:val="0"/>
        <w:adjustRightInd w:val="0"/>
        <w:jc w:val="both"/>
        <w:rPr>
          <w:sz w:val="22"/>
          <w:szCs w:val="22"/>
          <w:lang w:val="sr-Latn-CS" w:eastAsia="sr-Latn-CS"/>
        </w:rPr>
      </w:pPr>
      <w:r w:rsidRPr="006B0439">
        <w:rPr>
          <w:sz w:val="22"/>
          <w:szCs w:val="22"/>
          <w:lang w:val="sr-Latn-CS" w:eastAsia="sr-Latn-CS"/>
        </w:rPr>
        <w:t>Preporu</w:t>
      </w:r>
      <w:r w:rsidRPr="006B0439">
        <w:rPr>
          <w:rFonts w:eastAsia="TimesNewRoman"/>
          <w:sz w:val="22"/>
          <w:szCs w:val="22"/>
          <w:lang w:val="sr-Latn-CS" w:eastAsia="sr-Latn-CS"/>
        </w:rPr>
        <w:t>č</w:t>
      </w:r>
      <w:r w:rsidRPr="006B0439">
        <w:rPr>
          <w:sz w:val="22"/>
          <w:szCs w:val="22"/>
          <w:lang w:val="sr-Latn-CS" w:eastAsia="sr-Latn-CS"/>
        </w:rPr>
        <w:t>uje se profilakti</w:t>
      </w:r>
      <w:r w:rsidRPr="006B0439">
        <w:rPr>
          <w:rFonts w:eastAsia="TimesNewRoman"/>
          <w:sz w:val="22"/>
          <w:szCs w:val="22"/>
          <w:lang w:val="sr-Latn-CS" w:eastAsia="sr-Latn-CS"/>
        </w:rPr>
        <w:t>č</w:t>
      </w:r>
      <w:r w:rsidRPr="006B0439">
        <w:rPr>
          <w:sz w:val="22"/>
          <w:szCs w:val="22"/>
          <w:lang w:val="sr-Latn-CS" w:eastAsia="sr-Latn-CS"/>
        </w:rPr>
        <w:t>ka primjena antiemetika prije svakog ciklusa primjene lijeka IRITEC. Mu</w:t>
      </w:r>
      <w:r w:rsidRPr="006B0439">
        <w:rPr>
          <w:rFonts w:eastAsia="TimesNewRoman"/>
          <w:sz w:val="22"/>
          <w:szCs w:val="22"/>
          <w:lang w:val="sr-Latn-CS" w:eastAsia="sr-Latn-CS"/>
        </w:rPr>
        <w:t>č</w:t>
      </w:r>
      <w:r w:rsidRPr="006B0439">
        <w:rPr>
          <w:sz w:val="22"/>
          <w:szCs w:val="22"/>
          <w:lang w:val="sr-Latn-CS" w:eastAsia="sr-Latn-CS"/>
        </w:rPr>
        <w:t>nina i povra</w:t>
      </w:r>
      <w:r w:rsidRPr="006B0439">
        <w:rPr>
          <w:rFonts w:eastAsia="TimesNewRoman"/>
          <w:sz w:val="22"/>
          <w:szCs w:val="22"/>
          <w:lang w:val="sr-Latn-CS" w:eastAsia="sr-Latn-CS"/>
        </w:rPr>
        <w:t>ć</w:t>
      </w:r>
      <w:r w:rsidRPr="006B0439">
        <w:rPr>
          <w:sz w:val="22"/>
          <w:szCs w:val="22"/>
          <w:lang w:val="sr-Latn-CS" w:eastAsia="sr-Latn-CS"/>
        </w:rPr>
        <w:t xml:space="preserve">anje su </w:t>
      </w:r>
      <w:r w:rsidRPr="006B0439">
        <w:rPr>
          <w:rFonts w:eastAsia="TimesNewRoman"/>
          <w:sz w:val="22"/>
          <w:szCs w:val="22"/>
          <w:lang w:val="sr-Latn-CS" w:eastAsia="sr-Latn-CS"/>
        </w:rPr>
        <w:t>č</w:t>
      </w:r>
      <w:r w:rsidRPr="006B0439">
        <w:rPr>
          <w:sz w:val="22"/>
          <w:szCs w:val="22"/>
          <w:lang w:val="sr-Latn-CS" w:eastAsia="sr-Latn-CS"/>
        </w:rPr>
        <w:t>esto prijavljeni. Pacijente sa povra</w:t>
      </w:r>
      <w:r w:rsidRPr="006B0439">
        <w:rPr>
          <w:rFonts w:eastAsia="TimesNewRoman"/>
          <w:sz w:val="22"/>
          <w:szCs w:val="22"/>
          <w:lang w:val="sr-Latn-CS" w:eastAsia="sr-Latn-CS"/>
        </w:rPr>
        <w:t>ć</w:t>
      </w:r>
      <w:r w:rsidRPr="006B0439">
        <w:rPr>
          <w:sz w:val="22"/>
          <w:szCs w:val="22"/>
          <w:lang w:val="sr-Latn-CS" w:eastAsia="sr-Latn-CS"/>
        </w:rPr>
        <w:t>anjem koje je udruženo sa odloženom dijarejom treba što pr</w:t>
      </w:r>
      <w:r w:rsidR="005D150F" w:rsidRPr="006B0439">
        <w:rPr>
          <w:sz w:val="22"/>
          <w:szCs w:val="22"/>
          <w:lang w:val="sr-Latn-CS" w:eastAsia="sr-Latn-CS"/>
        </w:rPr>
        <w:t>ij</w:t>
      </w:r>
      <w:r w:rsidRPr="006B0439">
        <w:rPr>
          <w:sz w:val="22"/>
          <w:szCs w:val="22"/>
          <w:lang w:val="sr-Latn-CS" w:eastAsia="sr-Latn-CS"/>
        </w:rPr>
        <w:t>e hospitalizovati u cilju liječenja.</w:t>
      </w:r>
    </w:p>
    <w:p w:rsidR="00DD6FCF" w:rsidRPr="006B0439" w:rsidRDefault="00DD6FCF" w:rsidP="00DD6FCF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r-Latn-CS" w:eastAsia="sr-Latn-CS"/>
        </w:rPr>
      </w:pPr>
    </w:p>
    <w:p w:rsidR="00DD6FCF" w:rsidRPr="006B0439" w:rsidRDefault="00DD6FCF" w:rsidP="00DD6FCF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r-Latn-CS" w:eastAsia="sr-Latn-CS"/>
        </w:rPr>
      </w:pPr>
      <w:r w:rsidRPr="006B0439">
        <w:rPr>
          <w:b/>
          <w:bCs/>
          <w:sz w:val="22"/>
          <w:szCs w:val="22"/>
          <w:lang w:val="sr-Latn-CS" w:eastAsia="sr-Latn-CS"/>
        </w:rPr>
        <w:t>Akutni holinergi</w:t>
      </w:r>
      <w:r w:rsidRPr="006B0439">
        <w:rPr>
          <w:rFonts w:eastAsia="TimesNewRoman,Bold"/>
          <w:b/>
          <w:bCs/>
          <w:sz w:val="22"/>
          <w:szCs w:val="22"/>
          <w:lang w:val="sr-Latn-CS" w:eastAsia="sr-Latn-CS"/>
        </w:rPr>
        <w:t>č</w:t>
      </w:r>
      <w:r w:rsidRPr="006B0439">
        <w:rPr>
          <w:b/>
          <w:bCs/>
          <w:sz w:val="22"/>
          <w:szCs w:val="22"/>
          <w:lang w:val="sr-Latn-CS" w:eastAsia="sr-Latn-CS"/>
        </w:rPr>
        <w:t>ki sindrom</w:t>
      </w:r>
    </w:p>
    <w:p w:rsidR="00DD6FCF" w:rsidRPr="006B0439" w:rsidRDefault="00DD6FCF" w:rsidP="00DD6FCF">
      <w:pPr>
        <w:autoSpaceDE w:val="0"/>
        <w:autoSpaceDN w:val="0"/>
        <w:adjustRightInd w:val="0"/>
        <w:jc w:val="both"/>
        <w:rPr>
          <w:sz w:val="22"/>
          <w:szCs w:val="22"/>
          <w:lang w:val="sr-Latn-CS" w:eastAsia="sr-Latn-CS"/>
        </w:rPr>
      </w:pPr>
    </w:p>
    <w:p w:rsidR="00DD6FCF" w:rsidRPr="006B0439" w:rsidRDefault="00DD6FCF" w:rsidP="00DD6FCF">
      <w:pPr>
        <w:autoSpaceDE w:val="0"/>
        <w:autoSpaceDN w:val="0"/>
        <w:adjustRightInd w:val="0"/>
        <w:jc w:val="both"/>
        <w:rPr>
          <w:sz w:val="22"/>
          <w:szCs w:val="22"/>
          <w:lang w:val="sr-Latn-CS" w:eastAsia="sr-Latn-CS"/>
        </w:rPr>
      </w:pPr>
      <w:r w:rsidRPr="006B0439">
        <w:rPr>
          <w:sz w:val="22"/>
          <w:szCs w:val="22"/>
          <w:lang w:val="sr-Latn-CS" w:eastAsia="sr-Latn-CS"/>
        </w:rPr>
        <w:t>Ukoliko do</w:t>
      </w:r>
      <w:r w:rsidRPr="006B0439">
        <w:rPr>
          <w:rFonts w:eastAsia="TimesNewRoman"/>
          <w:sz w:val="22"/>
          <w:szCs w:val="22"/>
          <w:lang w:val="sr-Latn-CS" w:eastAsia="sr-Latn-CS"/>
        </w:rPr>
        <w:t>đ</w:t>
      </w:r>
      <w:r w:rsidRPr="006B0439">
        <w:rPr>
          <w:sz w:val="22"/>
          <w:szCs w:val="22"/>
          <w:lang w:val="sr-Latn-CS" w:eastAsia="sr-Latn-CS"/>
        </w:rPr>
        <w:t>e do pojave akutnog holinergi</w:t>
      </w:r>
      <w:r w:rsidRPr="006B0439">
        <w:rPr>
          <w:rFonts w:eastAsia="TimesNewRoman"/>
          <w:sz w:val="22"/>
          <w:szCs w:val="22"/>
          <w:lang w:val="sr-Latn-CS" w:eastAsia="sr-Latn-CS"/>
        </w:rPr>
        <w:t>č</w:t>
      </w:r>
      <w:r w:rsidRPr="006B0439">
        <w:rPr>
          <w:sz w:val="22"/>
          <w:szCs w:val="22"/>
          <w:lang w:val="sr-Latn-CS" w:eastAsia="sr-Latn-CS"/>
        </w:rPr>
        <w:t>kog sindroma (definiše se kao rana pojava dijareje, uz brojne druge simptome kao što su znojenje, gr</w:t>
      </w:r>
      <w:r w:rsidRPr="006B0439">
        <w:rPr>
          <w:rFonts w:eastAsia="TimesNewRoman"/>
          <w:sz w:val="22"/>
          <w:szCs w:val="22"/>
          <w:lang w:val="sr-Latn-CS" w:eastAsia="sr-Latn-CS"/>
        </w:rPr>
        <w:t>č</w:t>
      </w:r>
      <w:r w:rsidRPr="006B0439">
        <w:rPr>
          <w:sz w:val="22"/>
          <w:szCs w:val="22"/>
          <w:lang w:val="sr-Latn-CS" w:eastAsia="sr-Latn-CS"/>
        </w:rPr>
        <w:t>evi u trbuhu</w:t>
      </w:r>
      <w:r w:rsidR="005D150F" w:rsidRPr="006B0439">
        <w:rPr>
          <w:sz w:val="22"/>
          <w:szCs w:val="22"/>
          <w:lang w:val="sr-Latn-CS" w:eastAsia="sr-Latn-CS"/>
        </w:rPr>
        <w:t>,</w:t>
      </w:r>
      <w:r w:rsidRPr="006B0439">
        <w:rPr>
          <w:sz w:val="22"/>
          <w:szCs w:val="22"/>
          <w:lang w:val="sr-Latn-CS" w:eastAsia="sr-Latn-CS"/>
        </w:rPr>
        <w:t>mioza i poja</w:t>
      </w:r>
      <w:r w:rsidRPr="006B0439">
        <w:rPr>
          <w:rFonts w:eastAsia="TimesNewRoman"/>
          <w:sz w:val="22"/>
          <w:szCs w:val="22"/>
          <w:lang w:val="sr-Latn-CS" w:eastAsia="sr-Latn-CS"/>
        </w:rPr>
        <w:t>č</w:t>
      </w:r>
      <w:r w:rsidRPr="006B0439">
        <w:rPr>
          <w:sz w:val="22"/>
          <w:szCs w:val="22"/>
          <w:lang w:val="sr-Latn-CS" w:eastAsia="sr-Latn-CS"/>
        </w:rPr>
        <w:t xml:space="preserve">ana salivacija), potrebno je primijeniti atropin-sulfat (0,25 mg, subkutano) osim ako nije klinički kontraindikovan (vidjeti </w:t>
      </w:r>
      <w:r w:rsidR="005D150F" w:rsidRPr="006B0439">
        <w:rPr>
          <w:sz w:val="22"/>
          <w:szCs w:val="22"/>
          <w:lang w:val="sr-Latn-CS" w:eastAsia="sr-Latn-CS"/>
        </w:rPr>
        <w:t xml:space="preserve">dio </w:t>
      </w:r>
      <w:r w:rsidRPr="006B0439">
        <w:rPr>
          <w:sz w:val="22"/>
          <w:szCs w:val="22"/>
          <w:lang w:val="sr-Latn-CS" w:eastAsia="sr-Latn-CS"/>
        </w:rPr>
        <w:t>4.8).</w:t>
      </w:r>
    </w:p>
    <w:p w:rsidR="00DD6FCF" w:rsidRPr="006B0439" w:rsidRDefault="00DD6FCF" w:rsidP="00DD6FCF">
      <w:pPr>
        <w:autoSpaceDE w:val="0"/>
        <w:autoSpaceDN w:val="0"/>
        <w:adjustRightInd w:val="0"/>
        <w:jc w:val="both"/>
        <w:rPr>
          <w:sz w:val="22"/>
          <w:szCs w:val="22"/>
          <w:lang w:val="sr-Latn-CS" w:eastAsia="sr-Latn-CS"/>
        </w:rPr>
      </w:pPr>
      <w:r w:rsidRPr="006B0439">
        <w:rPr>
          <w:sz w:val="22"/>
          <w:szCs w:val="22"/>
          <w:lang w:val="sr-Latn-CS" w:eastAsia="sr-Latn-CS"/>
        </w:rPr>
        <w:t>Ovi simptomi, koji se mogu pojaviti tokom ili kratko nakon infuzije irinotekana, i za koje se smatra da su u vezi sa antiholinesteraznim aktivnostima irinotekan osnovne sm</w:t>
      </w:r>
      <w:r w:rsidR="005D150F" w:rsidRPr="006B0439">
        <w:rPr>
          <w:sz w:val="22"/>
          <w:szCs w:val="22"/>
          <w:lang w:val="sr-Latn-CS" w:eastAsia="sr-Latn-CS"/>
        </w:rPr>
        <w:t>j</w:t>
      </w:r>
      <w:r w:rsidRPr="006B0439">
        <w:rPr>
          <w:sz w:val="22"/>
          <w:szCs w:val="22"/>
          <w:lang w:val="sr-Latn-CS" w:eastAsia="sr-Latn-CS"/>
        </w:rPr>
        <w:t>eše, a očekuje se da se javljaju češće sa višim dozama irinotekana.</w:t>
      </w:r>
    </w:p>
    <w:p w:rsidR="00DD6FCF" w:rsidRPr="006B0439" w:rsidRDefault="00DD6FCF" w:rsidP="00DD6FCF">
      <w:pPr>
        <w:autoSpaceDE w:val="0"/>
        <w:autoSpaceDN w:val="0"/>
        <w:adjustRightInd w:val="0"/>
        <w:jc w:val="both"/>
        <w:rPr>
          <w:sz w:val="22"/>
          <w:szCs w:val="22"/>
          <w:lang w:val="sr-Latn-CS" w:eastAsia="sr-Latn-CS"/>
        </w:rPr>
      </w:pPr>
      <w:r w:rsidRPr="006B0439">
        <w:rPr>
          <w:sz w:val="22"/>
          <w:szCs w:val="22"/>
          <w:lang w:val="sr-Latn-CS" w:eastAsia="sr-Latn-CS"/>
        </w:rPr>
        <w:t>Potrebna je i opreznost kod pacijenata sa astmom. Kod pacijenata koji su imali akutnu i tešku formu</w:t>
      </w:r>
      <w:r w:rsidR="0095281F" w:rsidRPr="006B0439">
        <w:rPr>
          <w:sz w:val="22"/>
          <w:szCs w:val="22"/>
          <w:lang w:val="sr-Latn-CS" w:eastAsia="sr-Latn-CS"/>
        </w:rPr>
        <w:t xml:space="preserve"> </w:t>
      </w:r>
      <w:r w:rsidRPr="006B0439">
        <w:rPr>
          <w:sz w:val="22"/>
          <w:szCs w:val="22"/>
          <w:lang w:val="sr-Latn-CS" w:eastAsia="sr-Latn-CS"/>
        </w:rPr>
        <w:t>holinergi</w:t>
      </w:r>
      <w:r w:rsidRPr="006B0439">
        <w:rPr>
          <w:rFonts w:eastAsia="TimesNewRoman"/>
          <w:sz w:val="22"/>
          <w:szCs w:val="22"/>
          <w:lang w:val="sr-Latn-CS" w:eastAsia="sr-Latn-CS"/>
        </w:rPr>
        <w:t>č</w:t>
      </w:r>
      <w:r w:rsidRPr="006B0439">
        <w:rPr>
          <w:sz w:val="22"/>
          <w:szCs w:val="22"/>
          <w:lang w:val="sr-Latn-CS" w:eastAsia="sr-Latn-CS"/>
        </w:rPr>
        <w:t>kog sindroma preporu</w:t>
      </w:r>
      <w:r w:rsidRPr="006B0439">
        <w:rPr>
          <w:rFonts w:eastAsia="TimesNewRoman"/>
          <w:sz w:val="22"/>
          <w:szCs w:val="22"/>
          <w:lang w:val="sr-Latn-CS" w:eastAsia="sr-Latn-CS"/>
        </w:rPr>
        <w:t>č</w:t>
      </w:r>
      <w:r w:rsidRPr="006B0439">
        <w:rPr>
          <w:sz w:val="22"/>
          <w:szCs w:val="22"/>
          <w:lang w:val="sr-Latn-CS" w:eastAsia="sr-Latn-CS"/>
        </w:rPr>
        <w:t>uje se profilakti</w:t>
      </w:r>
      <w:r w:rsidRPr="006B0439">
        <w:rPr>
          <w:rFonts w:eastAsia="TimesNewRoman"/>
          <w:sz w:val="22"/>
          <w:szCs w:val="22"/>
          <w:lang w:val="sr-Latn-CS" w:eastAsia="sr-Latn-CS"/>
        </w:rPr>
        <w:t>č</w:t>
      </w:r>
      <w:r w:rsidRPr="006B0439">
        <w:rPr>
          <w:sz w:val="22"/>
          <w:szCs w:val="22"/>
          <w:lang w:val="sr-Latn-CS" w:eastAsia="sr-Latn-CS"/>
        </w:rPr>
        <w:t>ka primjena atropin-sulfata prije primjene  narednih doza lijeka IRITEC.</w:t>
      </w:r>
    </w:p>
    <w:p w:rsidR="00DD6FCF" w:rsidRPr="006B0439" w:rsidRDefault="00DD6FCF" w:rsidP="00DD6FCF">
      <w:pPr>
        <w:autoSpaceDE w:val="0"/>
        <w:autoSpaceDN w:val="0"/>
        <w:adjustRightInd w:val="0"/>
        <w:jc w:val="both"/>
        <w:rPr>
          <w:sz w:val="22"/>
          <w:szCs w:val="22"/>
          <w:lang w:val="sr-Latn-CS" w:eastAsia="sr-Latn-CS"/>
        </w:rPr>
      </w:pPr>
    </w:p>
    <w:p w:rsidR="00DD6FCF" w:rsidRPr="006B0439" w:rsidRDefault="00DD6FCF" w:rsidP="00DD6FCF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r-Latn-CS" w:eastAsia="sr-Latn-CS"/>
        </w:rPr>
      </w:pPr>
      <w:r w:rsidRPr="006B0439">
        <w:rPr>
          <w:b/>
          <w:bCs/>
          <w:sz w:val="22"/>
          <w:szCs w:val="22"/>
          <w:lang w:val="sr-Latn-CS" w:eastAsia="sr-Latn-CS"/>
        </w:rPr>
        <w:t>Respiratorni poreme</w:t>
      </w:r>
      <w:r w:rsidRPr="006B0439">
        <w:rPr>
          <w:rFonts w:eastAsia="TimesNewRoman,Bold"/>
          <w:b/>
          <w:bCs/>
          <w:sz w:val="22"/>
          <w:szCs w:val="22"/>
          <w:lang w:val="sr-Latn-CS" w:eastAsia="sr-Latn-CS"/>
        </w:rPr>
        <w:t>ć</w:t>
      </w:r>
      <w:r w:rsidRPr="006B0439">
        <w:rPr>
          <w:b/>
          <w:bCs/>
          <w:sz w:val="22"/>
          <w:szCs w:val="22"/>
          <w:lang w:val="sr-Latn-CS" w:eastAsia="sr-Latn-CS"/>
        </w:rPr>
        <w:t>aji</w:t>
      </w:r>
    </w:p>
    <w:p w:rsidR="00DD6FCF" w:rsidRPr="006B0439" w:rsidRDefault="00DD6FCF" w:rsidP="00DD6FCF">
      <w:pPr>
        <w:autoSpaceDE w:val="0"/>
        <w:autoSpaceDN w:val="0"/>
        <w:adjustRightInd w:val="0"/>
        <w:jc w:val="both"/>
        <w:rPr>
          <w:sz w:val="22"/>
          <w:szCs w:val="22"/>
          <w:lang w:val="sr-Latn-CS" w:eastAsia="sr-Latn-CS"/>
        </w:rPr>
      </w:pPr>
    </w:p>
    <w:p w:rsidR="00DD6FCF" w:rsidRPr="006B0439" w:rsidRDefault="00DD6FCF" w:rsidP="00DD6FCF">
      <w:pPr>
        <w:autoSpaceDE w:val="0"/>
        <w:autoSpaceDN w:val="0"/>
        <w:adjustRightInd w:val="0"/>
        <w:jc w:val="both"/>
        <w:rPr>
          <w:sz w:val="22"/>
          <w:szCs w:val="22"/>
          <w:lang w:val="sr-Latn-CS" w:eastAsia="sr-Latn-CS"/>
        </w:rPr>
      </w:pPr>
      <w:r w:rsidRPr="006B0439">
        <w:rPr>
          <w:sz w:val="22"/>
          <w:szCs w:val="22"/>
          <w:lang w:val="sr-Latn-CS" w:eastAsia="sr-Latn-CS"/>
        </w:rPr>
        <w:t>Povremeno, tokom liječenja irinotekanom može do</w:t>
      </w:r>
      <w:r w:rsidRPr="006B0439">
        <w:rPr>
          <w:rFonts w:eastAsia="TimesNewRoman"/>
          <w:sz w:val="22"/>
          <w:szCs w:val="22"/>
          <w:lang w:val="sr-Latn-CS" w:eastAsia="sr-Latn-CS"/>
        </w:rPr>
        <w:t>ć</w:t>
      </w:r>
      <w:r w:rsidRPr="006B0439">
        <w:rPr>
          <w:sz w:val="22"/>
          <w:szCs w:val="22"/>
          <w:lang w:val="sr-Latn-CS" w:eastAsia="sr-Latn-CS"/>
        </w:rPr>
        <w:t>i do pojave intersticijalne bolesti plu</w:t>
      </w:r>
      <w:r w:rsidRPr="006B0439">
        <w:rPr>
          <w:rFonts w:eastAsia="TimesNewRoman"/>
          <w:sz w:val="22"/>
          <w:szCs w:val="22"/>
          <w:lang w:val="sr-Latn-CS" w:eastAsia="sr-Latn-CS"/>
        </w:rPr>
        <w:t>ć</w:t>
      </w:r>
      <w:r w:rsidRPr="006B0439">
        <w:rPr>
          <w:sz w:val="22"/>
          <w:szCs w:val="22"/>
          <w:lang w:val="sr-Latn-CS" w:eastAsia="sr-Latn-CS"/>
        </w:rPr>
        <w:t>a koja se manifestuje plu</w:t>
      </w:r>
      <w:r w:rsidRPr="006B0439">
        <w:rPr>
          <w:rFonts w:eastAsia="TimesNewRoman"/>
          <w:sz w:val="22"/>
          <w:szCs w:val="22"/>
          <w:lang w:val="sr-Latn-CS" w:eastAsia="sr-Latn-CS"/>
        </w:rPr>
        <w:t>ć</w:t>
      </w:r>
      <w:r w:rsidRPr="006B0439">
        <w:rPr>
          <w:sz w:val="22"/>
          <w:szCs w:val="22"/>
          <w:lang w:val="sr-Latn-CS" w:eastAsia="sr-Latn-CS"/>
        </w:rPr>
        <w:t>nim infiltratima. Intersticijalna bolest plu</w:t>
      </w:r>
      <w:r w:rsidRPr="006B0439">
        <w:rPr>
          <w:rFonts w:eastAsia="TimesNewRoman"/>
          <w:sz w:val="22"/>
          <w:szCs w:val="22"/>
          <w:lang w:val="sr-Latn-CS" w:eastAsia="sr-Latn-CS"/>
        </w:rPr>
        <w:t>ć</w:t>
      </w:r>
      <w:r w:rsidRPr="006B0439">
        <w:rPr>
          <w:sz w:val="22"/>
          <w:szCs w:val="22"/>
          <w:lang w:val="sr-Latn-CS" w:eastAsia="sr-Latn-CS"/>
        </w:rPr>
        <w:t>a može biti smrtonosna. Faktori rizika koji su vjerovatno povezani sa razvojem intersticijalne bolesti plu</w:t>
      </w:r>
      <w:r w:rsidRPr="006B0439">
        <w:rPr>
          <w:rFonts w:eastAsia="TimesNewRoman"/>
          <w:sz w:val="22"/>
          <w:szCs w:val="22"/>
          <w:lang w:val="sr-Latn-CS" w:eastAsia="sr-Latn-CS"/>
        </w:rPr>
        <w:t>ć</w:t>
      </w:r>
      <w:r w:rsidRPr="006B0439">
        <w:rPr>
          <w:sz w:val="22"/>
          <w:szCs w:val="22"/>
          <w:lang w:val="sr-Latn-CS" w:eastAsia="sr-Latn-CS"/>
        </w:rPr>
        <w:t>a uklju</w:t>
      </w:r>
      <w:r w:rsidRPr="006B0439">
        <w:rPr>
          <w:rFonts w:eastAsia="TimesNewRoman"/>
          <w:sz w:val="22"/>
          <w:szCs w:val="22"/>
          <w:lang w:val="sr-Latn-CS" w:eastAsia="sr-Latn-CS"/>
        </w:rPr>
        <w:t>č</w:t>
      </w:r>
      <w:r w:rsidRPr="006B0439">
        <w:rPr>
          <w:sz w:val="22"/>
          <w:szCs w:val="22"/>
          <w:lang w:val="sr-Latn-CS" w:eastAsia="sr-Latn-CS"/>
        </w:rPr>
        <w:t>uju koriš</w:t>
      </w:r>
      <w:r w:rsidRPr="006B0439">
        <w:rPr>
          <w:rFonts w:eastAsia="TimesNewRoman"/>
          <w:sz w:val="22"/>
          <w:szCs w:val="22"/>
          <w:lang w:val="sr-Latn-CS" w:eastAsia="sr-Latn-CS"/>
        </w:rPr>
        <w:t>ć</w:t>
      </w:r>
      <w:r w:rsidRPr="006B0439">
        <w:rPr>
          <w:sz w:val="22"/>
          <w:szCs w:val="22"/>
          <w:lang w:val="sr-Latn-CS" w:eastAsia="sr-Latn-CS"/>
        </w:rPr>
        <w:t>enje pneumotoksi</w:t>
      </w:r>
      <w:r w:rsidRPr="006B0439">
        <w:rPr>
          <w:rFonts w:eastAsia="TimesNewRoman"/>
          <w:sz w:val="22"/>
          <w:szCs w:val="22"/>
          <w:lang w:val="sr-Latn-CS" w:eastAsia="sr-Latn-CS"/>
        </w:rPr>
        <w:t>č</w:t>
      </w:r>
      <w:r w:rsidRPr="006B0439">
        <w:rPr>
          <w:sz w:val="22"/>
          <w:szCs w:val="22"/>
          <w:lang w:val="sr-Latn-CS" w:eastAsia="sr-Latn-CS"/>
        </w:rPr>
        <w:t>nih lijekova, radioterapiju i primjenu faktora stimulacije kolonija. Potrebno je intenzivno pra</w:t>
      </w:r>
      <w:r w:rsidRPr="006B0439">
        <w:rPr>
          <w:rFonts w:eastAsia="TimesNewRoman"/>
          <w:sz w:val="22"/>
          <w:szCs w:val="22"/>
          <w:lang w:val="sr-Latn-CS" w:eastAsia="sr-Latn-CS"/>
        </w:rPr>
        <w:t>ć</w:t>
      </w:r>
      <w:r w:rsidRPr="006B0439">
        <w:rPr>
          <w:sz w:val="22"/>
          <w:szCs w:val="22"/>
          <w:lang w:val="sr-Latn-CS" w:eastAsia="sr-Latn-CS"/>
        </w:rPr>
        <w:t>enje respiratornih simptoma kod pacijenata sa faktorima rizika prije i tokom liječenja irinotekanom.</w:t>
      </w:r>
    </w:p>
    <w:p w:rsidR="00DD6FCF" w:rsidRDefault="00DD6FCF" w:rsidP="00DD6FCF">
      <w:pPr>
        <w:autoSpaceDE w:val="0"/>
        <w:autoSpaceDN w:val="0"/>
        <w:adjustRightInd w:val="0"/>
        <w:jc w:val="both"/>
        <w:rPr>
          <w:sz w:val="22"/>
          <w:szCs w:val="22"/>
          <w:lang w:val="sr-Latn-CS" w:eastAsia="sr-Latn-CS"/>
        </w:rPr>
      </w:pPr>
    </w:p>
    <w:p w:rsidR="006B0439" w:rsidRDefault="006B0439" w:rsidP="00DD6FCF">
      <w:pPr>
        <w:autoSpaceDE w:val="0"/>
        <w:autoSpaceDN w:val="0"/>
        <w:adjustRightInd w:val="0"/>
        <w:jc w:val="both"/>
        <w:rPr>
          <w:sz w:val="22"/>
          <w:szCs w:val="22"/>
          <w:lang w:val="sr-Latn-CS" w:eastAsia="sr-Latn-CS"/>
        </w:rPr>
      </w:pPr>
    </w:p>
    <w:p w:rsidR="006B0439" w:rsidRPr="006B0439" w:rsidRDefault="006B0439" w:rsidP="00DD6FCF">
      <w:pPr>
        <w:autoSpaceDE w:val="0"/>
        <w:autoSpaceDN w:val="0"/>
        <w:adjustRightInd w:val="0"/>
        <w:jc w:val="both"/>
        <w:rPr>
          <w:sz w:val="22"/>
          <w:szCs w:val="22"/>
          <w:lang w:val="sr-Latn-CS" w:eastAsia="sr-Latn-CS"/>
        </w:rPr>
      </w:pPr>
    </w:p>
    <w:p w:rsidR="00DD6FCF" w:rsidRPr="006B0439" w:rsidRDefault="00DD6FCF" w:rsidP="00DD6FCF">
      <w:pPr>
        <w:autoSpaceDE w:val="0"/>
        <w:autoSpaceDN w:val="0"/>
        <w:adjustRightInd w:val="0"/>
        <w:jc w:val="both"/>
        <w:rPr>
          <w:b/>
          <w:sz w:val="22"/>
          <w:szCs w:val="22"/>
          <w:lang w:val="sr-Latn-CS" w:eastAsia="sr-Latn-CS"/>
        </w:rPr>
      </w:pPr>
      <w:r w:rsidRPr="006B0439">
        <w:rPr>
          <w:b/>
          <w:sz w:val="22"/>
          <w:szCs w:val="22"/>
          <w:lang w:val="sr-Latn-CS" w:eastAsia="sr-Latn-CS"/>
        </w:rPr>
        <w:lastRenderedPageBreak/>
        <w:t>Ekstravazacija</w:t>
      </w:r>
    </w:p>
    <w:p w:rsidR="00DD6FCF" w:rsidRPr="006B0439" w:rsidRDefault="00DD6FCF" w:rsidP="00DD6FCF">
      <w:pPr>
        <w:autoSpaceDE w:val="0"/>
        <w:autoSpaceDN w:val="0"/>
        <w:adjustRightInd w:val="0"/>
        <w:jc w:val="both"/>
        <w:rPr>
          <w:b/>
          <w:sz w:val="22"/>
          <w:szCs w:val="22"/>
          <w:lang w:val="sr-Latn-CS" w:eastAsia="sr-Latn-CS"/>
        </w:rPr>
      </w:pPr>
    </w:p>
    <w:p w:rsidR="00DD6FCF" w:rsidRPr="006B0439" w:rsidRDefault="00DD6FCF" w:rsidP="00DD6FCF">
      <w:pPr>
        <w:autoSpaceDE w:val="0"/>
        <w:autoSpaceDN w:val="0"/>
        <w:adjustRightInd w:val="0"/>
        <w:jc w:val="both"/>
        <w:rPr>
          <w:sz w:val="22"/>
          <w:szCs w:val="22"/>
          <w:lang w:val="sr-Latn-CS" w:eastAsia="sr-Latn-CS"/>
        </w:rPr>
      </w:pPr>
      <w:r w:rsidRPr="006B0439">
        <w:rPr>
          <w:sz w:val="22"/>
          <w:szCs w:val="22"/>
          <w:lang w:val="sr-Latn-CS" w:eastAsia="sr-Latn-CS"/>
        </w:rPr>
        <w:t>Iako</w:t>
      </w:r>
      <w:r w:rsidR="0095281F" w:rsidRPr="006B0439">
        <w:rPr>
          <w:sz w:val="22"/>
          <w:szCs w:val="22"/>
          <w:lang w:val="sr-Latn-CS" w:eastAsia="sr-Latn-CS"/>
        </w:rPr>
        <w:t xml:space="preserve"> irinotekan nije poznat kao vezikant</w:t>
      </w:r>
      <w:r w:rsidRPr="006B0439">
        <w:rPr>
          <w:sz w:val="22"/>
          <w:szCs w:val="22"/>
          <w:lang w:val="sr-Latn-CS" w:eastAsia="sr-Latn-CS"/>
        </w:rPr>
        <w:t>, treba voditi računa da se izbjegne ekstravazacija i treba pratiti mjesto primjene infuzije na pojavu znakova inflamacije. Ukoliko dođe da ekstravazacije, preporučuje se ispiranje mjesta primjene i primjena leda.</w:t>
      </w:r>
    </w:p>
    <w:p w:rsidR="00DD6FCF" w:rsidRPr="006B0439" w:rsidRDefault="00DD6FCF" w:rsidP="00DD6FCF">
      <w:pPr>
        <w:autoSpaceDE w:val="0"/>
        <w:autoSpaceDN w:val="0"/>
        <w:adjustRightInd w:val="0"/>
        <w:jc w:val="both"/>
        <w:rPr>
          <w:color w:val="FF0000"/>
          <w:sz w:val="22"/>
          <w:szCs w:val="22"/>
          <w:lang w:val="sr-Latn-CS" w:eastAsia="sr-Latn-CS"/>
        </w:rPr>
      </w:pPr>
      <w:r w:rsidRPr="006B0439">
        <w:rPr>
          <w:color w:val="FF0000"/>
          <w:sz w:val="22"/>
          <w:szCs w:val="22"/>
          <w:lang w:val="sr-Latn-CS" w:eastAsia="sr-Latn-CS"/>
        </w:rPr>
        <w:t xml:space="preserve"> </w:t>
      </w:r>
    </w:p>
    <w:p w:rsidR="00DD6FCF" w:rsidRPr="006B0439" w:rsidRDefault="00DD6FCF" w:rsidP="00DD6FCF">
      <w:pPr>
        <w:autoSpaceDE w:val="0"/>
        <w:autoSpaceDN w:val="0"/>
        <w:adjustRightInd w:val="0"/>
        <w:jc w:val="both"/>
        <w:rPr>
          <w:sz w:val="22"/>
          <w:szCs w:val="22"/>
          <w:lang w:val="sr-Latn-CS" w:eastAsia="sr-Latn-CS"/>
        </w:rPr>
      </w:pPr>
      <w:r w:rsidRPr="006B0439">
        <w:rPr>
          <w:b/>
          <w:bCs/>
          <w:sz w:val="22"/>
          <w:szCs w:val="22"/>
          <w:lang w:val="sr-Latn-CS" w:eastAsia="sr-Latn-CS"/>
        </w:rPr>
        <w:t>Stariji</w:t>
      </w:r>
      <w:r w:rsidR="006653D8" w:rsidRPr="006B0439">
        <w:rPr>
          <w:b/>
          <w:bCs/>
          <w:sz w:val="22"/>
          <w:szCs w:val="22"/>
          <w:lang w:val="sr-Latn-CS" w:eastAsia="sr-Latn-CS"/>
        </w:rPr>
        <w:t xml:space="preserve"> pacijenti</w:t>
      </w:r>
    </w:p>
    <w:p w:rsidR="00DD6FCF" w:rsidRPr="006B0439" w:rsidRDefault="00DD6FCF" w:rsidP="00DD6FCF">
      <w:pPr>
        <w:autoSpaceDE w:val="0"/>
        <w:autoSpaceDN w:val="0"/>
        <w:adjustRightInd w:val="0"/>
        <w:jc w:val="both"/>
        <w:rPr>
          <w:sz w:val="22"/>
          <w:szCs w:val="22"/>
          <w:lang w:val="sr-Latn-CS" w:eastAsia="sr-Latn-CS"/>
        </w:rPr>
      </w:pPr>
    </w:p>
    <w:p w:rsidR="00DD6FCF" w:rsidRPr="006B0439" w:rsidRDefault="00DD6FCF" w:rsidP="00DD6FCF">
      <w:pPr>
        <w:autoSpaceDE w:val="0"/>
        <w:autoSpaceDN w:val="0"/>
        <w:adjustRightInd w:val="0"/>
        <w:jc w:val="both"/>
        <w:rPr>
          <w:sz w:val="22"/>
          <w:szCs w:val="22"/>
          <w:lang w:val="sr-Latn-CS" w:eastAsia="sr-Latn-CS"/>
        </w:rPr>
      </w:pPr>
      <w:r w:rsidRPr="006B0439">
        <w:rPr>
          <w:sz w:val="22"/>
          <w:szCs w:val="22"/>
          <w:lang w:val="sr-Latn-CS" w:eastAsia="sr-Latn-CS"/>
        </w:rPr>
        <w:t xml:space="preserve">Zbog </w:t>
      </w:r>
      <w:r w:rsidRPr="006B0439">
        <w:rPr>
          <w:rFonts w:eastAsia="TimesNewRoman"/>
          <w:sz w:val="22"/>
          <w:szCs w:val="22"/>
          <w:lang w:val="sr-Latn-CS" w:eastAsia="sr-Latn-CS"/>
        </w:rPr>
        <w:t>č</w:t>
      </w:r>
      <w:r w:rsidRPr="006B0439">
        <w:rPr>
          <w:sz w:val="22"/>
          <w:szCs w:val="22"/>
          <w:lang w:val="sr-Latn-CS" w:eastAsia="sr-Latn-CS"/>
        </w:rPr>
        <w:t>eš</w:t>
      </w:r>
      <w:r w:rsidRPr="006B0439">
        <w:rPr>
          <w:rFonts w:eastAsia="TimesNewRoman"/>
          <w:sz w:val="22"/>
          <w:szCs w:val="22"/>
          <w:lang w:val="sr-Latn-CS" w:eastAsia="sr-Latn-CS"/>
        </w:rPr>
        <w:t>ć</w:t>
      </w:r>
      <w:r w:rsidRPr="006B0439">
        <w:rPr>
          <w:sz w:val="22"/>
          <w:szCs w:val="22"/>
          <w:lang w:val="sr-Latn-CS" w:eastAsia="sr-Latn-CS"/>
        </w:rPr>
        <w:t xml:space="preserve">e pojave slabljenja bioloških funkcija, posebno funkcije jetre, </w:t>
      </w:r>
      <w:r w:rsidR="006653D8" w:rsidRPr="006B0439">
        <w:rPr>
          <w:sz w:val="22"/>
          <w:szCs w:val="22"/>
          <w:lang w:val="sr-Latn-CS" w:eastAsia="sr-Latn-CS"/>
        </w:rPr>
        <w:t xml:space="preserve">kod starijih pcijenata </w:t>
      </w:r>
      <w:r w:rsidRPr="006B0439">
        <w:rPr>
          <w:sz w:val="22"/>
          <w:szCs w:val="22"/>
          <w:lang w:val="sr-Latn-CS" w:eastAsia="sr-Latn-CS"/>
        </w:rPr>
        <w:t xml:space="preserve">potrebna je opreznost pri izboru doza lijeka IRITEC kod ove grupe pacijenata (vidjeti </w:t>
      </w:r>
      <w:r w:rsidR="005D150F" w:rsidRPr="006B0439">
        <w:rPr>
          <w:sz w:val="22"/>
          <w:szCs w:val="22"/>
          <w:lang w:val="sr-Latn-CS" w:eastAsia="sr-Latn-CS"/>
        </w:rPr>
        <w:t xml:space="preserve">dio </w:t>
      </w:r>
      <w:r w:rsidRPr="006B0439">
        <w:rPr>
          <w:sz w:val="22"/>
          <w:szCs w:val="22"/>
          <w:lang w:val="sr-Latn-CS" w:eastAsia="sr-Latn-CS"/>
        </w:rPr>
        <w:t>4.2).</w:t>
      </w:r>
    </w:p>
    <w:p w:rsidR="00DD6FCF" w:rsidRPr="006B0439" w:rsidRDefault="00DD6FCF" w:rsidP="00DD6FCF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r-Latn-CS" w:eastAsia="sr-Latn-CS"/>
        </w:rPr>
      </w:pPr>
    </w:p>
    <w:p w:rsidR="00DD6FCF" w:rsidRPr="006B0439" w:rsidRDefault="00DD6FCF" w:rsidP="00DD6FCF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r-Latn-CS" w:eastAsia="sr-Latn-CS"/>
        </w:rPr>
      </w:pPr>
      <w:r w:rsidRPr="006B0439">
        <w:rPr>
          <w:b/>
          <w:bCs/>
          <w:sz w:val="22"/>
          <w:szCs w:val="22"/>
          <w:lang w:val="sr-Latn-CS" w:eastAsia="sr-Latn-CS"/>
        </w:rPr>
        <w:t>Pacijenti sa hroničnom zapaljenjem crijeva i/ili opstrukcijom crijeva</w:t>
      </w:r>
    </w:p>
    <w:p w:rsidR="00DD6FCF" w:rsidRPr="006B0439" w:rsidRDefault="00DD6FCF" w:rsidP="00DD6FCF">
      <w:pPr>
        <w:autoSpaceDE w:val="0"/>
        <w:autoSpaceDN w:val="0"/>
        <w:adjustRightInd w:val="0"/>
        <w:jc w:val="both"/>
        <w:rPr>
          <w:sz w:val="22"/>
          <w:szCs w:val="22"/>
          <w:lang w:val="sr-Latn-CS" w:eastAsia="sr-Latn-CS"/>
        </w:rPr>
      </w:pPr>
    </w:p>
    <w:p w:rsidR="00DD6FCF" w:rsidRPr="006B0439" w:rsidRDefault="00DD6FCF" w:rsidP="00DD6FCF">
      <w:pPr>
        <w:autoSpaceDE w:val="0"/>
        <w:autoSpaceDN w:val="0"/>
        <w:adjustRightInd w:val="0"/>
        <w:jc w:val="both"/>
        <w:rPr>
          <w:sz w:val="22"/>
          <w:szCs w:val="22"/>
          <w:lang w:val="sr-Latn-CS" w:eastAsia="sr-Latn-CS"/>
        </w:rPr>
      </w:pPr>
      <w:r w:rsidRPr="006B0439">
        <w:rPr>
          <w:sz w:val="22"/>
          <w:szCs w:val="22"/>
          <w:lang w:val="sr-Latn-CS" w:eastAsia="sr-Latn-CS"/>
        </w:rPr>
        <w:t>Pacijenti ne smiu primati</w:t>
      </w:r>
      <w:r w:rsidR="006653D8" w:rsidRPr="006B0439">
        <w:rPr>
          <w:sz w:val="22"/>
          <w:szCs w:val="22"/>
          <w:lang w:val="sr-Latn-CS" w:eastAsia="sr-Latn-CS"/>
        </w:rPr>
        <w:t xml:space="preserve"> lijek</w:t>
      </w:r>
      <w:r w:rsidRPr="006B0439">
        <w:rPr>
          <w:sz w:val="22"/>
          <w:szCs w:val="22"/>
          <w:lang w:val="sr-Latn-CS" w:eastAsia="sr-Latn-CS"/>
        </w:rPr>
        <w:t xml:space="preserve"> IRITEC sve dok traje opstrukcija crijeva (vidjeti </w:t>
      </w:r>
      <w:r w:rsidR="005D150F" w:rsidRPr="006B0439">
        <w:rPr>
          <w:sz w:val="22"/>
          <w:szCs w:val="22"/>
          <w:lang w:val="sr-Latn-CS" w:eastAsia="sr-Latn-CS"/>
        </w:rPr>
        <w:t xml:space="preserve">dio </w:t>
      </w:r>
      <w:r w:rsidRPr="006B0439">
        <w:rPr>
          <w:sz w:val="22"/>
          <w:szCs w:val="22"/>
          <w:lang w:val="sr-Latn-CS" w:eastAsia="sr-Latn-CS"/>
        </w:rPr>
        <w:t>4.3).</w:t>
      </w:r>
    </w:p>
    <w:p w:rsidR="00DD6FCF" w:rsidRPr="006B0439" w:rsidRDefault="00DD6FCF" w:rsidP="00DD6FCF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r-Latn-CS" w:eastAsia="sr-Latn-CS"/>
        </w:rPr>
      </w:pPr>
    </w:p>
    <w:p w:rsidR="00DD6FCF" w:rsidRPr="006B0439" w:rsidRDefault="00DD6FCF" w:rsidP="00DD6FCF">
      <w:pPr>
        <w:autoSpaceDE w:val="0"/>
        <w:autoSpaceDN w:val="0"/>
        <w:adjustRightInd w:val="0"/>
        <w:jc w:val="both"/>
        <w:rPr>
          <w:sz w:val="22"/>
          <w:szCs w:val="22"/>
          <w:lang w:val="sr-Latn-CS" w:eastAsia="sr-Latn-CS"/>
        </w:rPr>
      </w:pPr>
      <w:r w:rsidRPr="006B0439">
        <w:rPr>
          <w:b/>
          <w:bCs/>
          <w:sz w:val="22"/>
          <w:szCs w:val="22"/>
          <w:lang w:val="sr-Latn-CS" w:eastAsia="sr-Latn-CS"/>
        </w:rPr>
        <w:t>Pacijenti sa ošte</w:t>
      </w:r>
      <w:r w:rsidRPr="006B0439">
        <w:rPr>
          <w:rFonts w:eastAsia="TimesNewRoman,Bold"/>
          <w:b/>
          <w:bCs/>
          <w:sz w:val="22"/>
          <w:szCs w:val="22"/>
          <w:lang w:val="sr-Latn-CS" w:eastAsia="sr-Latn-CS"/>
        </w:rPr>
        <w:t>ć</w:t>
      </w:r>
      <w:r w:rsidRPr="006B0439">
        <w:rPr>
          <w:b/>
          <w:bCs/>
          <w:sz w:val="22"/>
          <w:szCs w:val="22"/>
          <w:lang w:val="sr-Latn-CS" w:eastAsia="sr-Latn-CS"/>
        </w:rPr>
        <w:t>enom funkcijom bubrega</w:t>
      </w:r>
    </w:p>
    <w:p w:rsidR="00DD6FCF" w:rsidRPr="006B0439" w:rsidRDefault="00DD6FCF" w:rsidP="00DD6FCF">
      <w:pPr>
        <w:autoSpaceDE w:val="0"/>
        <w:autoSpaceDN w:val="0"/>
        <w:adjustRightInd w:val="0"/>
        <w:jc w:val="both"/>
        <w:rPr>
          <w:sz w:val="22"/>
          <w:szCs w:val="22"/>
          <w:lang w:val="sr-Latn-CS" w:eastAsia="sr-Latn-CS"/>
        </w:rPr>
      </w:pPr>
    </w:p>
    <w:p w:rsidR="00DD6FCF" w:rsidRPr="006B0439" w:rsidRDefault="005D150F" w:rsidP="00DD6FCF">
      <w:pPr>
        <w:autoSpaceDE w:val="0"/>
        <w:autoSpaceDN w:val="0"/>
        <w:adjustRightInd w:val="0"/>
        <w:jc w:val="both"/>
        <w:rPr>
          <w:sz w:val="22"/>
          <w:szCs w:val="22"/>
          <w:lang w:val="sr-Latn-CS" w:eastAsia="sr-Latn-CS"/>
        </w:rPr>
      </w:pPr>
      <w:r w:rsidRPr="006B0439">
        <w:rPr>
          <w:sz w:val="22"/>
          <w:szCs w:val="22"/>
          <w:lang w:val="sr-Latn-CS" w:eastAsia="sr-Latn-CS"/>
        </w:rPr>
        <w:t>Prijavljeno je  po</w:t>
      </w:r>
      <w:r w:rsidR="00DD6FCF" w:rsidRPr="006B0439">
        <w:rPr>
          <w:sz w:val="22"/>
          <w:szCs w:val="22"/>
          <w:lang w:val="sr-Latn-CS" w:eastAsia="sr-Latn-CS"/>
        </w:rPr>
        <w:t xml:space="preserve">većanje serumskog kreatinina ili azotne ureje u krvi. Prijavljeni </w:t>
      </w:r>
      <w:r w:rsidR="0095281F" w:rsidRPr="006B0439">
        <w:rPr>
          <w:sz w:val="22"/>
          <w:szCs w:val="22"/>
          <w:lang w:val="sr-Latn-CS" w:eastAsia="sr-Latn-CS"/>
        </w:rPr>
        <w:t xml:space="preserve">su slučajevi akutne insuficijencije </w:t>
      </w:r>
      <w:r w:rsidR="00DD6FCF" w:rsidRPr="006B0439">
        <w:rPr>
          <w:sz w:val="22"/>
          <w:szCs w:val="22"/>
          <w:lang w:val="sr-Latn-CS" w:eastAsia="sr-Latn-CS"/>
        </w:rPr>
        <w:t>bubrega. Ovi događaji se uglavnom pripisuju komplikacijama infekcije ili dehidracije povezanih sa mučninom, povraćanjem ili dijarejom. Rijetki slučajevi renalne disfunkcije z</w:t>
      </w:r>
      <w:r w:rsidR="00B77C6B" w:rsidRPr="006B0439">
        <w:rPr>
          <w:sz w:val="22"/>
          <w:szCs w:val="22"/>
          <w:lang w:val="sr-Latn-CS" w:eastAsia="sr-Latn-CS"/>
        </w:rPr>
        <w:t>bog sindroma lize tumora takođe</w:t>
      </w:r>
      <w:r w:rsidR="00DD6FCF" w:rsidRPr="006B0439">
        <w:rPr>
          <w:sz w:val="22"/>
          <w:szCs w:val="22"/>
          <w:lang w:val="sr-Latn-CS" w:eastAsia="sr-Latn-CS"/>
        </w:rPr>
        <w:t xml:space="preserve"> su prijavljeni.</w:t>
      </w:r>
    </w:p>
    <w:p w:rsidR="00DD6FCF" w:rsidRPr="006B0439" w:rsidRDefault="00DD6FCF" w:rsidP="00DD6FCF">
      <w:pPr>
        <w:autoSpaceDE w:val="0"/>
        <w:autoSpaceDN w:val="0"/>
        <w:adjustRightInd w:val="0"/>
        <w:jc w:val="both"/>
        <w:rPr>
          <w:sz w:val="22"/>
          <w:szCs w:val="22"/>
          <w:lang w:val="sr-Latn-CS" w:eastAsia="sr-Latn-CS"/>
        </w:rPr>
      </w:pPr>
    </w:p>
    <w:p w:rsidR="00DD6FCF" w:rsidRPr="006B0439" w:rsidRDefault="00DD6FCF" w:rsidP="00DD6FCF">
      <w:pPr>
        <w:autoSpaceDE w:val="0"/>
        <w:autoSpaceDN w:val="0"/>
        <w:adjustRightInd w:val="0"/>
        <w:jc w:val="both"/>
        <w:rPr>
          <w:b/>
          <w:sz w:val="22"/>
          <w:szCs w:val="22"/>
          <w:lang w:val="sr-Latn-CS" w:eastAsia="sr-Latn-CS"/>
        </w:rPr>
      </w:pPr>
      <w:r w:rsidRPr="006B0439">
        <w:rPr>
          <w:b/>
          <w:sz w:val="22"/>
          <w:szCs w:val="22"/>
          <w:lang w:val="sr-Latn-CS" w:eastAsia="sr-Latn-CS"/>
        </w:rPr>
        <w:t>Terapija zračenjem</w:t>
      </w:r>
    </w:p>
    <w:p w:rsidR="00DD6FCF" w:rsidRPr="006B0439" w:rsidRDefault="00DD6FCF" w:rsidP="00DD6FCF">
      <w:pPr>
        <w:autoSpaceDE w:val="0"/>
        <w:autoSpaceDN w:val="0"/>
        <w:adjustRightInd w:val="0"/>
        <w:jc w:val="both"/>
        <w:rPr>
          <w:sz w:val="22"/>
          <w:szCs w:val="22"/>
          <w:lang w:val="sr-Latn-CS" w:eastAsia="sr-Latn-CS"/>
        </w:rPr>
      </w:pPr>
    </w:p>
    <w:p w:rsidR="00DD6FCF" w:rsidRPr="006B0439" w:rsidRDefault="00DD6FCF" w:rsidP="00DD6FCF">
      <w:pPr>
        <w:autoSpaceDE w:val="0"/>
        <w:autoSpaceDN w:val="0"/>
        <w:adjustRightInd w:val="0"/>
        <w:jc w:val="both"/>
        <w:rPr>
          <w:sz w:val="22"/>
          <w:szCs w:val="22"/>
          <w:lang w:val="sr-Latn-CS" w:eastAsia="sr-Latn-CS"/>
        </w:rPr>
      </w:pPr>
      <w:r w:rsidRPr="006B0439">
        <w:rPr>
          <w:sz w:val="22"/>
          <w:szCs w:val="22"/>
          <w:lang w:val="sr-Latn-CS" w:eastAsia="sr-Latn-CS"/>
        </w:rPr>
        <w:t>Kod pacijenta koji su prethodno imali zračenje abdomena i male karlice je povećan rizik od mijelosupresije posl</w:t>
      </w:r>
      <w:r w:rsidR="005D150F" w:rsidRPr="006B0439">
        <w:rPr>
          <w:sz w:val="22"/>
          <w:szCs w:val="22"/>
          <w:lang w:val="sr-Latn-CS" w:eastAsia="sr-Latn-CS"/>
        </w:rPr>
        <w:t>ij</w:t>
      </w:r>
      <w:r w:rsidRPr="006B0439">
        <w:rPr>
          <w:sz w:val="22"/>
          <w:szCs w:val="22"/>
          <w:lang w:val="sr-Latn-CS" w:eastAsia="sr-Latn-CS"/>
        </w:rPr>
        <w:t xml:space="preserve">e primjene irinotekana. </w:t>
      </w:r>
      <w:r w:rsidR="005D150F" w:rsidRPr="006B0439">
        <w:rPr>
          <w:sz w:val="22"/>
          <w:szCs w:val="22"/>
          <w:lang w:val="sr-Latn-CS" w:eastAsia="sr-Latn-CS"/>
        </w:rPr>
        <w:t xml:space="preserve">Ljekari </w:t>
      </w:r>
      <w:r w:rsidRPr="006B0439">
        <w:rPr>
          <w:sz w:val="22"/>
          <w:szCs w:val="22"/>
          <w:lang w:val="sr-Latn-CS" w:eastAsia="sr-Latn-CS"/>
        </w:rPr>
        <w:t>bi trebali prim</w:t>
      </w:r>
      <w:r w:rsidR="005D150F" w:rsidRPr="006B0439">
        <w:rPr>
          <w:sz w:val="22"/>
          <w:szCs w:val="22"/>
          <w:lang w:val="sr-Latn-CS" w:eastAsia="sr-Latn-CS"/>
        </w:rPr>
        <w:t>ij</w:t>
      </w:r>
      <w:r w:rsidRPr="006B0439">
        <w:rPr>
          <w:sz w:val="22"/>
          <w:szCs w:val="22"/>
          <w:lang w:val="sr-Latn-CS" w:eastAsia="sr-Latn-CS"/>
        </w:rPr>
        <w:t>eniti sve m</w:t>
      </w:r>
      <w:r w:rsidR="005D150F" w:rsidRPr="006B0439">
        <w:rPr>
          <w:sz w:val="22"/>
          <w:szCs w:val="22"/>
          <w:lang w:val="sr-Latn-CS" w:eastAsia="sr-Latn-CS"/>
        </w:rPr>
        <w:t>j</w:t>
      </w:r>
      <w:r w:rsidRPr="006B0439">
        <w:rPr>
          <w:sz w:val="22"/>
          <w:szCs w:val="22"/>
          <w:lang w:val="sr-Latn-CS" w:eastAsia="sr-Latn-CS"/>
        </w:rPr>
        <w:t>ere opreza u terapiji pacijenata sa velikim prethodnim zračenjem (npr. &gt; 25% koštane srži ozračene i u okviru od 6 ned</w:t>
      </w:r>
      <w:r w:rsidR="005D150F" w:rsidRPr="006B0439">
        <w:rPr>
          <w:sz w:val="22"/>
          <w:szCs w:val="22"/>
          <w:lang w:val="sr-Latn-CS" w:eastAsia="sr-Latn-CS"/>
        </w:rPr>
        <w:t>j</w:t>
      </w:r>
      <w:r w:rsidRPr="006B0439">
        <w:rPr>
          <w:sz w:val="22"/>
          <w:szCs w:val="22"/>
          <w:lang w:val="sr-Latn-CS" w:eastAsia="sr-Latn-CS"/>
        </w:rPr>
        <w:t xml:space="preserve">elje prije početka liječenja sa irinotekanom). Prilagođavanje doziranja treba primijeniti na ovoj populaciji (vidjeti </w:t>
      </w:r>
      <w:r w:rsidR="005D150F" w:rsidRPr="006B0439">
        <w:rPr>
          <w:sz w:val="22"/>
          <w:szCs w:val="22"/>
          <w:lang w:val="sr-Latn-CS" w:eastAsia="sr-Latn-CS"/>
        </w:rPr>
        <w:t xml:space="preserve">dio </w:t>
      </w:r>
      <w:r w:rsidRPr="006B0439">
        <w:rPr>
          <w:sz w:val="22"/>
          <w:szCs w:val="22"/>
          <w:lang w:val="sr-Latn-CS" w:eastAsia="sr-Latn-CS"/>
        </w:rPr>
        <w:t>4.2).</w:t>
      </w:r>
    </w:p>
    <w:p w:rsidR="00DD6FCF" w:rsidRPr="006B0439" w:rsidRDefault="00DD6FCF" w:rsidP="00DD6FCF">
      <w:pPr>
        <w:autoSpaceDE w:val="0"/>
        <w:autoSpaceDN w:val="0"/>
        <w:adjustRightInd w:val="0"/>
        <w:jc w:val="both"/>
        <w:rPr>
          <w:sz w:val="22"/>
          <w:szCs w:val="22"/>
          <w:lang w:val="sr-Latn-CS" w:eastAsia="sr-Latn-CS"/>
        </w:rPr>
      </w:pPr>
    </w:p>
    <w:p w:rsidR="00DD6FCF" w:rsidRPr="006B0439" w:rsidRDefault="00DD6FCF" w:rsidP="00DD6FCF">
      <w:pPr>
        <w:autoSpaceDE w:val="0"/>
        <w:autoSpaceDN w:val="0"/>
        <w:adjustRightInd w:val="0"/>
        <w:jc w:val="both"/>
        <w:rPr>
          <w:b/>
          <w:sz w:val="22"/>
          <w:szCs w:val="22"/>
          <w:lang w:val="sr-Latn-CS" w:eastAsia="sr-Latn-CS"/>
        </w:rPr>
      </w:pPr>
      <w:r w:rsidRPr="006B0439">
        <w:rPr>
          <w:b/>
          <w:sz w:val="22"/>
          <w:szCs w:val="22"/>
          <w:lang w:val="sr-Latn-CS" w:eastAsia="sr-Latn-CS"/>
        </w:rPr>
        <w:t>Srčani poremećaji</w:t>
      </w:r>
    </w:p>
    <w:p w:rsidR="00DD6FCF" w:rsidRPr="006B0439" w:rsidRDefault="00DD6FCF" w:rsidP="00DD6FCF">
      <w:pPr>
        <w:autoSpaceDE w:val="0"/>
        <w:autoSpaceDN w:val="0"/>
        <w:adjustRightInd w:val="0"/>
        <w:jc w:val="both"/>
        <w:rPr>
          <w:b/>
          <w:sz w:val="22"/>
          <w:szCs w:val="22"/>
          <w:lang w:val="sr-Latn-CS" w:eastAsia="sr-Latn-CS"/>
        </w:rPr>
      </w:pPr>
    </w:p>
    <w:p w:rsidR="00DD6FCF" w:rsidRPr="006B0439" w:rsidRDefault="00DD6FCF" w:rsidP="00DD6FCF">
      <w:pPr>
        <w:autoSpaceDE w:val="0"/>
        <w:autoSpaceDN w:val="0"/>
        <w:adjustRightInd w:val="0"/>
        <w:jc w:val="both"/>
        <w:rPr>
          <w:sz w:val="22"/>
          <w:szCs w:val="22"/>
          <w:lang w:val="sr-Latn-CS" w:eastAsia="sr-Latn-CS"/>
        </w:rPr>
      </w:pPr>
      <w:r w:rsidRPr="006B0439">
        <w:rPr>
          <w:sz w:val="22"/>
          <w:szCs w:val="22"/>
          <w:lang w:val="sr-Latn-CS" w:eastAsia="sr-Latn-CS"/>
        </w:rPr>
        <w:t>Pojava infarkta miokarda primjećena je posl</w:t>
      </w:r>
      <w:r w:rsidR="005D150F" w:rsidRPr="006B0439">
        <w:rPr>
          <w:sz w:val="22"/>
          <w:szCs w:val="22"/>
          <w:lang w:val="sr-Latn-CS" w:eastAsia="sr-Latn-CS"/>
        </w:rPr>
        <w:t>ij</w:t>
      </w:r>
      <w:r w:rsidRPr="006B0439">
        <w:rPr>
          <w:sz w:val="22"/>
          <w:szCs w:val="22"/>
          <w:lang w:val="sr-Latn-CS" w:eastAsia="sr-Latn-CS"/>
        </w:rPr>
        <w:t xml:space="preserve">e primjene irinotekana uglavnom kod pacijenata sa osnovnom bolešću srca, pacijenata sa drugim poznatim faktorima rizka za razvoj srčanih poremećaja, ili pacijenata koji su prethodno primali citotoksičnu hemoterapiju (vidjeti </w:t>
      </w:r>
      <w:r w:rsidR="005D150F" w:rsidRPr="006B0439">
        <w:rPr>
          <w:sz w:val="22"/>
          <w:szCs w:val="22"/>
          <w:lang w:val="sr-Latn-CS" w:eastAsia="sr-Latn-CS"/>
        </w:rPr>
        <w:t xml:space="preserve">dio </w:t>
      </w:r>
      <w:r w:rsidRPr="006B0439">
        <w:rPr>
          <w:sz w:val="22"/>
          <w:szCs w:val="22"/>
          <w:lang w:val="sr-Latn-CS" w:eastAsia="sr-Latn-CS"/>
        </w:rPr>
        <w:t>4.8.).</w:t>
      </w:r>
    </w:p>
    <w:p w:rsidR="00DD6FCF" w:rsidRPr="006B0439" w:rsidRDefault="00DD6FCF" w:rsidP="00DD6FCF">
      <w:pPr>
        <w:autoSpaceDE w:val="0"/>
        <w:autoSpaceDN w:val="0"/>
        <w:adjustRightInd w:val="0"/>
        <w:jc w:val="both"/>
        <w:rPr>
          <w:sz w:val="22"/>
          <w:szCs w:val="22"/>
          <w:lang w:val="sr-Latn-CS" w:eastAsia="sr-Latn-CS"/>
        </w:rPr>
      </w:pPr>
    </w:p>
    <w:p w:rsidR="00DD6FCF" w:rsidRPr="006B0439" w:rsidRDefault="00DD6FCF" w:rsidP="00DD6FCF">
      <w:pPr>
        <w:autoSpaceDE w:val="0"/>
        <w:autoSpaceDN w:val="0"/>
        <w:adjustRightInd w:val="0"/>
        <w:jc w:val="both"/>
        <w:rPr>
          <w:sz w:val="22"/>
          <w:szCs w:val="22"/>
          <w:lang w:val="sr-Latn-CS" w:eastAsia="sr-Latn-CS"/>
        </w:rPr>
      </w:pPr>
      <w:r w:rsidRPr="006B0439">
        <w:rPr>
          <w:sz w:val="22"/>
          <w:szCs w:val="22"/>
          <w:lang w:val="sr-Latn-CS" w:eastAsia="sr-Latn-CS"/>
        </w:rPr>
        <w:t>Shodno tome, pacijente sa poznatim faktorima rizika treba pažljivo pratiti i preduzeti sve mjere da se smanje svi ostali promenljivi faktori rizika (npr. pušenje, hipertenzija i hiperlipidemija).</w:t>
      </w:r>
    </w:p>
    <w:p w:rsidR="00DD6FCF" w:rsidRPr="006B0439" w:rsidRDefault="00DD6FCF" w:rsidP="00DD6FCF">
      <w:pPr>
        <w:autoSpaceDE w:val="0"/>
        <w:autoSpaceDN w:val="0"/>
        <w:adjustRightInd w:val="0"/>
        <w:jc w:val="both"/>
        <w:rPr>
          <w:sz w:val="22"/>
          <w:szCs w:val="22"/>
          <w:lang w:val="sr-Latn-CS" w:eastAsia="sr-Latn-CS"/>
        </w:rPr>
      </w:pPr>
    </w:p>
    <w:p w:rsidR="00DD6FCF" w:rsidRPr="006B0439" w:rsidRDefault="00DD6FCF" w:rsidP="00DD6FCF">
      <w:pPr>
        <w:autoSpaceDE w:val="0"/>
        <w:autoSpaceDN w:val="0"/>
        <w:adjustRightInd w:val="0"/>
        <w:jc w:val="both"/>
        <w:rPr>
          <w:b/>
          <w:sz w:val="22"/>
          <w:szCs w:val="22"/>
          <w:lang w:val="sr-Latn-CS" w:eastAsia="sr-Latn-CS"/>
        </w:rPr>
      </w:pPr>
      <w:r w:rsidRPr="006B0439">
        <w:rPr>
          <w:b/>
          <w:sz w:val="22"/>
          <w:szCs w:val="22"/>
          <w:lang w:val="sr-Latn-CS" w:eastAsia="sr-Latn-CS"/>
        </w:rPr>
        <w:t>Vaskularni poremećaji</w:t>
      </w:r>
    </w:p>
    <w:p w:rsidR="00DD6FCF" w:rsidRPr="006B0439" w:rsidRDefault="00DD6FCF" w:rsidP="00DD6FCF">
      <w:pPr>
        <w:autoSpaceDE w:val="0"/>
        <w:autoSpaceDN w:val="0"/>
        <w:adjustRightInd w:val="0"/>
        <w:jc w:val="both"/>
        <w:rPr>
          <w:b/>
          <w:sz w:val="22"/>
          <w:szCs w:val="22"/>
          <w:lang w:val="sr-Latn-CS" w:eastAsia="sr-Latn-CS"/>
        </w:rPr>
      </w:pPr>
    </w:p>
    <w:p w:rsidR="00DD6FCF" w:rsidRPr="006B0439" w:rsidRDefault="00DD6FCF" w:rsidP="00DD6FCF">
      <w:pPr>
        <w:autoSpaceDE w:val="0"/>
        <w:autoSpaceDN w:val="0"/>
        <w:adjustRightInd w:val="0"/>
        <w:jc w:val="both"/>
        <w:rPr>
          <w:sz w:val="22"/>
          <w:szCs w:val="22"/>
          <w:lang w:val="sr-Latn-CS" w:eastAsia="sr-Latn-CS"/>
        </w:rPr>
      </w:pPr>
      <w:r w:rsidRPr="006B0439">
        <w:rPr>
          <w:sz w:val="22"/>
          <w:szCs w:val="22"/>
          <w:lang w:val="sr-Latn-CS" w:eastAsia="sr-Latn-CS"/>
        </w:rPr>
        <w:t>Irinotekan se rijetko povezuje sa tromboembolijskim događajima (plućna embolija, venska tromboza i arterijska tromboembolija) kod pacijenata sa višestrukim faktorima rizika pored osnovnih neoplazmi.</w:t>
      </w:r>
    </w:p>
    <w:p w:rsidR="00DD6FCF" w:rsidRPr="006B0439" w:rsidRDefault="00DD6FCF" w:rsidP="00DD6FCF">
      <w:pPr>
        <w:autoSpaceDE w:val="0"/>
        <w:autoSpaceDN w:val="0"/>
        <w:adjustRightInd w:val="0"/>
        <w:jc w:val="both"/>
        <w:rPr>
          <w:sz w:val="22"/>
          <w:szCs w:val="22"/>
          <w:lang w:val="sr-Latn-CS" w:eastAsia="sr-Latn-CS"/>
        </w:rPr>
      </w:pPr>
    </w:p>
    <w:p w:rsidR="00DD6FCF" w:rsidRPr="006B0439" w:rsidRDefault="00DD6FCF" w:rsidP="00DD6FCF">
      <w:pPr>
        <w:autoSpaceDE w:val="0"/>
        <w:autoSpaceDN w:val="0"/>
        <w:adjustRightInd w:val="0"/>
        <w:jc w:val="both"/>
        <w:rPr>
          <w:b/>
          <w:sz w:val="22"/>
          <w:szCs w:val="22"/>
          <w:lang w:val="sr-Latn-CS" w:eastAsia="sr-Latn-CS"/>
        </w:rPr>
      </w:pPr>
      <w:r w:rsidRPr="006B0439">
        <w:rPr>
          <w:b/>
          <w:sz w:val="22"/>
          <w:szCs w:val="22"/>
          <w:lang w:val="sr-Latn-CS" w:eastAsia="sr-Latn-CS"/>
        </w:rPr>
        <w:t>Imunosupersivno dejstvo/povećanje osjetljivosti na infekcije</w:t>
      </w:r>
    </w:p>
    <w:p w:rsidR="00DD6FCF" w:rsidRPr="006B0439" w:rsidRDefault="00DD6FCF" w:rsidP="00DD6FCF">
      <w:pPr>
        <w:autoSpaceDE w:val="0"/>
        <w:autoSpaceDN w:val="0"/>
        <w:adjustRightInd w:val="0"/>
        <w:jc w:val="both"/>
        <w:rPr>
          <w:b/>
          <w:sz w:val="22"/>
          <w:szCs w:val="22"/>
          <w:lang w:val="sr-Latn-CS" w:eastAsia="sr-Latn-CS"/>
        </w:rPr>
      </w:pPr>
    </w:p>
    <w:p w:rsidR="00DD6FCF" w:rsidRPr="006B0439" w:rsidRDefault="00DD6FCF" w:rsidP="00DD6FCF">
      <w:pPr>
        <w:autoSpaceDE w:val="0"/>
        <w:autoSpaceDN w:val="0"/>
        <w:adjustRightInd w:val="0"/>
        <w:jc w:val="both"/>
        <w:rPr>
          <w:sz w:val="22"/>
          <w:szCs w:val="22"/>
          <w:lang w:val="sr-Latn-CS" w:eastAsia="sr-Latn-CS"/>
        </w:rPr>
      </w:pPr>
      <w:r w:rsidRPr="006B0439">
        <w:rPr>
          <w:sz w:val="22"/>
          <w:szCs w:val="22"/>
          <w:lang w:val="sr-Latn-CS" w:eastAsia="sr-Latn-CS"/>
        </w:rPr>
        <w:t>Primjena vakcin</w:t>
      </w:r>
      <w:r w:rsidR="009F4EF0" w:rsidRPr="006B0439">
        <w:rPr>
          <w:sz w:val="22"/>
          <w:szCs w:val="22"/>
          <w:lang w:val="sr-Latn-CS" w:eastAsia="sr-Latn-CS"/>
        </w:rPr>
        <w:t>a sa živim ili živim-atenuisanim</w:t>
      </w:r>
      <w:r w:rsidRPr="006B0439">
        <w:rPr>
          <w:sz w:val="22"/>
          <w:szCs w:val="22"/>
          <w:lang w:val="sr-Latn-CS" w:eastAsia="sr-Latn-CS"/>
        </w:rPr>
        <w:t xml:space="preserve"> sojevima kod pacijenata sa oslabljenim imunim sistemom usl</w:t>
      </w:r>
      <w:r w:rsidR="005D150F" w:rsidRPr="006B0439">
        <w:rPr>
          <w:sz w:val="22"/>
          <w:szCs w:val="22"/>
          <w:lang w:val="sr-Latn-CS" w:eastAsia="sr-Latn-CS"/>
        </w:rPr>
        <w:t>j</w:t>
      </w:r>
      <w:r w:rsidRPr="006B0439">
        <w:rPr>
          <w:sz w:val="22"/>
          <w:szCs w:val="22"/>
          <w:lang w:val="sr-Latn-CS" w:eastAsia="sr-Latn-CS"/>
        </w:rPr>
        <w:t>ed primjene hemoterapeutskih agenasa uključujući i irinotekan, može dovesti do ozbiljnih ili fa</w:t>
      </w:r>
      <w:r w:rsidR="009F4EF0" w:rsidRPr="006B0439">
        <w:rPr>
          <w:sz w:val="22"/>
          <w:szCs w:val="22"/>
          <w:lang w:val="sr-Latn-CS" w:eastAsia="sr-Latn-CS"/>
        </w:rPr>
        <w:t>talnih infekcija. Vakcinaciju</w:t>
      </w:r>
      <w:r w:rsidRPr="006B0439">
        <w:rPr>
          <w:sz w:val="22"/>
          <w:szCs w:val="22"/>
          <w:lang w:val="sr-Latn-CS" w:eastAsia="sr-Latn-CS"/>
        </w:rPr>
        <w:t xml:space="preserve"> živim vakcinama treba izbjegavati kod pacijenata koji primaju irinotekan. Mrtve ili inaktivisane vakcine se mogu primjenjivati, međutim, terapijski odgovor na ove vakcine može biti umanjen.</w:t>
      </w:r>
    </w:p>
    <w:p w:rsidR="005D150F" w:rsidRPr="006B0439" w:rsidRDefault="005D150F" w:rsidP="00DD6FCF">
      <w:pPr>
        <w:autoSpaceDE w:val="0"/>
        <w:autoSpaceDN w:val="0"/>
        <w:adjustRightInd w:val="0"/>
        <w:jc w:val="both"/>
        <w:rPr>
          <w:b/>
          <w:sz w:val="22"/>
          <w:szCs w:val="22"/>
          <w:lang w:val="sr-Latn-CS" w:eastAsia="sr-Latn-CS"/>
        </w:rPr>
      </w:pPr>
    </w:p>
    <w:p w:rsidR="00DD6FCF" w:rsidRPr="006B0439" w:rsidRDefault="00DD6FCF" w:rsidP="00DD6FCF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r-Latn-CS" w:eastAsia="sr-Latn-CS"/>
        </w:rPr>
      </w:pPr>
      <w:r w:rsidRPr="006B0439">
        <w:rPr>
          <w:b/>
          <w:bCs/>
          <w:sz w:val="22"/>
          <w:szCs w:val="22"/>
          <w:lang w:val="sr-Latn-CS" w:eastAsia="sr-Latn-CS"/>
        </w:rPr>
        <w:t>Ostalo</w:t>
      </w:r>
    </w:p>
    <w:p w:rsidR="00DD6FCF" w:rsidRPr="006B0439" w:rsidRDefault="00DD6FCF" w:rsidP="00DD6FCF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r-Latn-CS" w:eastAsia="sr-Latn-CS"/>
        </w:rPr>
      </w:pPr>
    </w:p>
    <w:p w:rsidR="00DD6FCF" w:rsidRPr="006B0439" w:rsidRDefault="00DD6FCF" w:rsidP="00DD6FCF">
      <w:pPr>
        <w:autoSpaceDE w:val="0"/>
        <w:autoSpaceDN w:val="0"/>
        <w:adjustRightInd w:val="0"/>
        <w:jc w:val="both"/>
        <w:rPr>
          <w:sz w:val="22"/>
          <w:szCs w:val="22"/>
          <w:lang w:val="sr-Latn-CS" w:eastAsia="sr-Latn-CS"/>
        </w:rPr>
      </w:pPr>
      <w:r w:rsidRPr="006B0439">
        <w:rPr>
          <w:sz w:val="22"/>
          <w:szCs w:val="22"/>
          <w:lang w:val="sr-Latn-CS" w:eastAsia="sr-Latn-CS"/>
        </w:rPr>
        <w:t>Pošto ovaj preparat sadrži sorbitol, nije pogodan za osobe sa uro</w:t>
      </w:r>
      <w:r w:rsidRPr="006B0439">
        <w:rPr>
          <w:rFonts w:eastAsia="TimesNewRoman"/>
          <w:sz w:val="22"/>
          <w:szCs w:val="22"/>
          <w:lang w:val="sr-Latn-CS" w:eastAsia="sr-Latn-CS"/>
        </w:rPr>
        <w:t>đ</w:t>
      </w:r>
      <w:r w:rsidRPr="006B0439">
        <w:rPr>
          <w:sz w:val="22"/>
          <w:szCs w:val="22"/>
          <w:lang w:val="sr-Latn-CS" w:eastAsia="sr-Latn-CS"/>
        </w:rPr>
        <w:t xml:space="preserve">enom intolerancijom fruktoze. </w:t>
      </w:r>
      <w:r w:rsidR="009F4EF0" w:rsidRPr="006B0439">
        <w:rPr>
          <w:sz w:val="22"/>
          <w:szCs w:val="22"/>
          <w:lang w:val="sr-Latn-CS" w:eastAsia="sr-Latn-CS"/>
        </w:rPr>
        <w:t xml:space="preserve"> </w:t>
      </w:r>
      <w:r w:rsidRPr="006B0439">
        <w:rPr>
          <w:sz w:val="22"/>
          <w:szCs w:val="22"/>
          <w:lang w:val="sr-Latn-CS" w:eastAsia="sr-Latn-CS"/>
        </w:rPr>
        <w:t>Rijetki slu</w:t>
      </w:r>
      <w:r w:rsidRPr="006B0439">
        <w:rPr>
          <w:rFonts w:eastAsia="TimesNewRoman"/>
          <w:sz w:val="22"/>
          <w:szCs w:val="22"/>
          <w:lang w:val="sr-Latn-CS" w:eastAsia="sr-Latn-CS"/>
        </w:rPr>
        <w:t>č</w:t>
      </w:r>
      <w:r w:rsidRPr="006B0439">
        <w:rPr>
          <w:sz w:val="22"/>
          <w:szCs w:val="22"/>
          <w:lang w:val="sr-Latn-CS" w:eastAsia="sr-Latn-CS"/>
        </w:rPr>
        <w:t>ajevi bubrežne insuficijencije, hipotenzije ili cirkulatornog šoka zapaženi su kod pacijenata koji su imali epizode dehidratacije izazvane dijarejom i/ili povra</w:t>
      </w:r>
      <w:r w:rsidRPr="006B0439">
        <w:rPr>
          <w:rFonts w:eastAsia="TimesNewRoman"/>
          <w:sz w:val="22"/>
          <w:szCs w:val="22"/>
          <w:lang w:val="sr-Latn-CS" w:eastAsia="sr-Latn-CS"/>
        </w:rPr>
        <w:t>ć</w:t>
      </w:r>
      <w:r w:rsidRPr="006B0439">
        <w:rPr>
          <w:sz w:val="22"/>
          <w:szCs w:val="22"/>
          <w:lang w:val="sr-Latn-CS" w:eastAsia="sr-Latn-CS"/>
        </w:rPr>
        <w:t>anjem, ili sepsu.</w:t>
      </w:r>
    </w:p>
    <w:p w:rsidR="00DD6FCF" w:rsidRPr="006B0439" w:rsidRDefault="00DD6FCF" w:rsidP="00DD6FCF">
      <w:pPr>
        <w:autoSpaceDE w:val="0"/>
        <w:autoSpaceDN w:val="0"/>
        <w:adjustRightInd w:val="0"/>
        <w:jc w:val="both"/>
        <w:rPr>
          <w:sz w:val="22"/>
          <w:szCs w:val="22"/>
          <w:lang w:val="sr-Latn-CS" w:eastAsia="sr-Latn-CS"/>
        </w:rPr>
      </w:pPr>
      <w:r w:rsidRPr="006B0439">
        <w:rPr>
          <w:sz w:val="22"/>
          <w:szCs w:val="22"/>
          <w:lang w:val="sr-Latn-CS" w:eastAsia="sr-Latn-CS"/>
        </w:rPr>
        <w:lastRenderedPageBreak/>
        <w:t>Istovremena primjena irinotekana sa jakim inhibitorom (npr. ketokonazol) ili induktorom CYP3A4</w:t>
      </w:r>
      <w:r w:rsidR="009F4EF0" w:rsidRPr="006B0439">
        <w:rPr>
          <w:sz w:val="22"/>
          <w:szCs w:val="22"/>
          <w:lang w:val="sr-Latn-CS" w:eastAsia="sr-Latn-CS"/>
        </w:rPr>
        <w:t xml:space="preserve"> </w:t>
      </w:r>
      <w:r w:rsidRPr="006B0439">
        <w:rPr>
          <w:sz w:val="22"/>
          <w:szCs w:val="22"/>
          <w:lang w:val="sr-Latn-CS" w:eastAsia="sr-Latn-CS"/>
        </w:rPr>
        <w:t>(npr.rifampicin, karbamazepin, fenobarbiton, fenitoin</w:t>
      </w:r>
      <w:r w:rsidR="006653D8" w:rsidRPr="006B0439">
        <w:rPr>
          <w:sz w:val="22"/>
          <w:szCs w:val="22"/>
          <w:lang w:val="sr-Latn-CS" w:eastAsia="sr-Latn-CS"/>
        </w:rPr>
        <w:t>, apalutamid</w:t>
      </w:r>
      <w:r w:rsidRPr="006B0439">
        <w:rPr>
          <w:sz w:val="22"/>
          <w:szCs w:val="22"/>
          <w:lang w:val="sr-Latn-CS" w:eastAsia="sr-Latn-CS"/>
        </w:rPr>
        <w:t xml:space="preserve">  može izmjeniti metabolizam irinotekana i treba je izbjegavati (vidjeti </w:t>
      </w:r>
      <w:r w:rsidR="005D150F" w:rsidRPr="006B0439">
        <w:rPr>
          <w:sz w:val="22"/>
          <w:szCs w:val="22"/>
          <w:lang w:val="sr-Latn-CS" w:eastAsia="sr-Latn-CS"/>
        </w:rPr>
        <w:t xml:space="preserve">dio </w:t>
      </w:r>
      <w:r w:rsidRPr="006B0439">
        <w:rPr>
          <w:sz w:val="22"/>
          <w:szCs w:val="22"/>
          <w:lang w:val="sr-Latn-CS" w:eastAsia="sr-Latn-CS"/>
        </w:rPr>
        <w:t>4.5).</w:t>
      </w:r>
    </w:p>
    <w:p w:rsidR="00520AF9" w:rsidRPr="006B0439" w:rsidRDefault="00520AF9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CS"/>
        </w:rPr>
      </w:pPr>
    </w:p>
    <w:p w:rsidR="006653D8" w:rsidRPr="006B0439" w:rsidRDefault="006653D8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CS"/>
        </w:rPr>
      </w:pPr>
      <w:r w:rsidRPr="006B0439">
        <w:rPr>
          <w:bCs/>
          <w:sz w:val="22"/>
          <w:szCs w:val="22"/>
          <w:lang w:val="sr-Latn-CS"/>
        </w:rPr>
        <w:t>Kontracepcija kod žena u repoduktivnom periodu</w:t>
      </w:r>
      <w:r w:rsidR="00EF4C3B" w:rsidRPr="006B0439">
        <w:rPr>
          <w:bCs/>
          <w:sz w:val="22"/>
          <w:szCs w:val="22"/>
          <w:lang w:val="sr-Latn-CS"/>
        </w:rPr>
        <w:t>/muškaraca</w:t>
      </w:r>
    </w:p>
    <w:p w:rsidR="00EF4C3B" w:rsidRPr="006B0439" w:rsidRDefault="00EF4C3B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CS"/>
        </w:rPr>
      </w:pPr>
      <w:r w:rsidRPr="006B0439">
        <w:rPr>
          <w:bCs/>
          <w:sz w:val="22"/>
          <w:szCs w:val="22"/>
          <w:lang w:val="sr-Latn-CS"/>
        </w:rPr>
        <w:t>Usl</w:t>
      </w:r>
      <w:r w:rsidR="005D150F" w:rsidRPr="006B0439">
        <w:rPr>
          <w:bCs/>
          <w:sz w:val="22"/>
          <w:szCs w:val="22"/>
          <w:lang w:val="sr-Latn-CS"/>
        </w:rPr>
        <w:t>j</w:t>
      </w:r>
      <w:r w:rsidRPr="006B0439">
        <w:rPr>
          <w:bCs/>
          <w:sz w:val="22"/>
          <w:szCs w:val="22"/>
          <w:lang w:val="sr-Latn-CS"/>
        </w:rPr>
        <w:t>ed genotoksičnog potencijala, treba savjetovati žene u reproduktivnom periodu da koriste visoko efektivnu kontracepciju tokom liječenja, kao i 6 mjeseci nakon poslednje primljene doze irinotekana.</w:t>
      </w:r>
    </w:p>
    <w:p w:rsidR="00EF4C3B" w:rsidRPr="006B0439" w:rsidRDefault="00EF4C3B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CS"/>
        </w:rPr>
      </w:pPr>
      <w:r w:rsidRPr="006B0439">
        <w:rPr>
          <w:bCs/>
          <w:sz w:val="22"/>
          <w:szCs w:val="22"/>
          <w:lang w:val="sr-Latn-CS"/>
        </w:rPr>
        <w:t>Usl</w:t>
      </w:r>
      <w:r w:rsidR="005D150F" w:rsidRPr="006B0439">
        <w:rPr>
          <w:bCs/>
          <w:sz w:val="22"/>
          <w:szCs w:val="22"/>
          <w:lang w:val="sr-Latn-CS"/>
        </w:rPr>
        <w:t>j</w:t>
      </w:r>
      <w:r w:rsidRPr="006B0439">
        <w:rPr>
          <w:bCs/>
          <w:sz w:val="22"/>
          <w:szCs w:val="22"/>
          <w:lang w:val="sr-Latn-CS"/>
        </w:rPr>
        <w:t xml:space="preserve">ed genotoksičnog potencijala, treba savjetovati muškarce sa partnerkama u reproduktivnom periodu da koriste visoko efektivnu kontracepciju tokom liječenja, kao i 3 mjeseca nakon poslednje primjene doze irinotekana (vidjeti </w:t>
      </w:r>
      <w:r w:rsidR="005D150F" w:rsidRPr="006B0439">
        <w:rPr>
          <w:bCs/>
          <w:sz w:val="22"/>
          <w:szCs w:val="22"/>
          <w:lang w:val="sr-Latn-CS"/>
        </w:rPr>
        <w:t xml:space="preserve">dio </w:t>
      </w:r>
      <w:r w:rsidRPr="006B0439">
        <w:rPr>
          <w:bCs/>
          <w:sz w:val="22"/>
          <w:szCs w:val="22"/>
          <w:lang w:val="sr-Latn-CS"/>
        </w:rPr>
        <w:t>4.6)</w:t>
      </w:r>
    </w:p>
    <w:p w:rsidR="008C381C" w:rsidRPr="006B0439" w:rsidRDefault="008C381C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CS"/>
        </w:rPr>
      </w:pPr>
    </w:p>
    <w:p w:rsidR="00DE0C8D" w:rsidRPr="006B0439" w:rsidRDefault="00DE0C8D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CS"/>
        </w:rPr>
      </w:pPr>
      <w:r w:rsidRPr="006B0439">
        <w:rPr>
          <w:bCs/>
          <w:sz w:val="22"/>
          <w:szCs w:val="22"/>
          <w:lang w:val="sr-Latn-CS"/>
        </w:rPr>
        <w:t>Dojenje</w:t>
      </w:r>
    </w:p>
    <w:p w:rsidR="00B630F0" w:rsidRPr="006B0439" w:rsidRDefault="00B630F0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CS"/>
        </w:rPr>
      </w:pPr>
    </w:p>
    <w:p w:rsidR="00B630F0" w:rsidRPr="006B0439" w:rsidRDefault="00B630F0" w:rsidP="00982DE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CS"/>
        </w:rPr>
      </w:pPr>
      <w:r w:rsidRPr="006B0439">
        <w:rPr>
          <w:bCs/>
          <w:sz w:val="22"/>
          <w:szCs w:val="22"/>
          <w:lang w:val="sr-Latn-CS"/>
        </w:rPr>
        <w:t xml:space="preserve">Zbog mogućnosti javljanja neželjenih reakcija kod odojčadi, dojenje bi trebalo prekinuti tokom primjene lijeka Iritec (vidjeti </w:t>
      </w:r>
      <w:r w:rsidR="003A2EBB" w:rsidRPr="006B0439">
        <w:rPr>
          <w:bCs/>
          <w:sz w:val="22"/>
          <w:szCs w:val="22"/>
          <w:lang w:val="sr-Latn-CS"/>
        </w:rPr>
        <w:t xml:space="preserve">dio </w:t>
      </w:r>
      <w:r w:rsidRPr="006B0439">
        <w:rPr>
          <w:bCs/>
          <w:sz w:val="22"/>
          <w:szCs w:val="22"/>
          <w:lang w:val="sr-Latn-CS"/>
        </w:rPr>
        <w:t>4.3 i 4.6).</w:t>
      </w:r>
    </w:p>
    <w:p w:rsidR="00B036D9" w:rsidRPr="006B0439" w:rsidRDefault="00B036D9" w:rsidP="00982DE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CS"/>
        </w:rPr>
      </w:pPr>
    </w:p>
    <w:p w:rsidR="00B036D9" w:rsidRPr="006B0439" w:rsidRDefault="00B036D9" w:rsidP="00982DE4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6B0439">
        <w:rPr>
          <w:bCs/>
          <w:sz w:val="22"/>
          <w:szCs w:val="22"/>
          <w:lang w:val="sr-Latn-CS"/>
        </w:rPr>
        <w:t>Ovaj lijek sadr</w:t>
      </w:r>
      <w:r w:rsidRPr="006B0439">
        <w:rPr>
          <w:bCs/>
          <w:sz w:val="22"/>
          <w:szCs w:val="22"/>
          <w:lang w:val="sr-Latn-RS"/>
        </w:rPr>
        <w:t xml:space="preserve">ži sorbitol </w:t>
      </w:r>
      <w:r w:rsidRPr="006B0439">
        <w:rPr>
          <w:bCs/>
          <w:sz w:val="22"/>
          <w:szCs w:val="22"/>
        </w:rPr>
        <w:t xml:space="preserve">(vidjeti </w:t>
      </w:r>
      <w:r w:rsidR="003A2EBB" w:rsidRPr="006B0439">
        <w:rPr>
          <w:bCs/>
          <w:sz w:val="22"/>
          <w:szCs w:val="22"/>
        </w:rPr>
        <w:t xml:space="preserve">dio </w:t>
      </w:r>
      <w:r w:rsidRPr="006B0439">
        <w:rPr>
          <w:bCs/>
          <w:sz w:val="22"/>
          <w:szCs w:val="22"/>
        </w:rPr>
        <w:t xml:space="preserve">2). Sorbitol je izvor fruktoze. Pacijenti </w:t>
      </w:r>
      <w:proofErr w:type="gramStart"/>
      <w:r w:rsidRPr="006B0439">
        <w:rPr>
          <w:bCs/>
          <w:sz w:val="22"/>
          <w:szCs w:val="22"/>
        </w:rPr>
        <w:t>sa</w:t>
      </w:r>
      <w:proofErr w:type="gramEnd"/>
      <w:r w:rsidRPr="006B0439">
        <w:rPr>
          <w:bCs/>
          <w:sz w:val="22"/>
          <w:szCs w:val="22"/>
        </w:rPr>
        <w:t xml:space="preserve"> rijetkim nasl</w:t>
      </w:r>
      <w:r w:rsidR="003A2EBB" w:rsidRPr="006B0439">
        <w:rPr>
          <w:bCs/>
          <w:sz w:val="22"/>
          <w:szCs w:val="22"/>
        </w:rPr>
        <w:t>j</w:t>
      </w:r>
      <w:r w:rsidRPr="006B0439">
        <w:rPr>
          <w:bCs/>
          <w:sz w:val="22"/>
          <w:szCs w:val="22"/>
        </w:rPr>
        <w:t xml:space="preserve">ednim oboljenjem intolerancije na fruktozu </w:t>
      </w:r>
      <w:r w:rsidRPr="006B0439">
        <w:rPr>
          <w:bCs/>
          <w:i/>
          <w:sz w:val="22"/>
          <w:szCs w:val="22"/>
        </w:rPr>
        <w:t>(hereditary fructose intolerance, HFI)</w:t>
      </w:r>
      <w:r w:rsidRPr="006B0439">
        <w:rPr>
          <w:b/>
          <w:bCs/>
          <w:sz w:val="22"/>
          <w:szCs w:val="22"/>
        </w:rPr>
        <w:t xml:space="preserve"> </w:t>
      </w:r>
      <w:r w:rsidRPr="006B0439">
        <w:rPr>
          <w:bCs/>
          <w:sz w:val="22"/>
          <w:szCs w:val="22"/>
        </w:rPr>
        <w:t>ne smiju koristiti ovaj lijek ukoliko nije isključivo neophodno.</w:t>
      </w:r>
    </w:p>
    <w:p w:rsidR="00B036D9" w:rsidRPr="006B0439" w:rsidRDefault="00B036D9" w:rsidP="00982DE4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6B0439">
        <w:rPr>
          <w:bCs/>
          <w:sz w:val="22"/>
          <w:szCs w:val="22"/>
        </w:rPr>
        <w:t>Kod beba i male djece (ispod dvije godine starosti) rijetko</w:t>
      </w:r>
      <w:r w:rsidR="005F3D9E" w:rsidRPr="006B0439">
        <w:rPr>
          <w:bCs/>
          <w:sz w:val="22"/>
          <w:szCs w:val="22"/>
        </w:rPr>
        <w:t xml:space="preserve"> nasl</w:t>
      </w:r>
      <w:r w:rsidR="003A2EBB" w:rsidRPr="006B0439">
        <w:rPr>
          <w:bCs/>
          <w:sz w:val="22"/>
          <w:szCs w:val="22"/>
        </w:rPr>
        <w:t>j</w:t>
      </w:r>
      <w:r w:rsidR="005F3D9E" w:rsidRPr="006B0439">
        <w:rPr>
          <w:bCs/>
          <w:sz w:val="22"/>
          <w:szCs w:val="22"/>
        </w:rPr>
        <w:t xml:space="preserve">edno oboljenje intolerancije na fruktozu </w:t>
      </w:r>
      <w:r w:rsidR="005F3D9E" w:rsidRPr="006B0439">
        <w:rPr>
          <w:bCs/>
          <w:i/>
          <w:sz w:val="22"/>
          <w:szCs w:val="22"/>
        </w:rPr>
        <w:t xml:space="preserve">(hereditary fructose intolerance, HFI) </w:t>
      </w:r>
      <w:r w:rsidR="005F3D9E" w:rsidRPr="006B0439">
        <w:rPr>
          <w:bCs/>
          <w:sz w:val="22"/>
          <w:szCs w:val="22"/>
        </w:rPr>
        <w:t xml:space="preserve">još </w:t>
      </w:r>
      <w:proofErr w:type="gramStart"/>
      <w:r w:rsidR="005F3D9E" w:rsidRPr="006B0439">
        <w:rPr>
          <w:bCs/>
          <w:sz w:val="22"/>
          <w:szCs w:val="22"/>
        </w:rPr>
        <w:t>uvijek  možda</w:t>
      </w:r>
      <w:proofErr w:type="gramEnd"/>
      <w:r w:rsidR="005F3D9E" w:rsidRPr="006B0439">
        <w:rPr>
          <w:bCs/>
          <w:sz w:val="22"/>
          <w:szCs w:val="22"/>
        </w:rPr>
        <w:t xml:space="preserve"> nije dijagnostifikovano. Ljekovi (u čijem sadržaju su sorbitol/fruktoza) koji se daju </w:t>
      </w:r>
      <w:proofErr w:type="gramStart"/>
      <w:r w:rsidR="005F3D9E" w:rsidRPr="006B0439">
        <w:rPr>
          <w:bCs/>
          <w:sz w:val="22"/>
          <w:szCs w:val="22"/>
        </w:rPr>
        <w:t>intravenski  mogu</w:t>
      </w:r>
      <w:proofErr w:type="gramEnd"/>
      <w:r w:rsidR="005F3D9E" w:rsidRPr="006B0439">
        <w:rPr>
          <w:bCs/>
          <w:sz w:val="22"/>
          <w:szCs w:val="22"/>
        </w:rPr>
        <w:t xml:space="preserve"> biti životno-ugrožavajući i trebalo bi da budu kontraindikovani u ovoj populaciji, osim ako ne postoji velika klinička potreba i nijedna alternative nije dostupna.</w:t>
      </w:r>
    </w:p>
    <w:p w:rsidR="005F3D9E" w:rsidRPr="006B0439" w:rsidRDefault="005F3D9E" w:rsidP="00982DE4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5F3D9E" w:rsidRPr="006B0439" w:rsidRDefault="005F3D9E" w:rsidP="00982DE4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6B0439">
        <w:rPr>
          <w:bCs/>
          <w:sz w:val="22"/>
          <w:szCs w:val="22"/>
        </w:rPr>
        <w:t xml:space="preserve">Detaljna </w:t>
      </w:r>
      <w:proofErr w:type="gramStart"/>
      <w:r w:rsidRPr="006B0439">
        <w:rPr>
          <w:bCs/>
          <w:sz w:val="22"/>
          <w:szCs w:val="22"/>
        </w:rPr>
        <w:t>anamneza  sa</w:t>
      </w:r>
      <w:proofErr w:type="gramEnd"/>
      <w:r w:rsidRPr="006B0439">
        <w:rPr>
          <w:bCs/>
          <w:sz w:val="22"/>
          <w:szCs w:val="22"/>
        </w:rPr>
        <w:t xml:space="preserve"> osvrtom na simptome rijetkog nasl</w:t>
      </w:r>
      <w:r w:rsidR="003A2EBB" w:rsidRPr="006B0439">
        <w:rPr>
          <w:bCs/>
          <w:sz w:val="22"/>
          <w:szCs w:val="22"/>
        </w:rPr>
        <w:t>j</w:t>
      </w:r>
      <w:r w:rsidRPr="006B0439">
        <w:rPr>
          <w:bCs/>
          <w:sz w:val="22"/>
          <w:szCs w:val="22"/>
        </w:rPr>
        <w:t xml:space="preserve">ednog  oboljenja intolerancije na fruktozu  </w:t>
      </w:r>
      <w:r w:rsidRPr="006B0439">
        <w:rPr>
          <w:bCs/>
          <w:i/>
          <w:sz w:val="22"/>
          <w:szCs w:val="22"/>
        </w:rPr>
        <w:t xml:space="preserve">(hereditary fructose intolerance, HFI) </w:t>
      </w:r>
      <w:r w:rsidRPr="006B0439">
        <w:rPr>
          <w:bCs/>
          <w:sz w:val="22"/>
          <w:szCs w:val="22"/>
        </w:rPr>
        <w:t>mora biti uzeta od svakog pacijenta prije davanja ovog lijeka.</w:t>
      </w:r>
    </w:p>
    <w:p w:rsidR="005F3D9E" w:rsidRPr="006B0439" w:rsidRDefault="005F3D9E" w:rsidP="00982DE4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5F3D9E" w:rsidRPr="006B0439" w:rsidRDefault="005F3D9E" w:rsidP="00982DE4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6B0439">
        <w:rPr>
          <w:bCs/>
          <w:sz w:val="22"/>
          <w:szCs w:val="22"/>
        </w:rPr>
        <w:t xml:space="preserve">Ovaj </w:t>
      </w:r>
      <w:proofErr w:type="gramStart"/>
      <w:r w:rsidRPr="006B0439">
        <w:rPr>
          <w:bCs/>
          <w:sz w:val="22"/>
          <w:szCs w:val="22"/>
        </w:rPr>
        <w:t>lijek  sadrži</w:t>
      </w:r>
      <w:proofErr w:type="gramEnd"/>
      <w:r w:rsidRPr="006B0439">
        <w:rPr>
          <w:bCs/>
          <w:sz w:val="22"/>
          <w:szCs w:val="22"/>
        </w:rPr>
        <w:t xml:space="preserve"> manje od 1 mmol natrijuma (23 mg) po dozi, te se suštinski može smatrati „bez natrijuma“</w:t>
      </w:r>
    </w:p>
    <w:p w:rsidR="005F3D9E" w:rsidRPr="006B0439" w:rsidRDefault="005F3D9E" w:rsidP="00982DE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:rsidR="00411B4B" w:rsidRPr="006B0439" w:rsidRDefault="00411B4B" w:rsidP="00982DE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proofErr w:type="gramStart"/>
      <w:r w:rsidRPr="006B0439">
        <w:rPr>
          <w:b/>
          <w:bCs/>
          <w:sz w:val="22"/>
          <w:szCs w:val="22"/>
        </w:rPr>
        <w:t>4.5.</w:t>
      </w:r>
      <w:r w:rsidR="000D60CC" w:rsidRPr="006B0439">
        <w:rPr>
          <w:b/>
          <w:bCs/>
          <w:sz w:val="22"/>
          <w:szCs w:val="22"/>
        </w:rPr>
        <w:tab/>
      </w:r>
      <w:r w:rsidRPr="006B0439">
        <w:rPr>
          <w:b/>
          <w:bCs/>
          <w:sz w:val="22"/>
          <w:szCs w:val="22"/>
        </w:rPr>
        <w:t>Interakcije sa</w:t>
      </w:r>
      <w:proofErr w:type="gramEnd"/>
      <w:r w:rsidRPr="006B0439">
        <w:rPr>
          <w:b/>
          <w:bCs/>
          <w:sz w:val="22"/>
          <w:szCs w:val="22"/>
        </w:rPr>
        <w:t xml:space="preserve"> drugim ljekovima i druge vrste interakcija</w:t>
      </w:r>
    </w:p>
    <w:p w:rsidR="00AA4032" w:rsidRPr="006B0439" w:rsidRDefault="00AA4032" w:rsidP="00D82437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AA4032" w:rsidRPr="006B0439" w:rsidRDefault="00AA4032" w:rsidP="00AA403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6B0439">
        <w:rPr>
          <w:b/>
          <w:bCs/>
          <w:i/>
          <w:iCs/>
          <w:sz w:val="22"/>
          <w:szCs w:val="22"/>
          <w:lang w:val="sr-Latn-ME"/>
        </w:rPr>
        <w:t xml:space="preserve">Kontraindikovana istovremena primjena (vidjeti dio 4.3) </w:t>
      </w:r>
    </w:p>
    <w:p w:rsidR="004C25AE" w:rsidRPr="006B0439" w:rsidRDefault="004C25AE" w:rsidP="00AA403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:rsidR="00AA4032" w:rsidRPr="006B0439" w:rsidRDefault="00AA4032" w:rsidP="00AA403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6B0439">
        <w:rPr>
          <w:b/>
          <w:bCs/>
          <w:sz w:val="22"/>
          <w:szCs w:val="22"/>
          <w:lang w:val="sr-Latn-ME"/>
        </w:rPr>
        <w:t xml:space="preserve">Kantarion : </w:t>
      </w:r>
      <w:r w:rsidRPr="006B0439">
        <w:rPr>
          <w:bCs/>
          <w:sz w:val="22"/>
          <w:szCs w:val="22"/>
          <w:lang w:val="sr-Latn-ME"/>
        </w:rPr>
        <w:t>Sniženje koncentracije aktivnog metabolita irinotekana, SN-38, u plazmi. U malom farmakokinetičkom ispitivanju (n=5) u kojem se irinotekan u dozi od 350 mg/m2 primjenjivao istovremeno sa 900 mg kantariona (</w:t>
      </w:r>
      <w:r w:rsidRPr="006B0439">
        <w:rPr>
          <w:bCs/>
          <w:i/>
          <w:iCs/>
          <w:sz w:val="22"/>
          <w:szCs w:val="22"/>
          <w:lang w:val="sr-Latn-ME"/>
        </w:rPr>
        <w:t>Hypericum perforatum</w:t>
      </w:r>
      <w:r w:rsidRPr="006B0439">
        <w:rPr>
          <w:bCs/>
          <w:sz w:val="22"/>
          <w:szCs w:val="22"/>
          <w:lang w:val="sr-Latn-ME"/>
        </w:rPr>
        <w:t xml:space="preserve">), zabilježeno je sniženje koncentracije aktivnog metabolita irinotekana SN-38 u plazmi za 42%. Zbog toga se kantarion ne smije primjenjivati s irinotekanom. </w:t>
      </w:r>
    </w:p>
    <w:p w:rsidR="00AA4032" w:rsidRPr="006B0439" w:rsidRDefault="00AA4032" w:rsidP="00AA403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6B0439">
        <w:rPr>
          <w:b/>
          <w:bCs/>
          <w:sz w:val="22"/>
          <w:szCs w:val="22"/>
          <w:lang w:val="sr-Latn-ME"/>
        </w:rPr>
        <w:t xml:space="preserve">Živa atenuirana vakcina </w:t>
      </w:r>
      <w:r w:rsidRPr="006B0439">
        <w:rPr>
          <w:bCs/>
          <w:sz w:val="22"/>
          <w:szCs w:val="22"/>
          <w:lang w:val="sr-Latn-ME"/>
        </w:rPr>
        <w:t xml:space="preserve">(npr. vakcina protiv žute groznice): Rizik od generalizovane reakcije navakcine , koja može biti smrtonosna. Istovremena primjena je kontraindikovana za vrijeme liječenja irinotekanom i još 6 mjeseci nakon prestanka hemoterapije. Mogu se primjenjivati nežive ili inaktivirane vakcine ; medjutim odgovor na takve vakcine može biti smanjen. </w:t>
      </w:r>
    </w:p>
    <w:p w:rsidR="004C25AE" w:rsidRPr="006B0439" w:rsidRDefault="004C25AE" w:rsidP="00AA4032">
      <w:pPr>
        <w:tabs>
          <w:tab w:val="left" w:pos="540"/>
          <w:tab w:val="left" w:pos="569"/>
        </w:tabs>
        <w:jc w:val="both"/>
        <w:rPr>
          <w:b/>
          <w:bCs/>
          <w:i/>
          <w:iCs/>
          <w:sz w:val="22"/>
          <w:szCs w:val="22"/>
          <w:lang w:val="sr-Latn-ME"/>
        </w:rPr>
      </w:pPr>
    </w:p>
    <w:p w:rsidR="00AA4032" w:rsidRPr="006B0439" w:rsidRDefault="00AA4032" w:rsidP="00AA403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6B0439">
        <w:rPr>
          <w:b/>
          <w:bCs/>
          <w:i/>
          <w:iCs/>
          <w:sz w:val="22"/>
          <w:szCs w:val="22"/>
          <w:lang w:val="sr-Latn-ME"/>
        </w:rPr>
        <w:t xml:space="preserve">Istovremena primjena se ne preporučuje (vidjeti dio 4.4) </w:t>
      </w:r>
    </w:p>
    <w:p w:rsidR="00AA4032" w:rsidRPr="006B0439" w:rsidRDefault="00AA4032" w:rsidP="00AA403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6B0439">
        <w:rPr>
          <w:bCs/>
          <w:sz w:val="22"/>
          <w:szCs w:val="22"/>
          <w:lang w:val="sr-Latn-ME"/>
        </w:rPr>
        <w:t xml:space="preserve">Istovremena primjena irinotekana sa snažnim inhibitorima ili induktorima citohroma P450 3A4 (CYP3A4) može izmijeniti metabolizam irinotekana te je treba izbjegavati (vidjeti dio 4.4): </w:t>
      </w:r>
    </w:p>
    <w:p w:rsidR="00AA4032" w:rsidRPr="006B0439" w:rsidRDefault="00AA4032" w:rsidP="00AA403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6B0439">
        <w:rPr>
          <w:bCs/>
          <w:sz w:val="22"/>
          <w:szCs w:val="22"/>
          <w:lang w:val="sr-Latn-ME"/>
        </w:rPr>
        <w:t>Lijekovi koji snažno indukuju CYP3A4 i/ili UGT1A1</w:t>
      </w:r>
      <w:r w:rsidRPr="006B0439">
        <w:rPr>
          <w:b/>
          <w:bCs/>
          <w:sz w:val="22"/>
          <w:szCs w:val="22"/>
          <w:lang w:val="sr-Latn-ME"/>
        </w:rPr>
        <w:t xml:space="preserve"> </w:t>
      </w:r>
      <w:r w:rsidRPr="006B0439">
        <w:rPr>
          <w:bCs/>
          <w:sz w:val="22"/>
          <w:szCs w:val="22"/>
          <w:lang w:val="sr-Latn-ME"/>
        </w:rPr>
        <w:t xml:space="preserve">(npr. rifampicin, karbamazepin, fenobarbital, fenitoin ili apalutamid): </w:t>
      </w:r>
    </w:p>
    <w:p w:rsidR="00E43B5D" w:rsidRPr="006B0439" w:rsidRDefault="00AA4032" w:rsidP="00E43B5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6B0439">
        <w:rPr>
          <w:bCs/>
          <w:sz w:val="22"/>
          <w:szCs w:val="22"/>
          <w:lang w:val="sr-Latn-ME"/>
        </w:rPr>
        <w:t xml:space="preserve">Ovi ljekovi predstavljaju rizik od smanjene izloženosti irinotekanu, SN-38 i SN-38 glukuronidu kao i smanjenih farmakodinamskih učinaka. Nekoliko je ispitivanja pokazalo da istovremena primjena antikonvulziva koji indukuju CYP3A4 dovodi do smanjene izloženosti irinotekanu, SN-38 i SN-38 glukuronidu </w:t>
      </w:r>
      <w:r w:rsidR="00E43B5D" w:rsidRPr="006B0439">
        <w:rPr>
          <w:bCs/>
          <w:sz w:val="22"/>
          <w:szCs w:val="22"/>
          <w:lang w:val="sr-Latn-ME"/>
        </w:rPr>
        <w:t xml:space="preserve">kaoi  </w:t>
      </w:r>
      <w:r w:rsidRPr="006B0439">
        <w:rPr>
          <w:bCs/>
          <w:sz w:val="22"/>
          <w:szCs w:val="22"/>
          <w:lang w:val="sr-Latn-ME"/>
        </w:rPr>
        <w:t>smanjenih</w:t>
      </w:r>
      <w:r w:rsidR="00E43B5D" w:rsidRPr="006B0439">
        <w:rPr>
          <w:bCs/>
          <w:sz w:val="22"/>
          <w:szCs w:val="22"/>
          <w:lang w:val="sr-Latn-ME"/>
        </w:rPr>
        <w:t xml:space="preserve"> farmakodinamskih efekata. Efekti takvih antikonvulziva izrazili su se kao smanjenje vrijednosti AUC-a za SN-38 i SN-38G od 50% ili više. Osim indukcije enzima CYP3A4, povećana glukuronidacija i pojačano izlučivanje putem žuči mogu uticati na smanjenje izloženosti </w:t>
      </w:r>
      <w:r w:rsidR="00E43B5D" w:rsidRPr="006B0439">
        <w:rPr>
          <w:bCs/>
          <w:sz w:val="22"/>
          <w:szCs w:val="22"/>
          <w:lang w:val="sr-Latn-ME"/>
        </w:rPr>
        <w:lastRenderedPageBreak/>
        <w:t>irinotekanu i njegovim metabolitima. Osim toga, fenitoin donosi rizik od egzacerbacije konvulzija zbog smanjene apsorpcije fenitoina iz digestivnog sistema uzrokovane primjenom citotoksičnog lijeka.</w:t>
      </w:r>
    </w:p>
    <w:p w:rsidR="00E43B5D" w:rsidRPr="006B0439" w:rsidRDefault="00E43B5D" w:rsidP="00E43B5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E43B5D" w:rsidRPr="006B0439" w:rsidRDefault="00E43B5D" w:rsidP="00E43B5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6B0439">
        <w:rPr>
          <w:bCs/>
          <w:sz w:val="22"/>
          <w:szCs w:val="22"/>
          <w:lang w:val="sr-Latn-ME"/>
        </w:rPr>
        <w:t>Snažni inhibitori CYP3A4 (npr. ketokonazol, itrakonazol, vorikonazol, posakonazol, inhibitori proteaza, klaritromicin, eritromicin, telitromicin):</w:t>
      </w:r>
    </w:p>
    <w:p w:rsidR="00E43B5D" w:rsidRPr="006B0439" w:rsidRDefault="00E43B5D" w:rsidP="00E43B5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6B0439">
        <w:rPr>
          <w:bCs/>
          <w:sz w:val="22"/>
          <w:szCs w:val="22"/>
          <w:lang w:val="sr-Latn-ME"/>
        </w:rPr>
        <w:t>Ispitivanje je pokazalo da istovremena primjena ketokonazola dovodi do smanjenja vrijednosti AUC-a za APC od 87% kao i do povećanja vrijednosti AUC-a za SN-38 od 109% u poredjenju sa primjenom irinotekana bez ketokonazola.</w:t>
      </w:r>
    </w:p>
    <w:p w:rsidR="00E43B5D" w:rsidRPr="006B0439" w:rsidRDefault="00E43B5D" w:rsidP="00E43B5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E43B5D" w:rsidRPr="006B0439" w:rsidRDefault="00E43B5D" w:rsidP="00E43B5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6B0439">
        <w:rPr>
          <w:bCs/>
          <w:sz w:val="22"/>
          <w:szCs w:val="22"/>
          <w:lang w:val="sr-Latn-ME"/>
        </w:rPr>
        <w:t>Inhibitori UGT1A1 (npr. atazanavir, ketokonazol, regorafenib):</w:t>
      </w:r>
    </w:p>
    <w:p w:rsidR="00E43B5D" w:rsidRPr="006B0439" w:rsidRDefault="00E43B5D" w:rsidP="00E43B5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6B0439">
        <w:rPr>
          <w:bCs/>
          <w:sz w:val="22"/>
          <w:szCs w:val="22"/>
          <w:lang w:val="sr-Latn-ME"/>
        </w:rPr>
        <w:t>Predstavljaju rizik od povećanja sistemske izloženosti SN-38, aktivnom metabolitu irinotekana. Ljekari to trebaju uzeti u obzir ako se ova kombinacija ne može izbjeći.</w:t>
      </w:r>
    </w:p>
    <w:p w:rsidR="00E43B5D" w:rsidRPr="006B0439" w:rsidRDefault="00E43B5D" w:rsidP="00E43B5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E43B5D" w:rsidRPr="006B0439" w:rsidRDefault="00E43B5D" w:rsidP="00E43B5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6B0439">
        <w:rPr>
          <w:bCs/>
          <w:sz w:val="22"/>
          <w:szCs w:val="22"/>
          <w:lang w:val="sr-Latn-ME"/>
        </w:rPr>
        <w:t>Drugi inhibitori CYP3A4 (npr. krizotinib, idelalisib):</w:t>
      </w:r>
    </w:p>
    <w:p w:rsidR="00E43B5D" w:rsidRPr="006B0439" w:rsidRDefault="00E43B5D" w:rsidP="00E43B5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6B0439">
        <w:rPr>
          <w:bCs/>
          <w:sz w:val="22"/>
          <w:szCs w:val="22"/>
          <w:lang w:val="sr-Latn-ME"/>
        </w:rPr>
        <w:t>Predstavljaju rizik od povećanja toksičnosti irinotekana zbog smanjenja metabolizma irinotekana uzrokovanog primjenom krizotiniba ili idelalisiba.</w:t>
      </w:r>
    </w:p>
    <w:p w:rsidR="00E43B5D" w:rsidRPr="006B0439" w:rsidRDefault="00E43B5D" w:rsidP="00E43B5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E43B5D" w:rsidRPr="006B0439" w:rsidRDefault="00E43B5D" w:rsidP="00E43B5D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  <w:r w:rsidRPr="006B0439">
        <w:rPr>
          <w:bCs/>
          <w:i/>
          <w:sz w:val="22"/>
          <w:szCs w:val="22"/>
          <w:lang w:val="sr-Latn-ME"/>
        </w:rPr>
        <w:t>Oprez pri primjeni:</w:t>
      </w:r>
    </w:p>
    <w:p w:rsidR="00E43B5D" w:rsidRPr="006B0439" w:rsidRDefault="00E43B5D" w:rsidP="00E43B5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6B0439">
        <w:rPr>
          <w:bCs/>
          <w:sz w:val="22"/>
          <w:szCs w:val="22"/>
          <w:lang w:val="sr-Latn-ME"/>
        </w:rPr>
        <w:t>Antagonisti vitamina K: Predstavljaju povećan rizik od krvarenja i trombotskih dogadjaja kod bolesti tumoa. Ako je indikovan antagonist vitamina K, potrebna je veća učestalost praćenja medjunarodnog normalizovanog odnosa.</w:t>
      </w:r>
    </w:p>
    <w:p w:rsidR="00E43B5D" w:rsidRPr="006B0439" w:rsidRDefault="00E43B5D" w:rsidP="00E43B5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E43B5D" w:rsidRPr="006B0439" w:rsidRDefault="00E43B5D" w:rsidP="00E43B5D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  <w:r w:rsidRPr="006B0439">
        <w:rPr>
          <w:bCs/>
          <w:i/>
          <w:sz w:val="22"/>
          <w:szCs w:val="22"/>
          <w:lang w:val="sr-Latn-ME"/>
        </w:rPr>
        <w:t>Istovremena primjena koju treba razmotriti</w:t>
      </w:r>
      <w:r w:rsidR="004C25AE" w:rsidRPr="006B0439">
        <w:rPr>
          <w:bCs/>
          <w:i/>
          <w:sz w:val="22"/>
          <w:szCs w:val="22"/>
          <w:lang w:val="sr-Latn-ME"/>
        </w:rPr>
        <w:t>:</w:t>
      </w:r>
    </w:p>
    <w:p w:rsidR="00E43B5D" w:rsidRPr="006B0439" w:rsidRDefault="00E43B5D" w:rsidP="00E43B5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6B0439">
        <w:rPr>
          <w:bCs/>
          <w:sz w:val="22"/>
          <w:szCs w:val="22"/>
          <w:lang w:val="sr-Latn-ME"/>
        </w:rPr>
        <w:t>Imunosupresivi (npr. ciklosporin, takrolimus): Dovode do prekomjerne imunosupresije sa rizikom od limfoproliferacije.</w:t>
      </w:r>
    </w:p>
    <w:p w:rsidR="00E43B5D" w:rsidRPr="006B0439" w:rsidRDefault="00E43B5D" w:rsidP="00E43B5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6B0439">
        <w:rPr>
          <w:bCs/>
          <w:sz w:val="22"/>
          <w:szCs w:val="22"/>
          <w:lang w:val="sr-Latn-ME"/>
        </w:rPr>
        <w:t>Neuromuskularni blokatori: Ne može se isključiti interakcija izmedju irinotekana i neuromuskularnih blokatora.</w:t>
      </w:r>
    </w:p>
    <w:p w:rsidR="00E43B5D" w:rsidRPr="006B0439" w:rsidRDefault="00E43B5D" w:rsidP="00E43B5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6B0439">
        <w:rPr>
          <w:bCs/>
          <w:sz w:val="22"/>
          <w:szCs w:val="22"/>
          <w:lang w:val="sr-Latn-ME"/>
        </w:rPr>
        <w:t>Kako irinotekan ima antiholinesteraznu aktivnost, može produžiti neuromuskularni blokirajući efekat suksametonijuma, što može antagonizovati neuromuskularnu blokadu nedepolarizirajućih ljekova.</w:t>
      </w:r>
    </w:p>
    <w:p w:rsidR="00E43B5D" w:rsidRPr="006B0439" w:rsidRDefault="00E43B5D" w:rsidP="00E43B5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E43B5D" w:rsidRPr="006B0439" w:rsidRDefault="00E43B5D" w:rsidP="00E43B5D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  <w:r w:rsidRPr="006B0439">
        <w:rPr>
          <w:bCs/>
          <w:i/>
          <w:sz w:val="22"/>
          <w:szCs w:val="22"/>
          <w:lang w:val="sr-Latn-ME"/>
        </w:rPr>
        <w:t>Druge kombinacije</w:t>
      </w:r>
      <w:r w:rsidR="004C25AE" w:rsidRPr="006B0439">
        <w:rPr>
          <w:bCs/>
          <w:i/>
          <w:sz w:val="22"/>
          <w:szCs w:val="22"/>
          <w:lang w:val="sr-Latn-ME"/>
        </w:rPr>
        <w:t>:</w:t>
      </w:r>
    </w:p>
    <w:p w:rsidR="00E43B5D" w:rsidRPr="006B0439" w:rsidRDefault="00E43B5D" w:rsidP="00E43B5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6B0439">
        <w:rPr>
          <w:bCs/>
          <w:sz w:val="22"/>
          <w:szCs w:val="22"/>
          <w:lang w:val="sr-Latn-ME"/>
        </w:rPr>
        <w:t>5-fluorouracil/folna kiselina: Istovremena primjena 5-fluorouracila/folne kiseline u kombinovanoj terapiji ne mijenja farmakokinetiku irinotekana.</w:t>
      </w:r>
    </w:p>
    <w:p w:rsidR="00E43B5D" w:rsidRPr="006B0439" w:rsidRDefault="00E43B5D" w:rsidP="00E43B5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6B0439">
        <w:rPr>
          <w:bCs/>
          <w:sz w:val="22"/>
          <w:szCs w:val="22"/>
          <w:lang w:val="sr-Latn-ME"/>
        </w:rPr>
        <w:t>Bevacizumab: Rezultati ispitivanja interakcije ljekova nisu pokazali značajan efekat bevacizumaba na farmakokinetiku irinotekana i njegovog aktivnog metabolita SN-38. MeĎutim, to ne isključuje povećanje toksičnosti uzrokovane njihovim farmakološkim svojstvima.</w:t>
      </w:r>
    </w:p>
    <w:p w:rsidR="00E43B5D" w:rsidRPr="006B0439" w:rsidRDefault="00E43B5D" w:rsidP="00E43B5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6B0439">
        <w:rPr>
          <w:bCs/>
          <w:sz w:val="22"/>
          <w:szCs w:val="22"/>
          <w:lang w:val="sr-Latn-ME"/>
        </w:rPr>
        <w:t>Cetuksimab: Nema dokaza da cetuksimab utiče na sigurnosni profil irinotekana ili obrnuto.</w:t>
      </w:r>
    </w:p>
    <w:p w:rsidR="00E43B5D" w:rsidRPr="006B0439" w:rsidRDefault="00E43B5D" w:rsidP="00E43B5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6B0439">
        <w:rPr>
          <w:bCs/>
          <w:sz w:val="22"/>
          <w:szCs w:val="22"/>
          <w:lang w:val="sr-Latn-ME"/>
        </w:rPr>
        <w:t>Antineoplastici (uklju</w:t>
      </w:r>
      <w:r w:rsidR="004C25AE" w:rsidRPr="006B0439">
        <w:rPr>
          <w:bCs/>
          <w:sz w:val="22"/>
          <w:szCs w:val="22"/>
          <w:lang w:val="sr-Latn-ME"/>
        </w:rPr>
        <w:t>č</w:t>
      </w:r>
      <w:r w:rsidRPr="006B0439">
        <w:rPr>
          <w:bCs/>
          <w:sz w:val="22"/>
          <w:szCs w:val="22"/>
          <w:lang w:val="sr-Latn-ME"/>
        </w:rPr>
        <w:t>ujući flucitozin kao prolijek za 5-fluorouracil)</w:t>
      </w:r>
    </w:p>
    <w:p w:rsidR="00AA4032" w:rsidRPr="006B0439" w:rsidRDefault="00E43B5D" w:rsidP="00D8243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6B0439">
        <w:rPr>
          <w:bCs/>
          <w:sz w:val="22"/>
          <w:szCs w:val="22"/>
          <w:lang w:val="sr-Latn-ME"/>
        </w:rPr>
        <w:t>N</w:t>
      </w:r>
      <w:r w:rsidR="004C25AE" w:rsidRPr="006B0439">
        <w:rPr>
          <w:bCs/>
          <w:sz w:val="22"/>
          <w:szCs w:val="22"/>
          <w:lang w:val="sr-Latn-ME"/>
        </w:rPr>
        <w:t xml:space="preserve">eželjena dejstva </w:t>
      </w:r>
      <w:r w:rsidRPr="006B0439">
        <w:rPr>
          <w:bCs/>
          <w:sz w:val="22"/>
          <w:szCs w:val="22"/>
          <w:lang w:val="sr-Latn-ME"/>
        </w:rPr>
        <w:t xml:space="preserve">irinotekana, poput mijelosupresije, mogu se pogoršati primjenom drugih antineoplastika koji imaju sličan profil </w:t>
      </w:r>
      <w:r w:rsidR="004C25AE" w:rsidRPr="006B0439">
        <w:rPr>
          <w:bCs/>
          <w:sz w:val="22"/>
          <w:szCs w:val="22"/>
          <w:lang w:val="sr-Latn-ME"/>
        </w:rPr>
        <w:t>neželjenih dejstava.</w:t>
      </w:r>
    </w:p>
    <w:p w:rsidR="009F4EF0" w:rsidRPr="006B0439" w:rsidRDefault="009F4EF0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CS"/>
        </w:rPr>
      </w:pPr>
    </w:p>
    <w:p w:rsidR="0072020E" w:rsidRPr="006B0439" w:rsidRDefault="0072020E" w:rsidP="00480FB1">
      <w:pPr>
        <w:tabs>
          <w:tab w:val="left" w:pos="540"/>
          <w:tab w:val="left" w:pos="569"/>
        </w:tabs>
        <w:rPr>
          <w:b/>
          <w:sz w:val="22"/>
          <w:szCs w:val="22"/>
          <w:lang w:val="sr-Latn-CS"/>
        </w:rPr>
      </w:pPr>
      <w:r w:rsidRPr="006B0439">
        <w:rPr>
          <w:b/>
          <w:bCs/>
          <w:sz w:val="22"/>
          <w:szCs w:val="22"/>
          <w:lang w:val="sr-Latn-CS"/>
        </w:rPr>
        <w:t xml:space="preserve">4.6. </w:t>
      </w:r>
      <w:r w:rsidR="00480FB1" w:rsidRPr="006B0439">
        <w:rPr>
          <w:b/>
          <w:bCs/>
          <w:sz w:val="22"/>
          <w:szCs w:val="22"/>
          <w:lang w:val="sr-Latn-CS"/>
        </w:rPr>
        <w:tab/>
      </w:r>
      <w:r w:rsidR="006D20A5" w:rsidRPr="006B0439">
        <w:rPr>
          <w:b/>
          <w:sz w:val="22"/>
          <w:szCs w:val="22"/>
          <w:lang w:val="sr-Latn-CS"/>
        </w:rPr>
        <w:t>Plodnost, trudnoća i dojenje</w:t>
      </w:r>
    </w:p>
    <w:p w:rsidR="006B0439" w:rsidRDefault="006B0439" w:rsidP="00621F29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CS"/>
        </w:rPr>
      </w:pPr>
    </w:p>
    <w:p w:rsidR="00621F29" w:rsidRPr="006B0439" w:rsidRDefault="000D179E" w:rsidP="00621F29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CS"/>
        </w:rPr>
      </w:pPr>
      <w:r w:rsidRPr="006B0439">
        <w:rPr>
          <w:b/>
          <w:bCs/>
          <w:sz w:val="22"/>
          <w:szCs w:val="22"/>
          <w:lang w:val="sr-Latn-CS"/>
        </w:rPr>
        <w:t>K</w:t>
      </w:r>
      <w:r w:rsidR="00621F29" w:rsidRPr="006B0439">
        <w:rPr>
          <w:b/>
          <w:bCs/>
          <w:sz w:val="22"/>
          <w:szCs w:val="22"/>
          <w:lang w:val="sr-Latn-CS"/>
        </w:rPr>
        <w:t xml:space="preserve">ontracepcija </w:t>
      </w:r>
    </w:p>
    <w:p w:rsidR="0058589B" w:rsidRPr="006B0439" w:rsidRDefault="0002772A" w:rsidP="00621F29">
      <w:pPr>
        <w:tabs>
          <w:tab w:val="left" w:pos="540"/>
          <w:tab w:val="left" w:pos="569"/>
        </w:tabs>
        <w:jc w:val="both"/>
        <w:rPr>
          <w:sz w:val="22"/>
          <w:szCs w:val="22"/>
          <w:lang w:val="sr-Latn-CS"/>
        </w:rPr>
      </w:pPr>
      <w:r w:rsidRPr="006B0439">
        <w:rPr>
          <w:sz w:val="22"/>
          <w:szCs w:val="22"/>
          <w:lang w:val="sr-Latn-CS"/>
        </w:rPr>
        <w:t>Usl</w:t>
      </w:r>
      <w:r w:rsidR="00D87BC6" w:rsidRPr="006B0439">
        <w:rPr>
          <w:sz w:val="22"/>
          <w:szCs w:val="22"/>
          <w:lang w:val="sr-Latn-CS"/>
        </w:rPr>
        <w:t>j</w:t>
      </w:r>
      <w:r w:rsidRPr="006B0439">
        <w:rPr>
          <w:sz w:val="22"/>
          <w:szCs w:val="22"/>
          <w:lang w:val="sr-Latn-CS"/>
        </w:rPr>
        <w:t xml:space="preserve">ed genotoksičnog potencijala, treba savjetovati žene u reproduktivnom periodu da koriste visoko efektivnu kontracepciju tokom liječenja, kao i 6 mjeseci nakon poslednje doze irinotekana (vidjeti </w:t>
      </w:r>
      <w:r w:rsidR="00D87BC6" w:rsidRPr="006B0439">
        <w:rPr>
          <w:sz w:val="22"/>
          <w:szCs w:val="22"/>
          <w:lang w:val="sr-Latn-CS"/>
        </w:rPr>
        <w:t xml:space="preserve">dio </w:t>
      </w:r>
      <w:r w:rsidRPr="006B0439">
        <w:rPr>
          <w:sz w:val="22"/>
          <w:szCs w:val="22"/>
          <w:lang w:val="sr-Latn-CS"/>
        </w:rPr>
        <w:t>4.4).</w:t>
      </w:r>
    </w:p>
    <w:p w:rsidR="0058589B" w:rsidRPr="006B0439" w:rsidRDefault="0002772A" w:rsidP="00621F29">
      <w:pPr>
        <w:tabs>
          <w:tab w:val="left" w:pos="540"/>
          <w:tab w:val="left" w:pos="569"/>
        </w:tabs>
        <w:jc w:val="both"/>
        <w:rPr>
          <w:sz w:val="22"/>
          <w:szCs w:val="22"/>
          <w:lang w:val="sr-Latn-CS"/>
        </w:rPr>
      </w:pPr>
      <w:r w:rsidRPr="006B0439">
        <w:rPr>
          <w:sz w:val="22"/>
          <w:szCs w:val="22"/>
          <w:lang w:val="sr-Latn-CS"/>
        </w:rPr>
        <w:t>Usl</w:t>
      </w:r>
      <w:r w:rsidR="00D87BC6" w:rsidRPr="006B0439">
        <w:rPr>
          <w:sz w:val="22"/>
          <w:szCs w:val="22"/>
          <w:lang w:val="sr-Latn-CS"/>
        </w:rPr>
        <w:t>j</w:t>
      </w:r>
      <w:r w:rsidRPr="006B0439">
        <w:rPr>
          <w:sz w:val="22"/>
          <w:szCs w:val="22"/>
          <w:lang w:val="sr-Latn-CS"/>
        </w:rPr>
        <w:t>ed genotoksičnog potencijala, treba savjetovati muškarce sa partnerkama u reproduktivnom periodu da koriste visoko efektivnu kontracepciju tokom lijekčenja, kao i 3 mjeseca nakon posl</w:t>
      </w:r>
      <w:r w:rsidR="00D87BC6" w:rsidRPr="006B0439">
        <w:rPr>
          <w:sz w:val="22"/>
          <w:szCs w:val="22"/>
          <w:lang w:val="sr-Latn-CS"/>
        </w:rPr>
        <w:t>j</w:t>
      </w:r>
      <w:r w:rsidRPr="006B0439">
        <w:rPr>
          <w:sz w:val="22"/>
          <w:szCs w:val="22"/>
          <w:lang w:val="sr-Latn-CS"/>
        </w:rPr>
        <w:t xml:space="preserve">ednje primljene doze irinotekana (vidjeti </w:t>
      </w:r>
      <w:r w:rsidR="00D87BC6" w:rsidRPr="006B0439">
        <w:rPr>
          <w:sz w:val="22"/>
          <w:szCs w:val="22"/>
          <w:lang w:val="sr-Latn-CS"/>
        </w:rPr>
        <w:t xml:space="preserve">dio </w:t>
      </w:r>
      <w:r w:rsidRPr="006B0439">
        <w:rPr>
          <w:sz w:val="22"/>
          <w:szCs w:val="22"/>
          <w:lang w:val="sr-Latn-CS"/>
        </w:rPr>
        <w:t>4.4).</w:t>
      </w:r>
    </w:p>
    <w:p w:rsidR="00621F29" w:rsidRPr="006B0439" w:rsidRDefault="00621F29" w:rsidP="00480FB1">
      <w:pPr>
        <w:tabs>
          <w:tab w:val="left" w:pos="540"/>
          <w:tab w:val="left" w:pos="569"/>
        </w:tabs>
        <w:rPr>
          <w:sz w:val="22"/>
          <w:szCs w:val="22"/>
          <w:u w:val="single"/>
          <w:lang w:val="sr-Latn-CS"/>
        </w:rPr>
      </w:pPr>
    </w:p>
    <w:p w:rsidR="002031B3" w:rsidRPr="006B0439" w:rsidRDefault="002031B3" w:rsidP="002031B3">
      <w:pPr>
        <w:tabs>
          <w:tab w:val="left" w:pos="540"/>
          <w:tab w:val="left" w:pos="569"/>
        </w:tabs>
        <w:rPr>
          <w:sz w:val="22"/>
          <w:szCs w:val="22"/>
          <w:u w:val="single"/>
        </w:rPr>
      </w:pPr>
      <w:r w:rsidRPr="006B0439">
        <w:rPr>
          <w:sz w:val="22"/>
          <w:szCs w:val="22"/>
          <w:u w:val="single"/>
        </w:rPr>
        <w:t>Plodnost</w:t>
      </w:r>
    </w:p>
    <w:p w:rsidR="002031B3" w:rsidRPr="006B0439" w:rsidRDefault="00621F29" w:rsidP="002031B3">
      <w:pPr>
        <w:tabs>
          <w:tab w:val="left" w:pos="540"/>
          <w:tab w:val="left" w:pos="569"/>
        </w:tabs>
        <w:rPr>
          <w:sz w:val="22"/>
          <w:szCs w:val="22"/>
          <w:lang w:val="sr-Latn-CS"/>
        </w:rPr>
      </w:pPr>
      <w:r w:rsidRPr="006B0439">
        <w:rPr>
          <w:sz w:val="22"/>
          <w:szCs w:val="22"/>
          <w:lang w:val="sr-Latn-CS"/>
        </w:rPr>
        <w:t xml:space="preserve">Nema podataka o uticaju irinotekana na plodnost kod ljudi. Kod životinja neželjena dejstva irinotekana na plodnost potomstva su dokumentovana (vidjeti </w:t>
      </w:r>
      <w:r w:rsidR="00D87BC6" w:rsidRPr="006B0439">
        <w:rPr>
          <w:sz w:val="22"/>
          <w:szCs w:val="22"/>
          <w:lang w:val="sr-Latn-CS"/>
        </w:rPr>
        <w:t xml:space="preserve">dio </w:t>
      </w:r>
      <w:r w:rsidRPr="006B0439">
        <w:rPr>
          <w:sz w:val="22"/>
          <w:szCs w:val="22"/>
          <w:lang w:val="sr-Latn-CS"/>
        </w:rPr>
        <w:t>5.3).</w:t>
      </w:r>
      <w:r w:rsidR="00563A7C" w:rsidRPr="006B0439">
        <w:rPr>
          <w:sz w:val="22"/>
          <w:szCs w:val="22"/>
          <w:lang w:val="sr-Latn-CS"/>
        </w:rPr>
        <w:t xml:space="preserve"> Prije otpočinjanja terapije lijekom IRITEC treba razmotriti savjetovanje pacijenata po pitanju očuvanja gameta.</w:t>
      </w:r>
    </w:p>
    <w:p w:rsidR="00621F29" w:rsidRDefault="00621F29" w:rsidP="00480FB1">
      <w:pPr>
        <w:tabs>
          <w:tab w:val="left" w:pos="540"/>
          <w:tab w:val="left" w:pos="569"/>
        </w:tabs>
        <w:rPr>
          <w:sz w:val="22"/>
          <w:szCs w:val="22"/>
          <w:u w:val="single"/>
          <w:lang w:val="sr-Latn-CS"/>
        </w:rPr>
      </w:pPr>
    </w:p>
    <w:p w:rsidR="006B0439" w:rsidRPr="006B0439" w:rsidRDefault="006B0439" w:rsidP="00480FB1">
      <w:pPr>
        <w:tabs>
          <w:tab w:val="left" w:pos="540"/>
          <w:tab w:val="left" w:pos="569"/>
        </w:tabs>
        <w:rPr>
          <w:sz w:val="22"/>
          <w:szCs w:val="22"/>
          <w:u w:val="single"/>
          <w:lang w:val="sr-Latn-CS"/>
        </w:rPr>
      </w:pPr>
    </w:p>
    <w:p w:rsidR="007A3ECB" w:rsidRPr="006B0439" w:rsidRDefault="007A3ECB" w:rsidP="00480FB1">
      <w:pPr>
        <w:tabs>
          <w:tab w:val="left" w:pos="540"/>
          <w:tab w:val="left" w:pos="569"/>
        </w:tabs>
        <w:rPr>
          <w:sz w:val="22"/>
          <w:szCs w:val="22"/>
          <w:u w:val="single"/>
        </w:rPr>
      </w:pPr>
      <w:r w:rsidRPr="006B0439">
        <w:rPr>
          <w:sz w:val="22"/>
          <w:szCs w:val="22"/>
          <w:u w:val="single"/>
        </w:rPr>
        <w:lastRenderedPageBreak/>
        <w:t>Trudnoća</w:t>
      </w:r>
    </w:p>
    <w:p w:rsidR="00621F29" w:rsidRPr="006B0439" w:rsidRDefault="0002772A" w:rsidP="00982DE4">
      <w:pPr>
        <w:tabs>
          <w:tab w:val="left" w:pos="540"/>
          <w:tab w:val="left" w:pos="569"/>
        </w:tabs>
        <w:jc w:val="both"/>
        <w:rPr>
          <w:sz w:val="22"/>
          <w:szCs w:val="22"/>
          <w:lang w:val="sr-Latn-CS"/>
        </w:rPr>
      </w:pPr>
      <w:r w:rsidRPr="006B0439">
        <w:rPr>
          <w:sz w:val="22"/>
          <w:szCs w:val="22"/>
          <w:lang w:val="sr-Latn-CS"/>
        </w:rPr>
        <w:t xml:space="preserve">Postoji ograničen broj </w:t>
      </w:r>
      <w:r w:rsidR="00621F29" w:rsidRPr="006B0439">
        <w:rPr>
          <w:sz w:val="22"/>
          <w:szCs w:val="22"/>
          <w:lang w:val="sr-Latn-CS"/>
        </w:rPr>
        <w:t>podataka o korišćenju preparata irinotekana kod trudnica. Za irinotekan je pokazano da je</w:t>
      </w:r>
      <w:r w:rsidR="00D87BC6" w:rsidRPr="006B0439">
        <w:rPr>
          <w:sz w:val="22"/>
          <w:szCs w:val="22"/>
          <w:lang w:val="sr-Latn-CS"/>
        </w:rPr>
        <w:t xml:space="preserve"> </w:t>
      </w:r>
      <w:r w:rsidR="00621F29" w:rsidRPr="006B0439">
        <w:rPr>
          <w:sz w:val="22"/>
          <w:szCs w:val="22"/>
          <w:lang w:val="sr-Latn-CS"/>
        </w:rPr>
        <w:t>embriotoksičan i  kod životinja</w:t>
      </w:r>
      <w:r w:rsidR="00D87BC6" w:rsidRPr="006B0439">
        <w:rPr>
          <w:sz w:val="22"/>
          <w:szCs w:val="22"/>
          <w:lang w:val="sr-Latn-CS"/>
        </w:rPr>
        <w:t xml:space="preserve"> </w:t>
      </w:r>
      <w:r w:rsidR="00563A7C" w:rsidRPr="006B0439">
        <w:rPr>
          <w:sz w:val="22"/>
          <w:szCs w:val="22"/>
          <w:lang w:val="sr-Latn-CS"/>
        </w:rPr>
        <w:t>(</w:t>
      </w:r>
      <w:r w:rsidR="00563A7C" w:rsidRPr="006B0439">
        <w:rPr>
          <w:sz w:val="22"/>
          <w:szCs w:val="22"/>
        </w:rPr>
        <w:t>vidjeti</w:t>
      </w:r>
      <w:r w:rsidR="00563A7C" w:rsidRPr="006B0439">
        <w:rPr>
          <w:sz w:val="22"/>
          <w:szCs w:val="22"/>
          <w:lang w:val="sr-Latn-CS"/>
        </w:rPr>
        <w:t xml:space="preserve"> </w:t>
      </w:r>
      <w:r w:rsidR="00D87BC6" w:rsidRPr="006B0439">
        <w:rPr>
          <w:sz w:val="22"/>
          <w:szCs w:val="22"/>
          <w:lang w:val="sr-Latn-CS"/>
        </w:rPr>
        <w:t xml:space="preserve">dio </w:t>
      </w:r>
      <w:r w:rsidR="00563A7C" w:rsidRPr="006B0439">
        <w:rPr>
          <w:sz w:val="22"/>
          <w:szCs w:val="22"/>
          <w:lang w:val="sr-Latn-CS"/>
        </w:rPr>
        <w:t>5.3)</w:t>
      </w:r>
      <w:r w:rsidR="00621F29" w:rsidRPr="006B0439">
        <w:rPr>
          <w:sz w:val="22"/>
          <w:szCs w:val="22"/>
          <w:lang w:val="sr-Latn-CS"/>
        </w:rPr>
        <w:t xml:space="preserve">. </w:t>
      </w:r>
      <w:r w:rsidR="00616989" w:rsidRPr="006B0439">
        <w:rPr>
          <w:sz w:val="22"/>
          <w:szCs w:val="22"/>
          <w:lang w:val="sr-Latn-CS"/>
        </w:rPr>
        <w:t xml:space="preserve">Zbog </w:t>
      </w:r>
      <w:r w:rsidR="00621F29" w:rsidRPr="006B0439">
        <w:rPr>
          <w:sz w:val="22"/>
          <w:szCs w:val="22"/>
          <w:lang w:val="sr-Latn-CS"/>
        </w:rPr>
        <w:t>toga, na osnovu rezultata ispitivanja na životinjama i mehanizmu d</w:t>
      </w:r>
      <w:r w:rsidR="00D87BC6" w:rsidRPr="006B0439">
        <w:rPr>
          <w:sz w:val="22"/>
          <w:szCs w:val="22"/>
          <w:lang w:val="sr-Latn-CS"/>
        </w:rPr>
        <w:t>j</w:t>
      </w:r>
      <w:r w:rsidR="00621F29" w:rsidRPr="006B0439">
        <w:rPr>
          <w:sz w:val="22"/>
          <w:szCs w:val="22"/>
          <w:lang w:val="sr-Latn-CS"/>
        </w:rPr>
        <w:t xml:space="preserve">elovanja irinotekana, </w:t>
      </w:r>
      <w:r w:rsidR="00563A7C" w:rsidRPr="006B0439">
        <w:rPr>
          <w:sz w:val="22"/>
          <w:szCs w:val="22"/>
          <w:lang w:val="sr-Latn-CS"/>
        </w:rPr>
        <w:t xml:space="preserve">lijek </w:t>
      </w:r>
      <w:r w:rsidR="00621F29" w:rsidRPr="006B0439">
        <w:rPr>
          <w:sz w:val="22"/>
          <w:szCs w:val="22"/>
          <w:lang w:val="sr-Latn-CS"/>
        </w:rPr>
        <w:t>IRITEC se ne smije koristiti tokom trudnoće ukoliko nije neophodno.</w:t>
      </w:r>
    </w:p>
    <w:p w:rsidR="00563A7C" w:rsidRPr="006B0439" w:rsidRDefault="00563A7C" w:rsidP="00982DE4">
      <w:pPr>
        <w:tabs>
          <w:tab w:val="left" w:pos="540"/>
          <w:tab w:val="left" w:pos="569"/>
        </w:tabs>
        <w:jc w:val="both"/>
        <w:rPr>
          <w:sz w:val="22"/>
          <w:szCs w:val="22"/>
          <w:lang w:val="sr-Latn-RS"/>
        </w:rPr>
      </w:pPr>
      <w:r w:rsidRPr="006B0439">
        <w:rPr>
          <w:sz w:val="22"/>
          <w:szCs w:val="22"/>
          <w:lang w:val="sr-Latn-RS"/>
        </w:rPr>
        <w:t>Žene u reproduktivnom periodu ne bi trebalo da otpočinju terapiju irinotekanom sve dok se trudnoća ne isključi. Trudnoću bi trebalo izbjegavati ukoliko bilo ko od partnera prima irinotekan.</w:t>
      </w:r>
    </w:p>
    <w:p w:rsidR="002031B3" w:rsidRPr="006B0439" w:rsidRDefault="002031B3" w:rsidP="00480FB1">
      <w:pPr>
        <w:tabs>
          <w:tab w:val="left" w:pos="540"/>
          <w:tab w:val="left" w:pos="569"/>
        </w:tabs>
        <w:rPr>
          <w:sz w:val="22"/>
          <w:szCs w:val="22"/>
          <w:u w:val="single"/>
          <w:lang w:val="sr-Latn-CS"/>
        </w:rPr>
      </w:pPr>
    </w:p>
    <w:p w:rsidR="0072020E" w:rsidRPr="006B0439" w:rsidRDefault="007A3ECB" w:rsidP="00480FB1">
      <w:pPr>
        <w:tabs>
          <w:tab w:val="left" w:pos="540"/>
          <w:tab w:val="left" w:pos="569"/>
        </w:tabs>
        <w:rPr>
          <w:sz w:val="22"/>
          <w:szCs w:val="22"/>
          <w:u w:val="single"/>
          <w:lang w:val="sr-Latn-CS"/>
        </w:rPr>
      </w:pPr>
      <w:r w:rsidRPr="006B0439">
        <w:rPr>
          <w:sz w:val="22"/>
          <w:szCs w:val="22"/>
          <w:u w:val="single"/>
        </w:rPr>
        <w:t>Dojenje</w:t>
      </w:r>
      <w:r w:rsidRPr="006B0439">
        <w:rPr>
          <w:sz w:val="22"/>
          <w:szCs w:val="22"/>
          <w:u w:val="single"/>
          <w:lang w:val="sr-Latn-CS"/>
        </w:rPr>
        <w:t xml:space="preserve"> </w:t>
      </w:r>
    </w:p>
    <w:p w:rsidR="00563A7C" w:rsidRPr="006B0439" w:rsidRDefault="00563A7C" w:rsidP="00480FB1">
      <w:pPr>
        <w:tabs>
          <w:tab w:val="left" w:pos="540"/>
          <w:tab w:val="left" w:pos="569"/>
        </w:tabs>
        <w:rPr>
          <w:sz w:val="22"/>
          <w:szCs w:val="22"/>
          <w:u w:val="single"/>
          <w:lang w:val="sr-Latn-CS"/>
        </w:rPr>
      </w:pPr>
      <w:r w:rsidRPr="006B0439">
        <w:rPr>
          <w:sz w:val="22"/>
          <w:szCs w:val="22"/>
          <w:u w:val="single"/>
          <w:lang w:val="sr-Latn-CS"/>
        </w:rPr>
        <w:t>Dostupni podaci su ograničeni ali ukazuju da se irinotekan i nj</w:t>
      </w:r>
      <w:r w:rsidR="006B0439">
        <w:rPr>
          <w:sz w:val="22"/>
          <w:szCs w:val="22"/>
          <w:u w:val="single"/>
          <w:lang w:val="sr-Latn-CS"/>
        </w:rPr>
        <w:t>e</w:t>
      </w:r>
      <w:r w:rsidRPr="006B0439">
        <w:rPr>
          <w:sz w:val="22"/>
          <w:szCs w:val="22"/>
          <w:u w:val="single"/>
          <w:lang w:val="sr-Latn-CS"/>
        </w:rPr>
        <w:t xml:space="preserve">govi metaboliti izlučuju u </w:t>
      </w:r>
      <w:r w:rsidR="006B0439">
        <w:rPr>
          <w:sz w:val="22"/>
          <w:szCs w:val="22"/>
          <w:u w:val="single"/>
          <w:lang w:val="sr-Latn-CS"/>
        </w:rPr>
        <w:t>majčino</w:t>
      </w:r>
      <w:r w:rsidRPr="006B0439">
        <w:rPr>
          <w:sz w:val="22"/>
          <w:szCs w:val="22"/>
          <w:u w:val="single"/>
          <w:lang w:val="sr-Latn-CS"/>
        </w:rPr>
        <w:t xml:space="preserve"> mlijeko</w:t>
      </w:r>
      <w:r w:rsidR="006B0439">
        <w:rPr>
          <w:sz w:val="22"/>
          <w:szCs w:val="22"/>
          <w:u w:val="single"/>
          <w:lang w:val="sr-Latn-CS"/>
        </w:rPr>
        <w:t>.</w:t>
      </w:r>
    </w:p>
    <w:p w:rsidR="00621F29" w:rsidRPr="006B0439" w:rsidRDefault="00621F29" w:rsidP="00621F2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CS"/>
        </w:rPr>
      </w:pPr>
      <w:r w:rsidRPr="006B0439">
        <w:rPr>
          <w:bCs/>
          <w:sz w:val="22"/>
          <w:szCs w:val="22"/>
          <w:lang w:val="sr-Latn-CS"/>
        </w:rPr>
        <w:t xml:space="preserve">Uzimajući u obzir, potencijal za izazivanje neželjenih reakcija kod odojčadi, dojenje se mora prekinuti tokom liječenja lijekom IRITEC (vidjeti </w:t>
      </w:r>
      <w:r w:rsidR="00D87BC6" w:rsidRPr="006B0439">
        <w:rPr>
          <w:bCs/>
          <w:sz w:val="22"/>
          <w:szCs w:val="22"/>
          <w:lang w:val="sr-Latn-CS"/>
        </w:rPr>
        <w:t xml:space="preserve">dijelove </w:t>
      </w:r>
      <w:r w:rsidRPr="006B0439">
        <w:rPr>
          <w:bCs/>
          <w:sz w:val="22"/>
          <w:szCs w:val="22"/>
          <w:lang w:val="sr-Latn-CS"/>
        </w:rPr>
        <w:t>4.3</w:t>
      </w:r>
      <w:r w:rsidR="00563A7C" w:rsidRPr="006B0439">
        <w:rPr>
          <w:bCs/>
          <w:sz w:val="22"/>
          <w:szCs w:val="22"/>
          <w:lang w:val="sr-Latn-CS"/>
        </w:rPr>
        <w:t xml:space="preserve"> i 4.4</w:t>
      </w:r>
      <w:r w:rsidRPr="006B0439">
        <w:rPr>
          <w:bCs/>
          <w:sz w:val="22"/>
          <w:szCs w:val="22"/>
          <w:lang w:val="sr-Latn-CS"/>
        </w:rPr>
        <w:t>).</w:t>
      </w:r>
    </w:p>
    <w:p w:rsidR="00227BDB" w:rsidRPr="006B0439" w:rsidRDefault="00227BDB" w:rsidP="00396DFD">
      <w:pPr>
        <w:tabs>
          <w:tab w:val="left" w:pos="540"/>
          <w:tab w:val="left" w:pos="569"/>
        </w:tabs>
        <w:ind w:left="540" w:hanging="540"/>
        <w:rPr>
          <w:b/>
          <w:bCs/>
          <w:sz w:val="22"/>
          <w:szCs w:val="22"/>
          <w:lang w:val="sr-Latn-CS"/>
        </w:rPr>
      </w:pPr>
    </w:p>
    <w:p w:rsidR="0072020E" w:rsidRPr="006B0439" w:rsidRDefault="0072020E" w:rsidP="00396DFD">
      <w:pPr>
        <w:tabs>
          <w:tab w:val="left" w:pos="540"/>
          <w:tab w:val="left" w:pos="569"/>
        </w:tabs>
        <w:ind w:left="540" w:hanging="540"/>
        <w:rPr>
          <w:b/>
          <w:bCs/>
          <w:sz w:val="22"/>
          <w:szCs w:val="22"/>
        </w:rPr>
      </w:pPr>
      <w:r w:rsidRPr="006B0439">
        <w:rPr>
          <w:b/>
          <w:bCs/>
          <w:sz w:val="22"/>
          <w:szCs w:val="22"/>
        </w:rPr>
        <w:t xml:space="preserve">4.7. </w:t>
      </w:r>
      <w:r w:rsidR="00480FB1" w:rsidRPr="006B0439">
        <w:rPr>
          <w:b/>
          <w:bCs/>
          <w:sz w:val="22"/>
          <w:szCs w:val="22"/>
        </w:rPr>
        <w:tab/>
      </w:r>
      <w:r w:rsidRPr="006B0439">
        <w:rPr>
          <w:b/>
          <w:bCs/>
          <w:sz w:val="22"/>
          <w:szCs w:val="22"/>
        </w:rPr>
        <w:t xml:space="preserve">Uticaj </w:t>
      </w:r>
      <w:proofErr w:type="gramStart"/>
      <w:r w:rsidRPr="006B0439">
        <w:rPr>
          <w:b/>
          <w:bCs/>
          <w:sz w:val="22"/>
          <w:szCs w:val="22"/>
        </w:rPr>
        <w:t>na</w:t>
      </w:r>
      <w:proofErr w:type="gramEnd"/>
      <w:r w:rsidRPr="006B0439">
        <w:rPr>
          <w:b/>
          <w:bCs/>
          <w:sz w:val="22"/>
          <w:szCs w:val="22"/>
        </w:rPr>
        <w:t xml:space="preserve"> </w:t>
      </w:r>
      <w:r w:rsidR="002031B3" w:rsidRPr="006B0439">
        <w:rPr>
          <w:b/>
          <w:bCs/>
          <w:sz w:val="22"/>
          <w:szCs w:val="22"/>
        </w:rPr>
        <w:t xml:space="preserve">sposobnost </w:t>
      </w:r>
      <w:r w:rsidR="00F34554" w:rsidRPr="006B0439">
        <w:rPr>
          <w:b/>
          <w:bCs/>
          <w:sz w:val="22"/>
          <w:szCs w:val="22"/>
        </w:rPr>
        <w:t>upravljanja vozili</w:t>
      </w:r>
      <w:r w:rsidRPr="006B0439">
        <w:rPr>
          <w:b/>
          <w:bCs/>
          <w:sz w:val="22"/>
          <w:szCs w:val="22"/>
        </w:rPr>
        <w:t>m</w:t>
      </w:r>
      <w:r w:rsidR="00F34554" w:rsidRPr="006B0439">
        <w:rPr>
          <w:b/>
          <w:bCs/>
          <w:sz w:val="22"/>
          <w:szCs w:val="22"/>
        </w:rPr>
        <w:t>a</w:t>
      </w:r>
      <w:r w:rsidRPr="006B0439">
        <w:rPr>
          <w:b/>
          <w:bCs/>
          <w:sz w:val="22"/>
          <w:szCs w:val="22"/>
        </w:rPr>
        <w:t xml:space="preserve"> i </w:t>
      </w:r>
      <w:r w:rsidR="000D3449" w:rsidRPr="006B0439">
        <w:rPr>
          <w:b/>
          <w:bCs/>
          <w:sz w:val="22"/>
          <w:szCs w:val="22"/>
        </w:rPr>
        <w:t xml:space="preserve">rukovanje </w:t>
      </w:r>
      <w:r w:rsidRPr="006B0439">
        <w:rPr>
          <w:b/>
          <w:bCs/>
          <w:sz w:val="22"/>
          <w:szCs w:val="22"/>
        </w:rPr>
        <w:t>mašinama</w:t>
      </w:r>
    </w:p>
    <w:p w:rsidR="0072020E" w:rsidRPr="006B0439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</w:p>
    <w:p w:rsidR="00621F29" w:rsidRPr="006B0439" w:rsidRDefault="00621F29" w:rsidP="00841C6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CS"/>
        </w:rPr>
      </w:pPr>
      <w:r w:rsidRPr="006B0439">
        <w:rPr>
          <w:bCs/>
          <w:sz w:val="22"/>
          <w:szCs w:val="22"/>
          <w:lang w:val="sr-Latn-CS"/>
        </w:rPr>
        <w:t>Pacijente treba upozoriti na mogućnost pojave vrtoglavice ili poremećaja vida, koji mogu da se jave u periodu od 24 sata posl</w:t>
      </w:r>
      <w:r w:rsidR="00AB33AC" w:rsidRPr="006B0439">
        <w:rPr>
          <w:bCs/>
          <w:sz w:val="22"/>
          <w:szCs w:val="22"/>
          <w:lang w:val="sr-Latn-CS"/>
        </w:rPr>
        <w:t>ij</w:t>
      </w:r>
      <w:r w:rsidRPr="006B0439">
        <w:rPr>
          <w:bCs/>
          <w:sz w:val="22"/>
          <w:szCs w:val="22"/>
          <w:lang w:val="sr-Latn-CS"/>
        </w:rPr>
        <w:t>e primjene lijeka IRITEC i savjetovati ih da ne upravljaju motornim vozilima ni mašinama ukoliko do ovih simptoma dođe.</w:t>
      </w:r>
    </w:p>
    <w:p w:rsidR="00621F29" w:rsidRPr="006B0439" w:rsidRDefault="00621F29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:rsidR="004E70AD" w:rsidRPr="006B0439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6B0439">
        <w:rPr>
          <w:b/>
          <w:bCs/>
          <w:sz w:val="22"/>
          <w:szCs w:val="22"/>
        </w:rPr>
        <w:t xml:space="preserve">4.8. </w:t>
      </w:r>
      <w:r w:rsidR="00480FB1" w:rsidRPr="006B0439">
        <w:rPr>
          <w:b/>
          <w:bCs/>
          <w:sz w:val="22"/>
          <w:szCs w:val="22"/>
        </w:rPr>
        <w:tab/>
      </w:r>
      <w:r w:rsidRPr="006B0439">
        <w:rPr>
          <w:b/>
          <w:bCs/>
          <w:sz w:val="22"/>
          <w:szCs w:val="22"/>
        </w:rPr>
        <w:t>Neželjena dejstva</w:t>
      </w:r>
    </w:p>
    <w:tbl>
      <w:tblPr>
        <w:tblW w:w="9929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4"/>
        <w:gridCol w:w="63"/>
        <w:gridCol w:w="3306"/>
        <w:gridCol w:w="5987"/>
        <w:gridCol w:w="142"/>
        <w:gridCol w:w="397"/>
      </w:tblGrid>
      <w:tr w:rsidR="00621F29" w:rsidRPr="006B0439" w:rsidTr="006B0439">
        <w:trPr>
          <w:gridBefore w:val="1"/>
          <w:wBefore w:w="34" w:type="dxa"/>
        </w:trPr>
        <w:tc>
          <w:tcPr>
            <w:tcW w:w="9895" w:type="dxa"/>
            <w:gridSpan w:val="5"/>
            <w:vAlign w:val="center"/>
          </w:tcPr>
          <w:p w:rsidR="00621F29" w:rsidRPr="006B0439" w:rsidRDefault="00621F29" w:rsidP="00621F29">
            <w:pPr>
              <w:tabs>
                <w:tab w:val="left" w:pos="540"/>
                <w:tab w:val="left" w:pos="569"/>
              </w:tabs>
              <w:rPr>
                <w:rFonts w:eastAsia="Calibri"/>
                <w:sz w:val="22"/>
                <w:szCs w:val="22"/>
                <w:lang w:val="sr-Latn-RS"/>
              </w:rPr>
            </w:pPr>
          </w:p>
          <w:p w:rsidR="00621F29" w:rsidRPr="006B0439" w:rsidRDefault="00621F29" w:rsidP="00841C6F">
            <w:pPr>
              <w:tabs>
                <w:tab w:val="left" w:pos="176"/>
                <w:tab w:val="left" w:pos="569"/>
              </w:tabs>
              <w:ind w:left="-250" w:firstLine="250"/>
              <w:rPr>
                <w:rFonts w:eastAsia="Calibri"/>
                <w:sz w:val="22"/>
                <w:szCs w:val="22"/>
                <w:lang w:val="sr-Latn-RS"/>
              </w:rPr>
            </w:pPr>
            <w:r w:rsidRPr="006B0439">
              <w:rPr>
                <w:rFonts w:eastAsia="Calibri"/>
                <w:sz w:val="22"/>
                <w:szCs w:val="22"/>
                <w:lang w:val="sr-Latn-RS"/>
              </w:rPr>
              <w:t>KLINIČKA ISPITIVANJA</w:t>
            </w:r>
          </w:p>
          <w:p w:rsidR="00841C6F" w:rsidRPr="006B0439" w:rsidRDefault="00841C6F" w:rsidP="00841C6F">
            <w:pPr>
              <w:tabs>
                <w:tab w:val="left" w:pos="540"/>
                <w:tab w:val="left" w:pos="569"/>
              </w:tabs>
              <w:ind w:right="1248"/>
              <w:rPr>
                <w:rFonts w:eastAsia="Calibri"/>
                <w:sz w:val="22"/>
                <w:szCs w:val="22"/>
                <w:lang w:val="sr-Latn-RS"/>
              </w:rPr>
            </w:pPr>
          </w:p>
          <w:p w:rsidR="00621F29" w:rsidRPr="006B0439" w:rsidRDefault="00621F29" w:rsidP="00841C6F">
            <w:pPr>
              <w:tabs>
                <w:tab w:val="left" w:pos="540"/>
                <w:tab w:val="left" w:pos="569"/>
              </w:tabs>
              <w:ind w:right="573"/>
              <w:jc w:val="both"/>
              <w:rPr>
                <w:bCs/>
                <w:sz w:val="22"/>
                <w:szCs w:val="22"/>
                <w:lang w:val="sr-Latn-CS"/>
              </w:rPr>
            </w:pPr>
            <w:r w:rsidRPr="006B0439">
              <w:rPr>
                <w:bCs/>
                <w:sz w:val="22"/>
                <w:szCs w:val="22"/>
                <w:lang w:val="sr-Latn-CS"/>
              </w:rPr>
              <w:t>Pod</w:t>
            </w:r>
            <w:r w:rsidR="00841C6F" w:rsidRPr="006B0439">
              <w:rPr>
                <w:bCs/>
                <w:sz w:val="22"/>
                <w:szCs w:val="22"/>
                <w:lang w:val="sr-Latn-CS"/>
              </w:rPr>
              <w:t xml:space="preserve">aci o neželjenim reakcijama su intenzivno prikupljajni iz studija sa metastatskim </w:t>
            </w:r>
            <w:r w:rsidRPr="006B0439">
              <w:rPr>
                <w:bCs/>
                <w:sz w:val="22"/>
                <w:szCs w:val="22"/>
                <w:lang w:val="sr-Latn-CS"/>
              </w:rPr>
              <w:t>kolorektalnim karcinomom; učestalost je prikazana u nastavku. Očekivano je da će neželjene reakcije kod drugih indikacija biti slične onima za kolorektalni karcinom.</w:t>
            </w:r>
          </w:p>
          <w:p w:rsidR="00621F29" w:rsidRPr="006B0439" w:rsidRDefault="00621F29" w:rsidP="00841C6F">
            <w:pPr>
              <w:tabs>
                <w:tab w:val="left" w:pos="540"/>
                <w:tab w:val="left" w:pos="569"/>
              </w:tabs>
              <w:ind w:right="573"/>
              <w:jc w:val="both"/>
              <w:rPr>
                <w:bCs/>
                <w:sz w:val="22"/>
                <w:szCs w:val="22"/>
                <w:lang w:val="sr-Latn-CS"/>
              </w:rPr>
            </w:pPr>
          </w:p>
          <w:p w:rsidR="00621F29" w:rsidRPr="006B0439" w:rsidRDefault="00621F29" w:rsidP="00841C6F">
            <w:pPr>
              <w:tabs>
                <w:tab w:val="left" w:pos="540"/>
                <w:tab w:val="left" w:pos="569"/>
              </w:tabs>
              <w:ind w:right="573"/>
              <w:jc w:val="both"/>
              <w:rPr>
                <w:bCs/>
                <w:sz w:val="22"/>
                <w:szCs w:val="22"/>
                <w:lang w:val="sr-Latn-CS"/>
              </w:rPr>
            </w:pPr>
            <w:r w:rsidRPr="006B0439">
              <w:rPr>
                <w:bCs/>
                <w:sz w:val="22"/>
                <w:szCs w:val="22"/>
                <w:lang w:val="sr-Latn-CS"/>
              </w:rPr>
              <w:t>Veoma česte (≥1 / 10), dozno-ograničavajuće neželjene reakcije koje se javljaju kod prim</w:t>
            </w:r>
            <w:r w:rsidR="00AB33AC" w:rsidRPr="006B0439">
              <w:rPr>
                <w:bCs/>
                <w:sz w:val="22"/>
                <w:szCs w:val="22"/>
                <w:lang w:val="sr-Latn-CS"/>
              </w:rPr>
              <w:t>j</w:t>
            </w:r>
            <w:r w:rsidRPr="006B0439">
              <w:rPr>
                <w:bCs/>
                <w:sz w:val="22"/>
                <w:szCs w:val="22"/>
                <w:lang w:val="sr-Latn-CS"/>
              </w:rPr>
              <w:t>ene irinotekana su odložena dijareja (javlja se pos</w:t>
            </w:r>
            <w:r w:rsidR="00841C6F" w:rsidRPr="006B0439">
              <w:rPr>
                <w:bCs/>
                <w:sz w:val="22"/>
                <w:szCs w:val="22"/>
                <w:lang w:val="sr-Latn-CS"/>
              </w:rPr>
              <w:t>le više od 24 sata nakon primjene</w:t>
            </w:r>
            <w:r w:rsidRPr="006B0439">
              <w:rPr>
                <w:bCs/>
                <w:sz w:val="22"/>
                <w:szCs w:val="22"/>
                <w:lang w:val="sr-Latn-CS"/>
              </w:rPr>
              <w:t>) i poremećaji krvi, uključujući neutropeniju, anemiju i trombocitopeniju.</w:t>
            </w:r>
          </w:p>
          <w:p w:rsidR="00621F29" w:rsidRPr="006B0439" w:rsidRDefault="00621F29" w:rsidP="00841C6F">
            <w:pPr>
              <w:tabs>
                <w:tab w:val="left" w:pos="540"/>
                <w:tab w:val="left" w:pos="569"/>
              </w:tabs>
              <w:ind w:right="573"/>
              <w:jc w:val="both"/>
              <w:rPr>
                <w:bCs/>
                <w:sz w:val="22"/>
                <w:szCs w:val="22"/>
                <w:lang w:val="sr-Latn-CS"/>
              </w:rPr>
            </w:pPr>
            <w:r w:rsidRPr="006B0439">
              <w:rPr>
                <w:bCs/>
                <w:sz w:val="22"/>
                <w:szCs w:val="22"/>
                <w:lang w:val="sr-Latn-CS"/>
              </w:rPr>
              <w:t>Neutropenija je toksični efekt koji ograničava povećanje doze. Neutropenija je reverzibilna i nije kumulativna; srednje vr</w:t>
            </w:r>
            <w:r w:rsidR="00841C6F" w:rsidRPr="006B0439">
              <w:rPr>
                <w:bCs/>
                <w:sz w:val="22"/>
                <w:szCs w:val="22"/>
                <w:lang w:val="sr-Latn-CS"/>
              </w:rPr>
              <w:t>ij</w:t>
            </w:r>
            <w:r w:rsidRPr="006B0439">
              <w:rPr>
                <w:bCs/>
                <w:sz w:val="22"/>
                <w:szCs w:val="22"/>
                <w:lang w:val="sr-Latn-CS"/>
              </w:rPr>
              <w:t>eme pojave najmanjeg broja neutrofila iznosilo je 8 dana, bez obzira da li je lijek bio korišćen u monoterapiji ili kombinovanoj terapiji.</w:t>
            </w:r>
          </w:p>
          <w:p w:rsidR="00621F29" w:rsidRPr="006B0439" w:rsidRDefault="00621F29" w:rsidP="00841C6F">
            <w:pPr>
              <w:tabs>
                <w:tab w:val="left" w:pos="540"/>
                <w:tab w:val="left" w:pos="569"/>
              </w:tabs>
              <w:ind w:right="573"/>
              <w:jc w:val="both"/>
              <w:rPr>
                <w:bCs/>
                <w:sz w:val="22"/>
                <w:szCs w:val="22"/>
                <w:lang w:val="sr-Latn-CS"/>
              </w:rPr>
            </w:pPr>
            <w:r w:rsidRPr="006B0439">
              <w:rPr>
                <w:bCs/>
                <w:sz w:val="22"/>
                <w:szCs w:val="22"/>
                <w:lang w:val="sr-Latn-CS"/>
              </w:rPr>
              <w:t>Veoma često je prijavljen težak akutni holinergički sindrom prolaznog karaktera.</w:t>
            </w:r>
          </w:p>
          <w:p w:rsidR="00621F29" w:rsidRPr="006B0439" w:rsidRDefault="00621F29" w:rsidP="00841C6F">
            <w:pPr>
              <w:tabs>
                <w:tab w:val="left" w:pos="540"/>
                <w:tab w:val="left" w:pos="569"/>
              </w:tabs>
              <w:ind w:right="573"/>
              <w:jc w:val="both"/>
              <w:rPr>
                <w:bCs/>
                <w:sz w:val="22"/>
                <w:szCs w:val="22"/>
                <w:lang w:val="sr-Latn-CS"/>
              </w:rPr>
            </w:pPr>
            <w:r w:rsidRPr="006B0439">
              <w:rPr>
                <w:bCs/>
                <w:sz w:val="22"/>
                <w:szCs w:val="22"/>
                <w:lang w:val="sr-Latn-CS"/>
              </w:rPr>
              <w:t>Najvažniji simptomi definisani su kao rana dijareja i različiti drugi simp</w:t>
            </w:r>
            <w:r w:rsidR="00841C6F" w:rsidRPr="006B0439">
              <w:rPr>
                <w:bCs/>
                <w:sz w:val="22"/>
                <w:szCs w:val="22"/>
                <w:lang w:val="sr-Latn-CS"/>
              </w:rPr>
              <w:t>tomi, kao što su bolovi u stomaku</w:t>
            </w:r>
            <w:r w:rsidRPr="006B0439">
              <w:rPr>
                <w:bCs/>
                <w:sz w:val="22"/>
                <w:szCs w:val="22"/>
                <w:lang w:val="sr-Latn-CS"/>
              </w:rPr>
              <w:t>, znojenje, mioza i pojačana salivacija tokom ili u okviru prvih 24 časa od primje</w:t>
            </w:r>
            <w:r w:rsidR="00841C6F" w:rsidRPr="006B0439">
              <w:rPr>
                <w:bCs/>
                <w:sz w:val="22"/>
                <w:szCs w:val="22"/>
                <w:lang w:val="sr-Latn-CS"/>
              </w:rPr>
              <w:t>ne lijeka</w:t>
            </w:r>
            <w:r w:rsidRPr="006B0439">
              <w:rPr>
                <w:bCs/>
                <w:sz w:val="22"/>
                <w:szCs w:val="22"/>
                <w:lang w:val="sr-Latn-CS"/>
              </w:rPr>
              <w:t xml:space="preserve">. Ovi simptomi se povlače nakon primjene atropina (vidjeti </w:t>
            </w:r>
            <w:r w:rsidR="00AB33AC" w:rsidRPr="006B0439">
              <w:rPr>
                <w:bCs/>
                <w:sz w:val="22"/>
                <w:szCs w:val="22"/>
                <w:lang w:val="sr-Latn-CS"/>
              </w:rPr>
              <w:t xml:space="preserve">dio </w:t>
            </w:r>
            <w:r w:rsidRPr="006B0439">
              <w:rPr>
                <w:bCs/>
                <w:sz w:val="22"/>
                <w:szCs w:val="22"/>
                <w:lang w:val="sr-Latn-CS"/>
              </w:rPr>
              <w:t>4.4).</w:t>
            </w:r>
          </w:p>
          <w:p w:rsidR="00621F29" w:rsidRPr="006B0439" w:rsidRDefault="00621F29" w:rsidP="00621F29">
            <w:pPr>
              <w:tabs>
                <w:tab w:val="left" w:pos="540"/>
                <w:tab w:val="left" w:pos="569"/>
              </w:tabs>
              <w:rPr>
                <w:rFonts w:eastAsia="Calibri"/>
                <w:sz w:val="22"/>
                <w:szCs w:val="22"/>
                <w:lang w:val="sr-Latn-RS"/>
              </w:rPr>
            </w:pPr>
          </w:p>
          <w:p w:rsidR="00621F29" w:rsidRPr="006B0439" w:rsidRDefault="00621F29" w:rsidP="00621F29">
            <w:pPr>
              <w:tabs>
                <w:tab w:val="left" w:pos="540"/>
                <w:tab w:val="left" w:pos="569"/>
              </w:tabs>
              <w:rPr>
                <w:rFonts w:eastAsia="Calibri"/>
                <w:sz w:val="22"/>
                <w:szCs w:val="22"/>
                <w:lang w:val="sr-Latn-RS"/>
              </w:rPr>
            </w:pPr>
            <w:r w:rsidRPr="006B0439">
              <w:rPr>
                <w:rFonts w:eastAsia="Calibri"/>
                <w:sz w:val="22"/>
                <w:szCs w:val="22"/>
                <w:lang w:val="sr-Latn-RS"/>
              </w:rPr>
              <w:t>MONOTERAPIJA</w:t>
            </w:r>
          </w:p>
        </w:tc>
      </w:tr>
      <w:tr w:rsidR="00621F29" w:rsidRPr="006B0439" w:rsidTr="006B0439">
        <w:trPr>
          <w:gridBefore w:val="1"/>
          <w:gridAfter w:val="2"/>
          <w:wBefore w:w="34" w:type="dxa"/>
          <w:wAfter w:w="539" w:type="dxa"/>
          <w:trHeight w:val="1145"/>
        </w:trPr>
        <w:tc>
          <w:tcPr>
            <w:tcW w:w="9356" w:type="dxa"/>
            <w:gridSpan w:val="3"/>
            <w:vAlign w:val="center"/>
          </w:tcPr>
          <w:p w:rsidR="00621F29" w:rsidRPr="006B0439" w:rsidRDefault="00621F29" w:rsidP="00621F29">
            <w:pPr>
              <w:tabs>
                <w:tab w:val="left" w:pos="540"/>
                <w:tab w:val="left" w:pos="569"/>
              </w:tabs>
              <w:rPr>
                <w:rFonts w:eastAsia="Calibri"/>
                <w:sz w:val="22"/>
                <w:szCs w:val="22"/>
                <w:lang w:val="sr-Latn-RS"/>
              </w:rPr>
            </w:pPr>
          </w:p>
          <w:p w:rsidR="00621F29" w:rsidRPr="006B0439" w:rsidRDefault="00621F29" w:rsidP="00841C6F">
            <w:pPr>
              <w:tabs>
                <w:tab w:val="left" w:pos="540"/>
                <w:tab w:val="left" w:pos="569"/>
              </w:tabs>
              <w:ind w:right="34"/>
              <w:jc w:val="both"/>
              <w:rPr>
                <w:rFonts w:eastAsia="Calibri"/>
                <w:sz w:val="22"/>
                <w:szCs w:val="22"/>
                <w:lang w:val="sr-Latn-RS"/>
              </w:rPr>
            </w:pPr>
            <w:r w:rsidRPr="006B0439">
              <w:rPr>
                <w:rFonts w:eastAsia="Calibri"/>
                <w:sz w:val="22"/>
                <w:szCs w:val="22"/>
                <w:lang w:val="sr-Latn-RS"/>
              </w:rPr>
              <w:t>Sl</w:t>
            </w:r>
            <w:r w:rsidR="00841C6F" w:rsidRPr="006B0439">
              <w:rPr>
                <w:rFonts w:eastAsia="Calibri"/>
                <w:sz w:val="22"/>
                <w:szCs w:val="22"/>
                <w:lang w:val="sr-Latn-RS"/>
              </w:rPr>
              <w:t>j</w:t>
            </w:r>
            <w:r w:rsidRPr="006B0439">
              <w:rPr>
                <w:rFonts w:eastAsia="Calibri"/>
                <w:sz w:val="22"/>
                <w:szCs w:val="22"/>
                <w:lang w:val="sr-Latn-RS"/>
              </w:rPr>
              <w:t>edeće neželjene reakcije za koje se smatra da su moguće ili v</w:t>
            </w:r>
            <w:r w:rsidR="00841C6F" w:rsidRPr="006B0439">
              <w:rPr>
                <w:rFonts w:eastAsia="Calibri"/>
                <w:sz w:val="22"/>
                <w:szCs w:val="22"/>
                <w:lang w:val="sr-Latn-RS"/>
              </w:rPr>
              <w:t>j</w:t>
            </w:r>
            <w:r w:rsidRPr="006B0439">
              <w:rPr>
                <w:rFonts w:eastAsia="Calibri"/>
                <w:sz w:val="22"/>
                <w:szCs w:val="22"/>
                <w:lang w:val="sr-Latn-RS"/>
              </w:rPr>
              <w:t>erovatno u vezi sa prim</w:t>
            </w:r>
            <w:r w:rsidR="00841C6F" w:rsidRPr="006B0439">
              <w:rPr>
                <w:rFonts w:eastAsia="Calibri"/>
                <w:sz w:val="22"/>
                <w:szCs w:val="22"/>
                <w:lang w:val="sr-Latn-RS"/>
              </w:rPr>
              <w:t>jenom irinotekana, prijavljene</w:t>
            </w:r>
            <w:r w:rsidRPr="006B0439">
              <w:rPr>
                <w:rFonts w:eastAsia="Calibri"/>
                <w:sz w:val="22"/>
                <w:szCs w:val="22"/>
                <w:lang w:val="sr-Latn-RS"/>
              </w:rPr>
              <w:t xml:space="preserve"> su </w:t>
            </w:r>
            <w:r w:rsidR="00841C6F" w:rsidRPr="006B0439">
              <w:rPr>
                <w:rFonts w:eastAsia="Calibri"/>
                <w:sz w:val="22"/>
                <w:szCs w:val="22"/>
                <w:lang w:val="sr-Latn-RS"/>
              </w:rPr>
              <w:t>k</w:t>
            </w:r>
            <w:r w:rsidRPr="006B0439">
              <w:rPr>
                <w:rFonts w:eastAsia="Calibri"/>
                <w:sz w:val="22"/>
                <w:szCs w:val="22"/>
                <w:lang w:val="sr-Latn-RS"/>
              </w:rPr>
              <w:t>od 765 pacijenata koji su lijek dobijali u</w:t>
            </w:r>
            <w:r w:rsidR="00A67E43" w:rsidRPr="006B0439">
              <w:rPr>
                <w:rFonts w:eastAsia="Calibri"/>
                <w:sz w:val="22"/>
                <w:szCs w:val="22"/>
                <w:lang w:val="sr-Latn-RS"/>
              </w:rPr>
              <w:t xml:space="preserve"> preporučenoj</w:t>
            </w:r>
            <w:r w:rsidRPr="006B0439">
              <w:rPr>
                <w:rFonts w:eastAsia="Calibri"/>
                <w:sz w:val="22"/>
                <w:szCs w:val="22"/>
                <w:lang w:val="sr-Latn-RS"/>
              </w:rPr>
              <w:t xml:space="preserve"> d</w:t>
            </w:r>
            <w:r w:rsidR="00841C6F" w:rsidRPr="006B0439">
              <w:rPr>
                <w:rFonts w:eastAsia="Calibri"/>
                <w:sz w:val="22"/>
                <w:szCs w:val="22"/>
                <w:lang w:val="sr-Latn-RS"/>
              </w:rPr>
              <w:t>ozi od 350 mg/m</w:t>
            </w:r>
            <w:r w:rsidR="00841C6F" w:rsidRPr="006B0439">
              <w:rPr>
                <w:rFonts w:eastAsia="Calibri"/>
                <w:sz w:val="22"/>
                <w:szCs w:val="22"/>
                <w:vertAlign w:val="superscript"/>
                <w:lang w:val="sr-Latn-RS"/>
              </w:rPr>
              <w:t>2</w:t>
            </w:r>
            <w:r w:rsidR="00841C6F" w:rsidRPr="006B0439">
              <w:rPr>
                <w:rFonts w:eastAsia="Calibri"/>
                <w:sz w:val="22"/>
                <w:szCs w:val="22"/>
                <w:lang w:val="sr-Latn-RS"/>
              </w:rPr>
              <w:t xml:space="preserve"> u monoterapiji</w:t>
            </w:r>
            <w:r w:rsidRPr="006B0439">
              <w:rPr>
                <w:rFonts w:eastAsia="Calibri"/>
                <w:sz w:val="22"/>
                <w:szCs w:val="22"/>
                <w:lang w:val="sr-Latn-RS"/>
              </w:rPr>
              <w:t xml:space="preserve">.  Unutar svake grupe učestalosti neželjene reakcije su prikazane prema opadajućoj ozbiljnosti. Učestalost neželjenih dejstava navedenih u tabeli ispod </w:t>
            </w:r>
            <w:r w:rsidR="00841C6F" w:rsidRPr="006B0439">
              <w:rPr>
                <w:rFonts w:eastAsia="Calibri"/>
                <w:sz w:val="22"/>
                <w:szCs w:val="22"/>
                <w:lang w:val="sr-Latn-RS"/>
              </w:rPr>
              <w:t xml:space="preserve">je definisana prema </w:t>
            </w:r>
            <w:r w:rsidRPr="006B0439">
              <w:rPr>
                <w:rFonts w:eastAsia="Calibri"/>
                <w:sz w:val="22"/>
                <w:szCs w:val="22"/>
                <w:lang w:val="sr-Latn-RS"/>
              </w:rPr>
              <w:t>kao: veoma česta (≥1/10); česta (≥1/100 i &lt;1/10); povremena (≥1/1.000 i &lt;1/100); r</w:t>
            </w:r>
            <w:r w:rsidR="00841C6F" w:rsidRPr="006B0439">
              <w:rPr>
                <w:rFonts w:eastAsia="Calibri"/>
                <w:sz w:val="22"/>
                <w:szCs w:val="22"/>
                <w:lang w:val="sr-Latn-RS"/>
              </w:rPr>
              <w:t>j</w:t>
            </w:r>
            <w:r w:rsidRPr="006B0439">
              <w:rPr>
                <w:rFonts w:eastAsia="Calibri"/>
                <w:sz w:val="22"/>
                <w:szCs w:val="22"/>
                <w:lang w:val="sr-Latn-RS"/>
              </w:rPr>
              <w:t>etka (≥1/10.000 i &lt;1/1.000); veoma rijetka (&lt;1/10.000).</w:t>
            </w:r>
          </w:p>
          <w:p w:rsidR="00841C6F" w:rsidRPr="006B0439" w:rsidRDefault="00841C6F" w:rsidP="00841C6F">
            <w:pPr>
              <w:tabs>
                <w:tab w:val="left" w:pos="540"/>
                <w:tab w:val="left" w:pos="569"/>
              </w:tabs>
              <w:ind w:right="34"/>
              <w:jc w:val="both"/>
              <w:rPr>
                <w:rFonts w:eastAsia="Calibri"/>
                <w:sz w:val="22"/>
                <w:szCs w:val="22"/>
                <w:lang w:val="sr-Latn-RS"/>
              </w:rPr>
            </w:pPr>
          </w:p>
          <w:tbl>
            <w:tblPr>
              <w:tblW w:w="9098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5182"/>
              <w:gridCol w:w="2073"/>
              <w:gridCol w:w="1843"/>
            </w:tblGrid>
            <w:tr w:rsidR="00621F29" w:rsidRPr="006B0439" w:rsidTr="00841C6F">
              <w:trPr>
                <w:tblCellSpacing w:w="0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21F29" w:rsidRPr="006B0439" w:rsidRDefault="00621F29" w:rsidP="00621F29">
                  <w:pPr>
                    <w:tabs>
                      <w:tab w:val="left" w:pos="540"/>
                      <w:tab w:val="left" w:pos="569"/>
                    </w:tabs>
                    <w:rPr>
                      <w:rFonts w:eastAsia="Calibri"/>
                      <w:b/>
                      <w:sz w:val="22"/>
                      <w:szCs w:val="22"/>
                      <w:lang w:val="sr-Latn-RS"/>
                    </w:rPr>
                  </w:pPr>
                  <w:r w:rsidRPr="006B0439">
                    <w:rPr>
                      <w:rFonts w:eastAsia="Calibri"/>
                      <w:b/>
                      <w:sz w:val="22"/>
                      <w:szCs w:val="22"/>
                      <w:lang w:val="sr-Latn-RS"/>
                    </w:rPr>
                    <w:t>Neželjene reakcije prijavljene</w:t>
                  </w:r>
                  <w:r w:rsidR="00841C6F" w:rsidRPr="006B0439">
                    <w:rPr>
                      <w:rFonts w:eastAsia="Calibri"/>
                      <w:b/>
                      <w:sz w:val="22"/>
                      <w:szCs w:val="22"/>
                      <w:lang w:val="sr-Latn-RS"/>
                    </w:rPr>
                    <w:t xml:space="preserve"> prilikom primjene irinotekana</w:t>
                  </w:r>
                  <w:r w:rsidRPr="006B0439">
                    <w:rPr>
                      <w:rFonts w:eastAsia="Calibri"/>
                      <w:b/>
                      <w:sz w:val="22"/>
                      <w:szCs w:val="22"/>
                      <w:lang w:val="sr-Latn-RS"/>
                    </w:rPr>
                    <w:t xml:space="preserve"> kao monoterapije (350 mg/m</w:t>
                  </w:r>
                  <w:r w:rsidRPr="006B0439">
                    <w:rPr>
                      <w:rFonts w:eastAsia="Calibri"/>
                      <w:b/>
                      <w:sz w:val="22"/>
                      <w:szCs w:val="22"/>
                      <w:vertAlign w:val="superscript"/>
                      <w:lang w:val="sr-Latn-RS"/>
                    </w:rPr>
                    <w:t>2</w:t>
                  </w:r>
                  <w:r w:rsidRPr="006B0439">
                    <w:rPr>
                      <w:rFonts w:eastAsia="Calibri"/>
                      <w:b/>
                      <w:sz w:val="22"/>
                      <w:szCs w:val="22"/>
                      <w:lang w:val="sr-Latn-RS"/>
                    </w:rPr>
                    <w:t xml:space="preserve"> svake 3 ned</w:t>
                  </w:r>
                  <w:r w:rsidR="00841C6F" w:rsidRPr="006B0439">
                    <w:rPr>
                      <w:rFonts w:eastAsia="Calibri"/>
                      <w:b/>
                      <w:sz w:val="22"/>
                      <w:szCs w:val="22"/>
                      <w:lang w:val="sr-Latn-RS"/>
                    </w:rPr>
                    <w:t>j</w:t>
                  </w:r>
                  <w:r w:rsidRPr="006B0439">
                    <w:rPr>
                      <w:rFonts w:eastAsia="Calibri"/>
                      <w:b/>
                      <w:sz w:val="22"/>
                      <w:szCs w:val="22"/>
                      <w:lang w:val="sr-Latn-RS"/>
                    </w:rPr>
                    <w:t xml:space="preserve">elje) </w:t>
                  </w:r>
                </w:p>
              </w:tc>
            </w:tr>
            <w:tr w:rsidR="00621F29" w:rsidRPr="006B0439" w:rsidTr="00841C6F">
              <w:trPr>
                <w:tblCellSpacing w:w="0" w:type="dxa"/>
              </w:trPr>
              <w:tc>
                <w:tcPr>
                  <w:tcW w:w="28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21F29" w:rsidRPr="006B0439" w:rsidRDefault="00621F29" w:rsidP="00621F29">
                  <w:pPr>
                    <w:tabs>
                      <w:tab w:val="left" w:pos="540"/>
                      <w:tab w:val="left" w:pos="569"/>
                    </w:tabs>
                    <w:rPr>
                      <w:rFonts w:eastAsia="Calibri"/>
                      <w:b/>
                      <w:sz w:val="22"/>
                      <w:szCs w:val="22"/>
                      <w:lang w:val="sr-Latn-RS"/>
                    </w:rPr>
                  </w:pPr>
                  <w:r w:rsidRPr="006B0439">
                    <w:rPr>
                      <w:rFonts w:eastAsia="Calibri"/>
                      <w:b/>
                      <w:sz w:val="22"/>
                      <w:szCs w:val="22"/>
                      <w:lang w:val="sr-Latn-RS"/>
                    </w:rPr>
                    <w:t xml:space="preserve">MedDRA Sistem Klasifikacije Organa </w:t>
                  </w:r>
                </w:p>
              </w:tc>
              <w:tc>
                <w:tcPr>
                  <w:tcW w:w="113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21F29" w:rsidRPr="006B0439" w:rsidRDefault="00621F29" w:rsidP="00621F29">
                  <w:pPr>
                    <w:tabs>
                      <w:tab w:val="left" w:pos="540"/>
                      <w:tab w:val="left" w:pos="569"/>
                    </w:tabs>
                    <w:rPr>
                      <w:rFonts w:eastAsia="Calibri"/>
                      <w:b/>
                      <w:sz w:val="22"/>
                      <w:szCs w:val="22"/>
                      <w:lang w:val="sr-Latn-RS"/>
                    </w:rPr>
                  </w:pPr>
                  <w:r w:rsidRPr="006B0439">
                    <w:rPr>
                      <w:rFonts w:eastAsia="Calibri"/>
                      <w:b/>
                      <w:sz w:val="22"/>
                      <w:szCs w:val="22"/>
                      <w:lang w:val="sr-Latn-RS"/>
                    </w:rPr>
                    <w:t xml:space="preserve">Učestalost </w:t>
                  </w:r>
                </w:p>
              </w:tc>
              <w:tc>
                <w:tcPr>
                  <w:tcW w:w="10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21F29" w:rsidRPr="006B0439" w:rsidRDefault="00621F29" w:rsidP="00621F29">
                  <w:pPr>
                    <w:tabs>
                      <w:tab w:val="left" w:pos="540"/>
                      <w:tab w:val="left" w:pos="569"/>
                    </w:tabs>
                    <w:rPr>
                      <w:rFonts w:eastAsia="Calibri"/>
                      <w:b/>
                      <w:sz w:val="22"/>
                      <w:szCs w:val="22"/>
                      <w:lang w:val="sr-Latn-RS"/>
                    </w:rPr>
                  </w:pPr>
                  <w:r w:rsidRPr="006B0439">
                    <w:rPr>
                      <w:rFonts w:eastAsia="Calibri"/>
                      <w:b/>
                      <w:sz w:val="22"/>
                      <w:szCs w:val="22"/>
                      <w:lang w:val="sr-Latn-RS"/>
                    </w:rPr>
                    <w:t xml:space="preserve">Neželjena reakcija </w:t>
                  </w:r>
                </w:p>
              </w:tc>
            </w:tr>
            <w:tr w:rsidR="00621F29" w:rsidRPr="006B0439" w:rsidTr="00841C6F">
              <w:trPr>
                <w:tblCellSpacing w:w="0" w:type="dxa"/>
              </w:trPr>
              <w:tc>
                <w:tcPr>
                  <w:tcW w:w="28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21F29" w:rsidRPr="006B0439" w:rsidRDefault="00621F29" w:rsidP="00621F29">
                  <w:pPr>
                    <w:tabs>
                      <w:tab w:val="left" w:pos="540"/>
                      <w:tab w:val="left" w:pos="569"/>
                    </w:tabs>
                    <w:rPr>
                      <w:rFonts w:eastAsia="Calibri"/>
                      <w:sz w:val="22"/>
                      <w:szCs w:val="22"/>
                      <w:lang w:val="sr-Latn-RS"/>
                    </w:rPr>
                  </w:pPr>
                  <w:r w:rsidRPr="006B0439">
                    <w:rPr>
                      <w:rFonts w:eastAsia="Calibri"/>
                      <w:sz w:val="22"/>
                      <w:szCs w:val="22"/>
                      <w:lang w:val="sr-Latn-RS"/>
                    </w:rPr>
                    <w:t>Infekcije i infestacije</w:t>
                  </w:r>
                </w:p>
              </w:tc>
              <w:tc>
                <w:tcPr>
                  <w:tcW w:w="113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21F29" w:rsidRPr="006B0439" w:rsidRDefault="00621F29" w:rsidP="00621F29">
                  <w:pPr>
                    <w:tabs>
                      <w:tab w:val="left" w:pos="540"/>
                      <w:tab w:val="left" w:pos="569"/>
                    </w:tabs>
                    <w:rPr>
                      <w:rFonts w:eastAsia="Calibri"/>
                      <w:sz w:val="22"/>
                      <w:szCs w:val="22"/>
                      <w:lang w:val="sr-Latn-RS"/>
                    </w:rPr>
                  </w:pPr>
                  <w:r w:rsidRPr="006B0439">
                    <w:rPr>
                      <w:rFonts w:eastAsia="Calibri"/>
                      <w:sz w:val="22"/>
                      <w:szCs w:val="22"/>
                      <w:lang w:val="sr-Latn-RS"/>
                    </w:rPr>
                    <w:t>Često</w:t>
                  </w:r>
                </w:p>
              </w:tc>
              <w:tc>
                <w:tcPr>
                  <w:tcW w:w="10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21F29" w:rsidRPr="006B0439" w:rsidRDefault="00621F29" w:rsidP="00621F29">
                  <w:pPr>
                    <w:tabs>
                      <w:tab w:val="left" w:pos="540"/>
                      <w:tab w:val="left" w:pos="569"/>
                    </w:tabs>
                    <w:rPr>
                      <w:rFonts w:eastAsia="Calibri"/>
                      <w:sz w:val="22"/>
                      <w:szCs w:val="22"/>
                      <w:lang w:val="sr-Latn-RS"/>
                    </w:rPr>
                  </w:pPr>
                  <w:r w:rsidRPr="006B0439">
                    <w:rPr>
                      <w:rFonts w:eastAsia="Calibri"/>
                      <w:sz w:val="22"/>
                      <w:szCs w:val="22"/>
                      <w:lang w:val="sr-Latn-RS"/>
                    </w:rPr>
                    <w:t>Infekcije</w:t>
                  </w:r>
                </w:p>
              </w:tc>
            </w:tr>
            <w:tr w:rsidR="00621F29" w:rsidRPr="006B0439" w:rsidTr="00841C6F">
              <w:trPr>
                <w:tblCellSpacing w:w="0" w:type="dxa"/>
              </w:trPr>
              <w:tc>
                <w:tcPr>
                  <w:tcW w:w="2848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21F29" w:rsidRPr="006B0439" w:rsidRDefault="00621F29" w:rsidP="00621F29">
                  <w:pPr>
                    <w:tabs>
                      <w:tab w:val="left" w:pos="540"/>
                      <w:tab w:val="left" w:pos="569"/>
                    </w:tabs>
                    <w:rPr>
                      <w:rFonts w:eastAsia="Calibri"/>
                      <w:sz w:val="22"/>
                      <w:szCs w:val="22"/>
                      <w:lang w:val="sr-Latn-RS"/>
                    </w:rPr>
                  </w:pPr>
                  <w:r w:rsidRPr="006B0439">
                    <w:rPr>
                      <w:rFonts w:eastAsia="Calibri"/>
                      <w:sz w:val="22"/>
                      <w:szCs w:val="22"/>
                      <w:lang w:val="sr-Latn-RS"/>
                    </w:rPr>
                    <w:t>Poremećaji na nivou krvi i limfnog sistema</w:t>
                  </w:r>
                </w:p>
              </w:tc>
              <w:tc>
                <w:tcPr>
                  <w:tcW w:w="113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21F29" w:rsidRPr="006B0439" w:rsidRDefault="00621F29" w:rsidP="00621F29">
                  <w:pPr>
                    <w:tabs>
                      <w:tab w:val="left" w:pos="540"/>
                      <w:tab w:val="left" w:pos="569"/>
                    </w:tabs>
                    <w:rPr>
                      <w:rFonts w:eastAsia="Calibri"/>
                      <w:sz w:val="22"/>
                      <w:szCs w:val="22"/>
                      <w:lang w:val="sr-Latn-RS"/>
                    </w:rPr>
                  </w:pPr>
                  <w:r w:rsidRPr="006B0439">
                    <w:rPr>
                      <w:rFonts w:eastAsia="Calibri"/>
                      <w:sz w:val="22"/>
                      <w:szCs w:val="22"/>
                      <w:lang w:val="sr-Latn-RS"/>
                    </w:rPr>
                    <w:t xml:space="preserve">Veoma često </w:t>
                  </w:r>
                </w:p>
              </w:tc>
              <w:tc>
                <w:tcPr>
                  <w:tcW w:w="10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21F29" w:rsidRPr="006B0439" w:rsidRDefault="00621F29" w:rsidP="00621F29">
                  <w:pPr>
                    <w:tabs>
                      <w:tab w:val="left" w:pos="540"/>
                      <w:tab w:val="left" w:pos="569"/>
                    </w:tabs>
                    <w:rPr>
                      <w:rFonts w:eastAsia="Calibri"/>
                      <w:sz w:val="22"/>
                      <w:szCs w:val="22"/>
                      <w:lang w:val="sr-Latn-RS"/>
                    </w:rPr>
                  </w:pPr>
                  <w:r w:rsidRPr="006B0439">
                    <w:rPr>
                      <w:rFonts w:eastAsia="Calibri"/>
                      <w:sz w:val="22"/>
                      <w:szCs w:val="22"/>
                      <w:lang w:val="sr-Latn-RS"/>
                    </w:rPr>
                    <w:t xml:space="preserve">Neutropenija </w:t>
                  </w:r>
                </w:p>
              </w:tc>
            </w:tr>
            <w:tr w:rsidR="00621F29" w:rsidRPr="006B0439" w:rsidTr="00841C6F">
              <w:trPr>
                <w:tblCellSpacing w:w="0" w:type="dxa"/>
              </w:trPr>
              <w:tc>
                <w:tcPr>
                  <w:tcW w:w="2848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21F29" w:rsidRPr="006B0439" w:rsidRDefault="00621F29" w:rsidP="00621F29">
                  <w:pPr>
                    <w:tabs>
                      <w:tab w:val="left" w:pos="540"/>
                      <w:tab w:val="left" w:pos="569"/>
                    </w:tabs>
                    <w:rPr>
                      <w:rFonts w:eastAsia="Calibri"/>
                      <w:sz w:val="22"/>
                      <w:szCs w:val="22"/>
                      <w:lang w:val="sr-Latn-RS"/>
                    </w:rPr>
                  </w:pPr>
                </w:p>
              </w:tc>
              <w:tc>
                <w:tcPr>
                  <w:tcW w:w="113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21F29" w:rsidRPr="006B0439" w:rsidRDefault="00621F29" w:rsidP="00621F29">
                  <w:pPr>
                    <w:tabs>
                      <w:tab w:val="left" w:pos="540"/>
                      <w:tab w:val="left" w:pos="569"/>
                    </w:tabs>
                    <w:rPr>
                      <w:rFonts w:eastAsia="Calibri"/>
                      <w:sz w:val="22"/>
                      <w:szCs w:val="22"/>
                      <w:lang w:val="sr-Latn-RS"/>
                    </w:rPr>
                  </w:pPr>
                  <w:r w:rsidRPr="006B0439">
                    <w:rPr>
                      <w:rFonts w:eastAsia="Calibri"/>
                      <w:sz w:val="22"/>
                      <w:szCs w:val="22"/>
                      <w:lang w:val="sr-Latn-RS"/>
                    </w:rPr>
                    <w:t>Veoma često</w:t>
                  </w:r>
                </w:p>
              </w:tc>
              <w:tc>
                <w:tcPr>
                  <w:tcW w:w="10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21F29" w:rsidRPr="006B0439" w:rsidRDefault="00621F29" w:rsidP="00621F29">
                  <w:pPr>
                    <w:tabs>
                      <w:tab w:val="left" w:pos="540"/>
                      <w:tab w:val="left" w:pos="569"/>
                    </w:tabs>
                    <w:rPr>
                      <w:rFonts w:eastAsia="Calibri"/>
                      <w:sz w:val="22"/>
                      <w:szCs w:val="22"/>
                      <w:lang w:val="sr-Latn-RS"/>
                    </w:rPr>
                  </w:pPr>
                  <w:r w:rsidRPr="006B0439">
                    <w:rPr>
                      <w:rFonts w:eastAsia="Calibri"/>
                      <w:sz w:val="22"/>
                      <w:szCs w:val="22"/>
                      <w:lang w:val="sr-Latn-RS"/>
                    </w:rPr>
                    <w:t xml:space="preserve">Anemija </w:t>
                  </w:r>
                </w:p>
              </w:tc>
            </w:tr>
            <w:tr w:rsidR="00621F29" w:rsidRPr="006B0439" w:rsidTr="00841C6F">
              <w:trPr>
                <w:tblCellSpacing w:w="0" w:type="dxa"/>
              </w:trPr>
              <w:tc>
                <w:tcPr>
                  <w:tcW w:w="2848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21F29" w:rsidRPr="006B0439" w:rsidRDefault="00621F29" w:rsidP="00621F29">
                  <w:pPr>
                    <w:tabs>
                      <w:tab w:val="left" w:pos="540"/>
                      <w:tab w:val="left" w:pos="569"/>
                    </w:tabs>
                    <w:rPr>
                      <w:rFonts w:eastAsia="Calibri"/>
                      <w:sz w:val="22"/>
                      <w:szCs w:val="22"/>
                      <w:lang w:val="sr-Latn-RS"/>
                    </w:rPr>
                  </w:pPr>
                </w:p>
              </w:tc>
              <w:tc>
                <w:tcPr>
                  <w:tcW w:w="113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21F29" w:rsidRPr="006B0439" w:rsidRDefault="00621F29" w:rsidP="00621F29">
                  <w:pPr>
                    <w:tabs>
                      <w:tab w:val="left" w:pos="540"/>
                      <w:tab w:val="left" w:pos="569"/>
                    </w:tabs>
                    <w:rPr>
                      <w:rFonts w:eastAsia="Calibri"/>
                      <w:sz w:val="22"/>
                      <w:szCs w:val="22"/>
                      <w:lang w:val="sr-Latn-RS"/>
                    </w:rPr>
                  </w:pPr>
                  <w:r w:rsidRPr="006B0439">
                    <w:rPr>
                      <w:rFonts w:eastAsia="Calibri"/>
                      <w:sz w:val="22"/>
                      <w:szCs w:val="22"/>
                      <w:lang w:val="sr-Latn-RS"/>
                    </w:rPr>
                    <w:t>Često</w:t>
                  </w:r>
                </w:p>
              </w:tc>
              <w:tc>
                <w:tcPr>
                  <w:tcW w:w="10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21F29" w:rsidRPr="006B0439" w:rsidRDefault="00621F29" w:rsidP="00621F29">
                  <w:pPr>
                    <w:tabs>
                      <w:tab w:val="left" w:pos="540"/>
                      <w:tab w:val="left" w:pos="569"/>
                    </w:tabs>
                    <w:rPr>
                      <w:rFonts w:eastAsia="Calibri"/>
                      <w:sz w:val="22"/>
                      <w:szCs w:val="22"/>
                      <w:lang w:val="sr-Latn-RS"/>
                    </w:rPr>
                  </w:pPr>
                  <w:r w:rsidRPr="006B0439">
                    <w:rPr>
                      <w:rFonts w:eastAsia="Calibri"/>
                      <w:sz w:val="22"/>
                      <w:szCs w:val="22"/>
                      <w:lang w:val="sr-Latn-RS"/>
                    </w:rPr>
                    <w:t xml:space="preserve">Trombocitopenija </w:t>
                  </w:r>
                </w:p>
              </w:tc>
            </w:tr>
            <w:tr w:rsidR="00621F29" w:rsidRPr="006B0439" w:rsidTr="00841C6F">
              <w:trPr>
                <w:tblCellSpacing w:w="0" w:type="dxa"/>
              </w:trPr>
              <w:tc>
                <w:tcPr>
                  <w:tcW w:w="2848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21F29" w:rsidRPr="006B0439" w:rsidRDefault="00621F29" w:rsidP="00621F29">
                  <w:pPr>
                    <w:tabs>
                      <w:tab w:val="left" w:pos="540"/>
                      <w:tab w:val="left" w:pos="569"/>
                    </w:tabs>
                    <w:rPr>
                      <w:rFonts w:eastAsia="Calibri"/>
                      <w:sz w:val="22"/>
                      <w:szCs w:val="22"/>
                      <w:lang w:val="sr-Latn-RS"/>
                    </w:rPr>
                  </w:pPr>
                </w:p>
              </w:tc>
              <w:tc>
                <w:tcPr>
                  <w:tcW w:w="113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21F29" w:rsidRPr="006B0439" w:rsidRDefault="00621F29" w:rsidP="00621F29">
                  <w:pPr>
                    <w:tabs>
                      <w:tab w:val="left" w:pos="540"/>
                      <w:tab w:val="left" w:pos="569"/>
                    </w:tabs>
                    <w:rPr>
                      <w:rFonts w:eastAsia="Calibri"/>
                      <w:sz w:val="22"/>
                      <w:szCs w:val="22"/>
                      <w:lang w:val="sr-Latn-RS"/>
                    </w:rPr>
                  </w:pPr>
                  <w:r w:rsidRPr="006B0439">
                    <w:rPr>
                      <w:rFonts w:eastAsia="Calibri"/>
                      <w:sz w:val="22"/>
                      <w:szCs w:val="22"/>
                      <w:lang w:val="sr-Latn-RS"/>
                    </w:rPr>
                    <w:t xml:space="preserve">Često </w:t>
                  </w:r>
                </w:p>
              </w:tc>
              <w:tc>
                <w:tcPr>
                  <w:tcW w:w="10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21F29" w:rsidRPr="006B0439" w:rsidRDefault="00621F29" w:rsidP="00621F29">
                  <w:pPr>
                    <w:tabs>
                      <w:tab w:val="left" w:pos="540"/>
                      <w:tab w:val="left" w:pos="569"/>
                    </w:tabs>
                    <w:rPr>
                      <w:rFonts w:eastAsia="Calibri"/>
                      <w:sz w:val="22"/>
                      <w:szCs w:val="22"/>
                      <w:lang w:val="sr-Latn-RS"/>
                    </w:rPr>
                  </w:pPr>
                  <w:r w:rsidRPr="006B0439">
                    <w:rPr>
                      <w:rFonts w:eastAsia="Calibri"/>
                      <w:sz w:val="22"/>
                      <w:szCs w:val="22"/>
                      <w:lang w:val="sr-Latn-RS"/>
                    </w:rPr>
                    <w:t xml:space="preserve">Febrilna neutropenija </w:t>
                  </w:r>
                </w:p>
              </w:tc>
            </w:tr>
            <w:tr w:rsidR="00621F29" w:rsidRPr="006B0439" w:rsidTr="00841C6F">
              <w:trPr>
                <w:tblCellSpacing w:w="0" w:type="dxa"/>
              </w:trPr>
              <w:tc>
                <w:tcPr>
                  <w:tcW w:w="28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21F29" w:rsidRPr="006B0439" w:rsidRDefault="00621F29" w:rsidP="00621F29">
                  <w:pPr>
                    <w:tabs>
                      <w:tab w:val="left" w:pos="540"/>
                      <w:tab w:val="left" w:pos="569"/>
                    </w:tabs>
                    <w:rPr>
                      <w:rFonts w:eastAsia="Calibri"/>
                      <w:sz w:val="22"/>
                      <w:szCs w:val="22"/>
                      <w:lang w:val="sr-Latn-RS"/>
                    </w:rPr>
                  </w:pPr>
                  <w:r w:rsidRPr="006B0439">
                    <w:rPr>
                      <w:rFonts w:eastAsia="Calibri"/>
                      <w:sz w:val="22"/>
                      <w:szCs w:val="22"/>
                      <w:lang w:val="sr-Latn-RS"/>
                    </w:rPr>
                    <w:t>Poremećaji metabolizma i ishrane</w:t>
                  </w:r>
                </w:p>
              </w:tc>
              <w:tc>
                <w:tcPr>
                  <w:tcW w:w="113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21F29" w:rsidRPr="006B0439" w:rsidRDefault="00621F29" w:rsidP="00621F29">
                  <w:pPr>
                    <w:tabs>
                      <w:tab w:val="left" w:pos="540"/>
                      <w:tab w:val="left" w:pos="569"/>
                    </w:tabs>
                    <w:rPr>
                      <w:rFonts w:eastAsia="Calibri"/>
                      <w:sz w:val="22"/>
                      <w:szCs w:val="22"/>
                      <w:lang w:val="sr-Latn-RS"/>
                    </w:rPr>
                  </w:pPr>
                  <w:r w:rsidRPr="006B0439">
                    <w:rPr>
                      <w:rFonts w:eastAsia="Calibri"/>
                      <w:sz w:val="22"/>
                      <w:szCs w:val="22"/>
                      <w:lang w:val="sr-Latn-RS"/>
                    </w:rPr>
                    <w:t>Veoma često</w:t>
                  </w:r>
                </w:p>
              </w:tc>
              <w:tc>
                <w:tcPr>
                  <w:tcW w:w="10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21F29" w:rsidRPr="006B0439" w:rsidRDefault="00621F29" w:rsidP="00621F29">
                  <w:pPr>
                    <w:tabs>
                      <w:tab w:val="left" w:pos="540"/>
                      <w:tab w:val="left" w:pos="569"/>
                    </w:tabs>
                    <w:rPr>
                      <w:rFonts w:eastAsia="Calibri"/>
                      <w:sz w:val="22"/>
                      <w:szCs w:val="22"/>
                      <w:lang w:val="sr-Latn-RS"/>
                    </w:rPr>
                  </w:pPr>
                  <w:r w:rsidRPr="006B0439">
                    <w:rPr>
                      <w:rFonts w:eastAsia="Calibri"/>
                      <w:sz w:val="22"/>
                      <w:szCs w:val="22"/>
                      <w:lang w:val="sr-Latn-RS"/>
                    </w:rPr>
                    <w:t xml:space="preserve">Smanjen apetit </w:t>
                  </w:r>
                </w:p>
              </w:tc>
            </w:tr>
            <w:tr w:rsidR="00621F29" w:rsidRPr="006B0439" w:rsidTr="00841C6F">
              <w:trPr>
                <w:tblCellSpacing w:w="0" w:type="dxa"/>
              </w:trPr>
              <w:tc>
                <w:tcPr>
                  <w:tcW w:w="28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21F29" w:rsidRPr="006B0439" w:rsidRDefault="00621F29" w:rsidP="00621F29">
                  <w:pPr>
                    <w:tabs>
                      <w:tab w:val="left" w:pos="540"/>
                      <w:tab w:val="left" w:pos="569"/>
                    </w:tabs>
                    <w:rPr>
                      <w:rFonts w:eastAsia="Calibri"/>
                      <w:sz w:val="22"/>
                      <w:szCs w:val="22"/>
                      <w:lang w:val="sr-Latn-RS"/>
                    </w:rPr>
                  </w:pPr>
                  <w:r w:rsidRPr="006B0439">
                    <w:rPr>
                      <w:rFonts w:eastAsia="Calibri"/>
                      <w:sz w:val="22"/>
                      <w:szCs w:val="22"/>
                      <w:lang w:val="sr-Latn-RS"/>
                    </w:rPr>
                    <w:t>Poremećaji nervnog sistema</w:t>
                  </w:r>
                </w:p>
              </w:tc>
              <w:tc>
                <w:tcPr>
                  <w:tcW w:w="113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21F29" w:rsidRPr="006B0439" w:rsidRDefault="00621F29" w:rsidP="00621F29">
                  <w:pPr>
                    <w:tabs>
                      <w:tab w:val="left" w:pos="540"/>
                      <w:tab w:val="left" w:pos="569"/>
                    </w:tabs>
                    <w:rPr>
                      <w:rFonts w:eastAsia="Calibri"/>
                      <w:sz w:val="22"/>
                      <w:szCs w:val="22"/>
                      <w:lang w:val="sr-Latn-RS"/>
                    </w:rPr>
                  </w:pPr>
                  <w:r w:rsidRPr="006B0439">
                    <w:rPr>
                      <w:rFonts w:eastAsia="Calibri"/>
                      <w:sz w:val="22"/>
                      <w:szCs w:val="22"/>
                      <w:lang w:val="sr-Latn-RS"/>
                    </w:rPr>
                    <w:t>Veoma često</w:t>
                  </w:r>
                </w:p>
              </w:tc>
              <w:tc>
                <w:tcPr>
                  <w:tcW w:w="10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21F29" w:rsidRPr="006B0439" w:rsidRDefault="00621F29" w:rsidP="00621F29">
                  <w:pPr>
                    <w:tabs>
                      <w:tab w:val="left" w:pos="540"/>
                      <w:tab w:val="left" w:pos="569"/>
                    </w:tabs>
                    <w:rPr>
                      <w:rFonts w:eastAsia="Calibri"/>
                      <w:sz w:val="22"/>
                      <w:szCs w:val="22"/>
                      <w:lang w:val="sr-Latn-RS"/>
                    </w:rPr>
                  </w:pPr>
                  <w:r w:rsidRPr="006B0439">
                    <w:rPr>
                      <w:rFonts w:eastAsia="Calibri"/>
                      <w:sz w:val="22"/>
                      <w:szCs w:val="22"/>
                      <w:lang w:val="sr-Latn-RS"/>
                    </w:rPr>
                    <w:t xml:space="preserve">Holinergički sindrom </w:t>
                  </w:r>
                </w:p>
              </w:tc>
            </w:tr>
            <w:tr w:rsidR="00621F29" w:rsidRPr="006B0439" w:rsidTr="00841C6F">
              <w:trPr>
                <w:tblCellSpacing w:w="0" w:type="dxa"/>
              </w:trPr>
              <w:tc>
                <w:tcPr>
                  <w:tcW w:w="2848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21F29" w:rsidRPr="006B0439" w:rsidRDefault="00621F29" w:rsidP="00621F29">
                  <w:pPr>
                    <w:tabs>
                      <w:tab w:val="left" w:pos="540"/>
                      <w:tab w:val="left" w:pos="569"/>
                    </w:tabs>
                    <w:rPr>
                      <w:rFonts w:eastAsia="Calibri"/>
                      <w:sz w:val="22"/>
                      <w:szCs w:val="22"/>
                      <w:lang w:val="sr-Latn-RS"/>
                    </w:rPr>
                  </w:pPr>
                  <w:r w:rsidRPr="006B0439">
                    <w:rPr>
                      <w:rFonts w:eastAsia="Calibri"/>
                      <w:sz w:val="22"/>
                      <w:szCs w:val="22"/>
                      <w:lang w:val="sr-Latn-RS"/>
                    </w:rPr>
                    <w:t>Gastrointestinalni poremećaji</w:t>
                  </w:r>
                </w:p>
              </w:tc>
              <w:tc>
                <w:tcPr>
                  <w:tcW w:w="113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21F29" w:rsidRPr="006B0439" w:rsidRDefault="00621F29" w:rsidP="00621F29">
                  <w:pPr>
                    <w:tabs>
                      <w:tab w:val="left" w:pos="540"/>
                      <w:tab w:val="left" w:pos="569"/>
                    </w:tabs>
                    <w:rPr>
                      <w:rFonts w:eastAsia="Calibri"/>
                      <w:sz w:val="22"/>
                      <w:szCs w:val="22"/>
                      <w:lang w:val="sr-Latn-RS"/>
                    </w:rPr>
                  </w:pPr>
                  <w:r w:rsidRPr="006B0439">
                    <w:rPr>
                      <w:rFonts w:eastAsia="Calibri"/>
                      <w:sz w:val="22"/>
                      <w:szCs w:val="22"/>
                      <w:lang w:val="sr-Latn-RS"/>
                    </w:rPr>
                    <w:t>Veoma često</w:t>
                  </w:r>
                </w:p>
              </w:tc>
              <w:tc>
                <w:tcPr>
                  <w:tcW w:w="10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21F29" w:rsidRPr="006B0439" w:rsidRDefault="00621F29" w:rsidP="00621F29">
                  <w:pPr>
                    <w:tabs>
                      <w:tab w:val="left" w:pos="540"/>
                      <w:tab w:val="left" w:pos="569"/>
                    </w:tabs>
                    <w:rPr>
                      <w:rFonts w:eastAsia="Calibri"/>
                      <w:sz w:val="22"/>
                      <w:szCs w:val="22"/>
                      <w:lang w:val="sr-Latn-RS"/>
                    </w:rPr>
                  </w:pPr>
                  <w:r w:rsidRPr="006B0439">
                    <w:rPr>
                      <w:rFonts w:eastAsia="Calibri"/>
                      <w:sz w:val="22"/>
                      <w:szCs w:val="22"/>
                      <w:lang w:val="sr-Latn-RS"/>
                    </w:rPr>
                    <w:t xml:space="preserve">Dijareja </w:t>
                  </w:r>
                </w:p>
              </w:tc>
            </w:tr>
            <w:tr w:rsidR="00621F29" w:rsidRPr="006B0439" w:rsidTr="00841C6F">
              <w:trPr>
                <w:tblCellSpacing w:w="0" w:type="dxa"/>
              </w:trPr>
              <w:tc>
                <w:tcPr>
                  <w:tcW w:w="2848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21F29" w:rsidRPr="006B0439" w:rsidRDefault="00621F29" w:rsidP="00621F29">
                  <w:pPr>
                    <w:tabs>
                      <w:tab w:val="left" w:pos="540"/>
                      <w:tab w:val="left" w:pos="569"/>
                    </w:tabs>
                    <w:rPr>
                      <w:rFonts w:eastAsia="Calibri"/>
                      <w:sz w:val="22"/>
                      <w:szCs w:val="22"/>
                      <w:lang w:val="sr-Latn-RS"/>
                    </w:rPr>
                  </w:pPr>
                </w:p>
              </w:tc>
              <w:tc>
                <w:tcPr>
                  <w:tcW w:w="113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21F29" w:rsidRPr="006B0439" w:rsidRDefault="00621F29" w:rsidP="00621F29">
                  <w:pPr>
                    <w:tabs>
                      <w:tab w:val="left" w:pos="540"/>
                      <w:tab w:val="left" w:pos="569"/>
                    </w:tabs>
                    <w:rPr>
                      <w:rFonts w:eastAsia="Calibri"/>
                      <w:sz w:val="22"/>
                      <w:szCs w:val="22"/>
                      <w:lang w:val="sr-Latn-RS"/>
                    </w:rPr>
                  </w:pPr>
                  <w:r w:rsidRPr="006B0439">
                    <w:rPr>
                      <w:rFonts w:eastAsia="Calibri"/>
                      <w:sz w:val="22"/>
                      <w:szCs w:val="22"/>
                      <w:lang w:val="sr-Latn-RS"/>
                    </w:rPr>
                    <w:t>Veoma često</w:t>
                  </w:r>
                </w:p>
              </w:tc>
              <w:tc>
                <w:tcPr>
                  <w:tcW w:w="10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21F29" w:rsidRPr="006B0439" w:rsidRDefault="00621F29" w:rsidP="00621F29">
                  <w:pPr>
                    <w:tabs>
                      <w:tab w:val="left" w:pos="540"/>
                      <w:tab w:val="left" w:pos="569"/>
                    </w:tabs>
                    <w:rPr>
                      <w:rFonts w:eastAsia="Calibri"/>
                      <w:sz w:val="22"/>
                      <w:szCs w:val="22"/>
                      <w:lang w:val="sr-Latn-RS"/>
                    </w:rPr>
                  </w:pPr>
                  <w:r w:rsidRPr="006B0439">
                    <w:rPr>
                      <w:rFonts w:eastAsia="Calibri"/>
                      <w:sz w:val="22"/>
                      <w:szCs w:val="22"/>
                      <w:lang w:val="sr-Latn-RS"/>
                    </w:rPr>
                    <w:t xml:space="preserve">Povraćanje </w:t>
                  </w:r>
                </w:p>
              </w:tc>
            </w:tr>
            <w:tr w:rsidR="00621F29" w:rsidRPr="006B0439" w:rsidTr="00841C6F">
              <w:trPr>
                <w:tblCellSpacing w:w="0" w:type="dxa"/>
              </w:trPr>
              <w:tc>
                <w:tcPr>
                  <w:tcW w:w="2848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21F29" w:rsidRPr="006B0439" w:rsidRDefault="00621F29" w:rsidP="00621F29">
                  <w:pPr>
                    <w:tabs>
                      <w:tab w:val="left" w:pos="540"/>
                      <w:tab w:val="left" w:pos="569"/>
                    </w:tabs>
                    <w:rPr>
                      <w:rFonts w:eastAsia="Calibri"/>
                      <w:sz w:val="22"/>
                      <w:szCs w:val="22"/>
                      <w:lang w:val="sr-Latn-RS"/>
                    </w:rPr>
                  </w:pPr>
                </w:p>
              </w:tc>
              <w:tc>
                <w:tcPr>
                  <w:tcW w:w="113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21F29" w:rsidRPr="006B0439" w:rsidRDefault="00621F29" w:rsidP="00621F29">
                  <w:pPr>
                    <w:tabs>
                      <w:tab w:val="left" w:pos="540"/>
                      <w:tab w:val="left" w:pos="569"/>
                    </w:tabs>
                    <w:rPr>
                      <w:rFonts w:eastAsia="Calibri"/>
                      <w:sz w:val="22"/>
                      <w:szCs w:val="22"/>
                      <w:lang w:val="sr-Latn-RS"/>
                    </w:rPr>
                  </w:pPr>
                  <w:r w:rsidRPr="006B0439">
                    <w:rPr>
                      <w:rFonts w:eastAsia="Calibri"/>
                      <w:sz w:val="22"/>
                      <w:szCs w:val="22"/>
                      <w:lang w:val="sr-Latn-RS"/>
                    </w:rPr>
                    <w:t>Veoma često</w:t>
                  </w:r>
                </w:p>
              </w:tc>
              <w:tc>
                <w:tcPr>
                  <w:tcW w:w="10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21F29" w:rsidRPr="006B0439" w:rsidRDefault="00621F29" w:rsidP="00621F29">
                  <w:pPr>
                    <w:tabs>
                      <w:tab w:val="left" w:pos="540"/>
                      <w:tab w:val="left" w:pos="569"/>
                    </w:tabs>
                    <w:rPr>
                      <w:rFonts w:eastAsia="Calibri"/>
                      <w:sz w:val="22"/>
                      <w:szCs w:val="22"/>
                      <w:lang w:val="sr-Latn-RS"/>
                    </w:rPr>
                  </w:pPr>
                  <w:r w:rsidRPr="006B0439">
                    <w:rPr>
                      <w:rFonts w:eastAsia="Calibri"/>
                      <w:sz w:val="22"/>
                      <w:szCs w:val="22"/>
                      <w:lang w:val="sr-Latn-RS"/>
                    </w:rPr>
                    <w:t>Mučnina</w:t>
                  </w:r>
                </w:p>
              </w:tc>
            </w:tr>
            <w:tr w:rsidR="00621F29" w:rsidRPr="006B0439" w:rsidTr="00841C6F">
              <w:trPr>
                <w:tblCellSpacing w:w="0" w:type="dxa"/>
              </w:trPr>
              <w:tc>
                <w:tcPr>
                  <w:tcW w:w="2848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21F29" w:rsidRPr="006B0439" w:rsidRDefault="00621F29" w:rsidP="00621F29">
                  <w:pPr>
                    <w:tabs>
                      <w:tab w:val="left" w:pos="540"/>
                      <w:tab w:val="left" w:pos="569"/>
                    </w:tabs>
                    <w:rPr>
                      <w:rFonts w:eastAsia="Calibri"/>
                      <w:sz w:val="22"/>
                      <w:szCs w:val="22"/>
                      <w:lang w:val="sr-Latn-RS"/>
                    </w:rPr>
                  </w:pPr>
                </w:p>
              </w:tc>
              <w:tc>
                <w:tcPr>
                  <w:tcW w:w="113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21F29" w:rsidRPr="006B0439" w:rsidRDefault="00621F29" w:rsidP="00621F29">
                  <w:pPr>
                    <w:tabs>
                      <w:tab w:val="left" w:pos="540"/>
                      <w:tab w:val="left" w:pos="569"/>
                    </w:tabs>
                    <w:rPr>
                      <w:rFonts w:eastAsia="Calibri"/>
                      <w:sz w:val="22"/>
                      <w:szCs w:val="22"/>
                      <w:lang w:val="sr-Latn-RS"/>
                    </w:rPr>
                  </w:pPr>
                  <w:r w:rsidRPr="006B0439">
                    <w:rPr>
                      <w:rFonts w:eastAsia="Calibri"/>
                      <w:sz w:val="22"/>
                      <w:szCs w:val="22"/>
                      <w:lang w:val="sr-Latn-RS"/>
                    </w:rPr>
                    <w:t>Veoma često</w:t>
                  </w:r>
                </w:p>
              </w:tc>
              <w:tc>
                <w:tcPr>
                  <w:tcW w:w="10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21F29" w:rsidRPr="006B0439" w:rsidRDefault="00621F29" w:rsidP="00621F29">
                  <w:pPr>
                    <w:tabs>
                      <w:tab w:val="left" w:pos="540"/>
                      <w:tab w:val="left" w:pos="569"/>
                    </w:tabs>
                    <w:rPr>
                      <w:rFonts w:eastAsia="Calibri"/>
                      <w:sz w:val="22"/>
                      <w:szCs w:val="22"/>
                      <w:lang w:val="sr-Latn-RS"/>
                    </w:rPr>
                  </w:pPr>
                  <w:r w:rsidRPr="006B0439">
                    <w:rPr>
                      <w:rFonts w:eastAsia="Calibri"/>
                      <w:sz w:val="22"/>
                      <w:szCs w:val="22"/>
                      <w:lang w:val="sr-Latn-RS"/>
                    </w:rPr>
                    <w:t>Bol u stomaku</w:t>
                  </w:r>
                </w:p>
              </w:tc>
            </w:tr>
            <w:tr w:rsidR="00621F29" w:rsidRPr="006B0439" w:rsidTr="00841C6F">
              <w:trPr>
                <w:tblCellSpacing w:w="0" w:type="dxa"/>
              </w:trPr>
              <w:tc>
                <w:tcPr>
                  <w:tcW w:w="2848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21F29" w:rsidRPr="006B0439" w:rsidRDefault="00621F29" w:rsidP="00621F29">
                  <w:pPr>
                    <w:tabs>
                      <w:tab w:val="left" w:pos="540"/>
                      <w:tab w:val="left" w:pos="569"/>
                    </w:tabs>
                    <w:rPr>
                      <w:rFonts w:eastAsia="Calibri"/>
                      <w:sz w:val="22"/>
                      <w:szCs w:val="22"/>
                      <w:lang w:val="sr-Latn-RS"/>
                    </w:rPr>
                  </w:pPr>
                </w:p>
              </w:tc>
              <w:tc>
                <w:tcPr>
                  <w:tcW w:w="113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21F29" w:rsidRPr="006B0439" w:rsidRDefault="00621F29" w:rsidP="00621F29">
                  <w:pPr>
                    <w:tabs>
                      <w:tab w:val="left" w:pos="540"/>
                      <w:tab w:val="left" w:pos="569"/>
                    </w:tabs>
                    <w:rPr>
                      <w:rFonts w:eastAsia="Calibri"/>
                      <w:sz w:val="22"/>
                      <w:szCs w:val="22"/>
                      <w:lang w:val="sr-Latn-RS"/>
                    </w:rPr>
                  </w:pPr>
                  <w:r w:rsidRPr="006B0439">
                    <w:rPr>
                      <w:rFonts w:eastAsia="Calibri"/>
                      <w:sz w:val="22"/>
                      <w:szCs w:val="22"/>
                      <w:lang w:val="sr-Latn-RS"/>
                    </w:rPr>
                    <w:t>Često</w:t>
                  </w:r>
                </w:p>
              </w:tc>
              <w:tc>
                <w:tcPr>
                  <w:tcW w:w="10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21F29" w:rsidRPr="006B0439" w:rsidRDefault="00621F29" w:rsidP="00621F29">
                  <w:pPr>
                    <w:tabs>
                      <w:tab w:val="left" w:pos="540"/>
                      <w:tab w:val="left" w:pos="569"/>
                    </w:tabs>
                    <w:rPr>
                      <w:rFonts w:eastAsia="Calibri"/>
                      <w:sz w:val="22"/>
                      <w:szCs w:val="22"/>
                      <w:lang w:val="sr-Latn-RS"/>
                    </w:rPr>
                  </w:pPr>
                  <w:r w:rsidRPr="006B0439">
                    <w:rPr>
                      <w:rFonts w:eastAsia="Calibri"/>
                      <w:sz w:val="22"/>
                      <w:szCs w:val="22"/>
                      <w:lang w:val="sr-Latn-RS"/>
                    </w:rPr>
                    <w:t xml:space="preserve">Zatvor </w:t>
                  </w:r>
                </w:p>
              </w:tc>
            </w:tr>
            <w:tr w:rsidR="00621F29" w:rsidRPr="006B0439" w:rsidTr="00841C6F">
              <w:trPr>
                <w:tblCellSpacing w:w="0" w:type="dxa"/>
              </w:trPr>
              <w:tc>
                <w:tcPr>
                  <w:tcW w:w="28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21F29" w:rsidRPr="006B0439" w:rsidRDefault="00621F29" w:rsidP="00621F29">
                  <w:pPr>
                    <w:tabs>
                      <w:tab w:val="left" w:pos="540"/>
                      <w:tab w:val="left" w:pos="569"/>
                    </w:tabs>
                    <w:rPr>
                      <w:rFonts w:eastAsia="Calibri"/>
                      <w:sz w:val="22"/>
                      <w:szCs w:val="22"/>
                      <w:lang w:val="sr-Latn-RS"/>
                    </w:rPr>
                  </w:pPr>
                  <w:r w:rsidRPr="006B0439">
                    <w:rPr>
                      <w:rFonts w:eastAsia="Calibri"/>
                      <w:sz w:val="22"/>
                      <w:szCs w:val="22"/>
                      <w:lang w:val="sr-Latn-RS"/>
                    </w:rPr>
                    <w:t>Poremećaji na nivou kože i potkožnog tkiva</w:t>
                  </w:r>
                </w:p>
              </w:tc>
              <w:tc>
                <w:tcPr>
                  <w:tcW w:w="113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21F29" w:rsidRPr="006B0439" w:rsidRDefault="00621F29" w:rsidP="00621F29">
                  <w:pPr>
                    <w:tabs>
                      <w:tab w:val="left" w:pos="540"/>
                      <w:tab w:val="left" w:pos="569"/>
                    </w:tabs>
                    <w:rPr>
                      <w:rFonts w:eastAsia="Calibri"/>
                      <w:sz w:val="22"/>
                      <w:szCs w:val="22"/>
                      <w:lang w:val="sr-Latn-RS"/>
                    </w:rPr>
                  </w:pPr>
                  <w:r w:rsidRPr="006B0439">
                    <w:rPr>
                      <w:rFonts w:eastAsia="Calibri"/>
                      <w:sz w:val="22"/>
                      <w:szCs w:val="22"/>
                      <w:lang w:val="sr-Latn-RS"/>
                    </w:rPr>
                    <w:t>Veoma često</w:t>
                  </w:r>
                </w:p>
              </w:tc>
              <w:tc>
                <w:tcPr>
                  <w:tcW w:w="10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21F29" w:rsidRPr="006B0439" w:rsidRDefault="00841C6F" w:rsidP="00621F29">
                  <w:pPr>
                    <w:tabs>
                      <w:tab w:val="left" w:pos="540"/>
                      <w:tab w:val="left" w:pos="569"/>
                    </w:tabs>
                    <w:rPr>
                      <w:rFonts w:eastAsia="Calibri"/>
                      <w:sz w:val="22"/>
                      <w:szCs w:val="22"/>
                      <w:lang w:val="sr-Latn-RS"/>
                    </w:rPr>
                  </w:pPr>
                  <w:r w:rsidRPr="006B0439">
                    <w:rPr>
                      <w:rFonts w:eastAsia="Calibri"/>
                      <w:sz w:val="22"/>
                      <w:szCs w:val="22"/>
                      <w:lang w:val="sr-Latn-RS"/>
                    </w:rPr>
                    <w:t>Alopecija (reverzibilna</w:t>
                  </w:r>
                  <w:r w:rsidR="00621F29" w:rsidRPr="006B0439">
                    <w:rPr>
                      <w:rFonts w:eastAsia="Calibri"/>
                      <w:sz w:val="22"/>
                      <w:szCs w:val="22"/>
                      <w:lang w:val="sr-Latn-RS"/>
                    </w:rPr>
                    <w:t xml:space="preserve">) </w:t>
                  </w:r>
                </w:p>
              </w:tc>
            </w:tr>
            <w:tr w:rsidR="00621F29" w:rsidRPr="006B0439" w:rsidTr="00841C6F">
              <w:trPr>
                <w:tblCellSpacing w:w="0" w:type="dxa"/>
              </w:trPr>
              <w:tc>
                <w:tcPr>
                  <w:tcW w:w="2848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21F29" w:rsidRPr="006B0439" w:rsidRDefault="00621F29" w:rsidP="00621F29">
                  <w:pPr>
                    <w:tabs>
                      <w:tab w:val="left" w:pos="540"/>
                      <w:tab w:val="left" w:pos="569"/>
                    </w:tabs>
                    <w:rPr>
                      <w:rFonts w:eastAsia="Calibri"/>
                      <w:sz w:val="22"/>
                      <w:szCs w:val="22"/>
                      <w:lang w:val="sr-Latn-RS"/>
                    </w:rPr>
                  </w:pPr>
                  <w:r w:rsidRPr="006B0439">
                    <w:rPr>
                      <w:rFonts w:eastAsia="Calibri"/>
                      <w:sz w:val="22"/>
                      <w:szCs w:val="22"/>
                      <w:lang w:val="sr-Latn-RS"/>
                    </w:rPr>
                    <w:t>Opšti poremećaji i reakcije na m</w:t>
                  </w:r>
                  <w:r w:rsidR="00A67E43" w:rsidRPr="006B0439">
                    <w:rPr>
                      <w:rFonts w:eastAsia="Calibri"/>
                      <w:sz w:val="22"/>
                      <w:szCs w:val="22"/>
                      <w:lang w:val="sr-Latn-RS"/>
                    </w:rPr>
                    <w:t>j</w:t>
                  </w:r>
                  <w:r w:rsidRPr="006B0439">
                    <w:rPr>
                      <w:rFonts w:eastAsia="Calibri"/>
                      <w:sz w:val="22"/>
                      <w:szCs w:val="22"/>
                      <w:lang w:val="sr-Latn-RS"/>
                    </w:rPr>
                    <w:t>estu primjene</w:t>
                  </w:r>
                </w:p>
              </w:tc>
              <w:tc>
                <w:tcPr>
                  <w:tcW w:w="113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21F29" w:rsidRPr="006B0439" w:rsidRDefault="00621F29" w:rsidP="00621F29">
                  <w:pPr>
                    <w:tabs>
                      <w:tab w:val="left" w:pos="540"/>
                      <w:tab w:val="left" w:pos="569"/>
                    </w:tabs>
                    <w:rPr>
                      <w:rFonts w:eastAsia="Calibri"/>
                      <w:sz w:val="22"/>
                      <w:szCs w:val="22"/>
                      <w:lang w:val="sr-Latn-RS"/>
                    </w:rPr>
                  </w:pPr>
                  <w:r w:rsidRPr="006B0439">
                    <w:rPr>
                      <w:rFonts w:eastAsia="Calibri"/>
                      <w:sz w:val="22"/>
                      <w:szCs w:val="22"/>
                      <w:lang w:val="sr-Latn-RS"/>
                    </w:rPr>
                    <w:t>Veoma često</w:t>
                  </w:r>
                </w:p>
              </w:tc>
              <w:tc>
                <w:tcPr>
                  <w:tcW w:w="10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21F29" w:rsidRPr="006B0439" w:rsidRDefault="00621F29" w:rsidP="00621F29">
                  <w:pPr>
                    <w:tabs>
                      <w:tab w:val="left" w:pos="540"/>
                      <w:tab w:val="left" w:pos="569"/>
                    </w:tabs>
                    <w:rPr>
                      <w:rFonts w:eastAsia="Calibri"/>
                      <w:sz w:val="22"/>
                      <w:szCs w:val="22"/>
                      <w:lang w:val="sr-Latn-RS"/>
                    </w:rPr>
                  </w:pPr>
                  <w:r w:rsidRPr="006B0439">
                    <w:rPr>
                      <w:rFonts w:eastAsia="Calibri"/>
                      <w:sz w:val="22"/>
                      <w:szCs w:val="22"/>
                      <w:lang w:val="sr-Latn-RS"/>
                    </w:rPr>
                    <w:t>Upala sluznice</w:t>
                  </w:r>
                </w:p>
              </w:tc>
            </w:tr>
            <w:tr w:rsidR="00621F29" w:rsidRPr="006B0439" w:rsidTr="00841C6F">
              <w:trPr>
                <w:tblCellSpacing w:w="0" w:type="dxa"/>
              </w:trPr>
              <w:tc>
                <w:tcPr>
                  <w:tcW w:w="2848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21F29" w:rsidRPr="006B0439" w:rsidRDefault="00621F29" w:rsidP="00621F29">
                  <w:pPr>
                    <w:tabs>
                      <w:tab w:val="left" w:pos="540"/>
                      <w:tab w:val="left" w:pos="569"/>
                    </w:tabs>
                    <w:rPr>
                      <w:rFonts w:eastAsia="Calibri"/>
                      <w:sz w:val="22"/>
                      <w:szCs w:val="22"/>
                      <w:lang w:val="sr-Latn-RS"/>
                    </w:rPr>
                  </w:pPr>
                </w:p>
              </w:tc>
              <w:tc>
                <w:tcPr>
                  <w:tcW w:w="113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21F29" w:rsidRPr="006B0439" w:rsidRDefault="00621F29" w:rsidP="00621F29">
                  <w:pPr>
                    <w:tabs>
                      <w:tab w:val="left" w:pos="540"/>
                      <w:tab w:val="left" w:pos="569"/>
                    </w:tabs>
                    <w:rPr>
                      <w:rFonts w:eastAsia="Calibri"/>
                      <w:sz w:val="22"/>
                      <w:szCs w:val="22"/>
                      <w:lang w:val="sr-Latn-RS"/>
                    </w:rPr>
                  </w:pPr>
                  <w:r w:rsidRPr="006B0439">
                    <w:rPr>
                      <w:rFonts w:eastAsia="Calibri"/>
                      <w:sz w:val="22"/>
                      <w:szCs w:val="22"/>
                      <w:lang w:val="sr-Latn-RS"/>
                    </w:rPr>
                    <w:t>Veoma često</w:t>
                  </w:r>
                </w:p>
              </w:tc>
              <w:tc>
                <w:tcPr>
                  <w:tcW w:w="10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21F29" w:rsidRPr="006B0439" w:rsidRDefault="00621F29" w:rsidP="00621F29">
                  <w:pPr>
                    <w:tabs>
                      <w:tab w:val="left" w:pos="540"/>
                      <w:tab w:val="left" w:pos="569"/>
                    </w:tabs>
                    <w:rPr>
                      <w:rFonts w:eastAsia="Calibri"/>
                      <w:sz w:val="22"/>
                      <w:szCs w:val="22"/>
                      <w:lang w:val="sr-Latn-RS"/>
                    </w:rPr>
                  </w:pPr>
                  <w:r w:rsidRPr="006B0439">
                    <w:rPr>
                      <w:rFonts w:eastAsia="Calibri"/>
                      <w:sz w:val="22"/>
                      <w:szCs w:val="22"/>
                      <w:lang w:val="sr-Latn-RS"/>
                    </w:rPr>
                    <w:t>Povišena temperatura</w:t>
                  </w:r>
                </w:p>
              </w:tc>
            </w:tr>
            <w:tr w:rsidR="00621F29" w:rsidRPr="006B0439" w:rsidTr="00841C6F">
              <w:trPr>
                <w:tblCellSpacing w:w="0" w:type="dxa"/>
              </w:trPr>
              <w:tc>
                <w:tcPr>
                  <w:tcW w:w="2848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21F29" w:rsidRPr="006B0439" w:rsidRDefault="00621F29" w:rsidP="00621F29">
                  <w:pPr>
                    <w:tabs>
                      <w:tab w:val="left" w:pos="540"/>
                      <w:tab w:val="left" w:pos="569"/>
                    </w:tabs>
                    <w:rPr>
                      <w:rFonts w:eastAsia="Calibri"/>
                      <w:sz w:val="22"/>
                      <w:szCs w:val="22"/>
                      <w:lang w:val="sr-Latn-RS"/>
                    </w:rPr>
                  </w:pPr>
                </w:p>
              </w:tc>
              <w:tc>
                <w:tcPr>
                  <w:tcW w:w="113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21F29" w:rsidRPr="006B0439" w:rsidRDefault="00621F29" w:rsidP="00621F29">
                  <w:pPr>
                    <w:tabs>
                      <w:tab w:val="left" w:pos="540"/>
                      <w:tab w:val="left" w:pos="569"/>
                    </w:tabs>
                    <w:rPr>
                      <w:rFonts w:eastAsia="Calibri"/>
                      <w:sz w:val="22"/>
                      <w:szCs w:val="22"/>
                      <w:lang w:val="sr-Latn-RS"/>
                    </w:rPr>
                  </w:pPr>
                  <w:r w:rsidRPr="006B0439">
                    <w:rPr>
                      <w:rFonts w:eastAsia="Calibri"/>
                      <w:sz w:val="22"/>
                      <w:szCs w:val="22"/>
                      <w:lang w:val="sr-Latn-RS"/>
                    </w:rPr>
                    <w:t>Veoma često</w:t>
                  </w:r>
                </w:p>
              </w:tc>
              <w:tc>
                <w:tcPr>
                  <w:tcW w:w="10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21F29" w:rsidRPr="006B0439" w:rsidRDefault="00621F29" w:rsidP="00621F29">
                  <w:pPr>
                    <w:tabs>
                      <w:tab w:val="left" w:pos="540"/>
                      <w:tab w:val="left" w:pos="569"/>
                    </w:tabs>
                    <w:rPr>
                      <w:rFonts w:eastAsia="Calibri"/>
                      <w:sz w:val="22"/>
                      <w:szCs w:val="22"/>
                      <w:lang w:val="sr-Latn-RS"/>
                    </w:rPr>
                  </w:pPr>
                  <w:r w:rsidRPr="006B0439">
                    <w:rPr>
                      <w:rFonts w:eastAsia="Calibri"/>
                      <w:sz w:val="22"/>
                      <w:szCs w:val="22"/>
                      <w:lang w:val="sr-Latn-RS"/>
                    </w:rPr>
                    <w:t xml:space="preserve">Astenija </w:t>
                  </w:r>
                </w:p>
              </w:tc>
            </w:tr>
            <w:tr w:rsidR="00621F29" w:rsidRPr="006B0439" w:rsidTr="00841C6F">
              <w:trPr>
                <w:tblCellSpacing w:w="0" w:type="dxa"/>
              </w:trPr>
              <w:tc>
                <w:tcPr>
                  <w:tcW w:w="2848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21F29" w:rsidRPr="006B0439" w:rsidRDefault="00621F29" w:rsidP="00621F29">
                  <w:pPr>
                    <w:tabs>
                      <w:tab w:val="left" w:pos="540"/>
                      <w:tab w:val="left" w:pos="569"/>
                    </w:tabs>
                    <w:rPr>
                      <w:rFonts w:eastAsia="Calibri"/>
                      <w:sz w:val="22"/>
                      <w:szCs w:val="22"/>
                      <w:lang w:val="sr-Latn-RS"/>
                    </w:rPr>
                  </w:pPr>
                  <w:r w:rsidRPr="006B0439">
                    <w:rPr>
                      <w:rFonts w:eastAsia="Calibri"/>
                      <w:sz w:val="22"/>
                      <w:szCs w:val="22"/>
                      <w:lang w:val="sr-Latn-RS"/>
                    </w:rPr>
                    <w:t>Laboratorijska ispitivanja</w:t>
                  </w:r>
                </w:p>
              </w:tc>
              <w:tc>
                <w:tcPr>
                  <w:tcW w:w="113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21F29" w:rsidRPr="006B0439" w:rsidRDefault="00621F29" w:rsidP="00621F29">
                  <w:pPr>
                    <w:tabs>
                      <w:tab w:val="left" w:pos="540"/>
                      <w:tab w:val="left" w:pos="569"/>
                    </w:tabs>
                    <w:rPr>
                      <w:rFonts w:eastAsia="Calibri"/>
                      <w:sz w:val="22"/>
                      <w:szCs w:val="22"/>
                      <w:lang w:val="sr-Latn-RS"/>
                    </w:rPr>
                  </w:pPr>
                  <w:r w:rsidRPr="006B0439">
                    <w:rPr>
                      <w:rFonts w:eastAsia="Calibri"/>
                      <w:sz w:val="22"/>
                      <w:szCs w:val="22"/>
                      <w:lang w:val="sr-Latn-RS"/>
                    </w:rPr>
                    <w:t>Često</w:t>
                  </w:r>
                </w:p>
              </w:tc>
              <w:tc>
                <w:tcPr>
                  <w:tcW w:w="10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21F29" w:rsidRPr="006B0439" w:rsidRDefault="00621F29" w:rsidP="00621F29">
                  <w:pPr>
                    <w:tabs>
                      <w:tab w:val="left" w:pos="540"/>
                      <w:tab w:val="left" w:pos="569"/>
                    </w:tabs>
                    <w:rPr>
                      <w:rFonts w:eastAsia="Calibri"/>
                      <w:sz w:val="22"/>
                      <w:szCs w:val="22"/>
                      <w:lang w:val="sr-Latn-RS"/>
                    </w:rPr>
                  </w:pPr>
                  <w:r w:rsidRPr="006B0439">
                    <w:rPr>
                      <w:rFonts w:eastAsia="Calibri"/>
                      <w:sz w:val="22"/>
                      <w:szCs w:val="22"/>
                      <w:lang w:val="sr-Latn-RS"/>
                    </w:rPr>
                    <w:t>Porast kreatinina u serumu</w:t>
                  </w:r>
                </w:p>
              </w:tc>
            </w:tr>
            <w:tr w:rsidR="00621F29" w:rsidRPr="006B0439" w:rsidTr="00841C6F">
              <w:trPr>
                <w:tblCellSpacing w:w="0" w:type="dxa"/>
              </w:trPr>
              <w:tc>
                <w:tcPr>
                  <w:tcW w:w="2848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21F29" w:rsidRPr="006B0439" w:rsidRDefault="00621F29" w:rsidP="00621F29">
                  <w:pPr>
                    <w:tabs>
                      <w:tab w:val="left" w:pos="540"/>
                      <w:tab w:val="left" w:pos="569"/>
                    </w:tabs>
                    <w:rPr>
                      <w:rFonts w:eastAsia="Calibri"/>
                      <w:sz w:val="22"/>
                      <w:szCs w:val="22"/>
                      <w:lang w:val="sr-Latn-RS"/>
                    </w:rPr>
                  </w:pPr>
                </w:p>
              </w:tc>
              <w:tc>
                <w:tcPr>
                  <w:tcW w:w="113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21F29" w:rsidRPr="006B0439" w:rsidRDefault="00621F29" w:rsidP="00621F29">
                  <w:pPr>
                    <w:tabs>
                      <w:tab w:val="left" w:pos="540"/>
                      <w:tab w:val="left" w:pos="569"/>
                    </w:tabs>
                    <w:rPr>
                      <w:rFonts w:eastAsia="Calibri"/>
                      <w:sz w:val="22"/>
                      <w:szCs w:val="22"/>
                      <w:lang w:val="sr-Latn-RS"/>
                    </w:rPr>
                  </w:pPr>
                  <w:r w:rsidRPr="006B0439">
                    <w:rPr>
                      <w:rFonts w:eastAsia="Calibri"/>
                      <w:sz w:val="22"/>
                      <w:szCs w:val="22"/>
                      <w:lang w:val="sr-Latn-RS"/>
                    </w:rPr>
                    <w:t>Često</w:t>
                  </w:r>
                </w:p>
              </w:tc>
              <w:tc>
                <w:tcPr>
                  <w:tcW w:w="10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21F29" w:rsidRPr="006B0439" w:rsidRDefault="00621F29" w:rsidP="00621F29">
                  <w:pPr>
                    <w:tabs>
                      <w:tab w:val="left" w:pos="540"/>
                      <w:tab w:val="left" w:pos="569"/>
                    </w:tabs>
                    <w:rPr>
                      <w:rFonts w:eastAsia="Calibri"/>
                      <w:sz w:val="22"/>
                      <w:szCs w:val="22"/>
                      <w:lang w:val="sr-Latn-RS"/>
                    </w:rPr>
                  </w:pPr>
                  <w:r w:rsidRPr="006B0439">
                    <w:rPr>
                      <w:rFonts w:eastAsia="Calibri"/>
                      <w:sz w:val="22"/>
                      <w:szCs w:val="22"/>
                      <w:lang w:val="sr-Latn-RS"/>
                    </w:rPr>
                    <w:t>Porast transaminaza u serumu</w:t>
                  </w:r>
                </w:p>
                <w:p w:rsidR="00621F29" w:rsidRPr="006B0439" w:rsidRDefault="00841C6F" w:rsidP="00621F29">
                  <w:pPr>
                    <w:tabs>
                      <w:tab w:val="left" w:pos="540"/>
                      <w:tab w:val="left" w:pos="569"/>
                    </w:tabs>
                    <w:rPr>
                      <w:rFonts w:eastAsia="Calibri"/>
                      <w:sz w:val="22"/>
                      <w:szCs w:val="22"/>
                      <w:lang w:val="sr-Latn-RS"/>
                    </w:rPr>
                  </w:pPr>
                  <w:r w:rsidRPr="006B0439">
                    <w:rPr>
                      <w:rFonts w:eastAsia="Calibri"/>
                      <w:sz w:val="22"/>
                      <w:szCs w:val="22"/>
                      <w:lang w:val="sr-Latn-RS"/>
                    </w:rPr>
                    <w:t xml:space="preserve"> (AST i ALT</w:t>
                  </w:r>
                  <w:r w:rsidR="00621F29" w:rsidRPr="006B0439">
                    <w:rPr>
                      <w:rFonts w:eastAsia="Calibri"/>
                      <w:sz w:val="22"/>
                      <w:szCs w:val="22"/>
                      <w:lang w:val="sr-Latn-RS"/>
                    </w:rPr>
                    <w:t xml:space="preserve">) </w:t>
                  </w:r>
                </w:p>
              </w:tc>
            </w:tr>
            <w:tr w:rsidR="00621F29" w:rsidRPr="006B0439" w:rsidTr="00841C6F">
              <w:trPr>
                <w:tblCellSpacing w:w="0" w:type="dxa"/>
              </w:trPr>
              <w:tc>
                <w:tcPr>
                  <w:tcW w:w="2848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21F29" w:rsidRPr="006B0439" w:rsidRDefault="00621F29" w:rsidP="00621F29">
                  <w:pPr>
                    <w:tabs>
                      <w:tab w:val="left" w:pos="540"/>
                      <w:tab w:val="left" w:pos="569"/>
                    </w:tabs>
                    <w:rPr>
                      <w:rFonts w:eastAsia="Calibri"/>
                      <w:sz w:val="22"/>
                      <w:szCs w:val="22"/>
                      <w:lang w:val="sr-Latn-RS"/>
                    </w:rPr>
                  </w:pPr>
                </w:p>
              </w:tc>
              <w:tc>
                <w:tcPr>
                  <w:tcW w:w="113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21F29" w:rsidRPr="006B0439" w:rsidRDefault="00621F29" w:rsidP="00621F29">
                  <w:pPr>
                    <w:tabs>
                      <w:tab w:val="left" w:pos="540"/>
                      <w:tab w:val="left" w:pos="569"/>
                    </w:tabs>
                    <w:rPr>
                      <w:rFonts w:eastAsia="Calibri"/>
                      <w:sz w:val="22"/>
                      <w:szCs w:val="22"/>
                      <w:lang w:val="sr-Latn-RS"/>
                    </w:rPr>
                  </w:pPr>
                  <w:r w:rsidRPr="006B0439">
                    <w:rPr>
                      <w:rFonts w:eastAsia="Calibri"/>
                      <w:sz w:val="22"/>
                      <w:szCs w:val="22"/>
                      <w:lang w:val="sr-Latn-RS"/>
                    </w:rPr>
                    <w:t>Često</w:t>
                  </w:r>
                </w:p>
              </w:tc>
              <w:tc>
                <w:tcPr>
                  <w:tcW w:w="10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21F29" w:rsidRPr="006B0439" w:rsidRDefault="00621F29" w:rsidP="00621F29">
                  <w:pPr>
                    <w:tabs>
                      <w:tab w:val="left" w:pos="540"/>
                      <w:tab w:val="left" w:pos="569"/>
                    </w:tabs>
                    <w:rPr>
                      <w:rFonts w:eastAsia="Calibri"/>
                      <w:sz w:val="22"/>
                      <w:szCs w:val="22"/>
                      <w:lang w:val="sr-Latn-RS"/>
                    </w:rPr>
                  </w:pPr>
                  <w:r w:rsidRPr="006B0439">
                    <w:rPr>
                      <w:rFonts w:eastAsia="Calibri"/>
                      <w:sz w:val="22"/>
                      <w:szCs w:val="22"/>
                      <w:lang w:val="sr-Latn-RS"/>
                    </w:rPr>
                    <w:t>Porast bilirubina u serumu</w:t>
                  </w:r>
                </w:p>
              </w:tc>
            </w:tr>
            <w:tr w:rsidR="00621F29" w:rsidRPr="006B0439" w:rsidTr="00841C6F">
              <w:trPr>
                <w:tblCellSpacing w:w="0" w:type="dxa"/>
              </w:trPr>
              <w:tc>
                <w:tcPr>
                  <w:tcW w:w="2848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21F29" w:rsidRPr="006B0439" w:rsidRDefault="00621F29" w:rsidP="00621F29">
                  <w:pPr>
                    <w:tabs>
                      <w:tab w:val="left" w:pos="540"/>
                      <w:tab w:val="left" w:pos="569"/>
                    </w:tabs>
                    <w:rPr>
                      <w:rFonts w:eastAsia="Calibri"/>
                      <w:sz w:val="22"/>
                      <w:szCs w:val="22"/>
                      <w:lang w:val="sr-Latn-RS"/>
                    </w:rPr>
                  </w:pPr>
                </w:p>
              </w:tc>
              <w:tc>
                <w:tcPr>
                  <w:tcW w:w="113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21F29" w:rsidRPr="006B0439" w:rsidRDefault="00621F29" w:rsidP="00621F29">
                  <w:pPr>
                    <w:tabs>
                      <w:tab w:val="left" w:pos="540"/>
                      <w:tab w:val="left" w:pos="569"/>
                    </w:tabs>
                    <w:rPr>
                      <w:rFonts w:eastAsia="Calibri"/>
                      <w:sz w:val="22"/>
                      <w:szCs w:val="22"/>
                      <w:lang w:val="sr-Latn-RS"/>
                    </w:rPr>
                  </w:pPr>
                  <w:r w:rsidRPr="006B0439">
                    <w:rPr>
                      <w:rFonts w:eastAsia="Calibri"/>
                      <w:sz w:val="22"/>
                      <w:szCs w:val="22"/>
                      <w:lang w:val="sr-Latn-RS"/>
                    </w:rPr>
                    <w:t>Često</w:t>
                  </w:r>
                </w:p>
              </w:tc>
              <w:tc>
                <w:tcPr>
                  <w:tcW w:w="10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21F29" w:rsidRPr="006B0439" w:rsidRDefault="00621F29" w:rsidP="00621F29">
                  <w:pPr>
                    <w:tabs>
                      <w:tab w:val="left" w:pos="540"/>
                      <w:tab w:val="left" w:pos="569"/>
                    </w:tabs>
                    <w:rPr>
                      <w:rFonts w:eastAsia="Calibri"/>
                      <w:sz w:val="22"/>
                      <w:szCs w:val="22"/>
                      <w:lang w:val="sr-Latn-RS"/>
                    </w:rPr>
                  </w:pPr>
                  <w:r w:rsidRPr="006B0439">
                    <w:rPr>
                      <w:rFonts w:eastAsia="Calibri"/>
                      <w:sz w:val="22"/>
                      <w:szCs w:val="22"/>
                      <w:lang w:val="sr-Latn-RS"/>
                    </w:rPr>
                    <w:t xml:space="preserve">Porast alkalnih fosfataza u </w:t>
                  </w:r>
                </w:p>
                <w:p w:rsidR="00621F29" w:rsidRPr="006B0439" w:rsidRDefault="00621F29" w:rsidP="00621F29">
                  <w:pPr>
                    <w:tabs>
                      <w:tab w:val="left" w:pos="540"/>
                      <w:tab w:val="left" w:pos="569"/>
                    </w:tabs>
                    <w:rPr>
                      <w:rFonts w:eastAsia="Calibri"/>
                      <w:sz w:val="22"/>
                      <w:szCs w:val="22"/>
                      <w:lang w:val="sr-Latn-RS"/>
                    </w:rPr>
                  </w:pPr>
                  <w:r w:rsidRPr="006B0439">
                    <w:rPr>
                      <w:rFonts w:eastAsia="Calibri"/>
                      <w:sz w:val="22"/>
                      <w:szCs w:val="22"/>
                      <w:lang w:val="sr-Latn-RS"/>
                    </w:rPr>
                    <w:t>serumu</w:t>
                  </w:r>
                </w:p>
              </w:tc>
            </w:tr>
          </w:tbl>
          <w:p w:rsidR="00621F29" w:rsidRPr="006B0439" w:rsidRDefault="00621F29" w:rsidP="00621F29">
            <w:pPr>
              <w:tabs>
                <w:tab w:val="left" w:pos="540"/>
                <w:tab w:val="left" w:pos="569"/>
              </w:tabs>
              <w:rPr>
                <w:rFonts w:eastAsia="Calibri"/>
                <w:sz w:val="22"/>
                <w:szCs w:val="22"/>
                <w:lang w:val="sr-Latn-RS"/>
              </w:rPr>
            </w:pPr>
          </w:p>
          <w:p w:rsidR="00621F29" w:rsidRPr="006B0439" w:rsidRDefault="00621F29" w:rsidP="00621F29">
            <w:pPr>
              <w:tabs>
                <w:tab w:val="left" w:pos="540"/>
                <w:tab w:val="left" w:pos="569"/>
              </w:tabs>
              <w:rPr>
                <w:rFonts w:eastAsia="Calibri"/>
                <w:b/>
                <w:sz w:val="22"/>
                <w:szCs w:val="22"/>
                <w:lang w:val="sr-Latn-RS"/>
              </w:rPr>
            </w:pPr>
            <w:r w:rsidRPr="006B0439">
              <w:rPr>
                <w:rFonts w:eastAsia="Calibri"/>
                <w:b/>
                <w:sz w:val="22"/>
                <w:szCs w:val="22"/>
                <w:lang w:val="sr-Latn-RS"/>
              </w:rPr>
              <w:t>Opis odabranih neželjenih reakcija (monoterapija)</w:t>
            </w:r>
          </w:p>
          <w:p w:rsidR="00621F29" w:rsidRPr="006B0439" w:rsidRDefault="00621F29" w:rsidP="00621F29">
            <w:pPr>
              <w:tabs>
                <w:tab w:val="left" w:pos="540"/>
                <w:tab w:val="left" w:pos="569"/>
              </w:tabs>
              <w:rPr>
                <w:rFonts w:eastAsia="Calibri"/>
                <w:sz w:val="22"/>
                <w:szCs w:val="22"/>
                <w:lang w:val="sr-Latn-RS"/>
              </w:rPr>
            </w:pPr>
          </w:p>
          <w:p w:rsidR="00621F29" w:rsidRPr="006B0439" w:rsidRDefault="00621F29" w:rsidP="00982DE4">
            <w:pPr>
              <w:tabs>
                <w:tab w:val="left" w:pos="540"/>
                <w:tab w:val="left" w:pos="569"/>
              </w:tabs>
              <w:jc w:val="both"/>
              <w:rPr>
                <w:rFonts w:eastAsia="Calibri"/>
                <w:sz w:val="22"/>
                <w:szCs w:val="22"/>
                <w:lang w:val="sr-Latn-RS"/>
              </w:rPr>
            </w:pPr>
            <w:r w:rsidRPr="006B0439">
              <w:rPr>
                <w:rFonts w:eastAsia="Calibri"/>
                <w:b/>
                <w:sz w:val="22"/>
                <w:szCs w:val="22"/>
                <w:lang w:val="sr-Latn-RS"/>
              </w:rPr>
              <w:t>Teška dijareja</w:t>
            </w:r>
            <w:r w:rsidRPr="006B0439">
              <w:rPr>
                <w:rFonts w:eastAsia="Calibri"/>
                <w:sz w:val="22"/>
                <w:szCs w:val="22"/>
                <w:lang w:val="sr-Latn-RS"/>
              </w:rPr>
              <w:t xml:space="preserve"> zabilježena je kod 20% pacijenata koji su slijedili prep</w:t>
            </w:r>
            <w:r w:rsidR="00E55931" w:rsidRPr="006B0439">
              <w:rPr>
                <w:rFonts w:eastAsia="Calibri"/>
                <w:sz w:val="22"/>
                <w:szCs w:val="22"/>
                <w:lang w:val="sr-Latn-RS"/>
              </w:rPr>
              <w:t>oruke za zbrinjavanje dijareje, o</w:t>
            </w:r>
            <w:r w:rsidRPr="006B0439">
              <w:rPr>
                <w:rFonts w:eastAsia="Calibri"/>
                <w:sz w:val="22"/>
                <w:szCs w:val="22"/>
                <w:lang w:val="sr-Latn-RS"/>
              </w:rPr>
              <w:t>dnosno kod  praćenih ciklusa, 14% je imalo tešku dijareju. Srednje vrijeme pojave prve tečne stolice bilo je pet d</w:t>
            </w:r>
            <w:r w:rsidR="00E55931" w:rsidRPr="006B0439">
              <w:rPr>
                <w:rFonts w:eastAsia="Calibri"/>
                <w:sz w:val="22"/>
                <w:szCs w:val="22"/>
                <w:lang w:val="sr-Latn-RS"/>
              </w:rPr>
              <w:t>ana posl</w:t>
            </w:r>
            <w:r w:rsidR="00AB33AC" w:rsidRPr="006B0439">
              <w:rPr>
                <w:rFonts w:eastAsia="Calibri"/>
                <w:sz w:val="22"/>
                <w:szCs w:val="22"/>
                <w:lang w:val="sr-Latn-RS"/>
              </w:rPr>
              <w:t>ij</w:t>
            </w:r>
            <w:r w:rsidR="00E55931" w:rsidRPr="006B0439">
              <w:rPr>
                <w:rFonts w:eastAsia="Calibri"/>
                <w:sz w:val="22"/>
                <w:szCs w:val="22"/>
                <w:lang w:val="sr-Latn-RS"/>
              </w:rPr>
              <w:t>e infuzije irinotekana</w:t>
            </w:r>
            <w:r w:rsidRPr="006B0439">
              <w:rPr>
                <w:rFonts w:eastAsia="Calibri"/>
                <w:sz w:val="22"/>
                <w:szCs w:val="22"/>
                <w:lang w:val="sr-Latn-RS"/>
              </w:rPr>
              <w:t>.</w:t>
            </w:r>
          </w:p>
          <w:p w:rsidR="00621F29" w:rsidRPr="006B0439" w:rsidRDefault="00621F29" w:rsidP="00982DE4">
            <w:pPr>
              <w:tabs>
                <w:tab w:val="left" w:pos="540"/>
                <w:tab w:val="left" w:pos="569"/>
              </w:tabs>
              <w:jc w:val="both"/>
              <w:rPr>
                <w:rFonts w:eastAsia="Calibri"/>
                <w:sz w:val="22"/>
                <w:szCs w:val="22"/>
                <w:lang w:val="sr-Latn-RS"/>
              </w:rPr>
            </w:pPr>
            <w:r w:rsidRPr="006B0439">
              <w:rPr>
                <w:rFonts w:eastAsia="Calibri"/>
                <w:b/>
                <w:sz w:val="22"/>
                <w:szCs w:val="22"/>
                <w:lang w:val="sr-Latn-RS"/>
              </w:rPr>
              <w:t>Mučnina i povraćanje</w:t>
            </w:r>
            <w:r w:rsidR="00AE0D55" w:rsidRPr="006B0439">
              <w:rPr>
                <w:rFonts w:eastAsia="Calibri"/>
                <w:sz w:val="22"/>
                <w:szCs w:val="22"/>
                <w:lang w:val="sr-Latn-RS"/>
              </w:rPr>
              <w:t xml:space="preserve"> u težem obliku</w:t>
            </w:r>
            <w:r w:rsidRPr="006B0439">
              <w:rPr>
                <w:rFonts w:eastAsia="Calibri"/>
                <w:sz w:val="22"/>
                <w:szCs w:val="22"/>
                <w:lang w:val="sr-Latn-RS"/>
              </w:rPr>
              <w:t xml:space="preserve"> zabilježeni su kod</w:t>
            </w:r>
            <w:r w:rsidR="00A67E43" w:rsidRPr="006B0439">
              <w:rPr>
                <w:rFonts w:eastAsia="Calibri"/>
                <w:sz w:val="22"/>
                <w:szCs w:val="22"/>
                <w:lang w:val="sr-Latn-RS"/>
              </w:rPr>
              <w:t xml:space="preserve"> oko</w:t>
            </w:r>
            <w:r w:rsidRPr="006B0439">
              <w:rPr>
                <w:rFonts w:eastAsia="Calibri"/>
                <w:sz w:val="22"/>
                <w:szCs w:val="22"/>
                <w:lang w:val="sr-Latn-RS"/>
              </w:rPr>
              <w:t xml:space="preserve"> 10% pacijenata liječenih antiemeticima.</w:t>
            </w:r>
          </w:p>
          <w:p w:rsidR="00621F29" w:rsidRPr="006B0439" w:rsidRDefault="00621F29" w:rsidP="00982DE4">
            <w:pPr>
              <w:tabs>
                <w:tab w:val="left" w:pos="540"/>
                <w:tab w:val="left" w:pos="569"/>
              </w:tabs>
              <w:jc w:val="both"/>
              <w:rPr>
                <w:rFonts w:eastAsia="Calibri"/>
                <w:sz w:val="22"/>
                <w:szCs w:val="22"/>
                <w:lang w:val="sr-Latn-RS"/>
              </w:rPr>
            </w:pPr>
            <w:r w:rsidRPr="006B0439">
              <w:rPr>
                <w:rFonts w:eastAsia="Calibri"/>
                <w:sz w:val="22"/>
                <w:szCs w:val="22"/>
                <w:lang w:val="sr-Latn-RS"/>
              </w:rPr>
              <w:t xml:space="preserve">Zabilježena je pojava </w:t>
            </w:r>
            <w:r w:rsidRPr="006B0439">
              <w:rPr>
                <w:rFonts w:eastAsia="Calibri"/>
                <w:b/>
                <w:sz w:val="22"/>
                <w:szCs w:val="22"/>
                <w:lang w:val="sr-Latn-RS"/>
              </w:rPr>
              <w:t>zatvora</w:t>
            </w:r>
            <w:r w:rsidRPr="006B0439">
              <w:rPr>
                <w:rFonts w:eastAsia="Calibri"/>
                <w:sz w:val="22"/>
                <w:szCs w:val="22"/>
                <w:lang w:val="sr-Latn-RS"/>
              </w:rPr>
              <w:t xml:space="preserve"> kod manje od 10% pacijenata.</w:t>
            </w:r>
          </w:p>
          <w:p w:rsidR="00621F29" w:rsidRPr="006B0439" w:rsidRDefault="00621F29" w:rsidP="00982DE4">
            <w:pPr>
              <w:tabs>
                <w:tab w:val="left" w:pos="540"/>
                <w:tab w:val="left" w:pos="569"/>
              </w:tabs>
              <w:jc w:val="both"/>
              <w:rPr>
                <w:rFonts w:eastAsia="Calibri"/>
                <w:sz w:val="22"/>
                <w:szCs w:val="22"/>
                <w:lang w:val="sr-Latn-RS"/>
              </w:rPr>
            </w:pPr>
            <w:r w:rsidRPr="006B0439">
              <w:rPr>
                <w:rFonts w:eastAsia="Calibri"/>
                <w:b/>
                <w:sz w:val="22"/>
                <w:szCs w:val="22"/>
                <w:lang w:val="sr-Latn-RS"/>
              </w:rPr>
              <w:t>Neutropenija</w:t>
            </w:r>
            <w:r w:rsidRPr="006B0439">
              <w:rPr>
                <w:rFonts w:eastAsia="Calibri"/>
                <w:sz w:val="22"/>
                <w:szCs w:val="22"/>
                <w:lang w:val="sr-Latn-RS"/>
              </w:rPr>
              <w:t xml:space="preserve"> je zapažena kod 78,7% pacijenata i bila je teška (broj neutrofila &lt; 500 ćelija/mm</w:t>
            </w:r>
            <w:r w:rsidRPr="006B0439">
              <w:rPr>
                <w:rFonts w:eastAsia="Calibri"/>
                <w:sz w:val="22"/>
                <w:szCs w:val="22"/>
                <w:vertAlign w:val="superscript"/>
                <w:lang w:val="sr-Latn-RS"/>
              </w:rPr>
              <w:t>3</w:t>
            </w:r>
            <w:r w:rsidRPr="006B0439">
              <w:rPr>
                <w:rFonts w:eastAsia="Calibri"/>
                <w:sz w:val="22"/>
                <w:szCs w:val="22"/>
                <w:lang w:val="sr-Latn-RS"/>
              </w:rPr>
              <w:t>) kod 22,6% pacijenata. U 18% analiziranih ciklusa, broj neutrofila bio je manji od 1000 ćelija/mm</w:t>
            </w:r>
            <w:r w:rsidRPr="006B0439">
              <w:rPr>
                <w:rFonts w:eastAsia="Calibri"/>
                <w:sz w:val="22"/>
                <w:szCs w:val="22"/>
                <w:vertAlign w:val="superscript"/>
                <w:lang w:val="sr-Latn-RS"/>
              </w:rPr>
              <w:t>3</w:t>
            </w:r>
            <w:r w:rsidRPr="006B0439">
              <w:rPr>
                <w:rFonts w:eastAsia="Calibri"/>
                <w:sz w:val="22"/>
                <w:szCs w:val="22"/>
                <w:lang w:val="sr-Latn-RS"/>
              </w:rPr>
              <w:t>, uključujući i 7,6% sa brojem neutrofila manjim od 500 ćelija/mm</w:t>
            </w:r>
            <w:r w:rsidRPr="006B0439">
              <w:rPr>
                <w:rFonts w:eastAsia="Calibri"/>
                <w:sz w:val="22"/>
                <w:szCs w:val="22"/>
                <w:vertAlign w:val="superscript"/>
                <w:lang w:val="sr-Latn-RS"/>
              </w:rPr>
              <w:t>3</w:t>
            </w:r>
            <w:r w:rsidRPr="006B0439">
              <w:rPr>
                <w:rFonts w:eastAsia="Calibri"/>
                <w:sz w:val="22"/>
                <w:szCs w:val="22"/>
                <w:lang w:val="sr-Latn-RS"/>
              </w:rPr>
              <w:t>.</w:t>
            </w:r>
          </w:p>
          <w:p w:rsidR="00621F29" w:rsidRPr="006B0439" w:rsidRDefault="00621F29" w:rsidP="00982DE4">
            <w:pPr>
              <w:tabs>
                <w:tab w:val="left" w:pos="540"/>
                <w:tab w:val="left" w:pos="569"/>
              </w:tabs>
              <w:jc w:val="both"/>
              <w:rPr>
                <w:rFonts w:eastAsia="Calibri"/>
                <w:sz w:val="22"/>
                <w:szCs w:val="22"/>
                <w:lang w:val="sr-Latn-RS"/>
              </w:rPr>
            </w:pPr>
            <w:r w:rsidRPr="006B0439">
              <w:rPr>
                <w:rFonts w:eastAsia="Calibri"/>
                <w:sz w:val="22"/>
                <w:szCs w:val="22"/>
                <w:lang w:val="sr-Latn-RS"/>
              </w:rPr>
              <w:t>Potpun oporavak obično je postizan do 22. dana.</w:t>
            </w:r>
          </w:p>
          <w:p w:rsidR="00621F29" w:rsidRPr="006B0439" w:rsidRDefault="00621F29" w:rsidP="00982DE4">
            <w:pPr>
              <w:tabs>
                <w:tab w:val="left" w:pos="540"/>
                <w:tab w:val="left" w:pos="569"/>
              </w:tabs>
              <w:jc w:val="both"/>
              <w:rPr>
                <w:rFonts w:eastAsia="Calibri"/>
                <w:sz w:val="22"/>
                <w:szCs w:val="22"/>
                <w:lang w:val="sr-Latn-RS"/>
              </w:rPr>
            </w:pPr>
            <w:r w:rsidRPr="006B0439">
              <w:rPr>
                <w:rFonts w:eastAsia="Calibri"/>
                <w:b/>
                <w:sz w:val="22"/>
                <w:szCs w:val="22"/>
                <w:lang w:val="sr-Latn-RS"/>
              </w:rPr>
              <w:t>Groznica sa teškom neutropenijom</w:t>
            </w:r>
            <w:r w:rsidRPr="006B0439">
              <w:rPr>
                <w:rFonts w:eastAsia="Calibri"/>
                <w:sz w:val="22"/>
                <w:szCs w:val="22"/>
                <w:lang w:val="sr-Latn-RS"/>
              </w:rPr>
              <w:t xml:space="preserve"> </w:t>
            </w:r>
            <w:r w:rsidR="00A67E43" w:rsidRPr="006B0439">
              <w:rPr>
                <w:rFonts w:eastAsia="Calibri"/>
                <w:sz w:val="22"/>
                <w:szCs w:val="22"/>
                <w:lang w:val="sr-Latn-RS"/>
              </w:rPr>
              <w:t>prijavljena</w:t>
            </w:r>
            <w:r w:rsidRPr="006B0439">
              <w:rPr>
                <w:rFonts w:eastAsia="Calibri"/>
                <w:sz w:val="22"/>
                <w:szCs w:val="22"/>
                <w:lang w:val="sr-Latn-RS"/>
              </w:rPr>
              <w:t xml:space="preserve"> je kod 6,2% pacijenata i u 1,7% ciklusa.</w:t>
            </w:r>
          </w:p>
          <w:p w:rsidR="00621F29" w:rsidRPr="006B0439" w:rsidRDefault="00621F29" w:rsidP="00982DE4">
            <w:pPr>
              <w:tabs>
                <w:tab w:val="left" w:pos="540"/>
                <w:tab w:val="left" w:pos="569"/>
              </w:tabs>
              <w:jc w:val="both"/>
              <w:rPr>
                <w:rFonts w:eastAsia="Calibri"/>
                <w:sz w:val="22"/>
                <w:szCs w:val="22"/>
                <w:lang w:val="sr-Latn-RS"/>
              </w:rPr>
            </w:pPr>
            <w:r w:rsidRPr="006B0439">
              <w:rPr>
                <w:rFonts w:eastAsia="Calibri"/>
                <w:sz w:val="22"/>
                <w:szCs w:val="22"/>
                <w:lang w:val="sr-Latn-RS"/>
              </w:rPr>
              <w:t>Infek</w:t>
            </w:r>
            <w:r w:rsidR="00A67E43" w:rsidRPr="006B0439">
              <w:rPr>
                <w:rFonts w:eastAsia="Calibri"/>
                <w:sz w:val="22"/>
                <w:szCs w:val="22"/>
                <w:lang w:val="sr-Latn-RS"/>
              </w:rPr>
              <w:t>cije su se</w:t>
            </w:r>
            <w:r w:rsidRPr="006B0439">
              <w:rPr>
                <w:rFonts w:eastAsia="Calibri"/>
                <w:sz w:val="22"/>
                <w:szCs w:val="22"/>
                <w:lang w:val="sr-Latn-RS"/>
              </w:rPr>
              <w:t xml:space="preserve"> dešavale su se kod približno 10,3% pacijenata (2,5% ciklusa), bile su udružene sa teškom neutropenijom kod oko 5,3% pacijenata (1,1% ciklusa) i završile su se smrtnim ishodom u 2 slučaja.</w:t>
            </w:r>
          </w:p>
          <w:p w:rsidR="00621F29" w:rsidRPr="006B0439" w:rsidRDefault="00621F29" w:rsidP="00982DE4">
            <w:pPr>
              <w:tabs>
                <w:tab w:val="left" w:pos="540"/>
                <w:tab w:val="left" w:pos="569"/>
              </w:tabs>
              <w:jc w:val="both"/>
              <w:rPr>
                <w:rFonts w:eastAsia="Calibri"/>
                <w:sz w:val="22"/>
                <w:szCs w:val="22"/>
                <w:lang w:val="sr-Latn-RS"/>
              </w:rPr>
            </w:pPr>
            <w:r w:rsidRPr="006B0439">
              <w:rPr>
                <w:rFonts w:eastAsia="Calibri"/>
                <w:b/>
                <w:sz w:val="22"/>
                <w:szCs w:val="22"/>
                <w:lang w:val="sr-Latn-RS"/>
              </w:rPr>
              <w:t>Anemija</w:t>
            </w:r>
            <w:r w:rsidRPr="006B0439">
              <w:rPr>
                <w:rFonts w:eastAsia="Calibri"/>
                <w:sz w:val="22"/>
                <w:szCs w:val="22"/>
                <w:lang w:val="sr-Latn-RS"/>
              </w:rPr>
              <w:t xml:space="preserve"> je </w:t>
            </w:r>
            <w:r w:rsidR="00A67E43" w:rsidRPr="006B0439">
              <w:rPr>
                <w:rFonts w:eastAsia="Calibri"/>
                <w:sz w:val="22"/>
                <w:szCs w:val="22"/>
                <w:lang w:val="sr-Latn-RS"/>
              </w:rPr>
              <w:t>prijavljena</w:t>
            </w:r>
            <w:r w:rsidRPr="006B0439">
              <w:rPr>
                <w:rFonts w:eastAsia="Calibri"/>
                <w:sz w:val="22"/>
                <w:szCs w:val="22"/>
                <w:lang w:val="sr-Latn-RS"/>
              </w:rPr>
              <w:t xml:space="preserve"> kod</w:t>
            </w:r>
            <w:r w:rsidR="00A67E43" w:rsidRPr="006B0439">
              <w:rPr>
                <w:rFonts w:eastAsia="Calibri"/>
                <w:sz w:val="22"/>
                <w:szCs w:val="22"/>
                <w:lang w:val="sr-Latn-RS"/>
              </w:rPr>
              <w:t xml:space="preserve"> oko</w:t>
            </w:r>
            <w:r w:rsidRPr="006B0439">
              <w:rPr>
                <w:rFonts w:eastAsia="Calibri"/>
                <w:sz w:val="22"/>
                <w:szCs w:val="22"/>
                <w:lang w:val="sr-Latn-RS"/>
              </w:rPr>
              <w:t xml:space="preserve"> 58,7% pacijenata (8% sa hemoglobinom &lt; 8 g/dl i 0,9% sa hemoglobinom &lt; 6,5 g/dl).</w:t>
            </w:r>
          </w:p>
          <w:p w:rsidR="00621F29" w:rsidRPr="006B0439" w:rsidRDefault="00621F29" w:rsidP="00982DE4">
            <w:pPr>
              <w:tabs>
                <w:tab w:val="left" w:pos="540"/>
                <w:tab w:val="left" w:pos="569"/>
              </w:tabs>
              <w:jc w:val="both"/>
              <w:rPr>
                <w:rFonts w:eastAsia="Calibri"/>
                <w:sz w:val="22"/>
                <w:szCs w:val="22"/>
                <w:lang w:val="sr-Latn-RS"/>
              </w:rPr>
            </w:pPr>
            <w:r w:rsidRPr="006B0439">
              <w:rPr>
                <w:rFonts w:eastAsia="Calibri"/>
                <w:b/>
                <w:sz w:val="22"/>
                <w:szCs w:val="22"/>
                <w:lang w:val="sr-Latn-RS"/>
              </w:rPr>
              <w:t>Trombocitopenija</w:t>
            </w:r>
            <w:r w:rsidRPr="006B0439">
              <w:rPr>
                <w:rFonts w:eastAsia="Calibri"/>
                <w:sz w:val="22"/>
                <w:szCs w:val="22"/>
                <w:lang w:val="sr-Latn-RS"/>
              </w:rPr>
              <w:t xml:space="preserve"> (&lt; 100.000 ćelija/mm</w:t>
            </w:r>
            <w:r w:rsidRPr="006B0439">
              <w:rPr>
                <w:rFonts w:eastAsia="Calibri"/>
                <w:sz w:val="22"/>
                <w:szCs w:val="22"/>
                <w:vertAlign w:val="superscript"/>
                <w:lang w:val="sr-Latn-RS"/>
              </w:rPr>
              <w:t>3</w:t>
            </w:r>
            <w:r w:rsidRPr="006B0439">
              <w:rPr>
                <w:rFonts w:eastAsia="Calibri"/>
                <w:sz w:val="22"/>
                <w:szCs w:val="22"/>
                <w:lang w:val="sr-Latn-RS"/>
              </w:rPr>
              <w:t>)  je</w:t>
            </w:r>
            <w:r w:rsidR="00A67E43" w:rsidRPr="006B0439">
              <w:rPr>
                <w:rFonts w:eastAsia="Calibri"/>
                <w:sz w:val="22"/>
                <w:szCs w:val="22"/>
                <w:lang w:val="sr-Latn-RS"/>
              </w:rPr>
              <w:t xml:space="preserve"> primijećena</w:t>
            </w:r>
            <w:r w:rsidRPr="006B0439">
              <w:rPr>
                <w:rFonts w:eastAsia="Calibri"/>
                <w:sz w:val="22"/>
                <w:szCs w:val="22"/>
                <w:lang w:val="sr-Latn-RS"/>
              </w:rPr>
              <w:t xml:space="preserve"> kod 7,4% pacijenata i u 1,8% ciklusa, sa 0,9% pacijenata čiji je broj trombocita bio ≤ 50.000 ćelija/mm</w:t>
            </w:r>
            <w:r w:rsidRPr="006B0439">
              <w:rPr>
                <w:rFonts w:eastAsia="Calibri"/>
                <w:sz w:val="22"/>
                <w:szCs w:val="22"/>
                <w:vertAlign w:val="superscript"/>
                <w:lang w:val="sr-Latn-RS"/>
              </w:rPr>
              <w:t>3</w:t>
            </w:r>
            <w:r w:rsidRPr="006B0439">
              <w:rPr>
                <w:rFonts w:eastAsia="Calibri"/>
                <w:sz w:val="22"/>
                <w:szCs w:val="22"/>
                <w:lang w:val="sr-Latn-RS"/>
              </w:rPr>
              <w:t xml:space="preserve"> u 0,2% ciklusa.</w:t>
            </w:r>
          </w:p>
          <w:p w:rsidR="00621F29" w:rsidRPr="006B0439" w:rsidRDefault="00621F29" w:rsidP="00982DE4">
            <w:pPr>
              <w:tabs>
                <w:tab w:val="left" w:pos="540"/>
                <w:tab w:val="left" w:pos="569"/>
              </w:tabs>
              <w:jc w:val="both"/>
              <w:rPr>
                <w:rFonts w:eastAsia="Calibri"/>
                <w:sz w:val="22"/>
                <w:szCs w:val="22"/>
                <w:lang w:val="sr-Latn-RS"/>
              </w:rPr>
            </w:pPr>
            <w:r w:rsidRPr="006B0439">
              <w:rPr>
                <w:rFonts w:eastAsia="Calibri"/>
                <w:sz w:val="22"/>
                <w:szCs w:val="22"/>
                <w:lang w:val="sr-Latn-RS"/>
              </w:rPr>
              <w:t>Kod skoro svih pacijenata do 22. dana je došlo do oporavka.</w:t>
            </w:r>
          </w:p>
          <w:p w:rsidR="00621F29" w:rsidRPr="006B0439" w:rsidRDefault="00621F29" w:rsidP="00982DE4">
            <w:pPr>
              <w:tabs>
                <w:tab w:val="left" w:pos="540"/>
                <w:tab w:val="left" w:pos="569"/>
              </w:tabs>
              <w:jc w:val="both"/>
              <w:rPr>
                <w:rFonts w:eastAsia="Calibri"/>
                <w:b/>
                <w:sz w:val="22"/>
                <w:szCs w:val="22"/>
                <w:lang w:val="sr-Latn-RS"/>
              </w:rPr>
            </w:pPr>
            <w:r w:rsidRPr="006B0439">
              <w:rPr>
                <w:rFonts w:eastAsia="Calibri"/>
                <w:b/>
                <w:sz w:val="22"/>
                <w:szCs w:val="22"/>
                <w:lang w:val="sr-Latn-RS"/>
              </w:rPr>
              <w:t>Akutni holinergički sindrom</w:t>
            </w:r>
          </w:p>
          <w:p w:rsidR="00621F29" w:rsidRPr="006B0439" w:rsidRDefault="00621F29" w:rsidP="00982DE4">
            <w:pPr>
              <w:tabs>
                <w:tab w:val="left" w:pos="540"/>
                <w:tab w:val="left" w:pos="569"/>
              </w:tabs>
              <w:jc w:val="both"/>
              <w:rPr>
                <w:rFonts w:eastAsia="Calibri"/>
                <w:sz w:val="22"/>
                <w:szCs w:val="22"/>
                <w:lang w:val="sr-Latn-RS"/>
              </w:rPr>
            </w:pPr>
            <w:r w:rsidRPr="006B0439">
              <w:rPr>
                <w:rFonts w:eastAsia="Calibri"/>
                <w:sz w:val="22"/>
                <w:szCs w:val="22"/>
                <w:lang w:val="sr-Latn-RS"/>
              </w:rPr>
              <w:t xml:space="preserve">Težak akutni holinergički sindrom prolaznog karaktera </w:t>
            </w:r>
            <w:r w:rsidR="00A67E43" w:rsidRPr="006B0439">
              <w:rPr>
                <w:rFonts w:eastAsia="Calibri"/>
                <w:sz w:val="22"/>
                <w:szCs w:val="22"/>
                <w:lang w:val="sr-Latn-RS"/>
              </w:rPr>
              <w:t>primijećen</w:t>
            </w:r>
            <w:r w:rsidRPr="006B0439">
              <w:rPr>
                <w:rFonts w:eastAsia="Calibri"/>
                <w:sz w:val="22"/>
                <w:szCs w:val="22"/>
                <w:lang w:val="sr-Latn-RS"/>
              </w:rPr>
              <w:t xml:space="preserve"> j</w:t>
            </w:r>
            <w:r w:rsidR="008C49E6" w:rsidRPr="006B0439">
              <w:rPr>
                <w:rFonts w:eastAsia="Calibri"/>
                <w:sz w:val="22"/>
                <w:szCs w:val="22"/>
                <w:lang w:val="sr-Latn-RS"/>
              </w:rPr>
              <w:t xml:space="preserve">e kod 9% pacijenata liječenih u </w:t>
            </w:r>
            <w:r w:rsidRPr="006B0439">
              <w:rPr>
                <w:rFonts w:eastAsia="Calibri"/>
                <w:sz w:val="22"/>
                <w:szCs w:val="22"/>
                <w:lang w:val="sr-Latn-RS"/>
              </w:rPr>
              <w:t xml:space="preserve">monoterapiji. </w:t>
            </w:r>
          </w:p>
          <w:p w:rsidR="00621F29" w:rsidRPr="006B0439" w:rsidRDefault="00621F29" w:rsidP="00982DE4">
            <w:pPr>
              <w:tabs>
                <w:tab w:val="left" w:pos="540"/>
                <w:tab w:val="left" w:pos="569"/>
              </w:tabs>
              <w:jc w:val="both"/>
              <w:rPr>
                <w:rFonts w:eastAsia="Calibri"/>
                <w:sz w:val="22"/>
                <w:szCs w:val="22"/>
                <w:lang w:val="sr-Latn-RS"/>
              </w:rPr>
            </w:pPr>
            <w:r w:rsidRPr="006B0439">
              <w:rPr>
                <w:rFonts w:eastAsia="Calibri"/>
                <w:b/>
                <w:sz w:val="22"/>
                <w:szCs w:val="22"/>
                <w:lang w:val="sr-Latn-RS"/>
              </w:rPr>
              <w:lastRenderedPageBreak/>
              <w:t>Astenija</w:t>
            </w:r>
            <w:r w:rsidRPr="006B0439">
              <w:rPr>
                <w:rFonts w:eastAsia="Calibri"/>
                <w:sz w:val="22"/>
                <w:szCs w:val="22"/>
                <w:lang w:val="sr-Latn-RS"/>
              </w:rPr>
              <w:t xml:space="preserve"> je bila teška kod manje od 10% pacijenata na monoterapiji.</w:t>
            </w:r>
            <w:r w:rsidR="008C49E6" w:rsidRPr="006B0439">
              <w:rPr>
                <w:rFonts w:eastAsia="Calibri"/>
                <w:sz w:val="22"/>
                <w:szCs w:val="22"/>
                <w:lang w:val="sr-Latn-RS"/>
              </w:rPr>
              <w:t xml:space="preserve"> Uzročna veza sa lijekom</w:t>
            </w:r>
            <w:r w:rsidRPr="006B0439">
              <w:rPr>
                <w:rFonts w:eastAsia="Calibri"/>
                <w:sz w:val="22"/>
                <w:szCs w:val="22"/>
                <w:lang w:val="sr-Latn-RS"/>
              </w:rPr>
              <w:t xml:space="preserve"> nije bila jasno utvrđena. Groznica u odsustvu infekcije i bez prateće neutropenije </w:t>
            </w:r>
            <w:r w:rsidR="00A67E43" w:rsidRPr="006B0439">
              <w:rPr>
                <w:rFonts w:eastAsia="Calibri"/>
                <w:sz w:val="22"/>
                <w:szCs w:val="22"/>
                <w:lang w:val="sr-Latn-RS"/>
              </w:rPr>
              <w:t>pojavila se</w:t>
            </w:r>
            <w:r w:rsidRPr="006B0439">
              <w:rPr>
                <w:rFonts w:eastAsia="Calibri"/>
                <w:sz w:val="22"/>
                <w:szCs w:val="22"/>
                <w:lang w:val="sr-Latn-RS"/>
              </w:rPr>
              <w:t xml:space="preserve"> kod 12% pacijenata liječenih u monoterapiji. </w:t>
            </w:r>
          </w:p>
          <w:p w:rsidR="00621F29" w:rsidRPr="006B0439" w:rsidRDefault="00621F29" w:rsidP="00982DE4">
            <w:pPr>
              <w:tabs>
                <w:tab w:val="left" w:pos="540"/>
                <w:tab w:val="left" w:pos="569"/>
              </w:tabs>
              <w:jc w:val="both"/>
              <w:rPr>
                <w:rFonts w:eastAsia="Calibri"/>
                <w:b/>
                <w:sz w:val="22"/>
                <w:szCs w:val="22"/>
                <w:lang w:val="sr-Latn-RS"/>
              </w:rPr>
            </w:pPr>
            <w:r w:rsidRPr="006B0439">
              <w:rPr>
                <w:rFonts w:eastAsia="Calibri"/>
                <w:b/>
                <w:sz w:val="22"/>
                <w:szCs w:val="22"/>
                <w:lang w:val="sr-Latn-RS"/>
              </w:rPr>
              <w:t>Laboratorijska ispitivanja</w:t>
            </w:r>
          </w:p>
          <w:p w:rsidR="00621F29" w:rsidRPr="006B0439" w:rsidRDefault="00621F29" w:rsidP="00982DE4">
            <w:pPr>
              <w:tabs>
                <w:tab w:val="left" w:pos="540"/>
                <w:tab w:val="left" w:pos="569"/>
              </w:tabs>
              <w:jc w:val="both"/>
              <w:rPr>
                <w:rFonts w:eastAsia="Calibri"/>
                <w:sz w:val="22"/>
                <w:szCs w:val="22"/>
                <w:lang w:val="sr-Latn-RS"/>
              </w:rPr>
            </w:pPr>
            <w:r w:rsidRPr="006B0439">
              <w:rPr>
                <w:rFonts w:eastAsia="Calibri"/>
                <w:sz w:val="22"/>
                <w:szCs w:val="22"/>
                <w:lang w:val="sr-Latn-RS"/>
              </w:rPr>
              <w:t xml:space="preserve">U odsustvu progresivnih metastaza u jetri, </w:t>
            </w:r>
            <w:r w:rsidR="00A67E43" w:rsidRPr="006B0439">
              <w:rPr>
                <w:rFonts w:eastAsia="Calibri"/>
                <w:sz w:val="22"/>
                <w:szCs w:val="22"/>
                <w:lang w:val="sr-Latn-RS"/>
              </w:rPr>
              <w:t>primijećen</w:t>
            </w:r>
            <w:r w:rsidRPr="006B0439">
              <w:rPr>
                <w:rFonts w:eastAsia="Calibri"/>
                <w:sz w:val="22"/>
                <w:szCs w:val="22"/>
                <w:lang w:val="sr-Latn-RS"/>
              </w:rPr>
              <w:t xml:space="preserve"> je blag ili srednje težak, prolazni porast nivoa transaminaza (kod 9,2% pacijenata), alkalne fosfataze (8,1%) ili bilirubina (1,8%) u serumu.</w:t>
            </w:r>
            <w:r w:rsidRPr="006B0439" w:rsidDel="006B6B16">
              <w:rPr>
                <w:rFonts w:eastAsia="Calibri"/>
                <w:sz w:val="22"/>
                <w:szCs w:val="22"/>
                <w:lang w:val="sr-Latn-RS"/>
              </w:rPr>
              <w:t xml:space="preserve"> </w:t>
            </w:r>
            <w:r w:rsidRPr="006B0439">
              <w:rPr>
                <w:rFonts w:eastAsia="Calibri"/>
                <w:sz w:val="22"/>
                <w:szCs w:val="22"/>
                <w:lang w:val="sr-Latn-RS"/>
              </w:rPr>
              <w:t xml:space="preserve">Blag ili srednje težak, prolazni porast nivoa kreatinina u serumu, </w:t>
            </w:r>
            <w:r w:rsidR="00A67E43" w:rsidRPr="006B0439">
              <w:rPr>
                <w:rFonts w:eastAsia="Calibri"/>
                <w:sz w:val="22"/>
                <w:szCs w:val="22"/>
                <w:lang w:val="sr-Latn-RS"/>
              </w:rPr>
              <w:t>primijećen</w:t>
            </w:r>
            <w:r w:rsidRPr="006B0439">
              <w:rPr>
                <w:rFonts w:eastAsia="Calibri"/>
                <w:sz w:val="22"/>
                <w:szCs w:val="22"/>
                <w:lang w:val="sr-Latn-RS"/>
              </w:rPr>
              <w:t xml:space="preserve"> je kod 7,3% pacijenata.</w:t>
            </w:r>
          </w:p>
          <w:p w:rsidR="002F3E97" w:rsidRPr="006B0439" w:rsidRDefault="002F3E97" w:rsidP="00621F29">
            <w:pPr>
              <w:tabs>
                <w:tab w:val="left" w:pos="540"/>
                <w:tab w:val="left" w:pos="569"/>
              </w:tabs>
              <w:rPr>
                <w:rFonts w:eastAsia="Calibri"/>
                <w:sz w:val="22"/>
                <w:szCs w:val="22"/>
                <w:lang w:val="sr-Latn-RS"/>
              </w:rPr>
            </w:pPr>
          </w:p>
          <w:p w:rsidR="00621F29" w:rsidRPr="006B0439" w:rsidRDefault="00621F29" w:rsidP="00621F29">
            <w:pPr>
              <w:tabs>
                <w:tab w:val="left" w:pos="540"/>
                <w:tab w:val="left" w:pos="569"/>
              </w:tabs>
              <w:rPr>
                <w:rFonts w:eastAsia="Calibri"/>
                <w:sz w:val="22"/>
                <w:szCs w:val="22"/>
                <w:lang w:val="sr-Latn-RS"/>
              </w:rPr>
            </w:pPr>
            <w:r w:rsidRPr="006B0439">
              <w:rPr>
                <w:rFonts w:eastAsia="Calibri"/>
                <w:sz w:val="22"/>
                <w:szCs w:val="22"/>
                <w:lang w:val="sr-Latn-RS"/>
              </w:rPr>
              <w:t>KOMBINOVANA TERAPIJA</w:t>
            </w:r>
          </w:p>
          <w:p w:rsidR="00621F29" w:rsidRPr="006B0439" w:rsidRDefault="00621F29" w:rsidP="00621F29">
            <w:pPr>
              <w:tabs>
                <w:tab w:val="left" w:pos="540"/>
                <w:tab w:val="left" w:pos="569"/>
              </w:tabs>
              <w:rPr>
                <w:rFonts w:eastAsia="Calibri"/>
                <w:sz w:val="22"/>
                <w:szCs w:val="22"/>
                <w:lang w:val="sr-Latn-RS"/>
              </w:rPr>
            </w:pPr>
          </w:p>
          <w:p w:rsidR="00621F29" w:rsidRPr="006B0439" w:rsidRDefault="00621F29" w:rsidP="00F84D70">
            <w:pPr>
              <w:tabs>
                <w:tab w:val="left" w:pos="540"/>
                <w:tab w:val="left" w:pos="569"/>
              </w:tabs>
              <w:jc w:val="both"/>
              <w:rPr>
                <w:rFonts w:eastAsia="Calibri"/>
                <w:sz w:val="22"/>
                <w:szCs w:val="22"/>
                <w:lang w:val="sr-Latn-RS"/>
              </w:rPr>
            </w:pPr>
            <w:r w:rsidRPr="006B0439">
              <w:rPr>
                <w:rFonts w:eastAsia="Calibri"/>
                <w:sz w:val="22"/>
                <w:szCs w:val="22"/>
                <w:lang w:val="sr-Latn-RS"/>
              </w:rPr>
              <w:t xml:space="preserve">Neželjene reakcije opisane u ovom </w:t>
            </w:r>
            <w:r w:rsidR="00AB33AC" w:rsidRPr="006B0439">
              <w:rPr>
                <w:rFonts w:eastAsia="Calibri"/>
                <w:sz w:val="22"/>
                <w:szCs w:val="22"/>
                <w:lang w:val="sr-Latn-RS"/>
              </w:rPr>
              <w:t xml:space="preserve">dijelu </w:t>
            </w:r>
            <w:r w:rsidRPr="006B0439">
              <w:rPr>
                <w:rFonts w:eastAsia="Calibri"/>
                <w:sz w:val="22"/>
                <w:szCs w:val="22"/>
                <w:lang w:val="sr-Latn-RS"/>
              </w:rPr>
              <w:t>se odnose na irinotekan.</w:t>
            </w:r>
          </w:p>
          <w:p w:rsidR="00621F29" w:rsidRPr="006B0439" w:rsidRDefault="00621F29" w:rsidP="00F84D70">
            <w:pPr>
              <w:tabs>
                <w:tab w:val="left" w:pos="540"/>
                <w:tab w:val="left" w:pos="569"/>
              </w:tabs>
              <w:jc w:val="both"/>
              <w:rPr>
                <w:rFonts w:eastAsia="Calibri"/>
                <w:sz w:val="22"/>
                <w:szCs w:val="22"/>
                <w:lang w:val="sr-Latn-RS"/>
              </w:rPr>
            </w:pPr>
          </w:p>
          <w:p w:rsidR="00621F29" w:rsidRPr="006B0439" w:rsidRDefault="00621F29" w:rsidP="00F84D70">
            <w:pPr>
              <w:tabs>
                <w:tab w:val="left" w:pos="540"/>
                <w:tab w:val="left" w:pos="569"/>
              </w:tabs>
              <w:jc w:val="both"/>
              <w:rPr>
                <w:rFonts w:eastAsia="Calibri"/>
                <w:sz w:val="22"/>
                <w:szCs w:val="22"/>
                <w:lang w:val="sr-Latn-RS"/>
              </w:rPr>
            </w:pPr>
            <w:r w:rsidRPr="006B0439">
              <w:rPr>
                <w:rFonts w:eastAsia="Calibri"/>
                <w:sz w:val="22"/>
                <w:szCs w:val="22"/>
                <w:lang w:val="sr-Latn-RS"/>
              </w:rPr>
              <w:t>Nema dokaza da na bezbjednosni profil irinotekana utiče cetuksimab i obrnuto. U kombinaciji sa cetuksimabom, dodatni prijavljeni neželjeni efekti bili su oni očekivani za cetuksimab (npr. akneformna ospa - 88%). Za više podataka o neželjnim dejstvima irinotekana u kombinaciji sa cetuksimabom, treba konsultovati Sažetak karakteristika lijeka za cetuksimab.</w:t>
            </w:r>
          </w:p>
          <w:p w:rsidR="00621F29" w:rsidRPr="006B0439" w:rsidRDefault="00621F29" w:rsidP="00F84D70">
            <w:pPr>
              <w:tabs>
                <w:tab w:val="left" w:pos="540"/>
                <w:tab w:val="left" w:pos="569"/>
              </w:tabs>
              <w:jc w:val="both"/>
              <w:rPr>
                <w:rFonts w:eastAsia="Calibri"/>
                <w:sz w:val="22"/>
                <w:szCs w:val="22"/>
                <w:lang w:val="sr-Latn-RS"/>
              </w:rPr>
            </w:pPr>
          </w:p>
          <w:p w:rsidR="00621F29" w:rsidRPr="006B0439" w:rsidRDefault="00621F29" w:rsidP="00F84D70">
            <w:pPr>
              <w:tabs>
                <w:tab w:val="left" w:pos="540"/>
                <w:tab w:val="left" w:pos="569"/>
              </w:tabs>
              <w:jc w:val="both"/>
              <w:rPr>
                <w:rFonts w:eastAsia="Calibri"/>
                <w:sz w:val="22"/>
                <w:szCs w:val="22"/>
                <w:lang w:val="sr-Latn-RS"/>
              </w:rPr>
            </w:pPr>
            <w:r w:rsidRPr="006B0439">
              <w:rPr>
                <w:rFonts w:eastAsia="Calibri"/>
                <w:sz w:val="22"/>
                <w:szCs w:val="22"/>
                <w:lang w:val="sr-Latn-RS"/>
              </w:rPr>
              <w:t>Neželjena dejstva primjećena kod pacijenata liječenih kapecitabinom u kombinaciji sa irinotekanom su, pored onih koja se javljaju kada se primjenjuje kapecitabin kao monoterapija ili onih koji se javljaju kada se primjenjuje kapecitabin kao monoterapija ali s povećanom učestalošću, sl</w:t>
            </w:r>
            <w:r w:rsidR="00AB33AC" w:rsidRPr="006B0439">
              <w:rPr>
                <w:rFonts w:eastAsia="Calibri"/>
                <w:sz w:val="22"/>
                <w:szCs w:val="22"/>
                <w:lang w:val="sr-Latn-RS"/>
              </w:rPr>
              <w:t>j</w:t>
            </w:r>
            <w:r w:rsidRPr="006B0439">
              <w:rPr>
                <w:rFonts w:eastAsia="Calibri"/>
                <w:sz w:val="22"/>
                <w:szCs w:val="22"/>
                <w:lang w:val="sr-Latn-RS"/>
              </w:rPr>
              <w:t xml:space="preserve">edeća: </w:t>
            </w:r>
            <w:r w:rsidRPr="006B0439">
              <w:rPr>
                <w:rFonts w:eastAsia="Calibri"/>
                <w:i/>
                <w:sz w:val="22"/>
                <w:szCs w:val="22"/>
                <w:lang w:val="sr-Latn-RS"/>
              </w:rPr>
              <w:t>Veoma česta, svi stepeni neželjenog dejstva:</w:t>
            </w:r>
            <w:r w:rsidRPr="006B0439">
              <w:rPr>
                <w:rFonts w:eastAsia="Calibri"/>
                <w:sz w:val="22"/>
                <w:szCs w:val="22"/>
                <w:lang w:val="sr-Latn-RS"/>
              </w:rPr>
              <w:t xml:space="preserve"> tromboza/embolija; </w:t>
            </w:r>
            <w:r w:rsidRPr="006B0439">
              <w:rPr>
                <w:rFonts w:eastAsia="Calibri"/>
                <w:i/>
                <w:sz w:val="22"/>
                <w:szCs w:val="22"/>
                <w:lang w:val="sr-Latn-RS"/>
              </w:rPr>
              <w:t>Česta, svi stepeni neželjenog dejstva:</w:t>
            </w:r>
            <w:r w:rsidRPr="006B0439">
              <w:rPr>
                <w:rFonts w:eastAsia="Calibri"/>
                <w:sz w:val="22"/>
                <w:szCs w:val="22"/>
                <w:lang w:val="sr-Latn-RS"/>
              </w:rPr>
              <w:t xml:space="preserve"> reakcija preos</w:t>
            </w:r>
            <w:r w:rsidR="00AB33AC" w:rsidRPr="006B0439">
              <w:rPr>
                <w:rFonts w:eastAsia="Calibri"/>
                <w:sz w:val="22"/>
                <w:szCs w:val="22"/>
                <w:lang w:val="sr-Latn-RS"/>
              </w:rPr>
              <w:t>j</w:t>
            </w:r>
            <w:r w:rsidRPr="006B0439">
              <w:rPr>
                <w:rFonts w:eastAsia="Calibri"/>
                <w:sz w:val="22"/>
                <w:szCs w:val="22"/>
                <w:lang w:val="sr-Latn-RS"/>
              </w:rPr>
              <w:t xml:space="preserve">etljivosti na lijek, srčana ishemija/infarkt; </w:t>
            </w:r>
            <w:r w:rsidRPr="006B0439">
              <w:rPr>
                <w:rFonts w:eastAsia="Calibri"/>
                <w:i/>
                <w:sz w:val="22"/>
                <w:szCs w:val="22"/>
                <w:lang w:val="sr-Latn-RS"/>
              </w:rPr>
              <w:t>Česta, stepen 3 i stepen 4 neželjenog dejstva:</w:t>
            </w:r>
            <w:r w:rsidRPr="006B0439">
              <w:rPr>
                <w:rFonts w:eastAsia="Calibri"/>
                <w:sz w:val="22"/>
                <w:szCs w:val="22"/>
                <w:lang w:val="sr-Latn-RS"/>
              </w:rPr>
              <w:t xml:space="preserve"> febrilna neutropenija. Za potpune podatke o neželjenim dejstvima na kapecitabin, treba pogledati Sažetak karakteristika lijeka za kapecitabin.</w:t>
            </w:r>
          </w:p>
          <w:p w:rsidR="00621F29" w:rsidRPr="006B0439" w:rsidRDefault="00621F29" w:rsidP="00F84D70">
            <w:pPr>
              <w:tabs>
                <w:tab w:val="left" w:pos="540"/>
                <w:tab w:val="left" w:pos="569"/>
              </w:tabs>
              <w:jc w:val="both"/>
              <w:rPr>
                <w:rFonts w:eastAsia="Calibri"/>
                <w:sz w:val="22"/>
                <w:szCs w:val="22"/>
                <w:lang w:val="sr-Latn-RS"/>
              </w:rPr>
            </w:pPr>
          </w:p>
          <w:p w:rsidR="00621F29" w:rsidRPr="006B0439" w:rsidRDefault="00621F29" w:rsidP="00F84D70">
            <w:pPr>
              <w:tabs>
                <w:tab w:val="left" w:pos="540"/>
                <w:tab w:val="left" w:pos="569"/>
              </w:tabs>
              <w:jc w:val="both"/>
              <w:rPr>
                <w:rFonts w:eastAsia="Calibri"/>
                <w:sz w:val="22"/>
                <w:szCs w:val="22"/>
                <w:lang w:val="sr-Latn-RS"/>
              </w:rPr>
            </w:pPr>
            <w:r w:rsidRPr="006B0439">
              <w:rPr>
                <w:rFonts w:eastAsia="Calibri"/>
                <w:sz w:val="22"/>
                <w:szCs w:val="22"/>
                <w:lang w:val="sr-Latn-RS"/>
              </w:rPr>
              <w:t>Neželjena dejstva stepena 3 i stepena 4 koja su prijavljena kod pacijenta koji su liječeni sa kapecitabinom u kombinaciji sa irinotekanom i bevacizumabom, pored onih koja se javljaju kada se primjenjuje kapecitabin kao monoterapija ili onih koji se javljaju kada se primjenjuje kapecitabin kao monoterapija ali s povećanom učestalošću, su sl</w:t>
            </w:r>
            <w:r w:rsidR="00AB33AC" w:rsidRPr="006B0439">
              <w:rPr>
                <w:rFonts w:eastAsia="Calibri"/>
                <w:sz w:val="22"/>
                <w:szCs w:val="22"/>
                <w:lang w:val="sr-Latn-RS"/>
              </w:rPr>
              <w:t>j</w:t>
            </w:r>
            <w:r w:rsidRPr="006B0439">
              <w:rPr>
                <w:rFonts w:eastAsia="Calibri"/>
                <w:sz w:val="22"/>
                <w:szCs w:val="22"/>
                <w:lang w:val="sr-Latn-RS"/>
              </w:rPr>
              <w:t xml:space="preserve">edeća: </w:t>
            </w:r>
            <w:r w:rsidRPr="006B0439">
              <w:rPr>
                <w:rFonts w:eastAsia="Calibri"/>
                <w:i/>
                <w:sz w:val="22"/>
                <w:szCs w:val="22"/>
                <w:lang w:val="sr-Latn-RS"/>
              </w:rPr>
              <w:t>Česta, neželjena dejstva stepena 3 i stepena 4:</w:t>
            </w:r>
            <w:r w:rsidRPr="006B0439">
              <w:rPr>
                <w:rFonts w:eastAsia="Calibri"/>
                <w:sz w:val="22"/>
                <w:szCs w:val="22"/>
                <w:lang w:val="sr-Latn-RS"/>
              </w:rPr>
              <w:t xml:space="preserve"> neutropenija, tromboza/embolija, hipertenzija i srčana ishemija/infarkt. Za potpune podatke o neželjenim dejstvima kapecitabina i bevacizumaba, treba pogledati odgovarajuće Sažetke karakteristika lijeka za kapecitabin i bevacizumab.</w:t>
            </w:r>
          </w:p>
          <w:p w:rsidR="00621F29" w:rsidRPr="006B0439" w:rsidRDefault="00621F29" w:rsidP="00F84D70">
            <w:pPr>
              <w:tabs>
                <w:tab w:val="left" w:pos="540"/>
                <w:tab w:val="left" w:pos="569"/>
              </w:tabs>
              <w:jc w:val="both"/>
              <w:rPr>
                <w:rFonts w:eastAsia="Calibri"/>
                <w:sz w:val="22"/>
                <w:szCs w:val="22"/>
                <w:lang w:val="sr-Latn-RS"/>
              </w:rPr>
            </w:pPr>
          </w:p>
          <w:p w:rsidR="00621F29" w:rsidRPr="006B0439" w:rsidRDefault="00621F29" w:rsidP="00F84D70">
            <w:pPr>
              <w:tabs>
                <w:tab w:val="left" w:pos="540"/>
                <w:tab w:val="left" w:pos="569"/>
              </w:tabs>
              <w:jc w:val="both"/>
              <w:rPr>
                <w:rFonts w:eastAsia="Calibri"/>
                <w:sz w:val="22"/>
                <w:szCs w:val="22"/>
                <w:lang w:val="sr-Latn-RS"/>
              </w:rPr>
            </w:pPr>
            <w:r w:rsidRPr="006B0439">
              <w:rPr>
                <w:rFonts w:eastAsia="Calibri"/>
                <w:sz w:val="22"/>
                <w:szCs w:val="22"/>
                <w:lang w:val="sr-Latn-RS"/>
              </w:rPr>
              <w:t xml:space="preserve">Hipertenzija </w:t>
            </w:r>
            <w:r w:rsidR="00F84D70" w:rsidRPr="006B0439">
              <w:rPr>
                <w:rFonts w:eastAsia="Calibri"/>
                <w:sz w:val="22"/>
                <w:szCs w:val="22"/>
                <w:lang w:val="sr-Latn-RS"/>
              </w:rPr>
              <w:t>stepena 3</w:t>
            </w:r>
            <w:r w:rsidRPr="006B0439">
              <w:rPr>
                <w:rFonts w:eastAsia="Calibri"/>
                <w:sz w:val="22"/>
                <w:szCs w:val="22"/>
                <w:lang w:val="sr-Latn-RS"/>
              </w:rPr>
              <w:t xml:space="preserve"> je glavni značajan rizik koji se javlja sa dodatkom bevacizumaba na bolus CAMPTO/5-FU/FA. Pored toga, prim</w:t>
            </w:r>
            <w:r w:rsidR="00AB33AC" w:rsidRPr="006B0439">
              <w:rPr>
                <w:rFonts w:eastAsia="Calibri"/>
                <w:sz w:val="22"/>
                <w:szCs w:val="22"/>
                <w:lang w:val="sr-Latn-RS"/>
              </w:rPr>
              <w:t>ij</w:t>
            </w:r>
            <w:r w:rsidRPr="006B0439">
              <w:rPr>
                <w:rFonts w:eastAsia="Calibri"/>
                <w:sz w:val="22"/>
                <w:szCs w:val="22"/>
                <w:lang w:val="sr-Latn-RS"/>
              </w:rPr>
              <w:t>ećen je mali porast neželjenih reakcija</w:t>
            </w:r>
            <w:r w:rsidR="00F84D70" w:rsidRPr="006B0439">
              <w:rPr>
                <w:rFonts w:eastAsia="Calibri"/>
                <w:sz w:val="22"/>
                <w:szCs w:val="22"/>
                <w:lang w:val="sr-Latn-RS"/>
              </w:rPr>
              <w:t xml:space="preserve"> na hemoterapiju, </w:t>
            </w:r>
            <w:r w:rsidRPr="006B0439">
              <w:rPr>
                <w:rFonts w:eastAsia="Calibri"/>
                <w:sz w:val="22"/>
                <w:szCs w:val="22"/>
                <w:lang w:val="sr-Latn-RS"/>
              </w:rPr>
              <w:t>dijareje i leukopenije</w:t>
            </w:r>
            <w:r w:rsidR="00F84D70" w:rsidRPr="006B0439">
              <w:rPr>
                <w:rFonts w:eastAsia="Calibri"/>
                <w:sz w:val="22"/>
                <w:szCs w:val="22"/>
                <w:lang w:val="sr-Latn-RS"/>
              </w:rPr>
              <w:t xml:space="preserve"> stepen 3 i 4,</w:t>
            </w:r>
            <w:r w:rsidRPr="006B0439">
              <w:rPr>
                <w:rFonts w:eastAsia="Calibri"/>
                <w:sz w:val="22"/>
                <w:szCs w:val="22"/>
                <w:lang w:val="sr-Latn-RS"/>
              </w:rPr>
              <w:t xml:space="preserve"> sa ovim režimom</w:t>
            </w:r>
            <w:r w:rsidR="00F84D70" w:rsidRPr="006B0439">
              <w:rPr>
                <w:rFonts w:eastAsia="Calibri"/>
                <w:sz w:val="22"/>
                <w:szCs w:val="22"/>
                <w:lang w:val="sr-Latn-RS"/>
              </w:rPr>
              <w:t>,</w:t>
            </w:r>
            <w:r w:rsidRPr="006B0439">
              <w:rPr>
                <w:rFonts w:eastAsia="Calibri"/>
                <w:sz w:val="22"/>
                <w:szCs w:val="22"/>
                <w:lang w:val="sr-Latn-RS"/>
              </w:rPr>
              <w:t xml:space="preserve"> u poređenju sa pacijentima koji su primali samo bolus CAMPTO/5-FU/FA. Za dodatne podatke o neželjenim reakcijama u kombinaciji sa bevacizumabom treba konsultovati Sažetak karakteristika lijeka za bevacizumab.</w:t>
            </w:r>
          </w:p>
          <w:p w:rsidR="00621F29" w:rsidRPr="006B0439" w:rsidRDefault="00621F29" w:rsidP="00F84D70">
            <w:pPr>
              <w:tabs>
                <w:tab w:val="left" w:pos="540"/>
                <w:tab w:val="left" w:pos="569"/>
              </w:tabs>
              <w:jc w:val="both"/>
              <w:rPr>
                <w:rFonts w:eastAsia="Calibri"/>
                <w:sz w:val="22"/>
                <w:szCs w:val="22"/>
                <w:lang w:val="sr-Latn-RS"/>
              </w:rPr>
            </w:pPr>
          </w:p>
          <w:p w:rsidR="00621F29" w:rsidRPr="006B0439" w:rsidRDefault="00F84D70" w:rsidP="00F84D70">
            <w:pPr>
              <w:tabs>
                <w:tab w:val="left" w:pos="540"/>
                <w:tab w:val="left" w:pos="569"/>
              </w:tabs>
              <w:jc w:val="both"/>
              <w:rPr>
                <w:rFonts w:eastAsia="Calibri"/>
                <w:sz w:val="22"/>
                <w:szCs w:val="22"/>
                <w:lang w:val="sr-Latn-RS"/>
              </w:rPr>
            </w:pPr>
            <w:r w:rsidRPr="006B0439">
              <w:rPr>
                <w:rFonts w:eastAsia="Calibri"/>
                <w:sz w:val="22"/>
                <w:szCs w:val="22"/>
                <w:lang w:val="sr-Latn-RS"/>
              </w:rPr>
              <w:t>Irinotekan</w:t>
            </w:r>
            <w:r w:rsidR="00621F29" w:rsidRPr="006B0439">
              <w:rPr>
                <w:rFonts w:eastAsia="Calibri"/>
                <w:sz w:val="22"/>
                <w:szCs w:val="22"/>
                <w:lang w:val="sr-Latn-RS"/>
              </w:rPr>
              <w:t xml:space="preserve"> je proučavan u kombinovanoj terapiji sa 5 FU/FA kod metastatskog kolorektalnog kancera.</w:t>
            </w:r>
          </w:p>
          <w:p w:rsidR="00621F29" w:rsidRPr="006B0439" w:rsidRDefault="00621F29" w:rsidP="00F84D70">
            <w:pPr>
              <w:tabs>
                <w:tab w:val="left" w:pos="540"/>
                <w:tab w:val="left" w:pos="569"/>
              </w:tabs>
              <w:jc w:val="both"/>
              <w:rPr>
                <w:rFonts w:eastAsia="Calibri"/>
                <w:sz w:val="22"/>
                <w:szCs w:val="22"/>
                <w:lang w:val="sr-Latn-RS"/>
              </w:rPr>
            </w:pPr>
            <w:r w:rsidRPr="006B0439">
              <w:rPr>
                <w:rFonts w:eastAsia="Calibri"/>
                <w:sz w:val="22"/>
                <w:szCs w:val="22"/>
                <w:lang w:val="sr-Latn-RS"/>
              </w:rPr>
              <w:t xml:space="preserve"> </w:t>
            </w:r>
          </w:p>
          <w:p w:rsidR="00621F29" w:rsidRPr="006B0439" w:rsidRDefault="00621F29" w:rsidP="00F84D70">
            <w:pPr>
              <w:tabs>
                <w:tab w:val="left" w:pos="540"/>
                <w:tab w:val="left" w:pos="569"/>
              </w:tabs>
              <w:jc w:val="both"/>
              <w:rPr>
                <w:rFonts w:eastAsia="Calibri"/>
                <w:sz w:val="22"/>
                <w:szCs w:val="22"/>
                <w:lang w:val="sr-Latn-RS"/>
              </w:rPr>
            </w:pPr>
            <w:r w:rsidRPr="006B0439">
              <w:rPr>
                <w:rFonts w:eastAsia="Calibri"/>
                <w:sz w:val="22"/>
                <w:szCs w:val="22"/>
                <w:lang w:val="sr-Latn-RS"/>
              </w:rPr>
              <w:t>Bezb</w:t>
            </w:r>
            <w:r w:rsidR="00AB33AC" w:rsidRPr="006B0439">
              <w:rPr>
                <w:rFonts w:eastAsia="Calibri"/>
                <w:sz w:val="22"/>
                <w:szCs w:val="22"/>
                <w:lang w:val="sr-Latn-RS"/>
              </w:rPr>
              <w:t>j</w:t>
            </w:r>
            <w:r w:rsidRPr="006B0439">
              <w:rPr>
                <w:rFonts w:eastAsia="Calibri"/>
                <w:sz w:val="22"/>
                <w:szCs w:val="22"/>
                <w:lang w:val="sr-Latn-RS"/>
              </w:rPr>
              <w:t>ednosni podaci o neželjenim dejstvima iz kliničkih studija pokazuju da se veoma često javljaju NCI neutropenije stepena 3 i 4, moguće ili v</w:t>
            </w:r>
            <w:r w:rsidR="00AB33AC" w:rsidRPr="006B0439">
              <w:rPr>
                <w:rFonts w:eastAsia="Calibri"/>
                <w:sz w:val="22"/>
                <w:szCs w:val="22"/>
                <w:lang w:val="sr-Latn-RS"/>
              </w:rPr>
              <w:t>j</w:t>
            </w:r>
            <w:r w:rsidRPr="006B0439">
              <w:rPr>
                <w:rFonts w:eastAsia="Calibri"/>
                <w:sz w:val="22"/>
                <w:szCs w:val="22"/>
                <w:lang w:val="sr-Latn-RS"/>
              </w:rPr>
              <w:t>erovatno povezane sa prim</w:t>
            </w:r>
            <w:r w:rsidR="00AB33AC" w:rsidRPr="006B0439">
              <w:rPr>
                <w:rFonts w:eastAsia="Calibri"/>
                <w:sz w:val="22"/>
                <w:szCs w:val="22"/>
                <w:lang w:val="sr-Latn-RS"/>
              </w:rPr>
              <w:t>j</w:t>
            </w:r>
            <w:r w:rsidRPr="006B0439">
              <w:rPr>
                <w:rFonts w:eastAsia="Calibri"/>
                <w:sz w:val="22"/>
                <w:szCs w:val="22"/>
                <w:lang w:val="sr-Latn-RS"/>
              </w:rPr>
              <w:t>enom lijeka u kombinov</w:t>
            </w:r>
            <w:r w:rsidR="00F84D70" w:rsidRPr="006B0439">
              <w:rPr>
                <w:rFonts w:eastAsia="Calibri"/>
                <w:sz w:val="22"/>
                <w:szCs w:val="22"/>
                <w:lang w:val="sr-Latn-RS"/>
              </w:rPr>
              <w:t>anoj terapiji</w:t>
            </w:r>
            <w:r w:rsidRPr="006B0439">
              <w:rPr>
                <w:rFonts w:eastAsia="Calibri"/>
                <w:sz w:val="22"/>
                <w:szCs w:val="22"/>
                <w:lang w:val="sr-Latn-RS"/>
              </w:rPr>
              <w:t xml:space="preserve"> u vidu poremećaja na nivou krvi i limfnog sistema, gastrointestinalnih poremećaja i poremećaja na nivou kože i potkožnog tkiva, klasifikovane prema MedDRA sistemu klasifikacije organa.</w:t>
            </w:r>
          </w:p>
          <w:p w:rsidR="00621F29" w:rsidRPr="006B0439" w:rsidRDefault="00621F29" w:rsidP="00F84D70">
            <w:pPr>
              <w:tabs>
                <w:tab w:val="left" w:pos="540"/>
                <w:tab w:val="left" w:pos="569"/>
              </w:tabs>
              <w:jc w:val="both"/>
              <w:rPr>
                <w:rFonts w:eastAsia="Calibri"/>
                <w:sz w:val="22"/>
                <w:szCs w:val="22"/>
                <w:lang w:val="sr-Latn-RS"/>
              </w:rPr>
            </w:pPr>
            <w:r w:rsidRPr="006B0439">
              <w:rPr>
                <w:rFonts w:eastAsia="Calibri"/>
                <w:sz w:val="22"/>
                <w:szCs w:val="22"/>
                <w:lang w:val="sr-Latn-RS"/>
              </w:rPr>
              <w:t>Sl</w:t>
            </w:r>
            <w:r w:rsidR="00AB33AC" w:rsidRPr="006B0439">
              <w:rPr>
                <w:rFonts w:eastAsia="Calibri"/>
                <w:sz w:val="22"/>
                <w:szCs w:val="22"/>
                <w:lang w:val="sr-Latn-RS"/>
              </w:rPr>
              <w:t>j</w:t>
            </w:r>
            <w:r w:rsidRPr="006B0439">
              <w:rPr>
                <w:rFonts w:eastAsia="Calibri"/>
                <w:sz w:val="22"/>
                <w:szCs w:val="22"/>
                <w:lang w:val="sr-Latn-RS"/>
              </w:rPr>
              <w:t>edeće neželjene reakcije za koje se smatra da su moguće ili v</w:t>
            </w:r>
            <w:r w:rsidR="00AB33AC" w:rsidRPr="006B0439">
              <w:rPr>
                <w:rFonts w:eastAsia="Calibri"/>
                <w:sz w:val="22"/>
                <w:szCs w:val="22"/>
                <w:lang w:val="sr-Latn-RS"/>
              </w:rPr>
              <w:t>j</w:t>
            </w:r>
            <w:r w:rsidRPr="006B0439">
              <w:rPr>
                <w:rFonts w:eastAsia="Calibri"/>
                <w:sz w:val="22"/>
                <w:szCs w:val="22"/>
                <w:lang w:val="sr-Latn-RS"/>
              </w:rPr>
              <w:t xml:space="preserve">erovatno </w:t>
            </w:r>
            <w:r w:rsidR="00F84D70" w:rsidRPr="006B0439">
              <w:rPr>
                <w:rFonts w:eastAsia="Calibri"/>
                <w:sz w:val="22"/>
                <w:szCs w:val="22"/>
                <w:lang w:val="sr-Latn-RS"/>
              </w:rPr>
              <w:t>u vezi sa prim</w:t>
            </w:r>
            <w:r w:rsidR="00AB33AC" w:rsidRPr="006B0439">
              <w:rPr>
                <w:rFonts w:eastAsia="Calibri"/>
                <w:sz w:val="22"/>
                <w:szCs w:val="22"/>
                <w:lang w:val="sr-Latn-RS"/>
              </w:rPr>
              <w:t>j</w:t>
            </w:r>
            <w:r w:rsidR="00F84D70" w:rsidRPr="006B0439">
              <w:rPr>
                <w:rFonts w:eastAsia="Calibri"/>
                <w:sz w:val="22"/>
                <w:szCs w:val="22"/>
                <w:lang w:val="sr-Latn-RS"/>
              </w:rPr>
              <w:t>enom irinoteklana, prijavljene su kod</w:t>
            </w:r>
            <w:r w:rsidRPr="006B0439">
              <w:rPr>
                <w:rFonts w:eastAsia="Calibri"/>
                <w:sz w:val="22"/>
                <w:szCs w:val="22"/>
                <w:lang w:val="sr-Latn-RS"/>
              </w:rPr>
              <w:t xml:space="preserve"> 145 pa</w:t>
            </w:r>
            <w:r w:rsidR="00F84D70" w:rsidRPr="006B0439">
              <w:rPr>
                <w:rFonts w:eastAsia="Calibri"/>
                <w:sz w:val="22"/>
                <w:szCs w:val="22"/>
                <w:lang w:val="sr-Latn-RS"/>
              </w:rPr>
              <w:t>cijenata koji su dobijali irinotekan</w:t>
            </w:r>
            <w:r w:rsidRPr="006B0439">
              <w:rPr>
                <w:rFonts w:eastAsia="Calibri"/>
                <w:sz w:val="22"/>
                <w:szCs w:val="22"/>
                <w:lang w:val="sr-Latn-RS"/>
              </w:rPr>
              <w:t xml:space="preserve"> u kombinaciji sa 5FU/FA svake dvije ned</w:t>
            </w:r>
            <w:r w:rsidR="00AB33AC" w:rsidRPr="006B0439">
              <w:rPr>
                <w:rFonts w:eastAsia="Calibri"/>
                <w:sz w:val="22"/>
                <w:szCs w:val="22"/>
                <w:lang w:val="sr-Latn-RS"/>
              </w:rPr>
              <w:t>j</w:t>
            </w:r>
            <w:r w:rsidRPr="006B0439">
              <w:rPr>
                <w:rFonts w:eastAsia="Calibri"/>
                <w:sz w:val="22"/>
                <w:szCs w:val="22"/>
                <w:lang w:val="sr-Latn-RS"/>
              </w:rPr>
              <w:t>elje u preporučenoj dozi od 180 mg/m</w:t>
            </w:r>
            <w:r w:rsidRPr="006B0439">
              <w:rPr>
                <w:rFonts w:eastAsia="Calibri"/>
                <w:sz w:val="22"/>
                <w:szCs w:val="22"/>
                <w:vertAlign w:val="superscript"/>
                <w:lang w:val="sr-Latn-RS"/>
              </w:rPr>
              <w:t>2</w:t>
            </w:r>
            <w:r w:rsidRPr="006B0439">
              <w:rPr>
                <w:rFonts w:eastAsia="Calibri"/>
                <w:sz w:val="22"/>
                <w:szCs w:val="22"/>
                <w:lang w:val="sr-Latn-RS"/>
              </w:rPr>
              <w:t xml:space="preserve">. </w:t>
            </w:r>
          </w:p>
          <w:p w:rsidR="00621F29" w:rsidRPr="006B0439" w:rsidRDefault="00621F29" w:rsidP="00F84D70">
            <w:pPr>
              <w:tabs>
                <w:tab w:val="left" w:pos="540"/>
                <w:tab w:val="left" w:pos="569"/>
              </w:tabs>
              <w:jc w:val="both"/>
              <w:rPr>
                <w:rFonts w:eastAsia="Calibri"/>
                <w:sz w:val="22"/>
                <w:szCs w:val="22"/>
                <w:lang w:val="sr-Latn-RS"/>
              </w:rPr>
            </w:pPr>
          </w:p>
          <w:tbl>
            <w:tblPr>
              <w:tblW w:w="9098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5183"/>
              <w:gridCol w:w="1790"/>
              <w:gridCol w:w="2125"/>
            </w:tblGrid>
            <w:tr w:rsidR="00621F29" w:rsidRPr="006B0439" w:rsidTr="00841C6F">
              <w:trPr>
                <w:tblCellSpacing w:w="0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21F29" w:rsidRPr="006B0439" w:rsidRDefault="00621F29" w:rsidP="00621F29">
                  <w:pPr>
                    <w:tabs>
                      <w:tab w:val="left" w:pos="540"/>
                      <w:tab w:val="left" w:pos="569"/>
                    </w:tabs>
                    <w:rPr>
                      <w:rFonts w:eastAsia="Calibri"/>
                      <w:b/>
                      <w:sz w:val="22"/>
                      <w:szCs w:val="22"/>
                      <w:lang w:val="sr-Latn-RS"/>
                    </w:rPr>
                  </w:pPr>
                  <w:r w:rsidRPr="006B0439">
                    <w:rPr>
                      <w:rFonts w:eastAsia="Calibri"/>
                      <w:b/>
                      <w:sz w:val="22"/>
                      <w:szCs w:val="22"/>
                      <w:lang w:val="sr-Latn-RS"/>
                    </w:rPr>
                    <w:t>Neželjene reakcije prijavljene</w:t>
                  </w:r>
                  <w:r w:rsidR="009A0E30" w:rsidRPr="006B0439">
                    <w:rPr>
                      <w:rFonts w:eastAsia="Calibri"/>
                      <w:b/>
                      <w:sz w:val="22"/>
                      <w:szCs w:val="22"/>
                      <w:lang w:val="sr-Latn-RS"/>
                    </w:rPr>
                    <w:t xml:space="preserve"> prilikom primjene irinotekana</w:t>
                  </w:r>
                  <w:r w:rsidRPr="006B0439">
                    <w:rPr>
                      <w:rFonts w:eastAsia="Calibri"/>
                      <w:b/>
                      <w:sz w:val="22"/>
                      <w:szCs w:val="22"/>
                      <w:lang w:val="sr-Latn-RS"/>
                    </w:rPr>
                    <w:t xml:space="preserve"> u kombinovanoj terapiji </w:t>
                  </w:r>
                </w:p>
                <w:p w:rsidR="00621F29" w:rsidRPr="006B0439" w:rsidRDefault="00621F29" w:rsidP="00621F29">
                  <w:pPr>
                    <w:tabs>
                      <w:tab w:val="left" w:pos="540"/>
                      <w:tab w:val="left" w:pos="569"/>
                    </w:tabs>
                    <w:rPr>
                      <w:rFonts w:eastAsia="Calibri"/>
                      <w:sz w:val="22"/>
                      <w:szCs w:val="22"/>
                      <w:lang w:val="sr-Latn-RS"/>
                    </w:rPr>
                  </w:pPr>
                  <w:r w:rsidRPr="006B0439">
                    <w:rPr>
                      <w:rFonts w:eastAsia="Calibri"/>
                      <w:b/>
                      <w:sz w:val="22"/>
                      <w:szCs w:val="22"/>
                      <w:lang w:val="sr-Latn-RS"/>
                    </w:rPr>
                    <w:t>(180 mg/m</w:t>
                  </w:r>
                  <w:r w:rsidRPr="006B0439">
                    <w:rPr>
                      <w:rFonts w:eastAsia="Calibri"/>
                      <w:b/>
                      <w:sz w:val="22"/>
                      <w:szCs w:val="22"/>
                      <w:vertAlign w:val="superscript"/>
                      <w:lang w:val="sr-Latn-RS"/>
                    </w:rPr>
                    <w:t>2</w:t>
                  </w:r>
                  <w:r w:rsidRPr="006B0439">
                    <w:rPr>
                      <w:rFonts w:eastAsia="Calibri"/>
                      <w:b/>
                      <w:sz w:val="22"/>
                      <w:szCs w:val="22"/>
                      <w:lang w:val="sr-Latn-RS"/>
                    </w:rPr>
                    <w:t xml:space="preserve"> svake 2 ned</w:t>
                  </w:r>
                  <w:r w:rsidR="00AB33AC" w:rsidRPr="006B0439">
                    <w:rPr>
                      <w:rFonts w:eastAsia="Calibri"/>
                      <w:b/>
                      <w:sz w:val="22"/>
                      <w:szCs w:val="22"/>
                      <w:lang w:val="sr-Latn-RS"/>
                    </w:rPr>
                    <w:t>j</w:t>
                  </w:r>
                  <w:r w:rsidRPr="006B0439">
                    <w:rPr>
                      <w:rFonts w:eastAsia="Calibri"/>
                      <w:b/>
                      <w:sz w:val="22"/>
                      <w:szCs w:val="22"/>
                      <w:lang w:val="sr-Latn-RS"/>
                    </w:rPr>
                    <w:t>elje)</w:t>
                  </w:r>
                  <w:r w:rsidRPr="006B0439">
                    <w:rPr>
                      <w:rFonts w:eastAsia="Calibri"/>
                      <w:sz w:val="22"/>
                      <w:szCs w:val="22"/>
                      <w:lang w:val="sr-Latn-RS"/>
                    </w:rPr>
                    <w:t xml:space="preserve"> </w:t>
                  </w:r>
                </w:p>
              </w:tc>
            </w:tr>
            <w:tr w:rsidR="00621F29" w:rsidRPr="006B0439" w:rsidTr="009A0E30">
              <w:trPr>
                <w:tblCellSpacing w:w="0" w:type="dxa"/>
              </w:trPr>
              <w:tc>
                <w:tcPr>
                  <w:tcW w:w="28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21F29" w:rsidRPr="006B0439" w:rsidRDefault="00621F29" w:rsidP="00621F29">
                  <w:pPr>
                    <w:tabs>
                      <w:tab w:val="left" w:pos="540"/>
                      <w:tab w:val="left" w:pos="569"/>
                    </w:tabs>
                    <w:rPr>
                      <w:rFonts w:eastAsia="Calibri"/>
                      <w:b/>
                      <w:sz w:val="22"/>
                      <w:szCs w:val="22"/>
                      <w:lang w:val="sr-Latn-RS"/>
                    </w:rPr>
                  </w:pPr>
                  <w:r w:rsidRPr="006B0439">
                    <w:rPr>
                      <w:rFonts w:eastAsia="Calibri"/>
                      <w:b/>
                      <w:sz w:val="22"/>
                      <w:szCs w:val="22"/>
                      <w:lang w:val="sr-Latn-RS"/>
                    </w:rPr>
                    <w:t xml:space="preserve">MedDRA Sistem Klasifikacije Organa </w:t>
                  </w:r>
                </w:p>
              </w:tc>
              <w:tc>
                <w:tcPr>
                  <w:tcW w:w="9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21F29" w:rsidRPr="006B0439" w:rsidRDefault="00621F29" w:rsidP="00621F29">
                  <w:pPr>
                    <w:tabs>
                      <w:tab w:val="left" w:pos="540"/>
                      <w:tab w:val="left" w:pos="569"/>
                    </w:tabs>
                    <w:rPr>
                      <w:rFonts w:eastAsia="Calibri"/>
                      <w:b/>
                      <w:sz w:val="22"/>
                      <w:szCs w:val="22"/>
                      <w:lang w:val="sr-Latn-RS"/>
                    </w:rPr>
                  </w:pPr>
                  <w:r w:rsidRPr="006B0439">
                    <w:rPr>
                      <w:rFonts w:eastAsia="Calibri"/>
                      <w:b/>
                      <w:sz w:val="22"/>
                      <w:szCs w:val="22"/>
                      <w:lang w:val="sr-Latn-RS"/>
                    </w:rPr>
                    <w:t xml:space="preserve">Učestalost </w:t>
                  </w:r>
                </w:p>
              </w:tc>
              <w:tc>
                <w:tcPr>
                  <w:tcW w:w="11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21F29" w:rsidRPr="006B0439" w:rsidRDefault="00621F29" w:rsidP="00621F29">
                  <w:pPr>
                    <w:tabs>
                      <w:tab w:val="left" w:pos="540"/>
                      <w:tab w:val="left" w:pos="569"/>
                    </w:tabs>
                    <w:rPr>
                      <w:rFonts w:eastAsia="Calibri"/>
                      <w:b/>
                      <w:sz w:val="22"/>
                      <w:szCs w:val="22"/>
                      <w:lang w:val="sr-Latn-RS"/>
                    </w:rPr>
                  </w:pPr>
                  <w:r w:rsidRPr="006B0439">
                    <w:rPr>
                      <w:rFonts w:eastAsia="Calibri"/>
                      <w:b/>
                      <w:sz w:val="22"/>
                      <w:szCs w:val="22"/>
                      <w:lang w:val="sr-Latn-RS"/>
                    </w:rPr>
                    <w:t xml:space="preserve">Neželjena reakcija </w:t>
                  </w:r>
                </w:p>
              </w:tc>
            </w:tr>
            <w:tr w:rsidR="00621F29" w:rsidRPr="006B0439" w:rsidTr="009A0E30">
              <w:trPr>
                <w:tblCellSpacing w:w="0" w:type="dxa"/>
              </w:trPr>
              <w:tc>
                <w:tcPr>
                  <w:tcW w:w="28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21F29" w:rsidRPr="006B0439" w:rsidRDefault="00621F29" w:rsidP="00621F29">
                  <w:pPr>
                    <w:tabs>
                      <w:tab w:val="left" w:pos="540"/>
                      <w:tab w:val="left" w:pos="569"/>
                    </w:tabs>
                    <w:rPr>
                      <w:rFonts w:eastAsia="Calibri"/>
                      <w:sz w:val="22"/>
                      <w:szCs w:val="22"/>
                      <w:lang w:val="sr-Latn-RS"/>
                    </w:rPr>
                  </w:pPr>
                  <w:r w:rsidRPr="006B0439">
                    <w:rPr>
                      <w:rFonts w:eastAsia="Calibri"/>
                      <w:sz w:val="22"/>
                      <w:szCs w:val="22"/>
                      <w:lang w:val="sr-Latn-RS"/>
                    </w:rPr>
                    <w:t>Infekcije i infestacije</w:t>
                  </w:r>
                </w:p>
              </w:tc>
              <w:tc>
                <w:tcPr>
                  <w:tcW w:w="9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21F29" w:rsidRPr="006B0439" w:rsidRDefault="00621F29" w:rsidP="00621F29">
                  <w:pPr>
                    <w:tabs>
                      <w:tab w:val="left" w:pos="540"/>
                      <w:tab w:val="left" w:pos="569"/>
                    </w:tabs>
                    <w:rPr>
                      <w:rFonts w:eastAsia="Calibri"/>
                      <w:sz w:val="22"/>
                      <w:szCs w:val="22"/>
                      <w:lang w:val="sr-Latn-RS"/>
                    </w:rPr>
                  </w:pPr>
                  <w:r w:rsidRPr="006B0439">
                    <w:rPr>
                      <w:rFonts w:eastAsia="Calibri"/>
                      <w:sz w:val="22"/>
                      <w:szCs w:val="22"/>
                      <w:lang w:val="sr-Latn-RS"/>
                    </w:rPr>
                    <w:t>Često</w:t>
                  </w:r>
                </w:p>
              </w:tc>
              <w:tc>
                <w:tcPr>
                  <w:tcW w:w="11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21F29" w:rsidRPr="006B0439" w:rsidRDefault="00621F29" w:rsidP="00621F29">
                  <w:pPr>
                    <w:tabs>
                      <w:tab w:val="left" w:pos="540"/>
                      <w:tab w:val="left" w:pos="569"/>
                    </w:tabs>
                    <w:rPr>
                      <w:rFonts w:eastAsia="Calibri"/>
                      <w:sz w:val="22"/>
                      <w:szCs w:val="22"/>
                      <w:lang w:val="sr-Latn-RS"/>
                    </w:rPr>
                  </w:pPr>
                  <w:r w:rsidRPr="006B0439">
                    <w:rPr>
                      <w:rFonts w:eastAsia="Calibri"/>
                      <w:sz w:val="22"/>
                      <w:szCs w:val="22"/>
                      <w:lang w:val="sr-Latn-RS"/>
                    </w:rPr>
                    <w:t>Infekcije</w:t>
                  </w:r>
                </w:p>
              </w:tc>
            </w:tr>
            <w:tr w:rsidR="00621F29" w:rsidRPr="006B0439" w:rsidTr="009A0E30">
              <w:trPr>
                <w:tblCellSpacing w:w="0" w:type="dxa"/>
              </w:trPr>
              <w:tc>
                <w:tcPr>
                  <w:tcW w:w="2848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21F29" w:rsidRPr="006B0439" w:rsidRDefault="00621F29" w:rsidP="00621F29">
                  <w:pPr>
                    <w:tabs>
                      <w:tab w:val="left" w:pos="540"/>
                      <w:tab w:val="left" w:pos="569"/>
                    </w:tabs>
                    <w:rPr>
                      <w:rFonts w:eastAsia="Calibri"/>
                      <w:sz w:val="22"/>
                      <w:szCs w:val="22"/>
                      <w:lang w:val="sr-Latn-RS"/>
                    </w:rPr>
                  </w:pPr>
                  <w:r w:rsidRPr="006B0439">
                    <w:rPr>
                      <w:rFonts w:eastAsia="Calibri"/>
                      <w:sz w:val="22"/>
                      <w:szCs w:val="22"/>
                      <w:lang w:val="sr-Latn-RS"/>
                    </w:rPr>
                    <w:t>Poremećaji na nivou  krvi i limfnog sistema</w:t>
                  </w:r>
                </w:p>
              </w:tc>
              <w:tc>
                <w:tcPr>
                  <w:tcW w:w="9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21F29" w:rsidRPr="006B0439" w:rsidRDefault="00621F29" w:rsidP="00621F29">
                  <w:pPr>
                    <w:tabs>
                      <w:tab w:val="left" w:pos="540"/>
                      <w:tab w:val="left" w:pos="569"/>
                    </w:tabs>
                    <w:rPr>
                      <w:rFonts w:eastAsia="Calibri"/>
                      <w:sz w:val="22"/>
                      <w:szCs w:val="22"/>
                      <w:lang w:val="sr-Latn-RS"/>
                    </w:rPr>
                  </w:pPr>
                  <w:r w:rsidRPr="006B0439">
                    <w:rPr>
                      <w:rFonts w:eastAsia="Calibri"/>
                      <w:sz w:val="22"/>
                      <w:szCs w:val="22"/>
                      <w:lang w:val="sr-Latn-RS"/>
                    </w:rPr>
                    <w:t xml:space="preserve">Veoma često </w:t>
                  </w:r>
                </w:p>
              </w:tc>
              <w:tc>
                <w:tcPr>
                  <w:tcW w:w="11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21F29" w:rsidRPr="006B0439" w:rsidRDefault="00621F29" w:rsidP="00621F29">
                  <w:pPr>
                    <w:tabs>
                      <w:tab w:val="left" w:pos="540"/>
                      <w:tab w:val="left" w:pos="569"/>
                    </w:tabs>
                    <w:rPr>
                      <w:rFonts w:eastAsia="Calibri"/>
                      <w:sz w:val="22"/>
                      <w:szCs w:val="22"/>
                      <w:lang w:val="sr-Latn-RS"/>
                    </w:rPr>
                  </w:pPr>
                  <w:r w:rsidRPr="006B0439">
                    <w:rPr>
                      <w:rFonts w:eastAsia="Calibri"/>
                      <w:sz w:val="22"/>
                      <w:szCs w:val="22"/>
                      <w:lang w:val="sr-Latn-RS"/>
                    </w:rPr>
                    <w:t xml:space="preserve">Trombocitopenija </w:t>
                  </w:r>
                </w:p>
              </w:tc>
            </w:tr>
            <w:tr w:rsidR="00621F29" w:rsidRPr="006B0439" w:rsidTr="009A0E30">
              <w:trPr>
                <w:tblCellSpacing w:w="0" w:type="dxa"/>
              </w:trPr>
              <w:tc>
                <w:tcPr>
                  <w:tcW w:w="2848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21F29" w:rsidRPr="006B0439" w:rsidRDefault="00621F29" w:rsidP="00621F29">
                  <w:pPr>
                    <w:tabs>
                      <w:tab w:val="left" w:pos="540"/>
                      <w:tab w:val="left" w:pos="569"/>
                    </w:tabs>
                    <w:rPr>
                      <w:rFonts w:eastAsia="Calibri"/>
                      <w:sz w:val="22"/>
                      <w:szCs w:val="22"/>
                      <w:lang w:val="sr-Latn-RS"/>
                    </w:rPr>
                  </w:pPr>
                </w:p>
              </w:tc>
              <w:tc>
                <w:tcPr>
                  <w:tcW w:w="9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21F29" w:rsidRPr="006B0439" w:rsidRDefault="00621F29" w:rsidP="00621F29">
                  <w:pPr>
                    <w:tabs>
                      <w:tab w:val="left" w:pos="540"/>
                      <w:tab w:val="left" w:pos="569"/>
                    </w:tabs>
                    <w:rPr>
                      <w:rFonts w:eastAsia="Calibri"/>
                      <w:sz w:val="22"/>
                      <w:szCs w:val="22"/>
                      <w:lang w:val="sr-Latn-RS"/>
                    </w:rPr>
                  </w:pPr>
                  <w:r w:rsidRPr="006B0439">
                    <w:rPr>
                      <w:rFonts w:eastAsia="Calibri"/>
                      <w:sz w:val="22"/>
                      <w:szCs w:val="22"/>
                      <w:lang w:val="sr-Latn-RS"/>
                    </w:rPr>
                    <w:t>Veoma često</w:t>
                  </w:r>
                </w:p>
              </w:tc>
              <w:tc>
                <w:tcPr>
                  <w:tcW w:w="11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21F29" w:rsidRPr="006B0439" w:rsidRDefault="00621F29" w:rsidP="00621F29">
                  <w:pPr>
                    <w:tabs>
                      <w:tab w:val="left" w:pos="540"/>
                      <w:tab w:val="left" w:pos="569"/>
                    </w:tabs>
                    <w:rPr>
                      <w:rFonts w:eastAsia="Calibri"/>
                      <w:sz w:val="22"/>
                      <w:szCs w:val="22"/>
                      <w:lang w:val="sr-Latn-RS"/>
                    </w:rPr>
                  </w:pPr>
                  <w:r w:rsidRPr="006B0439">
                    <w:rPr>
                      <w:rFonts w:eastAsia="Calibri"/>
                      <w:sz w:val="22"/>
                      <w:szCs w:val="22"/>
                      <w:lang w:val="sr-Latn-RS"/>
                    </w:rPr>
                    <w:t>Neutropenija</w:t>
                  </w:r>
                </w:p>
              </w:tc>
            </w:tr>
            <w:tr w:rsidR="00621F29" w:rsidRPr="006B0439" w:rsidTr="009A0E30">
              <w:trPr>
                <w:tblCellSpacing w:w="0" w:type="dxa"/>
              </w:trPr>
              <w:tc>
                <w:tcPr>
                  <w:tcW w:w="2848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21F29" w:rsidRPr="006B0439" w:rsidRDefault="00621F29" w:rsidP="00621F29">
                  <w:pPr>
                    <w:tabs>
                      <w:tab w:val="left" w:pos="540"/>
                      <w:tab w:val="left" w:pos="569"/>
                    </w:tabs>
                    <w:rPr>
                      <w:rFonts w:eastAsia="Calibri"/>
                      <w:sz w:val="22"/>
                      <w:szCs w:val="22"/>
                      <w:lang w:val="sr-Latn-RS"/>
                    </w:rPr>
                  </w:pPr>
                </w:p>
              </w:tc>
              <w:tc>
                <w:tcPr>
                  <w:tcW w:w="9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21F29" w:rsidRPr="006B0439" w:rsidRDefault="00621F29" w:rsidP="00621F29">
                  <w:pPr>
                    <w:tabs>
                      <w:tab w:val="left" w:pos="540"/>
                      <w:tab w:val="left" w:pos="569"/>
                    </w:tabs>
                    <w:rPr>
                      <w:rFonts w:eastAsia="Calibri"/>
                      <w:sz w:val="22"/>
                      <w:szCs w:val="22"/>
                      <w:lang w:val="sr-Latn-RS"/>
                    </w:rPr>
                  </w:pPr>
                  <w:r w:rsidRPr="006B0439">
                    <w:rPr>
                      <w:rFonts w:eastAsia="Calibri"/>
                      <w:sz w:val="22"/>
                      <w:szCs w:val="22"/>
                      <w:lang w:val="sr-Latn-RS"/>
                    </w:rPr>
                    <w:t>Veoma često</w:t>
                  </w:r>
                </w:p>
              </w:tc>
              <w:tc>
                <w:tcPr>
                  <w:tcW w:w="11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21F29" w:rsidRPr="006B0439" w:rsidRDefault="00621F29" w:rsidP="00621F29">
                  <w:pPr>
                    <w:tabs>
                      <w:tab w:val="left" w:pos="540"/>
                      <w:tab w:val="left" w:pos="569"/>
                    </w:tabs>
                    <w:rPr>
                      <w:rFonts w:eastAsia="Calibri"/>
                      <w:sz w:val="22"/>
                      <w:szCs w:val="22"/>
                      <w:lang w:val="sr-Latn-RS"/>
                    </w:rPr>
                  </w:pPr>
                  <w:r w:rsidRPr="006B0439">
                    <w:rPr>
                      <w:rFonts w:eastAsia="Calibri"/>
                      <w:sz w:val="22"/>
                      <w:szCs w:val="22"/>
                      <w:lang w:val="sr-Latn-RS"/>
                    </w:rPr>
                    <w:t>Anemija</w:t>
                  </w:r>
                </w:p>
              </w:tc>
            </w:tr>
            <w:tr w:rsidR="00621F29" w:rsidRPr="006B0439" w:rsidTr="009A0E30">
              <w:trPr>
                <w:tblCellSpacing w:w="0" w:type="dxa"/>
              </w:trPr>
              <w:tc>
                <w:tcPr>
                  <w:tcW w:w="2848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21F29" w:rsidRPr="006B0439" w:rsidRDefault="00621F29" w:rsidP="00621F29">
                  <w:pPr>
                    <w:tabs>
                      <w:tab w:val="left" w:pos="540"/>
                      <w:tab w:val="left" w:pos="569"/>
                    </w:tabs>
                    <w:rPr>
                      <w:rFonts w:eastAsia="Calibri"/>
                      <w:sz w:val="22"/>
                      <w:szCs w:val="22"/>
                      <w:lang w:val="sr-Latn-RS"/>
                    </w:rPr>
                  </w:pPr>
                </w:p>
              </w:tc>
              <w:tc>
                <w:tcPr>
                  <w:tcW w:w="9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21F29" w:rsidRPr="006B0439" w:rsidRDefault="00621F29" w:rsidP="00621F29">
                  <w:pPr>
                    <w:tabs>
                      <w:tab w:val="left" w:pos="540"/>
                      <w:tab w:val="left" w:pos="569"/>
                    </w:tabs>
                    <w:rPr>
                      <w:rFonts w:eastAsia="Calibri"/>
                      <w:sz w:val="22"/>
                      <w:szCs w:val="22"/>
                      <w:lang w:val="sr-Latn-RS"/>
                    </w:rPr>
                  </w:pPr>
                  <w:r w:rsidRPr="006B0439">
                    <w:rPr>
                      <w:rFonts w:eastAsia="Calibri"/>
                      <w:sz w:val="22"/>
                      <w:szCs w:val="22"/>
                      <w:lang w:val="sr-Latn-RS"/>
                    </w:rPr>
                    <w:t xml:space="preserve">Često </w:t>
                  </w:r>
                </w:p>
              </w:tc>
              <w:tc>
                <w:tcPr>
                  <w:tcW w:w="11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21F29" w:rsidRPr="006B0439" w:rsidRDefault="00621F29" w:rsidP="00621F29">
                  <w:pPr>
                    <w:tabs>
                      <w:tab w:val="left" w:pos="540"/>
                      <w:tab w:val="left" w:pos="569"/>
                    </w:tabs>
                    <w:rPr>
                      <w:rFonts w:eastAsia="Calibri"/>
                      <w:sz w:val="22"/>
                      <w:szCs w:val="22"/>
                      <w:lang w:val="sr-Latn-RS"/>
                    </w:rPr>
                  </w:pPr>
                  <w:r w:rsidRPr="006B0439">
                    <w:rPr>
                      <w:rFonts w:eastAsia="Calibri"/>
                      <w:sz w:val="22"/>
                      <w:szCs w:val="22"/>
                      <w:lang w:val="sr-Latn-RS"/>
                    </w:rPr>
                    <w:t xml:space="preserve">Febrilna neutropenija </w:t>
                  </w:r>
                </w:p>
              </w:tc>
            </w:tr>
            <w:tr w:rsidR="00621F29" w:rsidRPr="006B0439" w:rsidTr="009A0E30">
              <w:trPr>
                <w:tblCellSpacing w:w="0" w:type="dxa"/>
              </w:trPr>
              <w:tc>
                <w:tcPr>
                  <w:tcW w:w="28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21F29" w:rsidRPr="006B0439" w:rsidRDefault="00621F29" w:rsidP="00621F29">
                  <w:pPr>
                    <w:tabs>
                      <w:tab w:val="left" w:pos="540"/>
                      <w:tab w:val="left" w:pos="569"/>
                    </w:tabs>
                    <w:rPr>
                      <w:rFonts w:eastAsia="Calibri"/>
                      <w:sz w:val="22"/>
                      <w:szCs w:val="22"/>
                      <w:lang w:val="sr-Latn-RS"/>
                    </w:rPr>
                  </w:pPr>
                  <w:r w:rsidRPr="006B0439">
                    <w:rPr>
                      <w:rFonts w:eastAsia="Calibri"/>
                      <w:sz w:val="22"/>
                      <w:szCs w:val="22"/>
                      <w:lang w:val="sr-Latn-RS"/>
                    </w:rPr>
                    <w:t>Poremećaji metabolizma i ishrane</w:t>
                  </w:r>
                </w:p>
              </w:tc>
              <w:tc>
                <w:tcPr>
                  <w:tcW w:w="9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21F29" w:rsidRPr="006B0439" w:rsidRDefault="00621F29" w:rsidP="00621F29">
                  <w:pPr>
                    <w:tabs>
                      <w:tab w:val="left" w:pos="540"/>
                      <w:tab w:val="left" w:pos="569"/>
                    </w:tabs>
                    <w:rPr>
                      <w:rFonts w:eastAsia="Calibri"/>
                      <w:sz w:val="22"/>
                      <w:szCs w:val="22"/>
                      <w:lang w:val="sr-Latn-RS"/>
                    </w:rPr>
                  </w:pPr>
                  <w:r w:rsidRPr="006B0439">
                    <w:rPr>
                      <w:rFonts w:eastAsia="Calibri"/>
                      <w:sz w:val="22"/>
                      <w:szCs w:val="22"/>
                      <w:lang w:val="sr-Latn-RS"/>
                    </w:rPr>
                    <w:t>Veoma često</w:t>
                  </w:r>
                </w:p>
              </w:tc>
              <w:tc>
                <w:tcPr>
                  <w:tcW w:w="11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21F29" w:rsidRPr="006B0439" w:rsidRDefault="00621F29" w:rsidP="00621F29">
                  <w:pPr>
                    <w:tabs>
                      <w:tab w:val="left" w:pos="540"/>
                      <w:tab w:val="left" w:pos="569"/>
                    </w:tabs>
                    <w:rPr>
                      <w:rFonts w:eastAsia="Calibri"/>
                      <w:sz w:val="22"/>
                      <w:szCs w:val="22"/>
                      <w:lang w:val="sr-Latn-RS"/>
                    </w:rPr>
                  </w:pPr>
                  <w:r w:rsidRPr="006B0439">
                    <w:rPr>
                      <w:rFonts w:eastAsia="Calibri"/>
                      <w:sz w:val="22"/>
                      <w:szCs w:val="22"/>
                      <w:lang w:val="sr-Latn-RS"/>
                    </w:rPr>
                    <w:t xml:space="preserve">Smanjen apetit </w:t>
                  </w:r>
                </w:p>
              </w:tc>
            </w:tr>
            <w:tr w:rsidR="00621F29" w:rsidRPr="006B0439" w:rsidTr="009A0E30">
              <w:trPr>
                <w:tblCellSpacing w:w="0" w:type="dxa"/>
              </w:trPr>
              <w:tc>
                <w:tcPr>
                  <w:tcW w:w="28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21F29" w:rsidRPr="006B0439" w:rsidRDefault="00621F29" w:rsidP="00621F29">
                  <w:pPr>
                    <w:tabs>
                      <w:tab w:val="left" w:pos="540"/>
                      <w:tab w:val="left" w:pos="569"/>
                    </w:tabs>
                    <w:rPr>
                      <w:rFonts w:eastAsia="Calibri"/>
                      <w:sz w:val="22"/>
                      <w:szCs w:val="22"/>
                      <w:lang w:val="sr-Latn-RS"/>
                    </w:rPr>
                  </w:pPr>
                  <w:r w:rsidRPr="006B0439">
                    <w:rPr>
                      <w:rFonts w:eastAsia="Calibri"/>
                      <w:sz w:val="22"/>
                      <w:szCs w:val="22"/>
                      <w:lang w:val="sr-Latn-RS"/>
                    </w:rPr>
                    <w:t>Poremećaji nervnog sistema</w:t>
                  </w:r>
                </w:p>
              </w:tc>
              <w:tc>
                <w:tcPr>
                  <w:tcW w:w="9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21F29" w:rsidRPr="006B0439" w:rsidRDefault="00621F29" w:rsidP="00621F29">
                  <w:pPr>
                    <w:tabs>
                      <w:tab w:val="left" w:pos="540"/>
                      <w:tab w:val="left" w:pos="569"/>
                    </w:tabs>
                    <w:rPr>
                      <w:rFonts w:eastAsia="Calibri"/>
                      <w:sz w:val="22"/>
                      <w:szCs w:val="22"/>
                      <w:lang w:val="sr-Latn-RS"/>
                    </w:rPr>
                  </w:pPr>
                  <w:r w:rsidRPr="006B0439">
                    <w:rPr>
                      <w:rFonts w:eastAsia="Calibri"/>
                      <w:sz w:val="22"/>
                      <w:szCs w:val="22"/>
                      <w:lang w:val="sr-Latn-RS"/>
                    </w:rPr>
                    <w:t>Veoma često</w:t>
                  </w:r>
                </w:p>
              </w:tc>
              <w:tc>
                <w:tcPr>
                  <w:tcW w:w="11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21F29" w:rsidRPr="006B0439" w:rsidRDefault="00621F29" w:rsidP="00621F29">
                  <w:pPr>
                    <w:tabs>
                      <w:tab w:val="left" w:pos="540"/>
                      <w:tab w:val="left" w:pos="569"/>
                    </w:tabs>
                    <w:rPr>
                      <w:rFonts w:eastAsia="Calibri"/>
                      <w:sz w:val="22"/>
                      <w:szCs w:val="22"/>
                      <w:lang w:val="sr-Latn-RS"/>
                    </w:rPr>
                  </w:pPr>
                  <w:r w:rsidRPr="006B0439">
                    <w:rPr>
                      <w:rFonts w:eastAsia="Calibri"/>
                      <w:sz w:val="22"/>
                      <w:szCs w:val="22"/>
                      <w:lang w:val="sr-Latn-RS"/>
                    </w:rPr>
                    <w:t xml:space="preserve">Holinergički sindrom </w:t>
                  </w:r>
                </w:p>
              </w:tc>
            </w:tr>
            <w:tr w:rsidR="00621F29" w:rsidRPr="006B0439" w:rsidTr="009A0E30">
              <w:trPr>
                <w:tblCellSpacing w:w="0" w:type="dxa"/>
              </w:trPr>
              <w:tc>
                <w:tcPr>
                  <w:tcW w:w="2848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21F29" w:rsidRPr="006B0439" w:rsidRDefault="00621F29" w:rsidP="00621F29">
                  <w:pPr>
                    <w:tabs>
                      <w:tab w:val="left" w:pos="540"/>
                      <w:tab w:val="left" w:pos="569"/>
                    </w:tabs>
                    <w:rPr>
                      <w:rFonts w:eastAsia="Calibri"/>
                      <w:sz w:val="22"/>
                      <w:szCs w:val="22"/>
                      <w:lang w:val="sr-Latn-RS"/>
                    </w:rPr>
                  </w:pPr>
                  <w:r w:rsidRPr="006B0439">
                    <w:rPr>
                      <w:rFonts w:eastAsia="Calibri"/>
                      <w:sz w:val="22"/>
                      <w:szCs w:val="22"/>
                      <w:lang w:val="sr-Latn-RS"/>
                    </w:rPr>
                    <w:t>Gastrointestinalni poremećaji</w:t>
                  </w:r>
                </w:p>
              </w:tc>
              <w:tc>
                <w:tcPr>
                  <w:tcW w:w="9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21F29" w:rsidRPr="006B0439" w:rsidRDefault="00621F29" w:rsidP="00621F29">
                  <w:pPr>
                    <w:tabs>
                      <w:tab w:val="left" w:pos="540"/>
                      <w:tab w:val="left" w:pos="569"/>
                    </w:tabs>
                    <w:rPr>
                      <w:rFonts w:eastAsia="Calibri"/>
                      <w:sz w:val="22"/>
                      <w:szCs w:val="22"/>
                      <w:lang w:val="sr-Latn-RS"/>
                    </w:rPr>
                  </w:pPr>
                  <w:r w:rsidRPr="006B0439">
                    <w:rPr>
                      <w:rFonts w:eastAsia="Calibri"/>
                      <w:sz w:val="22"/>
                      <w:szCs w:val="22"/>
                      <w:lang w:val="sr-Latn-RS"/>
                    </w:rPr>
                    <w:t>Veoma često</w:t>
                  </w:r>
                </w:p>
              </w:tc>
              <w:tc>
                <w:tcPr>
                  <w:tcW w:w="11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21F29" w:rsidRPr="006B0439" w:rsidRDefault="00621F29" w:rsidP="00621F29">
                  <w:pPr>
                    <w:tabs>
                      <w:tab w:val="left" w:pos="540"/>
                      <w:tab w:val="left" w:pos="569"/>
                    </w:tabs>
                    <w:rPr>
                      <w:rFonts w:eastAsia="Calibri"/>
                      <w:sz w:val="22"/>
                      <w:szCs w:val="22"/>
                      <w:lang w:val="sr-Latn-RS"/>
                    </w:rPr>
                  </w:pPr>
                  <w:r w:rsidRPr="006B0439">
                    <w:rPr>
                      <w:rFonts w:eastAsia="Calibri"/>
                      <w:sz w:val="22"/>
                      <w:szCs w:val="22"/>
                      <w:lang w:val="sr-Latn-RS"/>
                    </w:rPr>
                    <w:t xml:space="preserve">Dijareja </w:t>
                  </w:r>
                </w:p>
              </w:tc>
            </w:tr>
            <w:tr w:rsidR="00621F29" w:rsidRPr="006B0439" w:rsidTr="009A0E30">
              <w:trPr>
                <w:tblCellSpacing w:w="0" w:type="dxa"/>
              </w:trPr>
              <w:tc>
                <w:tcPr>
                  <w:tcW w:w="2848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21F29" w:rsidRPr="006B0439" w:rsidRDefault="00621F29" w:rsidP="00621F29">
                  <w:pPr>
                    <w:tabs>
                      <w:tab w:val="left" w:pos="540"/>
                      <w:tab w:val="left" w:pos="569"/>
                    </w:tabs>
                    <w:rPr>
                      <w:rFonts w:eastAsia="Calibri"/>
                      <w:sz w:val="22"/>
                      <w:szCs w:val="22"/>
                      <w:lang w:val="sr-Latn-RS"/>
                    </w:rPr>
                  </w:pPr>
                </w:p>
              </w:tc>
              <w:tc>
                <w:tcPr>
                  <w:tcW w:w="9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21F29" w:rsidRPr="006B0439" w:rsidRDefault="00621F29" w:rsidP="00621F29">
                  <w:pPr>
                    <w:tabs>
                      <w:tab w:val="left" w:pos="540"/>
                      <w:tab w:val="left" w:pos="569"/>
                    </w:tabs>
                    <w:rPr>
                      <w:rFonts w:eastAsia="Calibri"/>
                      <w:sz w:val="22"/>
                      <w:szCs w:val="22"/>
                      <w:lang w:val="sr-Latn-RS"/>
                    </w:rPr>
                  </w:pPr>
                  <w:r w:rsidRPr="006B0439">
                    <w:rPr>
                      <w:rFonts w:eastAsia="Calibri"/>
                      <w:sz w:val="22"/>
                      <w:szCs w:val="22"/>
                      <w:lang w:val="sr-Latn-RS"/>
                    </w:rPr>
                    <w:t>Veoma često</w:t>
                  </w:r>
                </w:p>
              </w:tc>
              <w:tc>
                <w:tcPr>
                  <w:tcW w:w="11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21F29" w:rsidRPr="006B0439" w:rsidRDefault="00621F29" w:rsidP="00621F29">
                  <w:pPr>
                    <w:tabs>
                      <w:tab w:val="left" w:pos="540"/>
                      <w:tab w:val="left" w:pos="569"/>
                    </w:tabs>
                    <w:rPr>
                      <w:rFonts w:eastAsia="Calibri"/>
                      <w:sz w:val="22"/>
                      <w:szCs w:val="22"/>
                      <w:lang w:val="sr-Latn-RS"/>
                    </w:rPr>
                  </w:pPr>
                  <w:r w:rsidRPr="006B0439">
                    <w:rPr>
                      <w:rFonts w:eastAsia="Calibri"/>
                      <w:sz w:val="22"/>
                      <w:szCs w:val="22"/>
                      <w:lang w:val="sr-Latn-RS"/>
                    </w:rPr>
                    <w:t xml:space="preserve">Povraćanje </w:t>
                  </w:r>
                </w:p>
              </w:tc>
            </w:tr>
            <w:tr w:rsidR="00621F29" w:rsidRPr="006B0439" w:rsidTr="009A0E30">
              <w:trPr>
                <w:tblCellSpacing w:w="0" w:type="dxa"/>
              </w:trPr>
              <w:tc>
                <w:tcPr>
                  <w:tcW w:w="2848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21F29" w:rsidRPr="006B0439" w:rsidRDefault="00621F29" w:rsidP="00621F29">
                  <w:pPr>
                    <w:tabs>
                      <w:tab w:val="left" w:pos="540"/>
                      <w:tab w:val="left" w:pos="569"/>
                    </w:tabs>
                    <w:rPr>
                      <w:rFonts w:eastAsia="Calibri"/>
                      <w:sz w:val="22"/>
                      <w:szCs w:val="22"/>
                      <w:lang w:val="sr-Latn-RS"/>
                    </w:rPr>
                  </w:pPr>
                </w:p>
              </w:tc>
              <w:tc>
                <w:tcPr>
                  <w:tcW w:w="9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21F29" w:rsidRPr="006B0439" w:rsidRDefault="00621F29" w:rsidP="00621F29">
                  <w:pPr>
                    <w:tabs>
                      <w:tab w:val="left" w:pos="540"/>
                      <w:tab w:val="left" w:pos="569"/>
                    </w:tabs>
                    <w:rPr>
                      <w:rFonts w:eastAsia="Calibri"/>
                      <w:sz w:val="22"/>
                      <w:szCs w:val="22"/>
                      <w:lang w:val="sr-Latn-RS"/>
                    </w:rPr>
                  </w:pPr>
                  <w:r w:rsidRPr="006B0439">
                    <w:rPr>
                      <w:rFonts w:eastAsia="Calibri"/>
                      <w:sz w:val="22"/>
                      <w:szCs w:val="22"/>
                      <w:lang w:val="sr-Latn-RS"/>
                    </w:rPr>
                    <w:t>Veoma često</w:t>
                  </w:r>
                </w:p>
              </w:tc>
              <w:tc>
                <w:tcPr>
                  <w:tcW w:w="11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21F29" w:rsidRPr="006B0439" w:rsidRDefault="00621F29" w:rsidP="00621F29">
                  <w:pPr>
                    <w:tabs>
                      <w:tab w:val="left" w:pos="540"/>
                      <w:tab w:val="left" w:pos="569"/>
                    </w:tabs>
                    <w:rPr>
                      <w:rFonts w:eastAsia="Calibri"/>
                      <w:sz w:val="22"/>
                      <w:szCs w:val="22"/>
                      <w:lang w:val="sr-Latn-RS"/>
                    </w:rPr>
                  </w:pPr>
                  <w:r w:rsidRPr="006B0439">
                    <w:rPr>
                      <w:rFonts w:eastAsia="Calibri"/>
                      <w:sz w:val="22"/>
                      <w:szCs w:val="22"/>
                      <w:lang w:val="sr-Latn-RS"/>
                    </w:rPr>
                    <w:t>Mučnina</w:t>
                  </w:r>
                </w:p>
              </w:tc>
            </w:tr>
            <w:tr w:rsidR="00621F29" w:rsidRPr="006B0439" w:rsidTr="009A0E30">
              <w:trPr>
                <w:tblCellSpacing w:w="0" w:type="dxa"/>
              </w:trPr>
              <w:tc>
                <w:tcPr>
                  <w:tcW w:w="2848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21F29" w:rsidRPr="006B0439" w:rsidRDefault="00621F29" w:rsidP="00621F29">
                  <w:pPr>
                    <w:tabs>
                      <w:tab w:val="left" w:pos="540"/>
                      <w:tab w:val="left" w:pos="569"/>
                    </w:tabs>
                    <w:rPr>
                      <w:rFonts w:eastAsia="Calibri"/>
                      <w:sz w:val="22"/>
                      <w:szCs w:val="22"/>
                      <w:lang w:val="sr-Latn-RS"/>
                    </w:rPr>
                  </w:pPr>
                </w:p>
              </w:tc>
              <w:tc>
                <w:tcPr>
                  <w:tcW w:w="9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21F29" w:rsidRPr="006B0439" w:rsidRDefault="00621F29" w:rsidP="00621F29">
                  <w:pPr>
                    <w:tabs>
                      <w:tab w:val="left" w:pos="540"/>
                      <w:tab w:val="left" w:pos="569"/>
                    </w:tabs>
                    <w:rPr>
                      <w:rFonts w:eastAsia="Calibri"/>
                      <w:sz w:val="22"/>
                      <w:szCs w:val="22"/>
                      <w:lang w:val="sr-Latn-RS"/>
                    </w:rPr>
                  </w:pPr>
                  <w:r w:rsidRPr="006B0439">
                    <w:rPr>
                      <w:rFonts w:eastAsia="Calibri"/>
                      <w:sz w:val="22"/>
                      <w:szCs w:val="22"/>
                      <w:lang w:val="sr-Latn-RS"/>
                    </w:rPr>
                    <w:t>Često</w:t>
                  </w:r>
                </w:p>
              </w:tc>
              <w:tc>
                <w:tcPr>
                  <w:tcW w:w="11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21F29" w:rsidRPr="006B0439" w:rsidRDefault="00621F29" w:rsidP="00621F29">
                  <w:pPr>
                    <w:tabs>
                      <w:tab w:val="left" w:pos="540"/>
                      <w:tab w:val="left" w:pos="569"/>
                    </w:tabs>
                    <w:rPr>
                      <w:rFonts w:eastAsia="Calibri"/>
                      <w:sz w:val="22"/>
                      <w:szCs w:val="22"/>
                      <w:lang w:val="sr-Latn-RS"/>
                    </w:rPr>
                  </w:pPr>
                  <w:r w:rsidRPr="006B0439">
                    <w:rPr>
                      <w:rFonts w:eastAsia="Calibri"/>
                      <w:sz w:val="22"/>
                      <w:szCs w:val="22"/>
                      <w:lang w:val="sr-Latn-RS"/>
                    </w:rPr>
                    <w:t>Bol u stomaku</w:t>
                  </w:r>
                </w:p>
              </w:tc>
            </w:tr>
            <w:tr w:rsidR="00621F29" w:rsidRPr="006B0439" w:rsidTr="009A0E30">
              <w:trPr>
                <w:tblCellSpacing w:w="0" w:type="dxa"/>
              </w:trPr>
              <w:tc>
                <w:tcPr>
                  <w:tcW w:w="2848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21F29" w:rsidRPr="006B0439" w:rsidRDefault="00621F29" w:rsidP="00621F29">
                  <w:pPr>
                    <w:tabs>
                      <w:tab w:val="left" w:pos="540"/>
                      <w:tab w:val="left" w:pos="569"/>
                    </w:tabs>
                    <w:rPr>
                      <w:rFonts w:eastAsia="Calibri"/>
                      <w:sz w:val="22"/>
                      <w:szCs w:val="22"/>
                      <w:lang w:val="sr-Latn-RS"/>
                    </w:rPr>
                  </w:pPr>
                </w:p>
              </w:tc>
              <w:tc>
                <w:tcPr>
                  <w:tcW w:w="9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21F29" w:rsidRPr="006B0439" w:rsidRDefault="00621F29" w:rsidP="00621F29">
                  <w:pPr>
                    <w:tabs>
                      <w:tab w:val="left" w:pos="540"/>
                      <w:tab w:val="left" w:pos="569"/>
                    </w:tabs>
                    <w:rPr>
                      <w:rFonts w:eastAsia="Calibri"/>
                      <w:sz w:val="22"/>
                      <w:szCs w:val="22"/>
                      <w:lang w:val="sr-Latn-RS"/>
                    </w:rPr>
                  </w:pPr>
                  <w:r w:rsidRPr="006B0439">
                    <w:rPr>
                      <w:rFonts w:eastAsia="Calibri"/>
                      <w:sz w:val="22"/>
                      <w:szCs w:val="22"/>
                      <w:lang w:val="sr-Latn-RS"/>
                    </w:rPr>
                    <w:t>Često</w:t>
                  </w:r>
                </w:p>
              </w:tc>
              <w:tc>
                <w:tcPr>
                  <w:tcW w:w="11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21F29" w:rsidRPr="006B0439" w:rsidRDefault="00621F29" w:rsidP="00621F29">
                  <w:pPr>
                    <w:tabs>
                      <w:tab w:val="left" w:pos="540"/>
                      <w:tab w:val="left" w:pos="569"/>
                    </w:tabs>
                    <w:rPr>
                      <w:rFonts w:eastAsia="Calibri"/>
                      <w:sz w:val="22"/>
                      <w:szCs w:val="22"/>
                      <w:lang w:val="sr-Latn-RS"/>
                    </w:rPr>
                  </w:pPr>
                  <w:r w:rsidRPr="006B0439">
                    <w:rPr>
                      <w:rFonts w:eastAsia="Calibri"/>
                      <w:sz w:val="22"/>
                      <w:szCs w:val="22"/>
                      <w:lang w:val="sr-Latn-RS"/>
                    </w:rPr>
                    <w:t xml:space="preserve">Zatvor </w:t>
                  </w:r>
                </w:p>
              </w:tc>
            </w:tr>
            <w:tr w:rsidR="00621F29" w:rsidRPr="006B0439" w:rsidTr="009A0E30">
              <w:trPr>
                <w:tblCellSpacing w:w="0" w:type="dxa"/>
              </w:trPr>
              <w:tc>
                <w:tcPr>
                  <w:tcW w:w="28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21F29" w:rsidRPr="006B0439" w:rsidRDefault="00621F29" w:rsidP="00621F29">
                  <w:pPr>
                    <w:tabs>
                      <w:tab w:val="left" w:pos="540"/>
                      <w:tab w:val="left" w:pos="569"/>
                    </w:tabs>
                    <w:rPr>
                      <w:rFonts w:eastAsia="Calibri"/>
                      <w:sz w:val="22"/>
                      <w:szCs w:val="22"/>
                      <w:lang w:val="sr-Latn-RS"/>
                    </w:rPr>
                  </w:pPr>
                  <w:r w:rsidRPr="006B0439">
                    <w:rPr>
                      <w:rFonts w:eastAsia="Calibri"/>
                      <w:sz w:val="22"/>
                      <w:szCs w:val="22"/>
                      <w:lang w:val="sr-Latn-RS"/>
                    </w:rPr>
                    <w:t>Poremećaji na nivou  kože i potkožnog tkiva</w:t>
                  </w:r>
                </w:p>
              </w:tc>
              <w:tc>
                <w:tcPr>
                  <w:tcW w:w="9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21F29" w:rsidRPr="006B0439" w:rsidRDefault="00621F29" w:rsidP="00621F29">
                  <w:pPr>
                    <w:tabs>
                      <w:tab w:val="left" w:pos="540"/>
                      <w:tab w:val="left" w:pos="569"/>
                    </w:tabs>
                    <w:rPr>
                      <w:rFonts w:eastAsia="Calibri"/>
                      <w:sz w:val="22"/>
                      <w:szCs w:val="22"/>
                      <w:lang w:val="sr-Latn-RS"/>
                    </w:rPr>
                  </w:pPr>
                  <w:r w:rsidRPr="006B0439">
                    <w:rPr>
                      <w:rFonts w:eastAsia="Calibri"/>
                      <w:sz w:val="22"/>
                      <w:szCs w:val="22"/>
                      <w:lang w:val="sr-Latn-RS"/>
                    </w:rPr>
                    <w:t>Veoma često</w:t>
                  </w:r>
                </w:p>
              </w:tc>
              <w:tc>
                <w:tcPr>
                  <w:tcW w:w="11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21F29" w:rsidRPr="006B0439" w:rsidRDefault="009A0E30" w:rsidP="00621F29">
                  <w:pPr>
                    <w:tabs>
                      <w:tab w:val="left" w:pos="540"/>
                      <w:tab w:val="left" w:pos="569"/>
                    </w:tabs>
                    <w:rPr>
                      <w:rFonts w:eastAsia="Calibri"/>
                      <w:sz w:val="22"/>
                      <w:szCs w:val="22"/>
                      <w:lang w:val="sr-Latn-RS"/>
                    </w:rPr>
                  </w:pPr>
                  <w:r w:rsidRPr="006B0439">
                    <w:rPr>
                      <w:rFonts w:eastAsia="Calibri"/>
                      <w:sz w:val="22"/>
                      <w:szCs w:val="22"/>
                      <w:lang w:val="sr-Latn-RS"/>
                    </w:rPr>
                    <w:t>Alopecija (reverzibilna</w:t>
                  </w:r>
                  <w:r w:rsidR="00621F29" w:rsidRPr="006B0439">
                    <w:rPr>
                      <w:rFonts w:eastAsia="Calibri"/>
                      <w:sz w:val="22"/>
                      <w:szCs w:val="22"/>
                      <w:lang w:val="sr-Latn-RS"/>
                    </w:rPr>
                    <w:t xml:space="preserve">) </w:t>
                  </w:r>
                </w:p>
              </w:tc>
            </w:tr>
            <w:tr w:rsidR="00621F29" w:rsidRPr="006B0439" w:rsidTr="009A0E30">
              <w:trPr>
                <w:tblCellSpacing w:w="0" w:type="dxa"/>
              </w:trPr>
              <w:tc>
                <w:tcPr>
                  <w:tcW w:w="2848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21F29" w:rsidRPr="006B0439" w:rsidRDefault="00621F29" w:rsidP="00621F29">
                  <w:pPr>
                    <w:tabs>
                      <w:tab w:val="left" w:pos="540"/>
                      <w:tab w:val="left" w:pos="569"/>
                    </w:tabs>
                    <w:rPr>
                      <w:rFonts w:eastAsia="Calibri"/>
                      <w:sz w:val="22"/>
                      <w:szCs w:val="22"/>
                      <w:lang w:val="sr-Latn-RS"/>
                    </w:rPr>
                  </w:pPr>
                  <w:r w:rsidRPr="006B0439">
                    <w:rPr>
                      <w:rFonts w:eastAsia="Calibri"/>
                      <w:sz w:val="22"/>
                      <w:szCs w:val="22"/>
                      <w:lang w:val="sr-Latn-RS"/>
                    </w:rPr>
                    <w:t>Opšti poremećaji i reakcije na m</w:t>
                  </w:r>
                  <w:r w:rsidR="009A0E30" w:rsidRPr="006B0439">
                    <w:rPr>
                      <w:rFonts w:eastAsia="Calibri"/>
                      <w:sz w:val="22"/>
                      <w:szCs w:val="22"/>
                      <w:lang w:val="sr-Latn-RS"/>
                    </w:rPr>
                    <w:t>j</w:t>
                  </w:r>
                  <w:r w:rsidRPr="006B0439">
                    <w:rPr>
                      <w:rFonts w:eastAsia="Calibri"/>
                      <w:sz w:val="22"/>
                      <w:szCs w:val="22"/>
                      <w:lang w:val="sr-Latn-RS"/>
                    </w:rPr>
                    <w:t>estu primjene</w:t>
                  </w:r>
                </w:p>
              </w:tc>
              <w:tc>
                <w:tcPr>
                  <w:tcW w:w="9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21F29" w:rsidRPr="006B0439" w:rsidRDefault="00621F29" w:rsidP="00621F29">
                  <w:pPr>
                    <w:tabs>
                      <w:tab w:val="left" w:pos="540"/>
                      <w:tab w:val="left" w:pos="569"/>
                    </w:tabs>
                    <w:rPr>
                      <w:rFonts w:eastAsia="Calibri"/>
                      <w:sz w:val="22"/>
                      <w:szCs w:val="22"/>
                      <w:lang w:val="sr-Latn-RS"/>
                    </w:rPr>
                  </w:pPr>
                  <w:r w:rsidRPr="006B0439">
                    <w:rPr>
                      <w:rFonts w:eastAsia="Calibri"/>
                      <w:sz w:val="22"/>
                      <w:szCs w:val="22"/>
                      <w:lang w:val="sr-Latn-RS"/>
                    </w:rPr>
                    <w:t>Veoma često</w:t>
                  </w:r>
                </w:p>
              </w:tc>
              <w:tc>
                <w:tcPr>
                  <w:tcW w:w="11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21F29" w:rsidRPr="006B0439" w:rsidRDefault="00621F29" w:rsidP="00621F29">
                  <w:pPr>
                    <w:tabs>
                      <w:tab w:val="left" w:pos="540"/>
                      <w:tab w:val="left" w:pos="569"/>
                    </w:tabs>
                    <w:rPr>
                      <w:rFonts w:eastAsia="Calibri"/>
                      <w:sz w:val="22"/>
                      <w:szCs w:val="22"/>
                      <w:lang w:val="sr-Latn-RS"/>
                    </w:rPr>
                  </w:pPr>
                  <w:r w:rsidRPr="006B0439">
                    <w:rPr>
                      <w:rFonts w:eastAsia="Calibri"/>
                      <w:sz w:val="22"/>
                      <w:szCs w:val="22"/>
                      <w:lang w:val="sr-Latn-RS"/>
                    </w:rPr>
                    <w:t>Upala sluznice</w:t>
                  </w:r>
                </w:p>
              </w:tc>
            </w:tr>
            <w:tr w:rsidR="00621F29" w:rsidRPr="006B0439" w:rsidTr="009A0E30">
              <w:trPr>
                <w:tblCellSpacing w:w="0" w:type="dxa"/>
              </w:trPr>
              <w:tc>
                <w:tcPr>
                  <w:tcW w:w="2848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21F29" w:rsidRPr="006B0439" w:rsidRDefault="00621F29" w:rsidP="00621F29">
                  <w:pPr>
                    <w:tabs>
                      <w:tab w:val="left" w:pos="540"/>
                      <w:tab w:val="left" w:pos="569"/>
                    </w:tabs>
                    <w:rPr>
                      <w:rFonts w:eastAsia="Calibri"/>
                      <w:sz w:val="22"/>
                      <w:szCs w:val="22"/>
                      <w:lang w:val="sr-Latn-RS"/>
                    </w:rPr>
                  </w:pPr>
                </w:p>
              </w:tc>
              <w:tc>
                <w:tcPr>
                  <w:tcW w:w="9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21F29" w:rsidRPr="006B0439" w:rsidRDefault="00621F29" w:rsidP="00621F29">
                  <w:pPr>
                    <w:tabs>
                      <w:tab w:val="left" w:pos="540"/>
                      <w:tab w:val="left" w:pos="569"/>
                    </w:tabs>
                    <w:rPr>
                      <w:rFonts w:eastAsia="Calibri"/>
                      <w:sz w:val="22"/>
                      <w:szCs w:val="22"/>
                      <w:lang w:val="sr-Latn-RS"/>
                    </w:rPr>
                  </w:pPr>
                  <w:r w:rsidRPr="006B0439">
                    <w:rPr>
                      <w:rFonts w:eastAsia="Calibri"/>
                      <w:sz w:val="22"/>
                      <w:szCs w:val="22"/>
                      <w:lang w:val="sr-Latn-RS"/>
                    </w:rPr>
                    <w:t>Veoma često</w:t>
                  </w:r>
                </w:p>
              </w:tc>
              <w:tc>
                <w:tcPr>
                  <w:tcW w:w="11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21F29" w:rsidRPr="006B0439" w:rsidRDefault="009A0E30" w:rsidP="00621F29">
                  <w:pPr>
                    <w:tabs>
                      <w:tab w:val="left" w:pos="540"/>
                      <w:tab w:val="left" w:pos="569"/>
                    </w:tabs>
                    <w:rPr>
                      <w:rFonts w:eastAsia="Calibri"/>
                      <w:sz w:val="22"/>
                      <w:szCs w:val="22"/>
                      <w:lang w:val="sr-Latn-RS"/>
                    </w:rPr>
                  </w:pPr>
                  <w:r w:rsidRPr="006B0439">
                    <w:rPr>
                      <w:rFonts w:eastAsia="Calibri"/>
                      <w:sz w:val="22"/>
                      <w:szCs w:val="22"/>
                      <w:lang w:val="sr-Latn-RS"/>
                    </w:rPr>
                    <w:t>Astenija</w:t>
                  </w:r>
                </w:p>
              </w:tc>
            </w:tr>
            <w:tr w:rsidR="00621F29" w:rsidRPr="006B0439" w:rsidTr="009A0E30">
              <w:trPr>
                <w:tblCellSpacing w:w="0" w:type="dxa"/>
              </w:trPr>
              <w:tc>
                <w:tcPr>
                  <w:tcW w:w="2848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21F29" w:rsidRPr="006B0439" w:rsidRDefault="00621F29" w:rsidP="00621F29">
                  <w:pPr>
                    <w:tabs>
                      <w:tab w:val="left" w:pos="540"/>
                      <w:tab w:val="left" w:pos="569"/>
                    </w:tabs>
                    <w:rPr>
                      <w:rFonts w:eastAsia="Calibri"/>
                      <w:sz w:val="22"/>
                      <w:szCs w:val="22"/>
                      <w:lang w:val="sr-Latn-RS"/>
                    </w:rPr>
                  </w:pPr>
                </w:p>
              </w:tc>
              <w:tc>
                <w:tcPr>
                  <w:tcW w:w="9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21F29" w:rsidRPr="006B0439" w:rsidRDefault="00621F29" w:rsidP="00621F29">
                  <w:pPr>
                    <w:tabs>
                      <w:tab w:val="left" w:pos="540"/>
                      <w:tab w:val="left" w:pos="569"/>
                    </w:tabs>
                    <w:rPr>
                      <w:rFonts w:eastAsia="Calibri"/>
                      <w:sz w:val="22"/>
                      <w:szCs w:val="22"/>
                      <w:lang w:val="sr-Latn-RS"/>
                    </w:rPr>
                  </w:pPr>
                  <w:r w:rsidRPr="006B0439">
                    <w:rPr>
                      <w:rFonts w:eastAsia="Calibri"/>
                      <w:sz w:val="22"/>
                      <w:szCs w:val="22"/>
                      <w:lang w:val="sr-Latn-RS"/>
                    </w:rPr>
                    <w:t>Često</w:t>
                  </w:r>
                </w:p>
              </w:tc>
              <w:tc>
                <w:tcPr>
                  <w:tcW w:w="11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21F29" w:rsidRPr="006B0439" w:rsidRDefault="009A0E30" w:rsidP="00621F29">
                  <w:pPr>
                    <w:tabs>
                      <w:tab w:val="left" w:pos="540"/>
                      <w:tab w:val="left" w:pos="569"/>
                    </w:tabs>
                    <w:rPr>
                      <w:rFonts w:eastAsia="Calibri"/>
                      <w:sz w:val="22"/>
                      <w:szCs w:val="22"/>
                      <w:lang w:val="sr-Latn-RS"/>
                    </w:rPr>
                  </w:pPr>
                  <w:r w:rsidRPr="006B0439">
                    <w:rPr>
                      <w:rFonts w:eastAsia="Calibri"/>
                      <w:sz w:val="22"/>
                      <w:szCs w:val="22"/>
                      <w:lang w:val="sr-Latn-RS"/>
                    </w:rPr>
                    <w:t>Povišena temperatura</w:t>
                  </w:r>
                </w:p>
              </w:tc>
            </w:tr>
            <w:tr w:rsidR="00621F29" w:rsidRPr="006B0439" w:rsidTr="009A0E30">
              <w:trPr>
                <w:tblCellSpacing w:w="0" w:type="dxa"/>
              </w:trPr>
              <w:tc>
                <w:tcPr>
                  <w:tcW w:w="2848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21F29" w:rsidRPr="006B0439" w:rsidRDefault="00621F29" w:rsidP="00621F29">
                  <w:pPr>
                    <w:tabs>
                      <w:tab w:val="left" w:pos="540"/>
                      <w:tab w:val="left" w:pos="569"/>
                    </w:tabs>
                    <w:rPr>
                      <w:rFonts w:eastAsia="Calibri"/>
                      <w:sz w:val="22"/>
                      <w:szCs w:val="22"/>
                      <w:lang w:val="sr-Latn-RS"/>
                    </w:rPr>
                  </w:pPr>
                  <w:r w:rsidRPr="006B0439">
                    <w:rPr>
                      <w:rFonts w:eastAsia="Calibri"/>
                      <w:sz w:val="22"/>
                      <w:szCs w:val="22"/>
                      <w:lang w:val="sr-Latn-RS"/>
                    </w:rPr>
                    <w:t>Laboratorijska ispitivanja</w:t>
                  </w:r>
                </w:p>
              </w:tc>
              <w:tc>
                <w:tcPr>
                  <w:tcW w:w="9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21F29" w:rsidRPr="006B0439" w:rsidRDefault="00621F29" w:rsidP="00621F29">
                  <w:pPr>
                    <w:tabs>
                      <w:tab w:val="left" w:pos="540"/>
                      <w:tab w:val="left" w:pos="569"/>
                    </w:tabs>
                    <w:rPr>
                      <w:rFonts w:eastAsia="Calibri"/>
                      <w:sz w:val="22"/>
                      <w:szCs w:val="22"/>
                      <w:lang w:val="sr-Latn-RS"/>
                    </w:rPr>
                  </w:pPr>
                  <w:r w:rsidRPr="006B0439">
                    <w:rPr>
                      <w:rFonts w:eastAsia="Calibri"/>
                      <w:sz w:val="22"/>
                      <w:szCs w:val="22"/>
                      <w:lang w:val="sr-Latn-RS"/>
                    </w:rPr>
                    <w:t>Veoma često</w:t>
                  </w:r>
                </w:p>
              </w:tc>
              <w:tc>
                <w:tcPr>
                  <w:tcW w:w="11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21F29" w:rsidRPr="006B0439" w:rsidRDefault="00621F29" w:rsidP="00621F29">
                  <w:pPr>
                    <w:tabs>
                      <w:tab w:val="left" w:pos="540"/>
                      <w:tab w:val="left" w:pos="569"/>
                    </w:tabs>
                    <w:rPr>
                      <w:rFonts w:eastAsia="Calibri"/>
                      <w:sz w:val="22"/>
                      <w:szCs w:val="22"/>
                      <w:lang w:val="sr-Latn-RS"/>
                    </w:rPr>
                  </w:pPr>
                  <w:r w:rsidRPr="006B0439">
                    <w:rPr>
                      <w:rFonts w:eastAsia="Calibri"/>
                      <w:sz w:val="22"/>
                      <w:szCs w:val="22"/>
                      <w:lang w:val="sr-Latn-RS"/>
                    </w:rPr>
                    <w:t>Porast transaminaza u serumu</w:t>
                  </w:r>
                </w:p>
                <w:p w:rsidR="00621F29" w:rsidRPr="006B0439" w:rsidRDefault="009A0E30" w:rsidP="00621F29">
                  <w:pPr>
                    <w:tabs>
                      <w:tab w:val="left" w:pos="540"/>
                      <w:tab w:val="left" w:pos="569"/>
                    </w:tabs>
                    <w:rPr>
                      <w:rFonts w:eastAsia="Calibri"/>
                      <w:sz w:val="22"/>
                      <w:szCs w:val="22"/>
                      <w:lang w:val="sr-Latn-RS"/>
                    </w:rPr>
                  </w:pPr>
                  <w:r w:rsidRPr="006B0439">
                    <w:rPr>
                      <w:rFonts w:eastAsia="Calibri"/>
                      <w:sz w:val="22"/>
                      <w:szCs w:val="22"/>
                      <w:lang w:val="sr-Latn-RS"/>
                    </w:rPr>
                    <w:t xml:space="preserve"> (AST i ALT</w:t>
                  </w:r>
                  <w:r w:rsidR="00621F29" w:rsidRPr="006B0439">
                    <w:rPr>
                      <w:rFonts w:eastAsia="Calibri"/>
                      <w:sz w:val="22"/>
                      <w:szCs w:val="22"/>
                      <w:lang w:val="sr-Latn-RS"/>
                    </w:rPr>
                    <w:t>)</w:t>
                  </w:r>
                </w:p>
              </w:tc>
            </w:tr>
            <w:tr w:rsidR="00621F29" w:rsidRPr="006B0439" w:rsidTr="009A0E30">
              <w:trPr>
                <w:tblCellSpacing w:w="0" w:type="dxa"/>
              </w:trPr>
              <w:tc>
                <w:tcPr>
                  <w:tcW w:w="2848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21F29" w:rsidRPr="006B0439" w:rsidRDefault="00621F29" w:rsidP="00621F29">
                  <w:pPr>
                    <w:tabs>
                      <w:tab w:val="left" w:pos="540"/>
                      <w:tab w:val="left" w:pos="569"/>
                    </w:tabs>
                    <w:rPr>
                      <w:rFonts w:eastAsia="Calibri"/>
                      <w:sz w:val="22"/>
                      <w:szCs w:val="22"/>
                      <w:lang w:val="sr-Latn-RS"/>
                    </w:rPr>
                  </w:pPr>
                </w:p>
              </w:tc>
              <w:tc>
                <w:tcPr>
                  <w:tcW w:w="9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21F29" w:rsidRPr="006B0439" w:rsidRDefault="00621F29" w:rsidP="00621F29">
                  <w:pPr>
                    <w:tabs>
                      <w:tab w:val="left" w:pos="540"/>
                      <w:tab w:val="left" w:pos="569"/>
                    </w:tabs>
                    <w:rPr>
                      <w:rFonts w:eastAsia="Calibri"/>
                      <w:sz w:val="22"/>
                      <w:szCs w:val="22"/>
                      <w:lang w:val="sr-Latn-RS"/>
                    </w:rPr>
                  </w:pPr>
                  <w:r w:rsidRPr="006B0439">
                    <w:rPr>
                      <w:rFonts w:eastAsia="Calibri"/>
                      <w:sz w:val="22"/>
                      <w:szCs w:val="22"/>
                      <w:lang w:val="sr-Latn-RS"/>
                    </w:rPr>
                    <w:t>Veoma često</w:t>
                  </w:r>
                </w:p>
              </w:tc>
              <w:tc>
                <w:tcPr>
                  <w:tcW w:w="11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21F29" w:rsidRPr="006B0439" w:rsidRDefault="00621F29" w:rsidP="00621F29">
                  <w:pPr>
                    <w:tabs>
                      <w:tab w:val="left" w:pos="540"/>
                      <w:tab w:val="left" w:pos="569"/>
                    </w:tabs>
                    <w:rPr>
                      <w:rFonts w:eastAsia="Calibri"/>
                      <w:sz w:val="22"/>
                      <w:szCs w:val="22"/>
                      <w:lang w:val="sr-Latn-RS"/>
                    </w:rPr>
                  </w:pPr>
                  <w:r w:rsidRPr="006B0439">
                    <w:rPr>
                      <w:rFonts w:eastAsia="Calibri"/>
                      <w:sz w:val="22"/>
                      <w:szCs w:val="22"/>
                      <w:lang w:val="sr-Latn-RS"/>
                    </w:rPr>
                    <w:t xml:space="preserve"> Porast bilirubina u serumu</w:t>
                  </w:r>
                </w:p>
              </w:tc>
            </w:tr>
            <w:tr w:rsidR="00621F29" w:rsidRPr="006B0439" w:rsidTr="009A0E30">
              <w:trPr>
                <w:tblCellSpacing w:w="0" w:type="dxa"/>
              </w:trPr>
              <w:tc>
                <w:tcPr>
                  <w:tcW w:w="2848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21F29" w:rsidRPr="006B0439" w:rsidRDefault="00621F29" w:rsidP="00621F29">
                  <w:pPr>
                    <w:tabs>
                      <w:tab w:val="left" w:pos="540"/>
                      <w:tab w:val="left" w:pos="569"/>
                    </w:tabs>
                    <w:rPr>
                      <w:rFonts w:eastAsia="Calibri"/>
                      <w:sz w:val="22"/>
                      <w:szCs w:val="22"/>
                      <w:lang w:val="sr-Latn-RS"/>
                    </w:rPr>
                  </w:pPr>
                </w:p>
              </w:tc>
              <w:tc>
                <w:tcPr>
                  <w:tcW w:w="9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21F29" w:rsidRPr="006B0439" w:rsidRDefault="00621F29" w:rsidP="00621F29">
                  <w:pPr>
                    <w:tabs>
                      <w:tab w:val="left" w:pos="540"/>
                      <w:tab w:val="left" w:pos="569"/>
                    </w:tabs>
                    <w:rPr>
                      <w:rFonts w:eastAsia="Calibri"/>
                      <w:sz w:val="22"/>
                      <w:szCs w:val="22"/>
                      <w:lang w:val="sr-Latn-RS"/>
                    </w:rPr>
                  </w:pPr>
                  <w:r w:rsidRPr="006B0439">
                    <w:rPr>
                      <w:rFonts w:eastAsia="Calibri"/>
                      <w:sz w:val="22"/>
                      <w:szCs w:val="22"/>
                      <w:lang w:val="sr-Latn-RS"/>
                    </w:rPr>
                    <w:t>Veoma često</w:t>
                  </w:r>
                </w:p>
              </w:tc>
              <w:tc>
                <w:tcPr>
                  <w:tcW w:w="11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21F29" w:rsidRPr="006B0439" w:rsidRDefault="00621F29" w:rsidP="00621F29">
                  <w:pPr>
                    <w:tabs>
                      <w:tab w:val="left" w:pos="540"/>
                      <w:tab w:val="left" w:pos="569"/>
                    </w:tabs>
                    <w:rPr>
                      <w:rFonts w:eastAsia="Calibri"/>
                      <w:sz w:val="22"/>
                      <w:szCs w:val="22"/>
                      <w:lang w:val="sr-Latn-RS"/>
                    </w:rPr>
                  </w:pPr>
                  <w:r w:rsidRPr="006B0439">
                    <w:rPr>
                      <w:rFonts w:eastAsia="Calibri"/>
                      <w:sz w:val="22"/>
                      <w:szCs w:val="22"/>
                      <w:lang w:val="sr-Latn-RS"/>
                    </w:rPr>
                    <w:t xml:space="preserve">Porast alkalnih fosfataza u </w:t>
                  </w:r>
                </w:p>
                <w:p w:rsidR="00621F29" w:rsidRPr="006B0439" w:rsidRDefault="00621F29" w:rsidP="00621F29">
                  <w:pPr>
                    <w:tabs>
                      <w:tab w:val="left" w:pos="540"/>
                      <w:tab w:val="left" w:pos="569"/>
                    </w:tabs>
                    <w:rPr>
                      <w:rFonts w:eastAsia="Calibri"/>
                      <w:sz w:val="22"/>
                      <w:szCs w:val="22"/>
                      <w:lang w:val="sr-Latn-RS"/>
                    </w:rPr>
                  </w:pPr>
                  <w:r w:rsidRPr="006B0439">
                    <w:rPr>
                      <w:rFonts w:eastAsia="Calibri"/>
                      <w:sz w:val="22"/>
                      <w:szCs w:val="22"/>
                      <w:lang w:val="sr-Latn-RS"/>
                    </w:rPr>
                    <w:t>serumu</w:t>
                  </w:r>
                </w:p>
              </w:tc>
            </w:tr>
          </w:tbl>
          <w:p w:rsidR="00621F29" w:rsidRPr="006B0439" w:rsidRDefault="00621F29" w:rsidP="00621F29">
            <w:pPr>
              <w:tabs>
                <w:tab w:val="left" w:pos="540"/>
                <w:tab w:val="left" w:pos="569"/>
              </w:tabs>
              <w:rPr>
                <w:rFonts w:eastAsia="Calibri"/>
                <w:sz w:val="22"/>
                <w:szCs w:val="22"/>
                <w:lang w:val="sr-Latn-RS"/>
              </w:rPr>
            </w:pPr>
          </w:p>
        </w:tc>
      </w:tr>
      <w:tr w:rsidR="00621F29" w:rsidRPr="006B0439" w:rsidTr="006B0439">
        <w:trPr>
          <w:gridAfter w:val="1"/>
          <w:wAfter w:w="397" w:type="dxa"/>
        </w:trPr>
        <w:tc>
          <w:tcPr>
            <w:tcW w:w="9532" w:type="dxa"/>
            <w:gridSpan w:val="5"/>
            <w:vAlign w:val="center"/>
          </w:tcPr>
          <w:p w:rsidR="00621F29" w:rsidRPr="006B0439" w:rsidRDefault="00621F29" w:rsidP="00621F29">
            <w:pPr>
              <w:pStyle w:val="Header"/>
              <w:tabs>
                <w:tab w:val="left" w:pos="284"/>
              </w:tabs>
              <w:spacing w:before="80" w:after="80"/>
              <w:rPr>
                <w:rFonts w:eastAsia="Calibri"/>
                <w:sz w:val="22"/>
                <w:szCs w:val="22"/>
                <w:lang w:val="sr-Latn-RS"/>
              </w:rPr>
            </w:pPr>
          </w:p>
          <w:p w:rsidR="00621F29" w:rsidRPr="006B0439" w:rsidRDefault="00621F29" w:rsidP="00621F29">
            <w:pPr>
              <w:pStyle w:val="Header"/>
              <w:tabs>
                <w:tab w:val="left" w:pos="284"/>
              </w:tabs>
              <w:spacing w:before="80" w:after="80"/>
              <w:rPr>
                <w:rFonts w:eastAsia="Calibri"/>
                <w:b/>
                <w:sz w:val="22"/>
                <w:szCs w:val="22"/>
                <w:lang w:val="sr-Latn-RS"/>
              </w:rPr>
            </w:pPr>
            <w:r w:rsidRPr="006B0439">
              <w:rPr>
                <w:rFonts w:eastAsia="Calibri"/>
                <w:b/>
                <w:sz w:val="22"/>
                <w:szCs w:val="22"/>
                <w:lang w:val="sr-Latn-RS"/>
              </w:rPr>
              <w:t>Opis odabranih neželjenih reakcija (kombinovana terapija)</w:t>
            </w:r>
          </w:p>
          <w:p w:rsidR="00621F29" w:rsidRPr="006B0439" w:rsidRDefault="00621F29" w:rsidP="00621F29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sr-Latn-RS"/>
              </w:rPr>
            </w:pPr>
          </w:p>
          <w:p w:rsidR="00621F29" w:rsidRPr="006B0439" w:rsidRDefault="00621F29" w:rsidP="006938F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val="sr-Latn-RS"/>
              </w:rPr>
            </w:pPr>
            <w:r w:rsidRPr="006B0439">
              <w:rPr>
                <w:rFonts w:eastAsia="Calibri"/>
                <w:b/>
                <w:sz w:val="22"/>
                <w:szCs w:val="22"/>
                <w:lang w:val="sr-Latn-RS"/>
              </w:rPr>
              <w:t>Teška dijareja</w:t>
            </w:r>
            <w:r w:rsidRPr="006B0439">
              <w:rPr>
                <w:rFonts w:eastAsia="Calibri"/>
                <w:sz w:val="22"/>
                <w:szCs w:val="22"/>
                <w:lang w:val="sr-Latn-RS"/>
              </w:rPr>
              <w:t xml:space="preserve"> zabilježena je kod 13,1% pacijenata koji su slijedili preporuke za zbrinjavanje dijareje, odnosno kod praćenih ciklusa, 3,9% je imalo tešku dijareju. </w:t>
            </w:r>
          </w:p>
          <w:p w:rsidR="00621F29" w:rsidRPr="006B0439" w:rsidRDefault="00621F29" w:rsidP="006938F0">
            <w:pPr>
              <w:pStyle w:val="Header"/>
              <w:tabs>
                <w:tab w:val="left" w:pos="284"/>
              </w:tabs>
              <w:spacing w:before="80" w:after="80"/>
              <w:jc w:val="both"/>
              <w:rPr>
                <w:rFonts w:eastAsia="Calibri"/>
                <w:sz w:val="22"/>
                <w:szCs w:val="22"/>
                <w:lang w:val="sr-Latn-RS"/>
              </w:rPr>
            </w:pPr>
            <w:r w:rsidRPr="006B0439">
              <w:rPr>
                <w:rFonts w:eastAsia="Calibri"/>
                <w:sz w:val="22"/>
                <w:szCs w:val="22"/>
                <w:lang w:val="sr-Latn-RS"/>
              </w:rPr>
              <w:t xml:space="preserve">Zabilježena je manja učestalost teške </w:t>
            </w:r>
            <w:r w:rsidRPr="006B0439">
              <w:rPr>
                <w:rFonts w:eastAsia="Calibri"/>
                <w:b/>
                <w:sz w:val="22"/>
                <w:szCs w:val="22"/>
                <w:lang w:val="sr-Latn-RS"/>
              </w:rPr>
              <w:t>mučnine i povraćanja</w:t>
            </w:r>
            <w:r w:rsidRPr="006B0439">
              <w:rPr>
                <w:rFonts w:eastAsia="Calibri"/>
                <w:sz w:val="22"/>
                <w:szCs w:val="22"/>
                <w:lang w:val="sr-Latn-RS"/>
              </w:rPr>
              <w:t xml:space="preserve"> (kod 2,1% i kod 2,8% pacijenata).</w:t>
            </w:r>
          </w:p>
          <w:p w:rsidR="00621F29" w:rsidRPr="006B0439" w:rsidRDefault="00621F29" w:rsidP="006938F0">
            <w:pPr>
              <w:pStyle w:val="Header"/>
              <w:tabs>
                <w:tab w:val="left" w:pos="284"/>
              </w:tabs>
              <w:spacing w:before="80" w:after="80"/>
              <w:jc w:val="both"/>
              <w:rPr>
                <w:rFonts w:eastAsia="Calibri"/>
                <w:sz w:val="22"/>
                <w:szCs w:val="22"/>
                <w:lang w:val="sr-Latn-RS"/>
              </w:rPr>
            </w:pPr>
            <w:r w:rsidRPr="006B0439">
              <w:rPr>
                <w:rFonts w:eastAsia="Calibri"/>
                <w:sz w:val="22"/>
                <w:szCs w:val="22"/>
                <w:lang w:val="sr-Latn-RS"/>
              </w:rPr>
              <w:t xml:space="preserve">Zabilježena je pojava </w:t>
            </w:r>
            <w:r w:rsidRPr="006B0439">
              <w:rPr>
                <w:rFonts w:eastAsia="Calibri"/>
                <w:b/>
                <w:sz w:val="22"/>
                <w:szCs w:val="22"/>
                <w:lang w:val="sr-Latn-RS"/>
              </w:rPr>
              <w:t>zatvora</w:t>
            </w:r>
            <w:r w:rsidR="00801D18" w:rsidRPr="006B0439">
              <w:rPr>
                <w:rFonts w:eastAsia="Calibri"/>
                <w:sz w:val="22"/>
                <w:szCs w:val="22"/>
                <w:lang w:val="sr-Latn-RS"/>
              </w:rPr>
              <w:t xml:space="preserve"> koja se odnosi na irinotekan</w:t>
            </w:r>
            <w:r w:rsidRPr="006B0439">
              <w:rPr>
                <w:rFonts w:eastAsia="Calibri"/>
                <w:sz w:val="22"/>
                <w:szCs w:val="22"/>
                <w:lang w:val="sr-Latn-RS"/>
              </w:rPr>
              <w:t xml:space="preserve"> i/ili loperamid kod 3,4% pacijenata.</w:t>
            </w:r>
          </w:p>
          <w:p w:rsidR="00621F29" w:rsidRPr="006B0439" w:rsidRDefault="00621F29" w:rsidP="006938F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val="sr-Latn-RS"/>
              </w:rPr>
            </w:pPr>
            <w:r w:rsidRPr="006B0439">
              <w:rPr>
                <w:rFonts w:eastAsia="Calibri"/>
                <w:b/>
                <w:sz w:val="22"/>
                <w:szCs w:val="22"/>
                <w:lang w:val="sr-Latn-RS"/>
              </w:rPr>
              <w:t>Neutropenija</w:t>
            </w:r>
            <w:r w:rsidRPr="006B0439">
              <w:rPr>
                <w:rFonts w:eastAsia="Calibri"/>
                <w:sz w:val="22"/>
                <w:szCs w:val="22"/>
                <w:lang w:val="sr-Latn-RS"/>
              </w:rPr>
              <w:t xml:space="preserve"> je </w:t>
            </w:r>
            <w:r w:rsidR="00A67E43" w:rsidRPr="006B0439">
              <w:rPr>
                <w:rFonts w:eastAsia="Calibri"/>
                <w:sz w:val="22"/>
                <w:szCs w:val="22"/>
                <w:lang w:val="sr-Latn-RS"/>
              </w:rPr>
              <w:t>primijećena</w:t>
            </w:r>
            <w:r w:rsidRPr="006B0439">
              <w:rPr>
                <w:rFonts w:eastAsia="Calibri"/>
                <w:sz w:val="22"/>
                <w:szCs w:val="22"/>
                <w:lang w:val="sr-Latn-RS"/>
              </w:rPr>
              <w:t xml:space="preserve"> kod 82,5% pacijenata i bila je teška (broj neutrofila &lt; 500 ćelija/mm</w:t>
            </w:r>
            <w:r w:rsidRPr="006B0439">
              <w:rPr>
                <w:rFonts w:eastAsia="Calibri"/>
                <w:sz w:val="22"/>
                <w:szCs w:val="22"/>
                <w:vertAlign w:val="superscript"/>
                <w:lang w:val="sr-Latn-RS"/>
              </w:rPr>
              <w:t>3</w:t>
            </w:r>
            <w:r w:rsidRPr="006B0439">
              <w:rPr>
                <w:rFonts w:eastAsia="Calibri"/>
                <w:sz w:val="22"/>
                <w:szCs w:val="22"/>
                <w:lang w:val="sr-Latn-RS"/>
              </w:rPr>
              <w:t>) kod 9,8% pacijenata. U 67,3% analiziranih ciklusa broj neutrofila bio je manji od 1000 ćelija/mm</w:t>
            </w:r>
            <w:r w:rsidRPr="006B0439">
              <w:rPr>
                <w:rFonts w:eastAsia="Calibri"/>
                <w:sz w:val="22"/>
                <w:szCs w:val="22"/>
                <w:vertAlign w:val="superscript"/>
                <w:lang w:val="sr-Latn-RS"/>
              </w:rPr>
              <w:t>3</w:t>
            </w:r>
            <w:r w:rsidRPr="006B0439">
              <w:rPr>
                <w:rFonts w:eastAsia="Calibri"/>
                <w:sz w:val="22"/>
                <w:szCs w:val="22"/>
                <w:lang w:val="sr-Latn-RS"/>
              </w:rPr>
              <w:t>, među kojima je i 2,7% ciklusa sa brojem neutrofila koji je manji od 500 ćelija/mm</w:t>
            </w:r>
            <w:r w:rsidRPr="006B0439">
              <w:rPr>
                <w:rFonts w:eastAsia="Calibri"/>
                <w:sz w:val="22"/>
                <w:szCs w:val="22"/>
                <w:vertAlign w:val="superscript"/>
                <w:lang w:val="sr-Latn-RS"/>
              </w:rPr>
              <w:t>3</w:t>
            </w:r>
            <w:r w:rsidRPr="006B0439">
              <w:rPr>
                <w:rFonts w:eastAsia="Calibri"/>
                <w:sz w:val="22"/>
                <w:szCs w:val="22"/>
                <w:lang w:val="sr-Latn-RS"/>
              </w:rPr>
              <w:t>. Do potpunog oporavka dolazilo je tokom 7-8 dana.</w:t>
            </w:r>
          </w:p>
          <w:p w:rsidR="00621F29" w:rsidRPr="006B0439" w:rsidRDefault="00621F29" w:rsidP="006938F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val="sr-Latn-RS"/>
              </w:rPr>
            </w:pPr>
            <w:r w:rsidRPr="006B0439">
              <w:rPr>
                <w:rFonts w:eastAsia="Calibri"/>
                <w:b/>
                <w:sz w:val="22"/>
                <w:szCs w:val="22"/>
                <w:lang w:val="sr-Latn-RS"/>
              </w:rPr>
              <w:t>Povišena temperatura sa teškom neutropenijom</w:t>
            </w:r>
            <w:r w:rsidRPr="006B0439">
              <w:rPr>
                <w:rFonts w:eastAsia="Calibri"/>
                <w:sz w:val="22"/>
                <w:szCs w:val="22"/>
                <w:lang w:val="sr-Latn-RS"/>
              </w:rPr>
              <w:t xml:space="preserve"> </w:t>
            </w:r>
            <w:r w:rsidR="00A67E43" w:rsidRPr="006B0439">
              <w:rPr>
                <w:rFonts w:eastAsia="Calibri"/>
                <w:sz w:val="22"/>
                <w:szCs w:val="22"/>
                <w:lang w:val="sr-Latn-RS"/>
              </w:rPr>
              <w:t>prijavljena</w:t>
            </w:r>
            <w:r w:rsidRPr="006B0439">
              <w:rPr>
                <w:rFonts w:eastAsia="Calibri"/>
                <w:sz w:val="22"/>
                <w:szCs w:val="22"/>
                <w:lang w:val="sr-Latn-RS"/>
              </w:rPr>
              <w:t xml:space="preserve"> je kod 3,4% pacijenata i u 0,9% ciklusa.</w:t>
            </w:r>
          </w:p>
          <w:p w:rsidR="00621F29" w:rsidRPr="006B0439" w:rsidRDefault="00621F29" w:rsidP="006938F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val="sr-Latn-RS"/>
              </w:rPr>
            </w:pPr>
            <w:r w:rsidRPr="006B0439">
              <w:rPr>
                <w:rFonts w:eastAsia="Calibri"/>
                <w:sz w:val="22"/>
                <w:szCs w:val="22"/>
                <w:lang w:val="sr-Latn-RS"/>
              </w:rPr>
              <w:t>Infek</w:t>
            </w:r>
            <w:r w:rsidR="00A67E43" w:rsidRPr="006B0439">
              <w:rPr>
                <w:rFonts w:eastAsia="Calibri"/>
                <w:sz w:val="22"/>
                <w:szCs w:val="22"/>
                <w:lang w:val="sr-Latn-RS"/>
              </w:rPr>
              <w:t>cije su se</w:t>
            </w:r>
            <w:r w:rsidRPr="006B0439">
              <w:rPr>
                <w:rFonts w:eastAsia="Calibri"/>
                <w:sz w:val="22"/>
                <w:szCs w:val="22"/>
                <w:lang w:val="sr-Latn-RS"/>
              </w:rPr>
              <w:t xml:space="preserve"> dešavale kod približno 2% pacijenata (0,5% ciklusa), bile su udružene sa teškom neutropenijom kod oko 2,1% pacijenata (0,5% ciklusa) i završile su se smrtnim ishodom u jednom slučaju.</w:t>
            </w:r>
          </w:p>
          <w:p w:rsidR="00621F29" w:rsidRPr="006B0439" w:rsidRDefault="00621F29" w:rsidP="006938F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val="sr-Latn-RS"/>
              </w:rPr>
            </w:pPr>
            <w:r w:rsidRPr="006B0439">
              <w:rPr>
                <w:rFonts w:eastAsia="Calibri"/>
                <w:b/>
                <w:sz w:val="22"/>
                <w:szCs w:val="22"/>
                <w:lang w:val="sr-Latn-RS"/>
              </w:rPr>
              <w:t>Anemija</w:t>
            </w:r>
            <w:r w:rsidRPr="006B0439">
              <w:rPr>
                <w:rFonts w:eastAsia="Calibri"/>
                <w:sz w:val="22"/>
                <w:szCs w:val="22"/>
                <w:lang w:val="sr-Latn-RS"/>
              </w:rPr>
              <w:t xml:space="preserve"> je </w:t>
            </w:r>
            <w:r w:rsidR="00A67E43" w:rsidRPr="006B0439">
              <w:rPr>
                <w:rFonts w:eastAsia="Calibri"/>
                <w:sz w:val="22"/>
                <w:szCs w:val="22"/>
                <w:lang w:val="sr-Latn-RS"/>
              </w:rPr>
              <w:t>prijavljena</w:t>
            </w:r>
            <w:r w:rsidRPr="006B0439">
              <w:rPr>
                <w:rFonts w:eastAsia="Calibri"/>
                <w:sz w:val="22"/>
                <w:szCs w:val="22"/>
                <w:lang w:val="sr-Latn-RS"/>
              </w:rPr>
              <w:t xml:space="preserve"> kod 97,2% pacijenata (2,1% sa hemoglobinom &lt; 8 g/dl).</w:t>
            </w:r>
          </w:p>
          <w:p w:rsidR="00621F29" w:rsidRPr="006B0439" w:rsidRDefault="00621F29" w:rsidP="006938F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val="sr-Latn-RS"/>
              </w:rPr>
            </w:pPr>
            <w:r w:rsidRPr="006B0439">
              <w:rPr>
                <w:rFonts w:eastAsia="Calibri"/>
                <w:b/>
                <w:sz w:val="22"/>
                <w:szCs w:val="22"/>
                <w:lang w:val="sr-Latn-RS"/>
              </w:rPr>
              <w:t>Trombocitopenija</w:t>
            </w:r>
            <w:r w:rsidRPr="006B0439">
              <w:rPr>
                <w:rFonts w:eastAsia="Calibri"/>
                <w:sz w:val="22"/>
                <w:szCs w:val="22"/>
                <w:lang w:val="sr-Latn-RS"/>
              </w:rPr>
              <w:t xml:space="preserve"> (&lt; 100.000 ćelija/mm</w:t>
            </w:r>
            <w:r w:rsidRPr="006B0439">
              <w:rPr>
                <w:rFonts w:eastAsia="Calibri"/>
                <w:sz w:val="22"/>
                <w:szCs w:val="22"/>
                <w:vertAlign w:val="superscript"/>
                <w:lang w:val="sr-Latn-RS"/>
              </w:rPr>
              <w:t>3</w:t>
            </w:r>
            <w:r w:rsidRPr="006B0439">
              <w:rPr>
                <w:rFonts w:eastAsia="Calibri"/>
                <w:sz w:val="22"/>
                <w:szCs w:val="22"/>
                <w:lang w:val="sr-Latn-RS"/>
              </w:rPr>
              <w:t xml:space="preserve">) </w:t>
            </w:r>
            <w:r w:rsidR="00A67E43" w:rsidRPr="006B0439">
              <w:rPr>
                <w:rFonts w:eastAsia="Calibri"/>
                <w:sz w:val="22"/>
                <w:szCs w:val="22"/>
                <w:lang w:val="sr-Latn-RS"/>
              </w:rPr>
              <w:t>primijećena</w:t>
            </w:r>
            <w:r w:rsidRPr="006B0439">
              <w:rPr>
                <w:rFonts w:eastAsia="Calibri"/>
                <w:sz w:val="22"/>
                <w:szCs w:val="22"/>
                <w:lang w:val="sr-Latn-RS"/>
              </w:rPr>
              <w:t xml:space="preserve"> je kod 32,6% pacijenata i u 21,8% ciklusa. Nije bilo slučajeva teške trombocitopenije (&lt; 50.000 ćelija/mm</w:t>
            </w:r>
            <w:r w:rsidRPr="006B0439">
              <w:rPr>
                <w:rFonts w:eastAsia="Calibri"/>
                <w:sz w:val="22"/>
                <w:szCs w:val="22"/>
                <w:vertAlign w:val="superscript"/>
                <w:lang w:val="sr-Latn-RS"/>
              </w:rPr>
              <w:t>3</w:t>
            </w:r>
            <w:r w:rsidRPr="006B0439">
              <w:rPr>
                <w:rFonts w:eastAsia="Calibri"/>
                <w:sz w:val="22"/>
                <w:szCs w:val="22"/>
                <w:lang w:val="sr-Latn-RS"/>
              </w:rPr>
              <w:t>).</w:t>
            </w:r>
          </w:p>
          <w:p w:rsidR="00621F29" w:rsidRPr="006B0439" w:rsidRDefault="00621F29" w:rsidP="006938F0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  <w:lang w:val="sr-Latn-RS"/>
              </w:rPr>
            </w:pPr>
            <w:r w:rsidRPr="006B0439">
              <w:rPr>
                <w:rFonts w:eastAsia="Calibri"/>
                <w:b/>
                <w:sz w:val="22"/>
                <w:szCs w:val="22"/>
                <w:lang w:val="sr-Latn-RS"/>
              </w:rPr>
              <w:t>Akutni holinergički sindrom</w:t>
            </w:r>
          </w:p>
          <w:p w:rsidR="00AB33AC" w:rsidRPr="006B0439" w:rsidRDefault="00621F29" w:rsidP="006938F0">
            <w:pPr>
              <w:pStyle w:val="Header"/>
              <w:tabs>
                <w:tab w:val="left" w:pos="284"/>
              </w:tabs>
              <w:spacing w:before="80" w:after="80"/>
              <w:jc w:val="both"/>
              <w:rPr>
                <w:rFonts w:eastAsia="Calibri"/>
                <w:sz w:val="22"/>
                <w:szCs w:val="22"/>
                <w:lang w:val="sr-Latn-RS"/>
              </w:rPr>
            </w:pPr>
            <w:r w:rsidRPr="006B0439">
              <w:rPr>
                <w:rFonts w:eastAsia="Calibri"/>
                <w:sz w:val="22"/>
                <w:szCs w:val="22"/>
                <w:lang w:val="sr-Latn-RS"/>
              </w:rPr>
              <w:t xml:space="preserve">Težak akutni holinergički sindrom prolaznog karaktera </w:t>
            </w:r>
            <w:r w:rsidR="00A67E43" w:rsidRPr="006B0439">
              <w:rPr>
                <w:rFonts w:eastAsia="Calibri"/>
                <w:sz w:val="22"/>
                <w:szCs w:val="22"/>
                <w:lang w:val="sr-Latn-RS"/>
              </w:rPr>
              <w:t>primijećen</w:t>
            </w:r>
            <w:r w:rsidRPr="006B0439">
              <w:rPr>
                <w:rFonts w:eastAsia="Calibri"/>
                <w:sz w:val="22"/>
                <w:szCs w:val="22"/>
                <w:lang w:val="sr-Latn-RS"/>
              </w:rPr>
              <w:t xml:space="preserve"> je kod 1,4% pacijenata na kombinovanoj terapiji.</w:t>
            </w:r>
            <w:r w:rsidRPr="006B0439">
              <w:rPr>
                <w:rFonts w:eastAsia="Calibri"/>
                <w:b/>
                <w:sz w:val="22"/>
                <w:szCs w:val="22"/>
                <w:lang w:val="sr-Latn-RS"/>
              </w:rPr>
              <w:t>Astenija</w:t>
            </w:r>
            <w:r w:rsidRPr="006B0439">
              <w:rPr>
                <w:rFonts w:eastAsia="Calibri"/>
                <w:sz w:val="22"/>
                <w:szCs w:val="22"/>
                <w:lang w:val="sr-Latn-RS"/>
              </w:rPr>
              <w:t xml:space="preserve"> je bila teška kod 6,2% pacijenata sa kombinovanom terapijom. Uzročna veza sa lijekom IRITEC nije bila jasno utvrđena. </w:t>
            </w:r>
          </w:p>
          <w:p w:rsidR="00621F29" w:rsidRPr="006B0439" w:rsidRDefault="00621F29" w:rsidP="006938F0">
            <w:pPr>
              <w:pStyle w:val="Header"/>
              <w:tabs>
                <w:tab w:val="left" w:pos="284"/>
              </w:tabs>
              <w:spacing w:before="80" w:after="80"/>
              <w:jc w:val="both"/>
              <w:rPr>
                <w:rFonts w:eastAsia="Calibri"/>
                <w:sz w:val="22"/>
                <w:szCs w:val="22"/>
                <w:lang w:val="sr-Latn-RS"/>
              </w:rPr>
            </w:pPr>
            <w:r w:rsidRPr="006B0439">
              <w:rPr>
                <w:rFonts w:eastAsia="Calibri"/>
                <w:b/>
                <w:sz w:val="22"/>
                <w:szCs w:val="22"/>
                <w:lang w:val="sr-Latn-RS"/>
              </w:rPr>
              <w:t>Groznica u odsustvu infekcije</w:t>
            </w:r>
            <w:r w:rsidRPr="006B0439">
              <w:rPr>
                <w:rFonts w:eastAsia="Calibri"/>
                <w:sz w:val="22"/>
                <w:szCs w:val="22"/>
                <w:lang w:val="sr-Latn-RS"/>
              </w:rPr>
              <w:t xml:space="preserve"> i bez prateće neutropenije </w:t>
            </w:r>
            <w:r w:rsidR="002E4BC0" w:rsidRPr="006B0439">
              <w:rPr>
                <w:rFonts w:eastAsia="Calibri"/>
                <w:sz w:val="22"/>
                <w:szCs w:val="22"/>
                <w:lang w:val="sr-Latn-RS"/>
              </w:rPr>
              <w:t>javila se</w:t>
            </w:r>
            <w:r w:rsidRPr="006B0439">
              <w:rPr>
                <w:rFonts w:eastAsia="Calibri"/>
                <w:sz w:val="22"/>
                <w:szCs w:val="22"/>
                <w:lang w:val="sr-Latn-RS"/>
              </w:rPr>
              <w:t xml:space="preserve"> kod 6,2% pacijenata sa kombinovanom terapijom.</w:t>
            </w:r>
          </w:p>
          <w:p w:rsidR="00621F29" w:rsidRPr="006B0439" w:rsidRDefault="00621F29" w:rsidP="006938F0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  <w:lang w:val="sr-Latn-RS"/>
              </w:rPr>
            </w:pPr>
            <w:r w:rsidRPr="006B0439">
              <w:rPr>
                <w:rFonts w:eastAsia="Calibri"/>
                <w:b/>
                <w:sz w:val="22"/>
                <w:szCs w:val="22"/>
                <w:lang w:val="sr-Latn-RS"/>
              </w:rPr>
              <w:t>Laboratorijska ispitivanja</w:t>
            </w:r>
          </w:p>
          <w:p w:rsidR="00621F29" w:rsidRPr="006B0439" w:rsidRDefault="00621F29" w:rsidP="006938F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val="sr-Latn-RS"/>
              </w:rPr>
            </w:pPr>
            <w:r w:rsidRPr="006B0439">
              <w:rPr>
                <w:rFonts w:eastAsia="Calibri"/>
                <w:sz w:val="22"/>
                <w:szCs w:val="22"/>
                <w:lang w:val="sr-Latn-RS"/>
              </w:rPr>
              <w:t xml:space="preserve">U odsustvu progresivnih metastaza u jetri, </w:t>
            </w:r>
            <w:r w:rsidR="002E4BC0" w:rsidRPr="006B0439">
              <w:rPr>
                <w:rFonts w:eastAsia="Calibri"/>
                <w:sz w:val="22"/>
                <w:szCs w:val="22"/>
                <w:lang w:val="sr-Latn-RS"/>
              </w:rPr>
              <w:t>primijećen</w:t>
            </w:r>
            <w:r w:rsidRPr="006B0439">
              <w:rPr>
                <w:rFonts w:eastAsia="Calibri"/>
                <w:sz w:val="22"/>
                <w:szCs w:val="22"/>
                <w:lang w:val="sr-Latn-RS"/>
              </w:rPr>
              <w:t xml:space="preserve"> je prolazni porast (1. i 2. stepen) nivoa ALT (kod 15% pacijenata), AST (11%), alkalne fosfataze (11%) ili bilirubina (10%) u serumu. Prolazni porast istih </w:t>
            </w:r>
            <w:r w:rsidRPr="006B0439">
              <w:rPr>
                <w:rFonts w:eastAsia="Calibri"/>
                <w:sz w:val="22"/>
                <w:szCs w:val="22"/>
                <w:lang w:val="sr-Latn-RS"/>
              </w:rPr>
              <w:lastRenderedPageBreak/>
              <w:t>vrijednosti 3. stepena zabilježen je, redom, kod 0%, 0%, 0% i 1% pacijenata, dok porasta ovih vrijednosti 4. stepena nije bilo.</w:t>
            </w:r>
          </w:p>
          <w:p w:rsidR="00621F29" w:rsidRPr="006B0439" w:rsidRDefault="00621F29" w:rsidP="006938F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val="sr-Latn-RS"/>
              </w:rPr>
            </w:pPr>
            <w:r w:rsidRPr="006B0439">
              <w:rPr>
                <w:rFonts w:eastAsia="Calibri"/>
                <w:sz w:val="22"/>
                <w:szCs w:val="22"/>
                <w:lang w:val="sr-Latn-RS"/>
              </w:rPr>
              <w:t xml:space="preserve">Porast nivoa amilaze i/ili lipaze </w:t>
            </w:r>
            <w:r w:rsidR="002E4BC0" w:rsidRPr="006B0439">
              <w:rPr>
                <w:rFonts w:eastAsia="Calibri"/>
                <w:sz w:val="22"/>
                <w:szCs w:val="22"/>
                <w:lang w:val="sr-Latn-RS"/>
              </w:rPr>
              <w:t>prijavljen</w:t>
            </w:r>
            <w:r w:rsidRPr="006B0439">
              <w:rPr>
                <w:rFonts w:eastAsia="Calibri"/>
                <w:sz w:val="22"/>
                <w:szCs w:val="22"/>
                <w:lang w:val="sr-Latn-RS"/>
              </w:rPr>
              <w:t xml:space="preserve"> je veoma rijetko.</w:t>
            </w:r>
          </w:p>
          <w:p w:rsidR="00621F29" w:rsidRPr="006B0439" w:rsidRDefault="00621F29" w:rsidP="006938F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val="sr-Latn-RS"/>
              </w:rPr>
            </w:pPr>
            <w:r w:rsidRPr="006B0439">
              <w:rPr>
                <w:rFonts w:eastAsia="Calibri"/>
                <w:sz w:val="22"/>
                <w:szCs w:val="22"/>
                <w:lang w:val="sr-Latn-RS"/>
              </w:rPr>
              <w:t>Opisani su i rijetki slučajevi hipokalemije i hiponatremije, uglavnom u vezi sa dijarejom i povraćanjem.</w:t>
            </w:r>
          </w:p>
          <w:p w:rsidR="00621F29" w:rsidRPr="006B0439" w:rsidRDefault="00621F29" w:rsidP="00621F29">
            <w:pPr>
              <w:pStyle w:val="Header"/>
              <w:spacing w:before="80" w:after="80"/>
              <w:rPr>
                <w:rFonts w:eastAsia="Calibri"/>
                <w:sz w:val="22"/>
                <w:szCs w:val="22"/>
                <w:lang w:val="sr-Latn-RS"/>
              </w:rPr>
            </w:pPr>
          </w:p>
          <w:p w:rsidR="00621F29" w:rsidRPr="006B0439" w:rsidRDefault="00621F29" w:rsidP="00621F29">
            <w:pPr>
              <w:pStyle w:val="Header"/>
              <w:spacing w:before="80" w:after="80"/>
              <w:rPr>
                <w:rFonts w:eastAsia="Calibri"/>
                <w:sz w:val="22"/>
                <w:szCs w:val="22"/>
                <w:lang w:val="sr-Latn-RS"/>
              </w:rPr>
            </w:pPr>
            <w:r w:rsidRPr="006B0439">
              <w:rPr>
                <w:rFonts w:eastAsia="Calibri"/>
                <w:sz w:val="22"/>
                <w:szCs w:val="22"/>
                <w:lang w:val="sr-Latn-RS"/>
              </w:rPr>
              <w:t>OSTALE NEŽELJENE REAKCIJE PRIJAVLJENE TOKOM KLINIČKIH ISPITIVANJ</w:t>
            </w:r>
            <w:r w:rsidR="006938F0" w:rsidRPr="006B0439">
              <w:rPr>
                <w:rFonts w:eastAsia="Calibri"/>
                <w:sz w:val="22"/>
                <w:szCs w:val="22"/>
                <w:lang w:val="sr-Latn-RS"/>
              </w:rPr>
              <w:t>A SA NEDELJNIM REŽIMOM ZA IRINOTEKAN</w:t>
            </w:r>
          </w:p>
          <w:p w:rsidR="006938F0" w:rsidRPr="006B0439" w:rsidRDefault="006938F0" w:rsidP="00621F29">
            <w:pPr>
              <w:pStyle w:val="Header"/>
              <w:spacing w:before="80" w:after="80"/>
              <w:rPr>
                <w:rFonts w:eastAsia="Calibri"/>
                <w:sz w:val="22"/>
                <w:szCs w:val="22"/>
                <w:lang w:val="sr-Latn-RS"/>
              </w:rPr>
            </w:pPr>
          </w:p>
          <w:p w:rsidR="00621F29" w:rsidRPr="006B0439" w:rsidRDefault="00621F29" w:rsidP="00982DE4">
            <w:pPr>
              <w:pStyle w:val="Header"/>
              <w:tabs>
                <w:tab w:val="left" w:pos="284"/>
              </w:tabs>
              <w:spacing w:before="80" w:after="80"/>
              <w:ind w:right="34"/>
              <w:jc w:val="both"/>
              <w:rPr>
                <w:rFonts w:eastAsia="Calibri"/>
                <w:sz w:val="22"/>
                <w:szCs w:val="22"/>
                <w:lang w:val="sr-Latn-RS"/>
              </w:rPr>
            </w:pPr>
            <w:r w:rsidRPr="006B0439">
              <w:rPr>
                <w:rFonts w:eastAsia="Calibri"/>
                <w:sz w:val="22"/>
                <w:szCs w:val="22"/>
                <w:lang w:val="sr-Latn-RS"/>
              </w:rPr>
              <w:t>Slijedeće neželjene reakcije su zabilježene u kliničkim ispitivanjima u vezi sa primjenom lijeka irinotekan: bol, sepsa, rektalni poremećaj, GI monilija, hipomagnezinemija, osip, prom</w:t>
            </w:r>
            <w:r w:rsidR="002877AF" w:rsidRPr="006B0439">
              <w:rPr>
                <w:rFonts w:eastAsia="Calibri"/>
                <w:sz w:val="22"/>
                <w:szCs w:val="22"/>
                <w:lang w:val="sr-Latn-RS"/>
              </w:rPr>
              <w:t>j</w:t>
            </w:r>
            <w:r w:rsidRPr="006B0439">
              <w:rPr>
                <w:rFonts w:eastAsia="Calibri"/>
                <w:sz w:val="22"/>
                <w:szCs w:val="22"/>
                <w:lang w:val="sr-Latn-RS"/>
              </w:rPr>
              <w:t>ene na koži,  nenormalan hod, konfuzija, glavobolja, sinkopa, crvenilo, bradikardija, infekcije</w:t>
            </w:r>
            <w:r w:rsidR="006938F0" w:rsidRPr="006B0439">
              <w:rPr>
                <w:rFonts w:eastAsia="Calibri"/>
                <w:sz w:val="22"/>
                <w:szCs w:val="22"/>
                <w:lang w:val="sr-Latn-RS"/>
              </w:rPr>
              <w:t xml:space="preserve"> urinarnog trakta, bol u dojakama</w:t>
            </w:r>
            <w:r w:rsidRPr="006B0439">
              <w:rPr>
                <w:rFonts w:eastAsia="Calibri"/>
                <w:sz w:val="22"/>
                <w:szCs w:val="22"/>
                <w:lang w:val="sr-Latn-RS"/>
              </w:rPr>
              <w:t>, povećana GGTP, ekstravazacija, i sindrom lize tumora, kardiovaskularni poremećaji (angina pektoris, zastoj srca, infarkt miokarda, ishemiju miokarda, periferni vaskularni poremećaji, vaskularni poremećaji), i tromboembolijski događaji (arterijska tromboza, cerebralna infarkcija, cerebrovaskularni akcident, dubok</w:t>
            </w:r>
            <w:r w:rsidR="002E4BC0" w:rsidRPr="006B0439">
              <w:rPr>
                <w:rFonts w:eastAsia="Calibri"/>
                <w:sz w:val="22"/>
                <w:szCs w:val="22"/>
                <w:lang w:val="sr-Latn-RS"/>
              </w:rPr>
              <w:t>a venska tromboza</w:t>
            </w:r>
            <w:r w:rsidRPr="006B0439">
              <w:rPr>
                <w:rFonts w:eastAsia="Calibri"/>
                <w:sz w:val="22"/>
                <w:szCs w:val="22"/>
                <w:lang w:val="sr-Latn-RS"/>
              </w:rPr>
              <w:t>, embolija donjih ekstremiteta, plućna embolija, tromboflebit</w:t>
            </w:r>
            <w:r w:rsidR="006938F0" w:rsidRPr="006B0439">
              <w:rPr>
                <w:rFonts w:eastAsia="Calibri"/>
                <w:sz w:val="22"/>
                <w:szCs w:val="22"/>
                <w:lang w:val="sr-Latn-RS"/>
              </w:rPr>
              <w:t>is, tromboza, i iznenadna smrt)</w:t>
            </w:r>
            <w:r w:rsidRPr="006B0439">
              <w:rPr>
                <w:rFonts w:eastAsia="Calibri"/>
                <w:sz w:val="22"/>
                <w:szCs w:val="22"/>
                <w:lang w:val="sr-Latn-RS"/>
              </w:rPr>
              <w:t xml:space="preserve"> (Vidjeti </w:t>
            </w:r>
            <w:r w:rsidR="002877AF" w:rsidRPr="006B0439">
              <w:rPr>
                <w:rFonts w:eastAsia="Calibri"/>
                <w:sz w:val="22"/>
                <w:szCs w:val="22"/>
                <w:lang w:val="sr-Latn-RS"/>
              </w:rPr>
              <w:t xml:space="preserve">dio </w:t>
            </w:r>
            <w:r w:rsidRPr="006B0439">
              <w:rPr>
                <w:rFonts w:eastAsia="Calibri"/>
                <w:sz w:val="22"/>
                <w:szCs w:val="22"/>
                <w:lang w:val="sr-Latn-RS"/>
              </w:rPr>
              <w:t>4.4.)</w:t>
            </w:r>
            <w:r w:rsidR="006938F0" w:rsidRPr="006B0439">
              <w:rPr>
                <w:rFonts w:eastAsia="Calibri"/>
                <w:sz w:val="22"/>
                <w:szCs w:val="22"/>
                <w:lang w:val="sr-Latn-RS"/>
              </w:rPr>
              <w:t>.</w:t>
            </w:r>
          </w:p>
          <w:p w:rsidR="00621F29" w:rsidRPr="006B0439" w:rsidRDefault="00621F29" w:rsidP="00621F29">
            <w:pPr>
              <w:pStyle w:val="Header"/>
              <w:tabs>
                <w:tab w:val="left" w:pos="284"/>
              </w:tabs>
              <w:spacing w:before="80" w:after="80"/>
              <w:rPr>
                <w:rFonts w:eastAsia="Calibri"/>
                <w:sz w:val="22"/>
                <w:szCs w:val="22"/>
                <w:lang w:val="sr-Latn-RS"/>
              </w:rPr>
            </w:pPr>
          </w:p>
          <w:p w:rsidR="00621F29" w:rsidRPr="006B0439" w:rsidRDefault="00621F29" w:rsidP="00621F29">
            <w:pPr>
              <w:pStyle w:val="Header"/>
              <w:tabs>
                <w:tab w:val="left" w:pos="284"/>
              </w:tabs>
              <w:spacing w:before="80" w:after="80"/>
              <w:rPr>
                <w:rFonts w:eastAsia="Calibri"/>
                <w:b/>
                <w:sz w:val="22"/>
                <w:szCs w:val="22"/>
                <w:lang w:val="sr-Latn-RS"/>
              </w:rPr>
            </w:pPr>
            <w:r w:rsidRPr="006B0439">
              <w:rPr>
                <w:rFonts w:eastAsia="Calibri"/>
                <w:b/>
                <w:sz w:val="22"/>
                <w:szCs w:val="22"/>
                <w:lang w:val="sr-Latn-RS"/>
              </w:rPr>
              <w:t>POSTMARKETINŠKO PRAĆENJE</w:t>
            </w:r>
          </w:p>
          <w:p w:rsidR="00621F29" w:rsidRPr="006B0439" w:rsidRDefault="00621F29" w:rsidP="00621F29">
            <w:pPr>
              <w:pStyle w:val="Header"/>
              <w:tabs>
                <w:tab w:val="left" w:pos="284"/>
              </w:tabs>
              <w:spacing w:before="80" w:after="80"/>
              <w:rPr>
                <w:rFonts w:eastAsia="Calibri"/>
                <w:sz w:val="22"/>
                <w:szCs w:val="22"/>
                <w:lang w:val="sr-Latn-RS"/>
              </w:rPr>
            </w:pPr>
            <w:r w:rsidRPr="006B0439">
              <w:rPr>
                <w:rFonts w:eastAsia="Calibri"/>
                <w:sz w:val="22"/>
                <w:szCs w:val="22"/>
                <w:lang w:val="sr-Latn-RS"/>
              </w:rPr>
              <w:t>Učestalosti neželjenih reakcija prijavljenih prilikom postmarketinškog praćenja nisu poznate ( ne mogu se proc</w:t>
            </w:r>
            <w:r w:rsidR="002877AF" w:rsidRPr="006B0439">
              <w:rPr>
                <w:rFonts w:eastAsia="Calibri"/>
                <w:sz w:val="22"/>
                <w:szCs w:val="22"/>
                <w:lang w:val="sr-Latn-RS"/>
              </w:rPr>
              <w:t>ij</w:t>
            </w:r>
            <w:r w:rsidRPr="006B0439">
              <w:rPr>
                <w:rFonts w:eastAsia="Calibri"/>
                <w:sz w:val="22"/>
                <w:szCs w:val="22"/>
                <w:lang w:val="sr-Latn-RS"/>
              </w:rPr>
              <w:t>eniti na osnovu dostupnih podataka).</w:t>
            </w:r>
          </w:p>
          <w:p w:rsidR="00621F29" w:rsidRPr="006B0439" w:rsidRDefault="00621F29" w:rsidP="00621F29">
            <w:pPr>
              <w:pStyle w:val="Header"/>
              <w:tabs>
                <w:tab w:val="left" w:pos="284"/>
              </w:tabs>
              <w:spacing w:before="80" w:after="80"/>
              <w:rPr>
                <w:rFonts w:eastAsia="Calibri"/>
                <w:sz w:val="22"/>
                <w:szCs w:val="22"/>
                <w:lang w:val="sr-Latn-RS"/>
              </w:rPr>
            </w:pPr>
          </w:p>
        </w:tc>
      </w:tr>
      <w:tr w:rsidR="00621F29" w:rsidRPr="006B0439" w:rsidTr="006B0439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30" w:type="dxa"/>
            <w:left w:w="30" w:type="dxa"/>
            <w:bottom w:w="30" w:type="dxa"/>
            <w:right w:w="30" w:type="dxa"/>
          </w:tblCellMar>
          <w:tblLook w:val="04A0" w:firstRow="1" w:lastRow="0" w:firstColumn="1" w:lastColumn="0" w:noHBand="0" w:noVBand="1"/>
        </w:tblPrEx>
        <w:trPr>
          <w:gridBefore w:val="2"/>
          <w:wBefore w:w="97" w:type="dxa"/>
          <w:tblCellSpacing w:w="0" w:type="dxa"/>
        </w:trPr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F29" w:rsidRPr="006B0439" w:rsidRDefault="00621F29" w:rsidP="00621F29">
            <w:pPr>
              <w:pStyle w:val="NormalWeb"/>
              <w:rPr>
                <w:rFonts w:eastAsia="Calibri"/>
                <w:b/>
                <w:sz w:val="22"/>
                <w:szCs w:val="22"/>
                <w:lang w:val="sr-Latn-RS"/>
              </w:rPr>
            </w:pPr>
            <w:r w:rsidRPr="006B0439">
              <w:rPr>
                <w:rFonts w:eastAsia="Calibri"/>
                <w:b/>
                <w:sz w:val="22"/>
                <w:szCs w:val="22"/>
                <w:lang w:val="sr-Latn-RS"/>
              </w:rPr>
              <w:lastRenderedPageBreak/>
              <w:t xml:space="preserve">MedDRA Sistem Klasifikacije Organa </w:t>
            </w:r>
          </w:p>
        </w:tc>
        <w:tc>
          <w:tcPr>
            <w:tcW w:w="65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F29" w:rsidRPr="006B0439" w:rsidRDefault="00621F29" w:rsidP="00621F29">
            <w:pPr>
              <w:pStyle w:val="NormalWeb"/>
              <w:rPr>
                <w:rFonts w:eastAsia="Calibri"/>
                <w:b/>
                <w:sz w:val="22"/>
                <w:szCs w:val="22"/>
                <w:lang w:val="sr-Latn-RS"/>
              </w:rPr>
            </w:pPr>
            <w:r w:rsidRPr="006B0439">
              <w:rPr>
                <w:rFonts w:eastAsia="Calibri"/>
                <w:b/>
                <w:sz w:val="22"/>
                <w:szCs w:val="22"/>
                <w:lang w:val="sr-Latn-RS"/>
              </w:rPr>
              <w:t>Neželjena reakcija</w:t>
            </w:r>
          </w:p>
        </w:tc>
      </w:tr>
      <w:tr w:rsidR="00621F29" w:rsidRPr="006B0439" w:rsidTr="006B0439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30" w:type="dxa"/>
            <w:left w:w="30" w:type="dxa"/>
            <w:bottom w:w="30" w:type="dxa"/>
            <w:right w:w="30" w:type="dxa"/>
          </w:tblCellMar>
          <w:tblLook w:val="04A0" w:firstRow="1" w:lastRow="0" w:firstColumn="1" w:lastColumn="0" w:noHBand="0" w:noVBand="1"/>
        </w:tblPrEx>
        <w:trPr>
          <w:gridBefore w:val="2"/>
          <w:wBefore w:w="97" w:type="dxa"/>
          <w:trHeight w:val="1275"/>
          <w:tblCellSpacing w:w="0" w:type="dxa"/>
        </w:trPr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F29" w:rsidRPr="006B0439" w:rsidRDefault="00621F29" w:rsidP="00621F29">
            <w:pPr>
              <w:pStyle w:val="NormalWeb"/>
              <w:rPr>
                <w:rFonts w:eastAsia="Calibri"/>
                <w:sz w:val="22"/>
                <w:szCs w:val="22"/>
                <w:lang w:val="sr-Latn-RS"/>
              </w:rPr>
            </w:pPr>
            <w:r w:rsidRPr="006B0439">
              <w:rPr>
                <w:rFonts w:eastAsia="Calibri"/>
                <w:sz w:val="22"/>
                <w:szCs w:val="22"/>
                <w:lang w:val="sr-Latn-RS"/>
              </w:rPr>
              <w:t>Infekcije i infestacije</w:t>
            </w:r>
          </w:p>
        </w:tc>
        <w:tc>
          <w:tcPr>
            <w:tcW w:w="65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F29" w:rsidRPr="006B0439" w:rsidRDefault="00621F29" w:rsidP="00621F29">
            <w:pPr>
              <w:pStyle w:val="NormalWeb"/>
              <w:rPr>
                <w:rFonts w:eastAsia="Calibri"/>
                <w:sz w:val="22"/>
                <w:szCs w:val="22"/>
                <w:lang w:val="sr-Latn-RS"/>
              </w:rPr>
            </w:pPr>
            <w:r w:rsidRPr="006B0439">
              <w:rPr>
                <w:rFonts w:eastAsia="Calibri"/>
                <w:sz w:val="22"/>
                <w:szCs w:val="22"/>
                <w:lang w:val="sr-Latn-RS"/>
              </w:rPr>
              <w:t>• Pseudomembranski kolitis</w:t>
            </w:r>
            <w:r w:rsidR="006938F0" w:rsidRPr="006B0439">
              <w:rPr>
                <w:rFonts w:eastAsia="Calibri"/>
                <w:sz w:val="22"/>
                <w:szCs w:val="22"/>
                <w:lang w:val="sr-Latn-RS"/>
              </w:rPr>
              <w:t>, pri čemu je</w:t>
            </w:r>
            <w:r w:rsidRPr="006B0439">
              <w:rPr>
                <w:rFonts w:eastAsia="Calibri"/>
                <w:sz w:val="22"/>
                <w:szCs w:val="22"/>
                <w:lang w:val="sr-Latn-RS"/>
              </w:rPr>
              <w:t xml:space="preserve"> jedan slučaj dokumentovan bakteriološki </w:t>
            </w:r>
            <w:r w:rsidR="006938F0" w:rsidRPr="006B0439">
              <w:rPr>
                <w:rFonts w:eastAsia="Calibri"/>
                <w:sz w:val="22"/>
                <w:szCs w:val="22"/>
                <w:lang w:val="sr-Latn-RS"/>
              </w:rPr>
              <w:t>(</w:t>
            </w:r>
            <w:r w:rsidRPr="006B0439">
              <w:rPr>
                <w:rFonts w:eastAsia="Calibri"/>
                <w:i/>
                <w:sz w:val="22"/>
                <w:szCs w:val="22"/>
                <w:lang w:val="sr-Latn-RS"/>
              </w:rPr>
              <w:t>Clostridium difficile</w:t>
            </w:r>
            <w:r w:rsidR="006938F0" w:rsidRPr="006B0439">
              <w:rPr>
                <w:rFonts w:eastAsia="Calibri"/>
                <w:sz w:val="22"/>
                <w:szCs w:val="22"/>
                <w:lang w:val="sr-Latn-RS"/>
              </w:rPr>
              <w:t>)</w:t>
            </w:r>
            <w:r w:rsidRPr="006B0439">
              <w:rPr>
                <w:rFonts w:eastAsia="Calibri"/>
                <w:sz w:val="22"/>
                <w:szCs w:val="22"/>
                <w:lang w:val="sr-Latn-RS"/>
              </w:rPr>
              <w:t xml:space="preserve"> </w:t>
            </w:r>
          </w:p>
          <w:p w:rsidR="00621F29" w:rsidRPr="006B0439" w:rsidRDefault="00621F29" w:rsidP="006938F0">
            <w:pPr>
              <w:pStyle w:val="NormalWeb"/>
              <w:numPr>
                <w:ilvl w:val="0"/>
                <w:numId w:val="15"/>
              </w:numPr>
              <w:ind w:left="130" w:hanging="130"/>
              <w:rPr>
                <w:rFonts w:eastAsia="Calibri"/>
                <w:sz w:val="22"/>
                <w:szCs w:val="22"/>
                <w:lang w:val="sr-Latn-RS"/>
              </w:rPr>
            </w:pPr>
            <w:r w:rsidRPr="006B0439">
              <w:rPr>
                <w:rFonts w:eastAsia="Calibri"/>
                <w:sz w:val="22"/>
                <w:szCs w:val="22"/>
                <w:lang w:val="sr-Latn-RS"/>
              </w:rPr>
              <w:t>Sepsa</w:t>
            </w:r>
          </w:p>
        </w:tc>
      </w:tr>
      <w:tr w:rsidR="00621F29" w:rsidRPr="006B0439" w:rsidTr="006B0439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30" w:type="dxa"/>
            <w:left w:w="30" w:type="dxa"/>
            <w:bottom w:w="30" w:type="dxa"/>
            <w:right w:w="30" w:type="dxa"/>
          </w:tblCellMar>
          <w:tblLook w:val="04A0" w:firstRow="1" w:lastRow="0" w:firstColumn="1" w:lastColumn="0" w:noHBand="0" w:noVBand="1"/>
        </w:tblPrEx>
        <w:trPr>
          <w:gridBefore w:val="2"/>
          <w:wBefore w:w="97" w:type="dxa"/>
          <w:tblCellSpacing w:w="0" w:type="dxa"/>
        </w:trPr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F29" w:rsidRPr="006B0439" w:rsidRDefault="00621F29" w:rsidP="00621F29">
            <w:pPr>
              <w:pStyle w:val="NormalWeb"/>
              <w:rPr>
                <w:rFonts w:eastAsia="Calibri"/>
                <w:sz w:val="22"/>
                <w:szCs w:val="22"/>
                <w:lang w:val="sr-Latn-RS"/>
              </w:rPr>
            </w:pPr>
            <w:r w:rsidRPr="006B0439">
              <w:rPr>
                <w:rFonts w:eastAsia="Calibri"/>
                <w:sz w:val="22"/>
                <w:szCs w:val="22"/>
                <w:lang w:val="sr-Latn-RS"/>
              </w:rPr>
              <w:t>Poremećaji na nivou  krvi i limfnog sistema</w:t>
            </w:r>
          </w:p>
        </w:tc>
        <w:tc>
          <w:tcPr>
            <w:tcW w:w="65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F29" w:rsidRPr="006B0439" w:rsidRDefault="00621F29" w:rsidP="00621F29">
            <w:pPr>
              <w:pStyle w:val="NormalWeb"/>
              <w:rPr>
                <w:rFonts w:eastAsia="Calibri"/>
                <w:sz w:val="22"/>
                <w:szCs w:val="22"/>
                <w:lang w:val="sr-Latn-RS"/>
              </w:rPr>
            </w:pPr>
            <w:r w:rsidRPr="006B0439">
              <w:rPr>
                <w:rFonts w:eastAsia="Calibri"/>
                <w:sz w:val="22"/>
                <w:szCs w:val="22"/>
                <w:lang w:val="sr-Latn-RS"/>
              </w:rPr>
              <w:t>• Periferna trombocitopenija sa antitrombocitnim antit</w:t>
            </w:r>
            <w:r w:rsidR="006938F0" w:rsidRPr="006B0439">
              <w:rPr>
                <w:rFonts w:eastAsia="Calibri"/>
                <w:sz w:val="22"/>
                <w:szCs w:val="22"/>
                <w:lang w:val="sr-Latn-RS"/>
              </w:rPr>
              <w:t>ij</w:t>
            </w:r>
            <w:r w:rsidRPr="006B0439">
              <w:rPr>
                <w:rFonts w:eastAsia="Calibri"/>
                <w:sz w:val="22"/>
                <w:szCs w:val="22"/>
                <w:lang w:val="sr-Latn-RS"/>
              </w:rPr>
              <w:t>elima</w:t>
            </w:r>
          </w:p>
        </w:tc>
      </w:tr>
      <w:tr w:rsidR="00621F29" w:rsidRPr="006B0439" w:rsidTr="006B0439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30" w:type="dxa"/>
            <w:left w:w="30" w:type="dxa"/>
            <w:bottom w:w="30" w:type="dxa"/>
            <w:right w:w="30" w:type="dxa"/>
          </w:tblCellMar>
          <w:tblLook w:val="04A0" w:firstRow="1" w:lastRow="0" w:firstColumn="1" w:lastColumn="0" w:noHBand="0" w:noVBand="1"/>
        </w:tblPrEx>
        <w:trPr>
          <w:gridBefore w:val="2"/>
          <w:wBefore w:w="97" w:type="dxa"/>
          <w:tblCellSpacing w:w="0" w:type="dxa"/>
        </w:trPr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F29" w:rsidRPr="006B0439" w:rsidRDefault="00621F29" w:rsidP="00621F29">
            <w:pPr>
              <w:pStyle w:val="NormalWeb"/>
              <w:rPr>
                <w:rFonts w:eastAsia="Calibri"/>
                <w:sz w:val="22"/>
                <w:szCs w:val="22"/>
                <w:lang w:val="sr-Latn-RS"/>
              </w:rPr>
            </w:pPr>
            <w:r w:rsidRPr="006B0439">
              <w:rPr>
                <w:rFonts w:eastAsia="Calibri"/>
                <w:sz w:val="22"/>
                <w:szCs w:val="22"/>
                <w:lang w:val="sr-Latn-RS"/>
              </w:rPr>
              <w:t>Poremećaji metabolizma i ishrane</w:t>
            </w:r>
          </w:p>
        </w:tc>
        <w:tc>
          <w:tcPr>
            <w:tcW w:w="65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F29" w:rsidRPr="006B0439" w:rsidRDefault="00621F29" w:rsidP="00621F29">
            <w:pPr>
              <w:pStyle w:val="NormalWeb"/>
              <w:rPr>
                <w:rFonts w:eastAsia="Calibri"/>
                <w:sz w:val="22"/>
                <w:szCs w:val="22"/>
                <w:lang w:val="sr-Latn-RS"/>
              </w:rPr>
            </w:pPr>
            <w:r w:rsidRPr="006B0439">
              <w:rPr>
                <w:rFonts w:eastAsia="Calibri"/>
                <w:sz w:val="22"/>
                <w:szCs w:val="22"/>
                <w:lang w:val="sr-Latn-RS"/>
              </w:rPr>
              <w:t>• Dehidratacija (usl</w:t>
            </w:r>
            <w:r w:rsidR="002877AF" w:rsidRPr="006B0439">
              <w:rPr>
                <w:rFonts w:eastAsia="Calibri"/>
                <w:sz w:val="22"/>
                <w:szCs w:val="22"/>
                <w:lang w:val="sr-Latn-RS"/>
              </w:rPr>
              <w:t>j</w:t>
            </w:r>
            <w:r w:rsidRPr="006B0439">
              <w:rPr>
                <w:rFonts w:eastAsia="Calibri"/>
                <w:sz w:val="22"/>
                <w:szCs w:val="22"/>
                <w:lang w:val="sr-Latn-RS"/>
              </w:rPr>
              <w:t xml:space="preserve">ed dijareje i povraćanja) </w:t>
            </w:r>
          </w:p>
          <w:p w:rsidR="00621F29" w:rsidRPr="006B0439" w:rsidRDefault="00621F29" w:rsidP="00621F29">
            <w:pPr>
              <w:pStyle w:val="NormalWeb"/>
              <w:rPr>
                <w:rFonts w:eastAsia="Calibri"/>
                <w:sz w:val="22"/>
                <w:szCs w:val="22"/>
                <w:lang w:val="sr-Latn-RS"/>
              </w:rPr>
            </w:pPr>
            <w:r w:rsidRPr="006B0439">
              <w:rPr>
                <w:rFonts w:eastAsia="Calibri"/>
                <w:sz w:val="22"/>
                <w:szCs w:val="22"/>
                <w:lang w:val="sr-Latn-RS"/>
              </w:rPr>
              <w:t xml:space="preserve">• Hipovolemija </w:t>
            </w:r>
          </w:p>
        </w:tc>
      </w:tr>
      <w:tr w:rsidR="00621F29" w:rsidRPr="006B0439" w:rsidTr="006B0439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30" w:type="dxa"/>
            <w:left w:w="30" w:type="dxa"/>
            <w:bottom w:w="30" w:type="dxa"/>
            <w:right w:w="30" w:type="dxa"/>
          </w:tblCellMar>
          <w:tblLook w:val="04A0" w:firstRow="1" w:lastRow="0" w:firstColumn="1" w:lastColumn="0" w:noHBand="0" w:noVBand="1"/>
        </w:tblPrEx>
        <w:trPr>
          <w:gridBefore w:val="2"/>
          <w:wBefore w:w="97" w:type="dxa"/>
          <w:tblCellSpacing w:w="0" w:type="dxa"/>
        </w:trPr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F29" w:rsidRPr="006B0439" w:rsidRDefault="00621F29" w:rsidP="00621F29">
            <w:pPr>
              <w:pStyle w:val="NormalWeb"/>
              <w:rPr>
                <w:rFonts w:eastAsia="Calibri"/>
                <w:sz w:val="22"/>
                <w:szCs w:val="22"/>
                <w:lang w:val="sr-Latn-RS"/>
              </w:rPr>
            </w:pPr>
            <w:r w:rsidRPr="006B0439">
              <w:rPr>
                <w:rFonts w:eastAsia="Calibri"/>
                <w:sz w:val="22"/>
                <w:szCs w:val="22"/>
                <w:lang w:val="sr-Latn-RS"/>
              </w:rPr>
              <w:t xml:space="preserve">Imunološki poremećaji </w:t>
            </w:r>
          </w:p>
        </w:tc>
        <w:tc>
          <w:tcPr>
            <w:tcW w:w="65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F29" w:rsidRPr="006B0439" w:rsidRDefault="00621F29" w:rsidP="00621F29">
            <w:pPr>
              <w:pStyle w:val="NormalWeb"/>
              <w:rPr>
                <w:rFonts w:eastAsia="Calibri"/>
                <w:sz w:val="22"/>
                <w:szCs w:val="22"/>
                <w:lang w:val="sr-Latn-RS"/>
              </w:rPr>
            </w:pPr>
            <w:r w:rsidRPr="006B0439">
              <w:rPr>
                <w:rFonts w:eastAsia="Calibri"/>
                <w:sz w:val="22"/>
                <w:szCs w:val="22"/>
                <w:lang w:val="sr-Latn-RS"/>
              </w:rPr>
              <w:t>• Reakcija preosjetljivosti na lijek</w:t>
            </w:r>
          </w:p>
          <w:p w:rsidR="00621F29" w:rsidRPr="006B0439" w:rsidRDefault="00621F29" w:rsidP="00621F29">
            <w:pPr>
              <w:pStyle w:val="NormalWeb"/>
              <w:rPr>
                <w:rFonts w:eastAsia="Calibri"/>
                <w:sz w:val="22"/>
                <w:szCs w:val="22"/>
                <w:lang w:val="sr-Latn-RS"/>
              </w:rPr>
            </w:pPr>
            <w:r w:rsidRPr="006B0439">
              <w:rPr>
                <w:rFonts w:eastAsia="Calibri"/>
                <w:sz w:val="22"/>
                <w:szCs w:val="22"/>
                <w:lang w:val="sr-Latn-RS"/>
              </w:rPr>
              <w:t>• Anafilaktička reakcija</w:t>
            </w:r>
          </w:p>
        </w:tc>
      </w:tr>
      <w:tr w:rsidR="00621F29" w:rsidRPr="006B0439" w:rsidTr="006B0439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30" w:type="dxa"/>
            <w:left w:w="30" w:type="dxa"/>
            <w:bottom w:w="30" w:type="dxa"/>
            <w:right w:w="30" w:type="dxa"/>
          </w:tblCellMar>
          <w:tblLook w:val="04A0" w:firstRow="1" w:lastRow="0" w:firstColumn="1" w:lastColumn="0" w:noHBand="0" w:noVBand="1"/>
        </w:tblPrEx>
        <w:trPr>
          <w:gridBefore w:val="2"/>
          <w:wBefore w:w="97" w:type="dxa"/>
          <w:tblCellSpacing w:w="0" w:type="dxa"/>
        </w:trPr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F29" w:rsidRPr="006B0439" w:rsidRDefault="00621F29" w:rsidP="00621F29">
            <w:pPr>
              <w:pStyle w:val="NormalWeb"/>
              <w:rPr>
                <w:rFonts w:eastAsia="Calibri"/>
                <w:sz w:val="22"/>
                <w:szCs w:val="22"/>
                <w:lang w:val="sr-Latn-RS"/>
              </w:rPr>
            </w:pPr>
            <w:r w:rsidRPr="006B0439">
              <w:rPr>
                <w:rFonts w:eastAsia="Calibri"/>
                <w:sz w:val="22"/>
                <w:szCs w:val="22"/>
                <w:lang w:val="sr-Latn-RS"/>
              </w:rPr>
              <w:t>Poremećaji nervnog sistema</w:t>
            </w:r>
          </w:p>
        </w:tc>
        <w:tc>
          <w:tcPr>
            <w:tcW w:w="65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F29" w:rsidRPr="006B0439" w:rsidRDefault="006938F0" w:rsidP="006938F0">
            <w:pPr>
              <w:pStyle w:val="NormalWeb"/>
              <w:rPr>
                <w:rFonts w:eastAsia="Calibri"/>
                <w:sz w:val="22"/>
                <w:szCs w:val="22"/>
                <w:lang w:val="sr-Latn-RS"/>
              </w:rPr>
            </w:pPr>
            <w:r w:rsidRPr="006B0439">
              <w:rPr>
                <w:rFonts w:eastAsia="Calibri"/>
                <w:sz w:val="22"/>
                <w:szCs w:val="22"/>
                <w:lang w:val="sr-Latn-RS"/>
              </w:rPr>
              <w:t xml:space="preserve">- </w:t>
            </w:r>
            <w:r w:rsidR="00621F29" w:rsidRPr="006B0439">
              <w:rPr>
                <w:rFonts w:eastAsia="Calibri"/>
                <w:sz w:val="22"/>
                <w:szCs w:val="22"/>
                <w:lang w:val="sr-Latn-RS"/>
              </w:rPr>
              <w:t xml:space="preserve">Prolazni poremećaj govora, u nekim slučajevima događaj se dovodi u vezu sa holinergičkim sindromom koji je prijavljen tokom ili ubrzo nakon infuzije irinotekana </w:t>
            </w:r>
          </w:p>
          <w:p w:rsidR="00621F29" w:rsidRPr="006B0439" w:rsidRDefault="00621F29" w:rsidP="002877AF">
            <w:pPr>
              <w:pStyle w:val="NormalWeb"/>
              <w:rPr>
                <w:rFonts w:eastAsia="Calibri"/>
                <w:sz w:val="22"/>
                <w:szCs w:val="22"/>
                <w:lang w:val="sr-Latn-RS"/>
              </w:rPr>
            </w:pPr>
            <w:r w:rsidRPr="006B0439">
              <w:rPr>
                <w:rFonts w:eastAsia="Calibri"/>
                <w:sz w:val="22"/>
                <w:szCs w:val="22"/>
                <w:lang w:val="sr-Latn-RS"/>
              </w:rPr>
              <w:t xml:space="preserve">• Parestezija </w:t>
            </w:r>
          </w:p>
        </w:tc>
      </w:tr>
      <w:tr w:rsidR="00621F29" w:rsidRPr="006B0439" w:rsidTr="006B0439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30" w:type="dxa"/>
            <w:left w:w="30" w:type="dxa"/>
            <w:bottom w:w="30" w:type="dxa"/>
            <w:right w:w="30" w:type="dxa"/>
          </w:tblCellMar>
          <w:tblLook w:val="04A0" w:firstRow="1" w:lastRow="0" w:firstColumn="1" w:lastColumn="0" w:noHBand="0" w:noVBand="1"/>
        </w:tblPrEx>
        <w:trPr>
          <w:gridBefore w:val="2"/>
          <w:wBefore w:w="97" w:type="dxa"/>
          <w:tblCellSpacing w:w="0" w:type="dxa"/>
        </w:trPr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F29" w:rsidRPr="006B0439" w:rsidRDefault="00621F29" w:rsidP="00621F29">
            <w:pPr>
              <w:pStyle w:val="NormalWeb"/>
              <w:rPr>
                <w:rFonts w:eastAsia="Calibri"/>
                <w:sz w:val="22"/>
                <w:szCs w:val="22"/>
                <w:lang w:val="sr-Latn-RS"/>
              </w:rPr>
            </w:pPr>
            <w:r w:rsidRPr="006B0439">
              <w:rPr>
                <w:rFonts w:eastAsia="Calibri"/>
                <w:sz w:val="22"/>
                <w:szCs w:val="22"/>
                <w:lang w:val="sr-Latn-RS"/>
              </w:rPr>
              <w:t>Srčani poremećaji</w:t>
            </w:r>
          </w:p>
        </w:tc>
        <w:tc>
          <w:tcPr>
            <w:tcW w:w="65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F29" w:rsidRPr="006B0439" w:rsidRDefault="00621F29" w:rsidP="00621F29">
            <w:pPr>
              <w:pStyle w:val="NormalWeb"/>
              <w:rPr>
                <w:rFonts w:eastAsia="Calibri"/>
                <w:sz w:val="22"/>
                <w:szCs w:val="22"/>
                <w:lang w:val="sr-Latn-RS"/>
              </w:rPr>
            </w:pPr>
            <w:r w:rsidRPr="006B0439">
              <w:rPr>
                <w:rFonts w:eastAsia="Calibri"/>
                <w:sz w:val="22"/>
                <w:szCs w:val="22"/>
                <w:lang w:val="sr-Latn-RS"/>
              </w:rPr>
              <w:t xml:space="preserve">• Hipertenzija (tokom ili posle infuzije) </w:t>
            </w:r>
          </w:p>
          <w:p w:rsidR="00621F29" w:rsidRPr="006B0439" w:rsidRDefault="00621F29" w:rsidP="00621F29">
            <w:pPr>
              <w:pStyle w:val="NormalWeb"/>
              <w:rPr>
                <w:rFonts w:eastAsia="Calibri"/>
                <w:sz w:val="22"/>
                <w:szCs w:val="22"/>
                <w:lang w:val="sr-Latn-RS"/>
              </w:rPr>
            </w:pPr>
            <w:r w:rsidRPr="006B0439">
              <w:rPr>
                <w:rFonts w:eastAsia="Calibri"/>
                <w:sz w:val="22"/>
                <w:szCs w:val="22"/>
                <w:lang w:val="sr-Latn-RS"/>
              </w:rPr>
              <w:t xml:space="preserve">• Kardio circulatorni šok* </w:t>
            </w:r>
          </w:p>
        </w:tc>
      </w:tr>
      <w:tr w:rsidR="006938F0" w:rsidRPr="006B0439" w:rsidTr="006B0439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30" w:type="dxa"/>
            <w:left w:w="30" w:type="dxa"/>
            <w:bottom w:w="30" w:type="dxa"/>
            <w:right w:w="30" w:type="dxa"/>
          </w:tblCellMar>
          <w:tblLook w:val="04A0" w:firstRow="1" w:lastRow="0" w:firstColumn="1" w:lastColumn="0" w:noHBand="0" w:noVBand="1"/>
        </w:tblPrEx>
        <w:trPr>
          <w:gridBefore w:val="2"/>
          <w:wBefore w:w="97" w:type="dxa"/>
          <w:trHeight w:val="1650"/>
          <w:tblCellSpacing w:w="0" w:type="dxa"/>
        </w:trPr>
        <w:tc>
          <w:tcPr>
            <w:tcW w:w="330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938F0" w:rsidRPr="006B0439" w:rsidRDefault="006938F0" w:rsidP="00621F29">
            <w:pPr>
              <w:rPr>
                <w:rFonts w:eastAsia="Calibri"/>
                <w:sz w:val="22"/>
                <w:szCs w:val="22"/>
                <w:lang w:val="sr-Latn-RS"/>
              </w:rPr>
            </w:pPr>
            <w:r w:rsidRPr="006B0439">
              <w:rPr>
                <w:rFonts w:eastAsia="Calibri"/>
                <w:sz w:val="22"/>
                <w:szCs w:val="22"/>
                <w:lang w:val="sr-Latn-RS"/>
              </w:rPr>
              <w:t>Respiratorni, torakalni i medijastinalni poremećaji</w:t>
            </w:r>
          </w:p>
        </w:tc>
        <w:tc>
          <w:tcPr>
            <w:tcW w:w="6526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938F0" w:rsidRPr="006B0439" w:rsidRDefault="006938F0" w:rsidP="006938F0">
            <w:pPr>
              <w:pStyle w:val="NormalWeb"/>
              <w:spacing w:after="0" w:afterAutospacing="0"/>
              <w:rPr>
                <w:rFonts w:eastAsia="Calibri"/>
                <w:sz w:val="22"/>
                <w:szCs w:val="22"/>
                <w:lang w:val="sr-Latn-RS"/>
              </w:rPr>
            </w:pPr>
            <w:r w:rsidRPr="006B0439">
              <w:rPr>
                <w:rFonts w:eastAsia="Calibri"/>
                <w:sz w:val="22"/>
                <w:szCs w:val="22"/>
                <w:lang w:val="sr-Latn-RS"/>
              </w:rPr>
              <w:t xml:space="preserve">• Intersticijalna bolest pluća, koja se manifestuje plućnim infiltratima, povremeno se javlja tokom primjene irinotekana; Rani simptomi kao što je dispnoeja su prijavljeni (vidjeti </w:t>
            </w:r>
            <w:r w:rsidR="002877AF" w:rsidRPr="006B0439">
              <w:rPr>
                <w:rFonts w:eastAsia="Calibri"/>
                <w:sz w:val="22"/>
                <w:szCs w:val="22"/>
                <w:lang w:val="sr-Latn-RS"/>
              </w:rPr>
              <w:t xml:space="preserve">dio </w:t>
            </w:r>
            <w:r w:rsidRPr="006B0439">
              <w:rPr>
                <w:rFonts w:eastAsia="Calibri"/>
                <w:sz w:val="22"/>
                <w:szCs w:val="22"/>
                <w:lang w:val="sr-Latn-RS"/>
              </w:rPr>
              <w:t xml:space="preserve">4.4). </w:t>
            </w:r>
          </w:p>
          <w:p w:rsidR="006938F0" w:rsidRPr="006B0439" w:rsidRDefault="006938F0" w:rsidP="00621F29">
            <w:pPr>
              <w:pStyle w:val="NormalWeb"/>
              <w:rPr>
                <w:rFonts w:eastAsia="Calibri"/>
                <w:sz w:val="22"/>
                <w:szCs w:val="22"/>
                <w:lang w:val="sr-Latn-RS"/>
              </w:rPr>
            </w:pPr>
            <w:r w:rsidRPr="006B0439">
              <w:rPr>
                <w:rFonts w:eastAsia="Calibri"/>
                <w:sz w:val="22"/>
                <w:szCs w:val="22"/>
                <w:lang w:val="sr-Latn-RS"/>
              </w:rPr>
              <w:t xml:space="preserve">• Dispneja (videti </w:t>
            </w:r>
            <w:r w:rsidR="002877AF" w:rsidRPr="006B0439">
              <w:rPr>
                <w:rFonts w:eastAsia="Calibri"/>
                <w:sz w:val="22"/>
                <w:szCs w:val="22"/>
                <w:lang w:val="sr-Latn-RS"/>
              </w:rPr>
              <w:t xml:space="preserve">dio </w:t>
            </w:r>
            <w:r w:rsidRPr="006B0439">
              <w:rPr>
                <w:rFonts w:eastAsia="Calibri"/>
                <w:sz w:val="22"/>
                <w:szCs w:val="22"/>
                <w:lang w:val="sr-Latn-RS"/>
              </w:rPr>
              <w:t xml:space="preserve">4.4) </w:t>
            </w:r>
          </w:p>
          <w:p w:rsidR="006938F0" w:rsidRPr="006B0439" w:rsidRDefault="006938F0" w:rsidP="00621F29">
            <w:pPr>
              <w:pStyle w:val="NormalWeb"/>
              <w:rPr>
                <w:rFonts w:eastAsia="Calibri"/>
                <w:sz w:val="22"/>
                <w:szCs w:val="22"/>
                <w:lang w:val="sr-Latn-RS"/>
              </w:rPr>
            </w:pPr>
            <w:r w:rsidRPr="006B0439">
              <w:rPr>
                <w:rFonts w:eastAsia="Calibri"/>
                <w:sz w:val="22"/>
                <w:szCs w:val="22"/>
                <w:lang w:val="sr-Latn-RS"/>
              </w:rPr>
              <w:lastRenderedPageBreak/>
              <w:t>• Štucanje</w:t>
            </w:r>
          </w:p>
        </w:tc>
      </w:tr>
      <w:tr w:rsidR="00621F29" w:rsidRPr="006B0439" w:rsidTr="006B0439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30" w:type="dxa"/>
            <w:left w:w="30" w:type="dxa"/>
            <w:bottom w:w="30" w:type="dxa"/>
            <w:right w:w="30" w:type="dxa"/>
          </w:tblCellMar>
          <w:tblLook w:val="04A0" w:firstRow="1" w:lastRow="0" w:firstColumn="1" w:lastColumn="0" w:noHBand="0" w:noVBand="1"/>
        </w:tblPrEx>
        <w:trPr>
          <w:gridBefore w:val="2"/>
          <w:wBefore w:w="97" w:type="dxa"/>
          <w:tblCellSpacing w:w="0" w:type="dxa"/>
        </w:trPr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F29" w:rsidRPr="006B0439" w:rsidRDefault="00621F29" w:rsidP="00621F29">
            <w:pPr>
              <w:pStyle w:val="NormalWeb"/>
              <w:rPr>
                <w:rFonts w:eastAsia="Calibri"/>
                <w:sz w:val="22"/>
                <w:szCs w:val="22"/>
                <w:lang w:val="sr-Latn-RS"/>
              </w:rPr>
            </w:pPr>
            <w:r w:rsidRPr="006B0439">
              <w:rPr>
                <w:rFonts w:eastAsia="Calibri"/>
                <w:sz w:val="22"/>
                <w:szCs w:val="22"/>
                <w:lang w:val="sr-Latn-RS"/>
              </w:rPr>
              <w:lastRenderedPageBreak/>
              <w:t xml:space="preserve">Gastrointestinalni poremećaji </w:t>
            </w:r>
          </w:p>
        </w:tc>
        <w:tc>
          <w:tcPr>
            <w:tcW w:w="65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F29" w:rsidRPr="006B0439" w:rsidRDefault="00621F29" w:rsidP="00621F29">
            <w:pPr>
              <w:pStyle w:val="NormalWeb"/>
              <w:rPr>
                <w:rFonts w:eastAsia="Calibri"/>
                <w:sz w:val="22"/>
                <w:szCs w:val="22"/>
                <w:lang w:val="sr-Latn-RS"/>
              </w:rPr>
            </w:pPr>
            <w:r w:rsidRPr="006B0439">
              <w:rPr>
                <w:rFonts w:eastAsia="Calibri"/>
                <w:sz w:val="22"/>
                <w:szCs w:val="22"/>
                <w:lang w:val="sr-Latn-RS"/>
              </w:rPr>
              <w:t xml:space="preserve">• Opstrukcije crijeva </w:t>
            </w:r>
          </w:p>
          <w:p w:rsidR="00621F29" w:rsidRPr="006B0439" w:rsidRDefault="006938F0" w:rsidP="00621F29">
            <w:pPr>
              <w:pStyle w:val="NormalWeb"/>
              <w:rPr>
                <w:rFonts w:eastAsia="Calibri"/>
                <w:sz w:val="22"/>
                <w:szCs w:val="22"/>
                <w:lang w:val="sr-Latn-RS"/>
              </w:rPr>
            </w:pPr>
            <w:r w:rsidRPr="006B0439">
              <w:rPr>
                <w:rFonts w:eastAsia="Calibri"/>
                <w:sz w:val="22"/>
                <w:szCs w:val="22"/>
                <w:lang w:val="sr-Latn-RS"/>
              </w:rPr>
              <w:t>•</w:t>
            </w:r>
            <w:r w:rsidR="00621F29" w:rsidRPr="006B0439">
              <w:rPr>
                <w:rFonts w:eastAsia="Calibri"/>
                <w:sz w:val="22"/>
                <w:szCs w:val="22"/>
                <w:lang w:val="sr-Latn-RS"/>
              </w:rPr>
              <w:t xml:space="preserve"> Ileus: opisani su slučajevi ileusa bez prethodnog kolitisa</w:t>
            </w:r>
          </w:p>
          <w:p w:rsidR="00621F29" w:rsidRPr="006B0439" w:rsidRDefault="00621F29" w:rsidP="00621F29">
            <w:pPr>
              <w:pStyle w:val="NormalWeb"/>
              <w:rPr>
                <w:rFonts w:eastAsia="Calibri"/>
                <w:sz w:val="22"/>
                <w:szCs w:val="22"/>
                <w:lang w:val="sr-Latn-RS"/>
              </w:rPr>
            </w:pPr>
            <w:r w:rsidRPr="006B0439">
              <w:rPr>
                <w:rFonts w:eastAsia="Calibri"/>
                <w:sz w:val="22"/>
                <w:szCs w:val="22"/>
                <w:lang w:val="sr-Latn-RS"/>
              </w:rPr>
              <w:t xml:space="preserve">• Megakolon </w:t>
            </w:r>
          </w:p>
          <w:p w:rsidR="002877AF" w:rsidRPr="006B0439" w:rsidRDefault="002877AF" w:rsidP="002877AF">
            <w:pPr>
              <w:pStyle w:val="NormalWeb"/>
              <w:rPr>
                <w:rFonts w:eastAsia="Calibri"/>
                <w:sz w:val="22"/>
                <w:szCs w:val="22"/>
                <w:lang w:val="sr-Latn-RS"/>
              </w:rPr>
            </w:pPr>
            <w:r w:rsidRPr="006B0439">
              <w:rPr>
                <w:rFonts w:eastAsia="Calibri"/>
                <w:sz w:val="22"/>
                <w:szCs w:val="22"/>
                <w:lang w:val="sr-Latn-RS"/>
              </w:rPr>
              <w:t>•  Gastrointestinalno krvarenje</w:t>
            </w:r>
          </w:p>
          <w:p w:rsidR="00621F29" w:rsidRPr="006B0439" w:rsidRDefault="00621F29" w:rsidP="00621F29">
            <w:pPr>
              <w:pStyle w:val="NormalWeb"/>
              <w:rPr>
                <w:rFonts w:eastAsia="Calibri"/>
                <w:sz w:val="22"/>
                <w:szCs w:val="22"/>
                <w:lang w:val="sr-Latn-RS"/>
              </w:rPr>
            </w:pPr>
            <w:r w:rsidRPr="006B0439">
              <w:rPr>
                <w:rFonts w:eastAsia="Calibri"/>
                <w:sz w:val="22"/>
                <w:szCs w:val="22"/>
                <w:lang w:val="sr-Latn-RS"/>
              </w:rPr>
              <w:t>• Kolitisa, u nekim slučajevima kolitis se javljao sa dodatnim komplikacijama ulceracije, krvarenje, ileus ili infekcija</w:t>
            </w:r>
          </w:p>
          <w:p w:rsidR="00621F29" w:rsidRPr="006B0439" w:rsidRDefault="00621F29" w:rsidP="00621F29">
            <w:pPr>
              <w:pStyle w:val="NormalWeb"/>
              <w:rPr>
                <w:rFonts w:eastAsia="Calibri"/>
                <w:sz w:val="22"/>
                <w:szCs w:val="22"/>
                <w:lang w:val="sr-Latn-RS"/>
              </w:rPr>
            </w:pPr>
            <w:r w:rsidRPr="006B0439">
              <w:rPr>
                <w:rFonts w:eastAsia="Calibri"/>
                <w:sz w:val="22"/>
                <w:szCs w:val="22"/>
                <w:lang w:val="sr-Latn-RS"/>
              </w:rPr>
              <w:t xml:space="preserve">• Tiflitis </w:t>
            </w:r>
          </w:p>
          <w:p w:rsidR="00621F29" w:rsidRPr="006B0439" w:rsidRDefault="00621F29" w:rsidP="00621F29">
            <w:pPr>
              <w:pStyle w:val="NormalWeb"/>
              <w:rPr>
                <w:rFonts w:eastAsia="Calibri"/>
                <w:sz w:val="22"/>
                <w:szCs w:val="22"/>
                <w:lang w:val="sr-Latn-RS"/>
              </w:rPr>
            </w:pPr>
            <w:r w:rsidRPr="006B0439">
              <w:rPr>
                <w:rFonts w:eastAsia="Calibri"/>
                <w:sz w:val="22"/>
                <w:szCs w:val="22"/>
                <w:lang w:val="sr-Latn-RS"/>
              </w:rPr>
              <w:t xml:space="preserve">• Ishemijski kolitis </w:t>
            </w:r>
          </w:p>
          <w:p w:rsidR="00621F29" w:rsidRPr="006B0439" w:rsidRDefault="00621F29" w:rsidP="00621F29">
            <w:pPr>
              <w:pStyle w:val="NormalWeb"/>
              <w:rPr>
                <w:rFonts w:eastAsia="Calibri"/>
                <w:sz w:val="22"/>
                <w:szCs w:val="22"/>
                <w:lang w:val="sr-Latn-RS"/>
              </w:rPr>
            </w:pPr>
            <w:r w:rsidRPr="006B0439">
              <w:rPr>
                <w:rFonts w:eastAsia="Calibri"/>
                <w:sz w:val="22"/>
                <w:szCs w:val="22"/>
                <w:lang w:val="sr-Latn-RS"/>
              </w:rPr>
              <w:t>• Ulcer</w:t>
            </w:r>
            <w:r w:rsidR="002877AF" w:rsidRPr="006B0439">
              <w:rPr>
                <w:rFonts w:eastAsia="Calibri"/>
                <w:sz w:val="22"/>
                <w:szCs w:val="22"/>
                <w:lang w:val="sr-Latn-RS"/>
              </w:rPr>
              <w:t xml:space="preserve">ozni </w:t>
            </w:r>
            <w:r w:rsidRPr="006B0439">
              <w:rPr>
                <w:rFonts w:eastAsia="Calibri"/>
                <w:sz w:val="22"/>
                <w:szCs w:val="22"/>
                <w:lang w:val="sr-Latn-RS"/>
              </w:rPr>
              <w:t xml:space="preserve"> kolitis </w:t>
            </w:r>
          </w:p>
          <w:p w:rsidR="00621F29" w:rsidRPr="006B0439" w:rsidRDefault="00621F29" w:rsidP="00621F29">
            <w:pPr>
              <w:pStyle w:val="NormalWeb"/>
              <w:rPr>
                <w:rFonts w:eastAsia="Calibri"/>
                <w:sz w:val="22"/>
                <w:szCs w:val="22"/>
                <w:lang w:val="sr-Latn-RS"/>
              </w:rPr>
            </w:pPr>
            <w:r w:rsidRPr="006B0439">
              <w:rPr>
                <w:rFonts w:eastAsia="Calibri"/>
                <w:sz w:val="22"/>
                <w:szCs w:val="22"/>
                <w:lang w:val="sr-Latn-RS"/>
              </w:rPr>
              <w:t xml:space="preserve">• • Simptomatsko ili asimptomatsko povišenje nivoa enzima pankreasa </w:t>
            </w:r>
          </w:p>
          <w:p w:rsidR="00621F29" w:rsidRPr="006B0439" w:rsidRDefault="00621F29" w:rsidP="00621F29">
            <w:pPr>
              <w:pStyle w:val="NormalWeb"/>
              <w:rPr>
                <w:rFonts w:eastAsia="Calibri"/>
                <w:sz w:val="22"/>
                <w:szCs w:val="22"/>
                <w:lang w:val="sr-Latn-RS"/>
              </w:rPr>
            </w:pPr>
            <w:r w:rsidRPr="006B0439">
              <w:rPr>
                <w:rFonts w:eastAsia="Calibri"/>
                <w:sz w:val="22"/>
                <w:szCs w:val="22"/>
                <w:lang w:val="sr-Latn-RS"/>
              </w:rPr>
              <w:t xml:space="preserve">• Perforacija creva </w:t>
            </w:r>
          </w:p>
        </w:tc>
      </w:tr>
      <w:tr w:rsidR="00621F29" w:rsidRPr="006B0439" w:rsidTr="006B0439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30" w:type="dxa"/>
            <w:left w:w="30" w:type="dxa"/>
            <w:bottom w:w="30" w:type="dxa"/>
            <w:right w:w="30" w:type="dxa"/>
          </w:tblCellMar>
          <w:tblLook w:val="04A0" w:firstRow="1" w:lastRow="0" w:firstColumn="1" w:lastColumn="0" w:noHBand="0" w:noVBand="1"/>
        </w:tblPrEx>
        <w:trPr>
          <w:gridBefore w:val="2"/>
          <w:wBefore w:w="97" w:type="dxa"/>
          <w:tblCellSpacing w:w="0" w:type="dxa"/>
        </w:trPr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F29" w:rsidRPr="006B0439" w:rsidRDefault="00621F29" w:rsidP="00621F29">
            <w:pPr>
              <w:pStyle w:val="NormalWeb"/>
              <w:rPr>
                <w:rFonts w:eastAsia="Calibri"/>
                <w:sz w:val="22"/>
                <w:szCs w:val="22"/>
                <w:lang w:val="sr-Latn-RS"/>
              </w:rPr>
            </w:pPr>
            <w:r w:rsidRPr="006B0439">
              <w:rPr>
                <w:rFonts w:eastAsia="Calibri"/>
                <w:sz w:val="22"/>
                <w:szCs w:val="22"/>
                <w:lang w:val="sr-Latn-RS"/>
              </w:rPr>
              <w:t>Poremećaji na nivou  kože i potkožnog tkiva</w:t>
            </w:r>
          </w:p>
        </w:tc>
        <w:tc>
          <w:tcPr>
            <w:tcW w:w="65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F29" w:rsidRPr="006B0439" w:rsidRDefault="00621F29" w:rsidP="00621F29">
            <w:pPr>
              <w:pStyle w:val="NormalWeb"/>
              <w:rPr>
                <w:rFonts w:eastAsia="Calibri"/>
                <w:sz w:val="22"/>
                <w:szCs w:val="22"/>
                <w:lang w:val="sr-Latn-RS"/>
              </w:rPr>
            </w:pPr>
            <w:r w:rsidRPr="006B0439">
              <w:rPr>
                <w:rFonts w:eastAsia="Calibri"/>
                <w:sz w:val="22"/>
                <w:szCs w:val="22"/>
                <w:lang w:val="sr-Latn-RS"/>
              </w:rPr>
              <w:t xml:space="preserve">• Kožne reakcije </w:t>
            </w:r>
          </w:p>
        </w:tc>
      </w:tr>
      <w:tr w:rsidR="00621F29" w:rsidRPr="006B0439" w:rsidTr="006B0439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30" w:type="dxa"/>
            <w:left w:w="30" w:type="dxa"/>
            <w:bottom w:w="30" w:type="dxa"/>
            <w:right w:w="30" w:type="dxa"/>
          </w:tblCellMar>
          <w:tblLook w:val="04A0" w:firstRow="1" w:lastRow="0" w:firstColumn="1" w:lastColumn="0" w:noHBand="0" w:noVBand="1"/>
        </w:tblPrEx>
        <w:trPr>
          <w:gridBefore w:val="2"/>
          <w:wBefore w:w="97" w:type="dxa"/>
          <w:tblCellSpacing w:w="0" w:type="dxa"/>
        </w:trPr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F29" w:rsidRPr="006B0439" w:rsidRDefault="00621F29" w:rsidP="00621F29">
            <w:pPr>
              <w:pStyle w:val="NormalWeb"/>
              <w:rPr>
                <w:rFonts w:eastAsia="Calibri"/>
                <w:sz w:val="22"/>
                <w:szCs w:val="22"/>
                <w:lang w:val="sr-Latn-RS"/>
              </w:rPr>
            </w:pPr>
            <w:r w:rsidRPr="006B0439">
              <w:rPr>
                <w:rFonts w:eastAsia="Calibri"/>
                <w:sz w:val="22"/>
                <w:szCs w:val="22"/>
                <w:lang w:val="sr-Latn-RS"/>
              </w:rPr>
              <w:t>Opšti poremećaji i reakcije na mestu primjene</w:t>
            </w:r>
          </w:p>
        </w:tc>
        <w:tc>
          <w:tcPr>
            <w:tcW w:w="65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F29" w:rsidRPr="006B0439" w:rsidRDefault="00621F29" w:rsidP="00621F29">
            <w:pPr>
              <w:pStyle w:val="NormalWeb"/>
              <w:rPr>
                <w:rFonts w:eastAsia="Calibri"/>
                <w:sz w:val="22"/>
                <w:szCs w:val="22"/>
                <w:lang w:val="sr-Latn-RS"/>
              </w:rPr>
            </w:pPr>
            <w:r w:rsidRPr="006B0439">
              <w:rPr>
                <w:rFonts w:eastAsia="Calibri"/>
                <w:sz w:val="22"/>
                <w:szCs w:val="22"/>
                <w:lang w:val="sr-Latn-RS"/>
              </w:rPr>
              <w:t>• Reakcija na m</w:t>
            </w:r>
            <w:r w:rsidR="002877AF" w:rsidRPr="006B0439">
              <w:rPr>
                <w:rFonts w:eastAsia="Calibri"/>
                <w:sz w:val="22"/>
                <w:szCs w:val="22"/>
                <w:lang w:val="sr-Latn-RS"/>
              </w:rPr>
              <w:t>j</w:t>
            </w:r>
            <w:r w:rsidRPr="006B0439">
              <w:rPr>
                <w:rFonts w:eastAsia="Calibri"/>
                <w:sz w:val="22"/>
                <w:szCs w:val="22"/>
                <w:lang w:val="sr-Latn-RS"/>
              </w:rPr>
              <w:t>estu primjene</w:t>
            </w:r>
          </w:p>
        </w:tc>
      </w:tr>
      <w:tr w:rsidR="00621F29" w:rsidRPr="006B0439" w:rsidTr="006B0439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30" w:type="dxa"/>
            <w:left w:w="30" w:type="dxa"/>
            <w:bottom w:w="30" w:type="dxa"/>
            <w:right w:w="30" w:type="dxa"/>
          </w:tblCellMar>
          <w:tblLook w:val="04A0" w:firstRow="1" w:lastRow="0" w:firstColumn="1" w:lastColumn="0" w:noHBand="0" w:noVBand="1"/>
        </w:tblPrEx>
        <w:trPr>
          <w:gridBefore w:val="2"/>
          <w:wBefore w:w="97" w:type="dxa"/>
          <w:tblCellSpacing w:w="0" w:type="dxa"/>
        </w:trPr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F29" w:rsidRPr="006B0439" w:rsidRDefault="00621F29" w:rsidP="00621F29">
            <w:pPr>
              <w:pStyle w:val="NormalWeb"/>
              <w:rPr>
                <w:rFonts w:eastAsia="Calibri"/>
                <w:sz w:val="22"/>
                <w:szCs w:val="22"/>
                <w:lang w:val="sr-Latn-RS"/>
              </w:rPr>
            </w:pPr>
            <w:r w:rsidRPr="006B0439">
              <w:rPr>
                <w:rFonts w:eastAsia="Calibri"/>
                <w:sz w:val="22"/>
                <w:szCs w:val="22"/>
                <w:lang w:val="sr-Latn-RS"/>
              </w:rPr>
              <w:t>Laboratorijska ispitivanja</w:t>
            </w:r>
          </w:p>
        </w:tc>
        <w:tc>
          <w:tcPr>
            <w:tcW w:w="65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F29" w:rsidRPr="006B0439" w:rsidRDefault="00621F29" w:rsidP="00621F29">
            <w:pPr>
              <w:pStyle w:val="NormalWeb"/>
              <w:rPr>
                <w:rFonts w:eastAsia="Calibri"/>
                <w:sz w:val="22"/>
                <w:szCs w:val="22"/>
                <w:lang w:val="sr-Latn-RS"/>
              </w:rPr>
            </w:pPr>
            <w:r w:rsidRPr="006B0439">
              <w:rPr>
                <w:rFonts w:eastAsia="Calibri"/>
                <w:sz w:val="22"/>
                <w:szCs w:val="22"/>
                <w:lang w:val="sr-Latn-RS"/>
              </w:rPr>
              <w:t>• Porast amilaza u krvi</w:t>
            </w:r>
          </w:p>
          <w:p w:rsidR="00621F29" w:rsidRPr="006B0439" w:rsidRDefault="00621F29" w:rsidP="00621F29">
            <w:pPr>
              <w:pStyle w:val="NormalWeb"/>
              <w:rPr>
                <w:rFonts w:eastAsia="Calibri"/>
                <w:sz w:val="22"/>
                <w:szCs w:val="22"/>
                <w:lang w:val="sr-Latn-RS"/>
              </w:rPr>
            </w:pPr>
            <w:r w:rsidRPr="006B0439">
              <w:rPr>
                <w:rFonts w:eastAsia="Calibri"/>
                <w:sz w:val="22"/>
                <w:szCs w:val="22"/>
                <w:lang w:val="sr-Latn-RS"/>
              </w:rPr>
              <w:t xml:space="preserve">• Porast lipaza </w:t>
            </w:r>
          </w:p>
          <w:p w:rsidR="00621F29" w:rsidRPr="006B0439" w:rsidRDefault="00621F29" w:rsidP="00621F29">
            <w:pPr>
              <w:pStyle w:val="NormalWeb"/>
              <w:rPr>
                <w:rFonts w:eastAsia="Calibri"/>
                <w:sz w:val="22"/>
                <w:szCs w:val="22"/>
                <w:lang w:val="sr-Latn-RS"/>
              </w:rPr>
            </w:pPr>
            <w:r w:rsidRPr="006B0439">
              <w:rPr>
                <w:rFonts w:eastAsia="Calibri"/>
                <w:sz w:val="22"/>
                <w:szCs w:val="22"/>
                <w:lang w:val="sr-Latn-RS"/>
              </w:rPr>
              <w:t xml:space="preserve">• Hipokalemija </w:t>
            </w:r>
          </w:p>
          <w:p w:rsidR="00621F29" w:rsidRPr="006B0439" w:rsidRDefault="00621F29" w:rsidP="00621F29">
            <w:pPr>
              <w:pStyle w:val="NormalWeb"/>
              <w:rPr>
                <w:rFonts w:eastAsia="Calibri"/>
                <w:sz w:val="22"/>
                <w:szCs w:val="22"/>
                <w:lang w:val="sr-Latn-RS"/>
              </w:rPr>
            </w:pPr>
            <w:r w:rsidRPr="006B0439">
              <w:rPr>
                <w:rFonts w:eastAsia="Calibri"/>
                <w:sz w:val="22"/>
                <w:szCs w:val="22"/>
                <w:lang w:val="sr-Latn-RS"/>
              </w:rPr>
              <w:t xml:space="preserve">• Hiponatremija uglavnom povezana sa dijarejom i povraćanjem </w:t>
            </w:r>
          </w:p>
          <w:p w:rsidR="00621F29" w:rsidRPr="006B0439" w:rsidRDefault="00C76881" w:rsidP="00621F29">
            <w:pPr>
              <w:pStyle w:val="NormalWeb"/>
              <w:rPr>
                <w:rFonts w:eastAsia="Calibri"/>
                <w:sz w:val="22"/>
                <w:szCs w:val="22"/>
                <w:lang w:val="sr-Latn-RS"/>
              </w:rPr>
            </w:pPr>
            <w:r w:rsidRPr="006B0439">
              <w:rPr>
                <w:rFonts w:eastAsia="Calibri"/>
                <w:sz w:val="22"/>
                <w:szCs w:val="22"/>
                <w:lang w:val="sr-Latn-RS"/>
              </w:rPr>
              <w:t>• Povećanje nivoa</w:t>
            </w:r>
            <w:r w:rsidR="00621F29" w:rsidRPr="006B0439">
              <w:rPr>
                <w:rFonts w:eastAsia="Calibri"/>
                <w:sz w:val="22"/>
                <w:szCs w:val="22"/>
                <w:lang w:val="sr-Latn-RS"/>
              </w:rPr>
              <w:t xml:space="preserve"> transaminaza</w:t>
            </w:r>
            <w:r w:rsidRPr="006B0439">
              <w:rPr>
                <w:rFonts w:eastAsia="Calibri"/>
                <w:sz w:val="22"/>
                <w:szCs w:val="22"/>
                <w:lang w:val="sr-Latn-RS"/>
              </w:rPr>
              <w:t xml:space="preserve"> u serumu</w:t>
            </w:r>
            <w:r w:rsidR="00621F29" w:rsidRPr="006B0439">
              <w:rPr>
                <w:rFonts w:eastAsia="Calibri"/>
                <w:sz w:val="22"/>
                <w:szCs w:val="22"/>
                <w:lang w:val="sr-Latn-RS"/>
              </w:rPr>
              <w:t xml:space="preserve"> (npr. AST i ALT) u odsustvu progresivnih metastaza u jetri veoma retko opisano</w:t>
            </w:r>
          </w:p>
        </w:tc>
      </w:tr>
      <w:tr w:rsidR="00621F29" w:rsidRPr="006B0439" w:rsidTr="006B0439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30" w:type="dxa"/>
            <w:left w:w="30" w:type="dxa"/>
            <w:bottom w:w="30" w:type="dxa"/>
            <w:right w:w="30" w:type="dxa"/>
          </w:tblCellMar>
          <w:tblLook w:val="04A0" w:firstRow="1" w:lastRow="0" w:firstColumn="1" w:lastColumn="0" w:noHBand="0" w:noVBand="1"/>
        </w:tblPrEx>
        <w:trPr>
          <w:gridBefore w:val="2"/>
          <w:wBefore w:w="97" w:type="dxa"/>
          <w:tblCellSpacing w:w="0" w:type="dxa"/>
        </w:trPr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F29" w:rsidRPr="006B0439" w:rsidRDefault="00621F29" w:rsidP="00621F29">
            <w:pPr>
              <w:pStyle w:val="NormalWeb"/>
              <w:rPr>
                <w:rFonts w:eastAsia="Calibri"/>
                <w:sz w:val="22"/>
                <w:szCs w:val="22"/>
                <w:lang w:val="sr-Latn-RS"/>
              </w:rPr>
            </w:pPr>
            <w:r w:rsidRPr="006B0439">
              <w:rPr>
                <w:rFonts w:eastAsia="Calibri"/>
                <w:sz w:val="22"/>
                <w:szCs w:val="22"/>
                <w:lang w:val="sr-Latn-RS"/>
              </w:rPr>
              <w:t>Poremećaji mišićno-skeletnog, vezivnog i koštanog tkiva</w:t>
            </w:r>
          </w:p>
        </w:tc>
        <w:tc>
          <w:tcPr>
            <w:tcW w:w="65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F29" w:rsidRPr="006B0439" w:rsidRDefault="00621F29" w:rsidP="00621F29">
            <w:pPr>
              <w:pStyle w:val="NormalWeb"/>
              <w:rPr>
                <w:rFonts w:eastAsia="Calibri"/>
                <w:sz w:val="22"/>
                <w:szCs w:val="22"/>
                <w:lang w:val="sr-Latn-RS"/>
              </w:rPr>
            </w:pPr>
            <w:r w:rsidRPr="006B0439">
              <w:rPr>
                <w:rFonts w:eastAsia="Calibri"/>
                <w:sz w:val="22"/>
                <w:szCs w:val="22"/>
                <w:lang w:val="sr-Latn-RS"/>
              </w:rPr>
              <w:t>•</w:t>
            </w:r>
            <w:r w:rsidR="002E4BC0" w:rsidRPr="006B0439">
              <w:rPr>
                <w:rFonts w:eastAsia="Calibri"/>
                <w:sz w:val="22"/>
                <w:szCs w:val="22"/>
                <w:lang w:val="sr-Latn-RS"/>
              </w:rPr>
              <w:t>G</w:t>
            </w:r>
            <w:r w:rsidRPr="006B0439">
              <w:rPr>
                <w:rFonts w:eastAsia="Calibri"/>
                <w:sz w:val="22"/>
                <w:szCs w:val="22"/>
                <w:lang w:val="sr-Latn-RS"/>
              </w:rPr>
              <w:t>rčevi</w:t>
            </w:r>
            <w:r w:rsidR="002E4BC0" w:rsidRPr="006B0439">
              <w:rPr>
                <w:rFonts w:eastAsia="Calibri"/>
                <w:sz w:val="22"/>
                <w:szCs w:val="22"/>
                <w:lang w:val="sr-Latn-RS"/>
              </w:rPr>
              <w:t xml:space="preserve"> mišića</w:t>
            </w:r>
            <w:r w:rsidRPr="006B0439">
              <w:rPr>
                <w:rFonts w:eastAsia="Calibri"/>
                <w:sz w:val="22"/>
                <w:szCs w:val="22"/>
                <w:lang w:val="sr-Latn-RS"/>
              </w:rPr>
              <w:t xml:space="preserve"> </w:t>
            </w:r>
          </w:p>
        </w:tc>
      </w:tr>
      <w:tr w:rsidR="00621F29" w:rsidRPr="006B0439" w:rsidTr="006B0439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30" w:type="dxa"/>
            <w:left w:w="30" w:type="dxa"/>
            <w:bottom w:w="30" w:type="dxa"/>
            <w:right w:w="30" w:type="dxa"/>
          </w:tblCellMar>
          <w:tblLook w:val="04A0" w:firstRow="1" w:lastRow="0" w:firstColumn="1" w:lastColumn="0" w:noHBand="0" w:noVBand="1"/>
        </w:tblPrEx>
        <w:trPr>
          <w:gridBefore w:val="2"/>
          <w:wBefore w:w="97" w:type="dxa"/>
          <w:tblCellSpacing w:w="0" w:type="dxa"/>
        </w:trPr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F29" w:rsidRPr="006B0439" w:rsidRDefault="00621F29" w:rsidP="00621F29">
            <w:pPr>
              <w:pStyle w:val="NormalWeb"/>
              <w:rPr>
                <w:rFonts w:eastAsia="Calibri"/>
                <w:sz w:val="22"/>
                <w:szCs w:val="22"/>
                <w:lang w:val="sr-Latn-RS"/>
              </w:rPr>
            </w:pPr>
            <w:r w:rsidRPr="006B0439">
              <w:rPr>
                <w:rFonts w:eastAsia="Calibri"/>
                <w:sz w:val="22"/>
                <w:szCs w:val="22"/>
                <w:lang w:val="sr-Latn-RS"/>
              </w:rPr>
              <w:t>Poremećaji na nivou bubrega i urinarnog sistema</w:t>
            </w:r>
          </w:p>
        </w:tc>
        <w:tc>
          <w:tcPr>
            <w:tcW w:w="65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F29" w:rsidRPr="006B0439" w:rsidRDefault="00621F29" w:rsidP="00621F29">
            <w:pPr>
              <w:pStyle w:val="NormalWeb"/>
              <w:rPr>
                <w:rFonts w:eastAsia="Calibri"/>
                <w:sz w:val="22"/>
                <w:szCs w:val="22"/>
                <w:lang w:val="sr-Latn-RS"/>
              </w:rPr>
            </w:pPr>
            <w:r w:rsidRPr="006B0439">
              <w:rPr>
                <w:rFonts w:eastAsia="Calibri"/>
                <w:sz w:val="22"/>
                <w:szCs w:val="22"/>
                <w:lang w:val="sr-Latn-RS"/>
              </w:rPr>
              <w:t>• Oštećenje bubrega i akutno otkazivanje bubrega javljaju se uglavnom kod pacijenata koji su inficirani i/ili zapreminski iscrpljeni usl</w:t>
            </w:r>
            <w:r w:rsidR="002877AF" w:rsidRPr="006B0439">
              <w:rPr>
                <w:rFonts w:eastAsia="Calibri"/>
                <w:sz w:val="22"/>
                <w:szCs w:val="22"/>
                <w:lang w:val="sr-Latn-RS"/>
              </w:rPr>
              <w:t>j</w:t>
            </w:r>
            <w:r w:rsidRPr="006B0439">
              <w:rPr>
                <w:rFonts w:eastAsia="Calibri"/>
                <w:sz w:val="22"/>
                <w:szCs w:val="22"/>
                <w:lang w:val="sr-Latn-RS"/>
              </w:rPr>
              <w:t xml:space="preserve">ed teške gastrointestinalne toksičnosti.* </w:t>
            </w:r>
          </w:p>
          <w:p w:rsidR="00621F29" w:rsidRPr="006B0439" w:rsidRDefault="00621F29" w:rsidP="00621F29">
            <w:pPr>
              <w:pStyle w:val="NormalWeb"/>
              <w:rPr>
                <w:rFonts w:eastAsia="Calibri"/>
                <w:sz w:val="22"/>
                <w:szCs w:val="22"/>
                <w:lang w:val="sr-Latn-RS"/>
              </w:rPr>
            </w:pPr>
            <w:r w:rsidRPr="006B0439">
              <w:rPr>
                <w:rFonts w:eastAsia="Calibri"/>
                <w:sz w:val="22"/>
                <w:szCs w:val="22"/>
                <w:lang w:val="sr-Latn-RS"/>
              </w:rPr>
              <w:t xml:space="preserve">• Bubrežna insuficijencija* </w:t>
            </w:r>
          </w:p>
        </w:tc>
      </w:tr>
      <w:tr w:rsidR="00621F29" w:rsidRPr="006B0439" w:rsidTr="006B0439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30" w:type="dxa"/>
            <w:left w:w="30" w:type="dxa"/>
            <w:bottom w:w="30" w:type="dxa"/>
            <w:right w:w="30" w:type="dxa"/>
          </w:tblCellMar>
          <w:tblLook w:val="04A0" w:firstRow="1" w:lastRow="0" w:firstColumn="1" w:lastColumn="0" w:noHBand="0" w:noVBand="1"/>
        </w:tblPrEx>
        <w:trPr>
          <w:gridBefore w:val="2"/>
          <w:wBefore w:w="97" w:type="dxa"/>
          <w:tblCellSpacing w:w="0" w:type="dxa"/>
        </w:trPr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F29" w:rsidRPr="006B0439" w:rsidRDefault="00621F29" w:rsidP="00621F29">
            <w:pPr>
              <w:pStyle w:val="NormalWeb"/>
              <w:rPr>
                <w:rFonts w:eastAsia="Calibri"/>
                <w:sz w:val="22"/>
                <w:szCs w:val="22"/>
                <w:lang w:val="sr-Latn-RS"/>
              </w:rPr>
            </w:pPr>
            <w:r w:rsidRPr="006B0439">
              <w:rPr>
                <w:rFonts w:eastAsia="Calibri"/>
                <w:sz w:val="22"/>
                <w:szCs w:val="22"/>
                <w:lang w:val="sr-Latn-RS"/>
              </w:rPr>
              <w:t xml:space="preserve">Vaskularni poremećaji </w:t>
            </w:r>
          </w:p>
        </w:tc>
        <w:tc>
          <w:tcPr>
            <w:tcW w:w="65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F29" w:rsidRPr="006B0439" w:rsidRDefault="00621F29" w:rsidP="00621F29">
            <w:pPr>
              <w:pStyle w:val="NormalWeb"/>
              <w:rPr>
                <w:rFonts w:eastAsia="Calibri"/>
                <w:sz w:val="22"/>
                <w:szCs w:val="22"/>
                <w:lang w:val="sr-Latn-RS"/>
              </w:rPr>
            </w:pPr>
            <w:r w:rsidRPr="006B0439">
              <w:rPr>
                <w:rFonts w:eastAsia="Calibri"/>
                <w:sz w:val="22"/>
                <w:szCs w:val="22"/>
                <w:lang w:val="sr-Latn-RS"/>
              </w:rPr>
              <w:t xml:space="preserve">• Hipotenzija* </w:t>
            </w:r>
          </w:p>
        </w:tc>
      </w:tr>
      <w:tr w:rsidR="00621F29" w:rsidRPr="006B0439" w:rsidTr="006B0439">
        <w:trPr>
          <w:gridAfter w:val="1"/>
          <w:wAfter w:w="397" w:type="dxa"/>
          <w:trHeight w:val="1145"/>
        </w:trPr>
        <w:tc>
          <w:tcPr>
            <w:tcW w:w="9532" w:type="dxa"/>
            <w:gridSpan w:val="5"/>
            <w:vAlign w:val="center"/>
          </w:tcPr>
          <w:p w:rsidR="000F489A" w:rsidRPr="006B0439" w:rsidRDefault="000F489A" w:rsidP="00621F29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sr-Latn-R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079"/>
              <w:gridCol w:w="5079"/>
            </w:tblGrid>
            <w:tr w:rsidR="000F489A" w:rsidRPr="006B0439">
              <w:trPr>
                <w:trHeight w:val="144"/>
              </w:trPr>
              <w:tc>
                <w:tcPr>
                  <w:tcW w:w="5079" w:type="dxa"/>
                </w:tcPr>
                <w:p w:rsidR="000F489A" w:rsidRPr="006B0439" w:rsidRDefault="000F489A" w:rsidP="000F489A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079" w:type="dxa"/>
                </w:tcPr>
                <w:p w:rsidR="000F489A" w:rsidRPr="006B0439" w:rsidRDefault="000F489A" w:rsidP="000F489A">
                  <w:pPr>
                    <w:pStyle w:val="Default"/>
                    <w:rPr>
                      <w:color w:val="auto"/>
                      <w:sz w:val="22"/>
                      <w:szCs w:val="22"/>
                    </w:rPr>
                  </w:pPr>
                </w:p>
                <w:p w:rsidR="000F489A" w:rsidRPr="006B0439" w:rsidRDefault="000F489A" w:rsidP="000F489A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  <w:p w:rsidR="000F489A" w:rsidRPr="006B0439" w:rsidRDefault="000F489A" w:rsidP="000F489A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</w:tr>
            <w:tr w:rsidR="000F489A" w:rsidRPr="006B0439">
              <w:trPr>
                <w:trHeight w:val="107"/>
              </w:trPr>
              <w:tc>
                <w:tcPr>
                  <w:tcW w:w="5079" w:type="dxa"/>
                </w:tcPr>
                <w:p w:rsidR="000F489A" w:rsidRPr="006B0439" w:rsidRDefault="000F489A" w:rsidP="000F489A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6B0439">
                    <w:rPr>
                      <w:sz w:val="22"/>
                      <w:szCs w:val="22"/>
                    </w:rPr>
                    <w:lastRenderedPageBreak/>
                    <w:t xml:space="preserve">Poremećaji jetre i žuči </w:t>
                  </w:r>
                </w:p>
              </w:tc>
              <w:tc>
                <w:tcPr>
                  <w:tcW w:w="5079" w:type="dxa"/>
                </w:tcPr>
                <w:p w:rsidR="000F489A" w:rsidRPr="006B0439" w:rsidRDefault="000F489A" w:rsidP="000F489A">
                  <w:pPr>
                    <w:pStyle w:val="Default"/>
                    <w:rPr>
                      <w:color w:val="auto"/>
                      <w:sz w:val="22"/>
                      <w:szCs w:val="22"/>
                    </w:rPr>
                  </w:pPr>
                </w:p>
                <w:p w:rsidR="000F489A" w:rsidRPr="006B0439" w:rsidRDefault="000F489A" w:rsidP="000F489A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6B0439">
                    <w:rPr>
                      <w:sz w:val="22"/>
                      <w:szCs w:val="22"/>
                    </w:rPr>
                    <w:t xml:space="preserve">Steatohepatitis </w:t>
                  </w:r>
                </w:p>
                <w:p w:rsidR="000F489A" w:rsidRPr="006B0439" w:rsidRDefault="000F489A" w:rsidP="000F489A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6B0439">
                    <w:rPr>
                      <w:sz w:val="22"/>
                      <w:szCs w:val="22"/>
                    </w:rPr>
                    <w:t>Steatoza jetre</w:t>
                  </w:r>
                </w:p>
                <w:p w:rsidR="000F489A" w:rsidRPr="006B0439" w:rsidRDefault="000F489A" w:rsidP="000F489A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0F489A" w:rsidRPr="006B0439" w:rsidRDefault="000F489A" w:rsidP="00621F29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sr-Latn-RS"/>
              </w:rPr>
            </w:pPr>
          </w:p>
          <w:p w:rsidR="00621F29" w:rsidRPr="006B0439" w:rsidRDefault="00621F29" w:rsidP="00621F29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sr-Latn-RS"/>
              </w:rPr>
            </w:pPr>
            <w:r w:rsidRPr="006B0439">
              <w:rPr>
                <w:rFonts w:eastAsia="Calibri"/>
                <w:sz w:val="22"/>
                <w:szCs w:val="22"/>
                <w:lang w:val="sr-Latn-RS"/>
              </w:rPr>
              <w:t>*Retki slučajevi bubrežne insuficijencije, hipotenzije ili kardio cirkulatornog šoka se javljaju kod pacijenata usl</w:t>
            </w:r>
            <w:r w:rsidR="002877AF" w:rsidRPr="006B0439">
              <w:rPr>
                <w:rFonts w:eastAsia="Calibri"/>
                <w:sz w:val="22"/>
                <w:szCs w:val="22"/>
                <w:lang w:val="sr-Latn-RS"/>
              </w:rPr>
              <w:t>j</w:t>
            </w:r>
            <w:r w:rsidRPr="006B0439">
              <w:rPr>
                <w:rFonts w:eastAsia="Calibri"/>
                <w:sz w:val="22"/>
                <w:szCs w:val="22"/>
                <w:lang w:val="sr-Latn-RS"/>
              </w:rPr>
              <w:t>ed dehidratacije u vezi sa dijarejom i/ili povraćanjem, ili sepsom.</w:t>
            </w:r>
          </w:p>
        </w:tc>
      </w:tr>
    </w:tbl>
    <w:p w:rsidR="002877AF" w:rsidRPr="006B0439" w:rsidRDefault="002877AF" w:rsidP="002877A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6B0439">
        <w:rPr>
          <w:b/>
          <w:bCs/>
          <w:i/>
          <w:iCs/>
          <w:sz w:val="22"/>
          <w:szCs w:val="22"/>
          <w:lang w:val="sr-Latn-ME"/>
        </w:rPr>
        <w:lastRenderedPageBreak/>
        <w:t xml:space="preserve">Npr. upala pluća uzrokovana Pneumocystis jirovecii, bronhopulmonalna aspergiloza, sistemska kandida. </w:t>
      </w:r>
    </w:p>
    <w:p w:rsidR="00621F29" w:rsidRPr="006B0439" w:rsidRDefault="002877AF" w:rsidP="002877AF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6B0439">
        <w:rPr>
          <w:b/>
          <w:bCs/>
          <w:i/>
          <w:iCs/>
          <w:sz w:val="22"/>
          <w:szCs w:val="22"/>
          <w:lang w:val="sr-Latn-ME"/>
        </w:rPr>
        <w:t>b. Npr. herpes zoster, influenca, reaktivacija hepatitisa B, citomegalovirusni kolitis.</w:t>
      </w:r>
    </w:p>
    <w:p w:rsidR="006B0439" w:rsidRDefault="006B0439" w:rsidP="006B0439">
      <w:pPr>
        <w:spacing w:line="276" w:lineRule="auto"/>
        <w:rPr>
          <w:rFonts w:eastAsia="Calibri"/>
          <w:sz w:val="22"/>
          <w:szCs w:val="22"/>
          <w:u w:val="single"/>
          <w:lang w:val="sr-Latn-RS"/>
        </w:rPr>
      </w:pPr>
    </w:p>
    <w:p w:rsidR="005A23D2" w:rsidRPr="006B0439" w:rsidRDefault="005A23D2" w:rsidP="006B0439">
      <w:pPr>
        <w:spacing w:line="276" w:lineRule="auto"/>
        <w:rPr>
          <w:rFonts w:eastAsia="Calibri"/>
          <w:sz w:val="22"/>
          <w:szCs w:val="22"/>
          <w:u w:val="single"/>
          <w:lang w:val="sr-Latn-RS"/>
        </w:rPr>
      </w:pPr>
      <w:r w:rsidRPr="006B0439">
        <w:rPr>
          <w:rFonts w:eastAsia="Calibri"/>
          <w:sz w:val="22"/>
          <w:szCs w:val="22"/>
          <w:u w:val="single"/>
          <w:lang w:val="sr-Latn-RS"/>
        </w:rPr>
        <w:t>Prijavljivanje sumnji na neželjena dejstva</w:t>
      </w:r>
    </w:p>
    <w:p w:rsidR="005A23D2" w:rsidRPr="006B0439" w:rsidRDefault="005A23D2" w:rsidP="00A46C9A">
      <w:pPr>
        <w:spacing w:after="200"/>
        <w:jc w:val="both"/>
        <w:rPr>
          <w:rFonts w:eastAsia="Calibri"/>
          <w:sz w:val="22"/>
          <w:szCs w:val="22"/>
          <w:lang w:val="sr-Latn-RS"/>
        </w:rPr>
      </w:pPr>
      <w:r w:rsidRPr="006B0439">
        <w:rPr>
          <w:rFonts w:eastAsia="Calibri"/>
          <w:sz w:val="22"/>
          <w:szCs w:val="22"/>
          <w:lang w:val="sr-Latn-RS"/>
        </w:rPr>
        <w:t>Prijavljivanje neželjenih dejstava nakon dobijanja dozvole</w:t>
      </w:r>
      <w:r w:rsidR="002877AF" w:rsidRPr="006B0439">
        <w:rPr>
          <w:rFonts w:eastAsia="Calibri"/>
          <w:sz w:val="22"/>
          <w:szCs w:val="22"/>
          <w:lang w:val="sr-Latn-RS"/>
        </w:rPr>
        <w:t xml:space="preserve"> za lijek</w:t>
      </w:r>
      <w:r w:rsidRPr="006B0439">
        <w:rPr>
          <w:rFonts w:eastAsia="Calibri"/>
          <w:sz w:val="22"/>
          <w:szCs w:val="22"/>
          <w:lang w:val="sr-Latn-RS"/>
        </w:rPr>
        <w:t xml:space="preserve"> je od velikog značaja jer obezbjeđuje kont</w:t>
      </w:r>
      <w:r w:rsidR="00EA5765" w:rsidRPr="006B0439">
        <w:rPr>
          <w:rFonts w:eastAsia="Calibri"/>
          <w:sz w:val="22"/>
          <w:szCs w:val="22"/>
          <w:lang w:val="sr-Latn-RS"/>
        </w:rPr>
        <w:t>inuirano praćenje odnosa korist</w:t>
      </w:r>
      <w:r w:rsidRPr="006B0439">
        <w:rPr>
          <w:rFonts w:eastAsia="Calibri"/>
          <w:sz w:val="22"/>
          <w:szCs w:val="22"/>
          <w:lang w:val="sr-Latn-RS"/>
        </w:rPr>
        <w:t>/rizik primjene lijeka. Zdravstveni radnici treba da prijave svaku sumnju na neželjeno</w:t>
      </w:r>
      <w:r w:rsidR="009B062A" w:rsidRPr="006B0439">
        <w:rPr>
          <w:rFonts w:eastAsia="Calibri"/>
          <w:sz w:val="22"/>
          <w:szCs w:val="22"/>
          <w:lang w:val="sr-Latn-RS"/>
        </w:rPr>
        <w:t xml:space="preserve"> </w:t>
      </w:r>
      <w:r w:rsidRPr="006B0439">
        <w:rPr>
          <w:rFonts w:eastAsia="Calibri"/>
          <w:sz w:val="22"/>
          <w:szCs w:val="22"/>
          <w:lang w:val="sr-Latn-RS"/>
        </w:rPr>
        <w:t xml:space="preserve">dejstvo ovog lijeka </w:t>
      </w:r>
      <w:r w:rsidR="004E70AD" w:rsidRPr="006B0439">
        <w:rPr>
          <w:rFonts w:eastAsia="Calibri"/>
          <w:sz w:val="22"/>
          <w:szCs w:val="22"/>
          <w:lang w:val="sr-Latn-RS"/>
        </w:rPr>
        <w:t>Institutu</w:t>
      </w:r>
      <w:r w:rsidRPr="006B0439">
        <w:rPr>
          <w:rFonts w:eastAsia="Calibri"/>
          <w:sz w:val="22"/>
          <w:szCs w:val="22"/>
          <w:lang w:val="sr-Latn-RS"/>
        </w:rPr>
        <w:t xml:space="preserve"> za ljekove i medicinska sredstva</w:t>
      </w:r>
      <w:r w:rsidR="004E70AD" w:rsidRPr="006B0439">
        <w:rPr>
          <w:rFonts w:eastAsia="Calibri"/>
          <w:sz w:val="22"/>
          <w:szCs w:val="22"/>
          <w:lang w:val="sr-Latn-RS"/>
        </w:rPr>
        <w:t xml:space="preserve"> </w:t>
      </w:r>
      <w:r w:rsidRPr="006B0439">
        <w:rPr>
          <w:rFonts w:eastAsia="Calibri"/>
          <w:sz w:val="22"/>
          <w:szCs w:val="22"/>
          <w:lang w:val="sr-Latn-RS"/>
        </w:rPr>
        <w:t>(</w:t>
      </w:r>
      <w:r w:rsidR="004E70AD" w:rsidRPr="006B0439">
        <w:rPr>
          <w:rFonts w:eastAsia="Calibri"/>
          <w:sz w:val="22"/>
          <w:szCs w:val="22"/>
          <w:lang w:val="sr-Latn-RS"/>
        </w:rPr>
        <w:t>CInMED</w:t>
      </w:r>
      <w:r w:rsidRPr="006B0439">
        <w:rPr>
          <w:rFonts w:eastAsia="Calibri"/>
          <w:sz w:val="22"/>
          <w:szCs w:val="22"/>
          <w:lang w:val="sr-Latn-RS"/>
        </w:rPr>
        <w:t>):</w:t>
      </w:r>
    </w:p>
    <w:p w:rsidR="005A23D2" w:rsidRPr="006B0439" w:rsidRDefault="004E70AD" w:rsidP="00A46C9A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6B0439">
        <w:rPr>
          <w:rFonts w:eastAsia="Calibri"/>
          <w:sz w:val="22"/>
          <w:szCs w:val="22"/>
          <w:lang w:val="sr-Latn-RS"/>
        </w:rPr>
        <w:t xml:space="preserve">Institut </w:t>
      </w:r>
      <w:r w:rsidR="005A23D2" w:rsidRPr="006B0439">
        <w:rPr>
          <w:rFonts w:eastAsia="Calibri"/>
          <w:sz w:val="22"/>
          <w:szCs w:val="22"/>
          <w:lang w:val="sr-Latn-RS"/>
        </w:rPr>
        <w:t xml:space="preserve">za ljekove i medicinska sredstva </w:t>
      </w:r>
    </w:p>
    <w:p w:rsidR="005A23D2" w:rsidRPr="006B0439" w:rsidRDefault="005A23D2" w:rsidP="00A46C9A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6B0439">
        <w:rPr>
          <w:rFonts w:eastAsia="Calibri"/>
          <w:sz w:val="22"/>
          <w:szCs w:val="22"/>
          <w:lang w:val="sr-Latn-RS"/>
        </w:rPr>
        <w:t>Odjeljenje za farmakovigilancu</w:t>
      </w:r>
    </w:p>
    <w:p w:rsidR="00EA5765" w:rsidRPr="006B0439" w:rsidRDefault="005A23D2" w:rsidP="00A46C9A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6B0439">
        <w:rPr>
          <w:rFonts w:eastAsia="Calibri"/>
          <w:sz w:val="22"/>
          <w:szCs w:val="22"/>
          <w:lang w:val="sr-Latn-RS"/>
        </w:rPr>
        <w:t>Bulevar Ivana Crnojevića 64a, 81000 Podgorica</w:t>
      </w:r>
    </w:p>
    <w:p w:rsidR="00EA5765" w:rsidRPr="006B0439" w:rsidRDefault="00EA5765" w:rsidP="00A46C9A">
      <w:pPr>
        <w:pStyle w:val="NoSpacing"/>
        <w:rPr>
          <w:rFonts w:eastAsia="Calibri"/>
          <w:sz w:val="22"/>
          <w:szCs w:val="22"/>
          <w:lang w:val="sr-Latn-RS"/>
        </w:rPr>
      </w:pPr>
    </w:p>
    <w:p w:rsidR="005A23D2" w:rsidRPr="006B0439" w:rsidRDefault="005A23D2" w:rsidP="00A46C9A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6B0439">
        <w:rPr>
          <w:rFonts w:eastAsia="Calibri"/>
          <w:sz w:val="22"/>
          <w:szCs w:val="22"/>
          <w:lang w:val="sr-Latn-RS"/>
        </w:rPr>
        <w:t>tel: +382 (0) 20 310 280</w:t>
      </w:r>
    </w:p>
    <w:p w:rsidR="00EA5765" w:rsidRPr="006B0439" w:rsidRDefault="005A23D2" w:rsidP="00A46C9A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6B0439">
        <w:rPr>
          <w:rFonts w:eastAsia="Calibri"/>
          <w:sz w:val="22"/>
          <w:szCs w:val="22"/>
          <w:lang w:val="sr-Latn-RS"/>
        </w:rPr>
        <w:t>fax:</w:t>
      </w:r>
      <w:r w:rsidR="00EA5765" w:rsidRPr="006B0439">
        <w:rPr>
          <w:rFonts w:eastAsia="Calibri"/>
          <w:sz w:val="22"/>
          <w:szCs w:val="22"/>
          <w:lang w:val="sr-Latn-RS"/>
        </w:rPr>
        <w:t xml:space="preserve"> </w:t>
      </w:r>
      <w:r w:rsidRPr="006B0439">
        <w:rPr>
          <w:rFonts w:eastAsia="Calibri"/>
          <w:sz w:val="22"/>
          <w:szCs w:val="22"/>
          <w:lang w:val="sr-Latn-RS"/>
        </w:rPr>
        <w:t>+382 (0) 20 310 581</w:t>
      </w:r>
    </w:p>
    <w:p w:rsidR="005A23D2" w:rsidRPr="006B0439" w:rsidRDefault="00635AC4" w:rsidP="00A46C9A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hyperlink r:id="rId8" w:history="1">
        <w:r w:rsidR="004E70AD" w:rsidRPr="006B0439">
          <w:rPr>
            <w:rStyle w:val="Hyperlink"/>
            <w:rFonts w:eastAsia="Calibri"/>
            <w:sz w:val="22"/>
            <w:szCs w:val="22"/>
            <w:lang w:val="sr-Latn-RS"/>
          </w:rPr>
          <w:t>www.cinmed.me</w:t>
        </w:r>
      </w:hyperlink>
    </w:p>
    <w:p w:rsidR="00EA5765" w:rsidRPr="006B0439" w:rsidRDefault="00635AC4" w:rsidP="00A46C9A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RS"/>
        </w:rPr>
      </w:pPr>
      <w:hyperlink r:id="rId9" w:history="1">
        <w:r w:rsidR="004E70AD" w:rsidRPr="006B0439">
          <w:rPr>
            <w:rStyle w:val="Hyperlink"/>
            <w:rFonts w:eastAsia="Calibri"/>
            <w:sz w:val="22"/>
            <w:szCs w:val="22"/>
            <w:lang w:val="sr-Latn-RS"/>
          </w:rPr>
          <w:t>nezeljenadejstva@cinmed.me</w:t>
        </w:r>
      </w:hyperlink>
    </w:p>
    <w:p w:rsidR="005A23D2" w:rsidRPr="006B0439" w:rsidRDefault="005A23D2" w:rsidP="00A46C9A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6B0439">
        <w:rPr>
          <w:rFonts w:eastAsia="Calibri"/>
          <w:sz w:val="22"/>
          <w:szCs w:val="22"/>
          <w:lang w:val="sr-Latn-RS"/>
        </w:rPr>
        <w:t>putem IS zdravstvene zaštite</w:t>
      </w:r>
    </w:p>
    <w:p w:rsidR="00711A2C" w:rsidRDefault="00711A2C" w:rsidP="00A46C9A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6B0439">
        <w:rPr>
          <w:rFonts w:eastAsia="Calibri"/>
          <w:sz w:val="22"/>
          <w:szCs w:val="22"/>
          <w:lang w:val="sr-Latn-RS"/>
        </w:rPr>
        <w:t>QR kod za online prijavu sumnje na neželjeno dejstvo lijeka:</w:t>
      </w:r>
    </w:p>
    <w:p w:rsidR="006B0439" w:rsidRDefault="006B0439" w:rsidP="00A46C9A">
      <w:pPr>
        <w:pStyle w:val="NoSpacing"/>
        <w:jc w:val="both"/>
        <w:rPr>
          <w:rFonts w:eastAsia="Calibri"/>
          <w:sz w:val="22"/>
          <w:szCs w:val="22"/>
          <w:lang w:val="sr-Latn-RS"/>
        </w:rPr>
      </w:pPr>
    </w:p>
    <w:p w:rsidR="006B0439" w:rsidRPr="006B0439" w:rsidRDefault="006B0439" w:rsidP="00A46C9A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>
        <w:rPr>
          <w:noProof/>
        </w:rPr>
        <w:drawing>
          <wp:inline distT="0" distB="0" distL="0" distR="0" wp14:anchorId="21012DA4" wp14:editId="4540AE24">
            <wp:extent cx="971550" cy="971550"/>
            <wp:effectExtent l="0" t="0" r="0" b="0"/>
            <wp:docPr id="6" name="Picture 6" descr="https://cinmed.me/wp-content/uploads/2022/11/Online-prijava-NDL-QR-code-300x30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6B35" w:rsidRPr="006B0439" w:rsidRDefault="00836B35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</w:p>
    <w:p w:rsidR="00CD6F02" w:rsidRPr="006B0439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  <w:r w:rsidRPr="006B0439">
        <w:rPr>
          <w:b/>
          <w:bCs/>
          <w:sz w:val="22"/>
          <w:szCs w:val="22"/>
          <w:lang w:val="sr-Latn-RS"/>
        </w:rPr>
        <w:t xml:space="preserve">4.9. </w:t>
      </w:r>
      <w:r w:rsidR="00480FB1" w:rsidRPr="006B0439">
        <w:rPr>
          <w:b/>
          <w:bCs/>
          <w:sz w:val="22"/>
          <w:szCs w:val="22"/>
          <w:lang w:val="sr-Latn-RS"/>
        </w:rPr>
        <w:tab/>
      </w:r>
      <w:r w:rsidRPr="006B0439">
        <w:rPr>
          <w:b/>
          <w:bCs/>
          <w:sz w:val="22"/>
          <w:szCs w:val="22"/>
          <w:lang w:val="sr-Latn-RS"/>
        </w:rPr>
        <w:t>Predoziranje</w:t>
      </w:r>
      <w:r w:rsidR="002846DB" w:rsidRPr="006B0439">
        <w:rPr>
          <w:b/>
          <w:bCs/>
          <w:sz w:val="22"/>
          <w:szCs w:val="22"/>
          <w:lang w:val="sr-Latn-RS"/>
        </w:rPr>
        <w:t xml:space="preserve"> </w:t>
      </w:r>
    </w:p>
    <w:p w:rsidR="006B0439" w:rsidRDefault="006B0439" w:rsidP="00C76881">
      <w:pPr>
        <w:tabs>
          <w:tab w:val="left" w:pos="540"/>
          <w:tab w:val="left" w:pos="569"/>
        </w:tabs>
        <w:rPr>
          <w:bCs/>
          <w:sz w:val="22"/>
          <w:szCs w:val="22"/>
          <w:lang w:val="sr-Latn-CS"/>
        </w:rPr>
      </w:pPr>
    </w:p>
    <w:p w:rsidR="00C76881" w:rsidRPr="006B0439" w:rsidRDefault="00C76881" w:rsidP="00C76881">
      <w:pPr>
        <w:tabs>
          <w:tab w:val="left" w:pos="540"/>
          <w:tab w:val="left" w:pos="569"/>
        </w:tabs>
        <w:rPr>
          <w:bCs/>
          <w:sz w:val="22"/>
          <w:szCs w:val="22"/>
          <w:lang w:val="sr-Latn-CS"/>
        </w:rPr>
      </w:pPr>
      <w:r w:rsidRPr="006B0439">
        <w:rPr>
          <w:bCs/>
          <w:sz w:val="22"/>
          <w:szCs w:val="22"/>
          <w:lang w:val="sr-Latn-CS"/>
        </w:rPr>
        <w:t>Postoje izv</w:t>
      </w:r>
      <w:r w:rsidR="000F489A" w:rsidRPr="006B0439">
        <w:rPr>
          <w:bCs/>
          <w:sz w:val="22"/>
          <w:szCs w:val="22"/>
          <w:lang w:val="sr-Latn-CS"/>
        </w:rPr>
        <w:t>j</w:t>
      </w:r>
      <w:r w:rsidRPr="006B0439">
        <w:rPr>
          <w:bCs/>
          <w:sz w:val="22"/>
          <w:szCs w:val="22"/>
          <w:lang w:val="sr-Latn-CS"/>
        </w:rPr>
        <w:t>eštaji o predoziranju, u dozama koje su približno dva puta veće od preporučenih terapijskih doza, što može biti smrtonosno. Najznačajnije prijavljene neželjene reakcije bile su teška neutropenija i teška dijareja.</w:t>
      </w:r>
    </w:p>
    <w:p w:rsidR="00CD6F02" w:rsidRPr="006B0439" w:rsidRDefault="00C76881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CS"/>
        </w:rPr>
      </w:pPr>
      <w:r w:rsidRPr="006B0439">
        <w:rPr>
          <w:bCs/>
          <w:sz w:val="22"/>
          <w:szCs w:val="22"/>
          <w:lang w:val="sr-Latn-CS"/>
        </w:rPr>
        <w:t>Nema poznatog antidota za</w:t>
      </w:r>
      <w:r w:rsidR="002E4BC0" w:rsidRPr="006B0439">
        <w:rPr>
          <w:bCs/>
          <w:sz w:val="22"/>
          <w:szCs w:val="22"/>
          <w:lang w:val="sr-Latn-CS"/>
        </w:rPr>
        <w:t xml:space="preserve"> lijek</w:t>
      </w:r>
      <w:r w:rsidRPr="006B0439">
        <w:rPr>
          <w:bCs/>
          <w:sz w:val="22"/>
          <w:szCs w:val="22"/>
          <w:lang w:val="sr-Latn-CS"/>
        </w:rPr>
        <w:t xml:space="preserve"> IRITEC. Treba maksimalno primijeniti mjere suportivne terapije da bi se spriječila pojava dehidratacije zbog dijareje i u cilju liječenja bilo koje infektivne komplikacije.</w:t>
      </w:r>
    </w:p>
    <w:p w:rsidR="00227BDB" w:rsidRDefault="00227BD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CS"/>
        </w:rPr>
      </w:pPr>
    </w:p>
    <w:p w:rsidR="006B0439" w:rsidRPr="006B0439" w:rsidRDefault="006B0439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CS"/>
        </w:rPr>
      </w:pPr>
    </w:p>
    <w:p w:rsidR="0072020E" w:rsidRPr="006B0439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6B0439">
        <w:rPr>
          <w:b/>
          <w:bCs/>
          <w:sz w:val="22"/>
          <w:szCs w:val="22"/>
        </w:rPr>
        <w:t xml:space="preserve">5. </w:t>
      </w:r>
      <w:r w:rsidR="00480FB1" w:rsidRPr="006B0439">
        <w:rPr>
          <w:b/>
          <w:bCs/>
          <w:sz w:val="22"/>
          <w:szCs w:val="22"/>
        </w:rPr>
        <w:tab/>
      </w:r>
      <w:r w:rsidRPr="006B0439">
        <w:rPr>
          <w:b/>
          <w:bCs/>
          <w:sz w:val="22"/>
          <w:szCs w:val="22"/>
        </w:rPr>
        <w:t>FARMAKOLOŠK</w:t>
      </w:r>
      <w:r w:rsidR="000D425A" w:rsidRPr="006B0439">
        <w:rPr>
          <w:b/>
          <w:bCs/>
          <w:sz w:val="22"/>
          <w:szCs w:val="22"/>
        </w:rPr>
        <w:t>I</w:t>
      </w:r>
      <w:r w:rsidRPr="006B0439">
        <w:rPr>
          <w:b/>
          <w:bCs/>
          <w:sz w:val="22"/>
          <w:szCs w:val="22"/>
        </w:rPr>
        <w:t xml:space="preserve"> PODACI</w:t>
      </w:r>
    </w:p>
    <w:p w:rsidR="0072020E" w:rsidRPr="006B0439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</w:p>
    <w:p w:rsidR="0072020E" w:rsidRPr="006B0439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6B0439">
        <w:rPr>
          <w:b/>
          <w:bCs/>
          <w:sz w:val="22"/>
          <w:szCs w:val="22"/>
        </w:rPr>
        <w:t xml:space="preserve">5.1. </w:t>
      </w:r>
      <w:r w:rsidR="00480FB1" w:rsidRPr="006B0439">
        <w:rPr>
          <w:b/>
          <w:bCs/>
          <w:sz w:val="22"/>
          <w:szCs w:val="22"/>
        </w:rPr>
        <w:tab/>
      </w:r>
      <w:r w:rsidRPr="006B0439">
        <w:rPr>
          <w:b/>
          <w:bCs/>
          <w:sz w:val="22"/>
          <w:szCs w:val="22"/>
        </w:rPr>
        <w:t>Farmakodinamski podaci</w:t>
      </w:r>
      <w:r w:rsidR="003A7059" w:rsidRPr="006B0439">
        <w:rPr>
          <w:b/>
          <w:bCs/>
          <w:sz w:val="22"/>
          <w:szCs w:val="22"/>
        </w:rPr>
        <w:t xml:space="preserve"> </w:t>
      </w:r>
    </w:p>
    <w:p w:rsidR="00F45F77" w:rsidRPr="006B0439" w:rsidRDefault="00F45F77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</w:p>
    <w:p w:rsidR="0072020E" w:rsidRPr="006B0439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  <w:r w:rsidRPr="006B0439">
        <w:rPr>
          <w:bCs/>
          <w:sz w:val="22"/>
          <w:szCs w:val="22"/>
        </w:rPr>
        <w:t>Farmakoterapijska grupa:</w:t>
      </w:r>
      <w:r w:rsidR="00C76881" w:rsidRPr="006B0439">
        <w:rPr>
          <w:bCs/>
          <w:sz w:val="22"/>
          <w:szCs w:val="22"/>
        </w:rPr>
        <w:t xml:space="preserve"> </w:t>
      </w:r>
      <w:r w:rsidR="00C76881" w:rsidRPr="006B0439">
        <w:rPr>
          <w:bCs/>
          <w:sz w:val="22"/>
          <w:szCs w:val="22"/>
          <w:lang w:val="sr-Latn-CS"/>
        </w:rPr>
        <w:t>Citostatik, inhibitor topoizomeraze I</w:t>
      </w:r>
    </w:p>
    <w:p w:rsidR="0072020E" w:rsidRPr="006B0439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:rsidR="0072020E" w:rsidRPr="006B0439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  <w:r w:rsidRPr="006B0439">
        <w:rPr>
          <w:bCs/>
          <w:sz w:val="22"/>
          <w:szCs w:val="22"/>
        </w:rPr>
        <w:t>ATC kod:</w:t>
      </w:r>
      <w:r w:rsidR="00C76881" w:rsidRPr="006B0439">
        <w:rPr>
          <w:bCs/>
          <w:sz w:val="22"/>
          <w:szCs w:val="22"/>
        </w:rPr>
        <w:t xml:space="preserve"> L01XX19</w:t>
      </w:r>
    </w:p>
    <w:tbl>
      <w:tblPr>
        <w:tblW w:w="9923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9781"/>
        <w:gridCol w:w="142"/>
      </w:tblGrid>
      <w:tr w:rsidR="00C76881" w:rsidRPr="006B0439" w:rsidTr="005445CE">
        <w:trPr>
          <w:trHeight w:val="1145"/>
        </w:trPr>
        <w:tc>
          <w:tcPr>
            <w:tcW w:w="9923" w:type="dxa"/>
            <w:gridSpan w:val="2"/>
            <w:vAlign w:val="center"/>
          </w:tcPr>
          <w:p w:rsidR="00C76881" w:rsidRPr="006B0439" w:rsidRDefault="00C76881" w:rsidP="00C76881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CS"/>
              </w:rPr>
            </w:pPr>
          </w:p>
          <w:p w:rsidR="00C76881" w:rsidRPr="006B0439" w:rsidRDefault="00C76881" w:rsidP="00C76881">
            <w:pPr>
              <w:tabs>
                <w:tab w:val="left" w:pos="540"/>
                <w:tab w:val="left" w:pos="569"/>
              </w:tabs>
              <w:ind w:left="-216" w:firstLine="216"/>
              <w:jc w:val="both"/>
              <w:rPr>
                <w:bCs/>
                <w:sz w:val="22"/>
                <w:szCs w:val="22"/>
                <w:lang w:val="sr-Latn-CS"/>
              </w:rPr>
            </w:pPr>
            <w:r w:rsidRPr="006B0439">
              <w:rPr>
                <w:bCs/>
                <w:sz w:val="22"/>
                <w:szCs w:val="22"/>
                <w:lang w:val="sr-Latn-CS"/>
              </w:rPr>
              <w:t>Eksperimentalni podaci</w:t>
            </w:r>
          </w:p>
          <w:p w:rsidR="00C76881" w:rsidRPr="006B0439" w:rsidRDefault="00C76881" w:rsidP="00C76881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CS"/>
              </w:rPr>
            </w:pPr>
          </w:p>
          <w:p w:rsidR="00C76881" w:rsidRPr="006B0439" w:rsidRDefault="00C76881" w:rsidP="00C76881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CS"/>
              </w:rPr>
            </w:pPr>
            <w:r w:rsidRPr="006B0439">
              <w:rPr>
                <w:bCs/>
                <w:sz w:val="22"/>
                <w:szCs w:val="22"/>
                <w:lang w:val="sr-Latn-CS"/>
              </w:rPr>
              <w:t xml:space="preserve">Irinotekan je polusintetski derivat kamptotecina. To je antineoplastično sredstvo koje djeluje kao specifični inhibitor DNK topoizomeraze I. U većini tkiva, metaboliše ga karboksilesteraza do SN-38. Utvrđeno je da je SN-38 aktivniji od irinotekana u inhibiciji izolovane topoizomeraze I i citotoksičniji od irinotekana za humane i mišje tumorske ćelijske linije. Inhibicija DNK topoizomeraze I irinotekanom ili sa SN-38 izaziva lezije jednog </w:t>
            </w:r>
            <w:r w:rsidRPr="006B0439">
              <w:rPr>
                <w:bCs/>
                <w:sz w:val="22"/>
                <w:szCs w:val="22"/>
                <w:lang w:val="sr-Latn-CS"/>
              </w:rPr>
              <w:lastRenderedPageBreak/>
              <w:t>lanca DNK, što sprečava njegovo rasplitanje tokom replikacije i odgovorno je za citotoksičnost. Pokazano je da je citotoksično dejstvo vremenski zavisno i da je specifično za S fazu.</w:t>
            </w:r>
          </w:p>
          <w:p w:rsidR="00C76881" w:rsidRPr="006B0439" w:rsidRDefault="00C76881" w:rsidP="00C76881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CS"/>
              </w:rPr>
            </w:pPr>
            <w:r w:rsidRPr="006B0439">
              <w:rPr>
                <w:bCs/>
                <w:i/>
                <w:sz w:val="22"/>
                <w:szCs w:val="22"/>
                <w:lang w:val="sr-Latn-CS"/>
              </w:rPr>
              <w:t>In vitro</w:t>
            </w:r>
            <w:r w:rsidRPr="006B0439">
              <w:rPr>
                <w:bCs/>
                <w:sz w:val="22"/>
                <w:szCs w:val="22"/>
                <w:lang w:val="sr-Latn-CS"/>
              </w:rPr>
              <w:t>, P-glikoproteinski MDR transporter, ne prepoznaje u značajnoj mjeri irinotekan i SN-38, pa oni ispoljavaju citotoksično djelovanje i protiv ćelijskih linija koje su rezistentne na doksorubicin i vinblastin.</w:t>
            </w:r>
          </w:p>
          <w:p w:rsidR="00C76881" w:rsidRPr="006B0439" w:rsidRDefault="00C76881" w:rsidP="00C76881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CS"/>
              </w:rPr>
            </w:pPr>
            <w:r w:rsidRPr="006B0439">
              <w:rPr>
                <w:bCs/>
                <w:sz w:val="22"/>
                <w:szCs w:val="22"/>
                <w:lang w:val="sr-Latn-CS"/>
              </w:rPr>
              <w:t xml:space="preserve">Osim toga, irinotekan ispoljava širok spektar antitumorske aktivnosti </w:t>
            </w:r>
            <w:r w:rsidRPr="006B0439">
              <w:rPr>
                <w:bCs/>
                <w:i/>
                <w:sz w:val="22"/>
                <w:szCs w:val="22"/>
                <w:lang w:val="sr-Latn-CS"/>
              </w:rPr>
              <w:t>in vivo</w:t>
            </w:r>
            <w:r w:rsidRPr="006B0439">
              <w:rPr>
                <w:bCs/>
                <w:sz w:val="22"/>
                <w:szCs w:val="22"/>
                <w:lang w:val="sr-Latn-CS"/>
              </w:rPr>
              <w:t xml:space="preserve"> protiv mišjih tumora (modeli P03 adenokarcinoma kanalića pankreasa, MA16/C adenokarcinoma dojke, C38 i C51 adenokarcinoma kolona) i protiv humanih ksenografta (Co-4 adenokarcinom kolona, Mx-1 adenokarcinom dojke, ST-15 i SC-16 adenokarcinom želuca). Irinotekan je takođe djelotvoran protiv tipova raka koji eksprimiraju P-glikoproteinski MDR transporter (P388 leukemije rezistentne na vinkristin i doksorubicin).</w:t>
            </w:r>
          </w:p>
          <w:p w:rsidR="00C76881" w:rsidRPr="006B0439" w:rsidRDefault="00C76881" w:rsidP="00C76881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CS"/>
              </w:rPr>
            </w:pPr>
            <w:r w:rsidRPr="006B0439">
              <w:rPr>
                <w:bCs/>
                <w:sz w:val="22"/>
                <w:szCs w:val="22"/>
                <w:lang w:val="sr-Latn-CS"/>
              </w:rPr>
              <w:t>Osim antitumorske aktivnosti lijeka IRITEC, najvažnije farmakološko dejstvo irinotekana je inhibicija acetilholinesteraze.</w:t>
            </w:r>
          </w:p>
          <w:p w:rsidR="00C76881" w:rsidRPr="006B0439" w:rsidRDefault="00C76881" w:rsidP="00C76881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CS"/>
              </w:rPr>
            </w:pPr>
          </w:p>
          <w:p w:rsidR="00C76881" w:rsidRPr="006B0439" w:rsidRDefault="00C76881" w:rsidP="00C76881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sz w:val="22"/>
                <w:szCs w:val="22"/>
                <w:lang w:val="sr-Latn-CS"/>
              </w:rPr>
            </w:pPr>
            <w:r w:rsidRPr="006B0439">
              <w:rPr>
                <w:b/>
                <w:bCs/>
                <w:sz w:val="22"/>
                <w:szCs w:val="22"/>
                <w:lang w:val="sr-Latn-CS"/>
              </w:rPr>
              <w:t>Klinički podaci</w:t>
            </w:r>
          </w:p>
          <w:p w:rsidR="00C76881" w:rsidRPr="006B0439" w:rsidRDefault="00C76881" w:rsidP="00C76881">
            <w:pPr>
              <w:pStyle w:val="Header"/>
              <w:tabs>
                <w:tab w:val="left" w:pos="284"/>
                <w:tab w:val="left" w:pos="540"/>
                <w:tab w:val="left" w:pos="569"/>
              </w:tabs>
              <w:jc w:val="both"/>
              <w:rPr>
                <w:b/>
                <w:bCs/>
                <w:sz w:val="22"/>
                <w:szCs w:val="22"/>
                <w:lang w:val="sr-Latn-CS"/>
              </w:rPr>
            </w:pPr>
          </w:p>
          <w:p w:rsidR="00C76881" w:rsidRPr="006B0439" w:rsidRDefault="00C76881" w:rsidP="00C76881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sz w:val="22"/>
                <w:szCs w:val="22"/>
                <w:u w:val="single"/>
                <w:lang w:val="sr-Latn-CS"/>
              </w:rPr>
            </w:pPr>
            <w:r w:rsidRPr="006B0439">
              <w:rPr>
                <w:b/>
                <w:bCs/>
                <w:sz w:val="22"/>
                <w:szCs w:val="22"/>
                <w:u w:val="single"/>
                <w:lang w:val="sr-Latn-CS"/>
              </w:rPr>
              <w:t>U kombinovanoj terapiji kao terapija prvog izbora za metastatski kolorektalni karcinom:</w:t>
            </w:r>
          </w:p>
          <w:p w:rsidR="00C76881" w:rsidRPr="006B0439" w:rsidRDefault="00C76881" w:rsidP="00C76881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sz w:val="22"/>
                <w:szCs w:val="22"/>
                <w:lang w:val="sr-Latn-CS"/>
              </w:rPr>
            </w:pPr>
          </w:p>
          <w:p w:rsidR="00C76881" w:rsidRPr="006B0439" w:rsidRDefault="00C76881" w:rsidP="00C76881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sz w:val="22"/>
                <w:szCs w:val="22"/>
                <w:lang w:val="sr-Latn-CS"/>
              </w:rPr>
            </w:pPr>
            <w:r w:rsidRPr="006B0439">
              <w:rPr>
                <w:b/>
                <w:bCs/>
                <w:sz w:val="22"/>
                <w:szCs w:val="22"/>
                <w:lang w:val="sr-Latn-CS"/>
              </w:rPr>
              <w:t>U kombinovanoj terapiji sa FA i 5FU</w:t>
            </w:r>
          </w:p>
          <w:p w:rsidR="00C76881" w:rsidRPr="006B0439" w:rsidRDefault="00C76881" w:rsidP="00C76881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CS"/>
              </w:rPr>
            </w:pPr>
          </w:p>
          <w:p w:rsidR="00C76881" w:rsidRPr="006B0439" w:rsidRDefault="00C76881" w:rsidP="00C76881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CS"/>
              </w:rPr>
            </w:pPr>
            <w:r w:rsidRPr="006B0439">
              <w:rPr>
                <w:bCs/>
                <w:sz w:val="22"/>
                <w:szCs w:val="22"/>
                <w:lang w:val="sr-Latn-CS"/>
              </w:rPr>
              <w:t>Studija III faze sprovedena je na 385 prethodno neliječenih pacijenata sa metastatskim kolorektalnim karcinomom, koji su liječeni ili po dvoned</w:t>
            </w:r>
            <w:r w:rsidR="000F489A" w:rsidRPr="006B0439">
              <w:rPr>
                <w:bCs/>
                <w:sz w:val="22"/>
                <w:szCs w:val="22"/>
                <w:lang w:val="sr-Latn-CS"/>
              </w:rPr>
              <w:t>j</w:t>
            </w:r>
            <w:r w:rsidRPr="006B0439">
              <w:rPr>
                <w:bCs/>
                <w:sz w:val="22"/>
                <w:szCs w:val="22"/>
                <w:lang w:val="sr-Latn-CS"/>
              </w:rPr>
              <w:t xml:space="preserve">eljnom režimu (vidjeti </w:t>
            </w:r>
            <w:r w:rsidR="000F489A" w:rsidRPr="006B0439">
              <w:rPr>
                <w:bCs/>
                <w:sz w:val="22"/>
                <w:szCs w:val="22"/>
                <w:lang w:val="sr-Latn-CS"/>
              </w:rPr>
              <w:t xml:space="preserve">dio </w:t>
            </w:r>
            <w:r w:rsidRPr="006B0439">
              <w:rPr>
                <w:bCs/>
                <w:sz w:val="22"/>
                <w:szCs w:val="22"/>
                <w:lang w:val="sr-Latn-CS"/>
              </w:rPr>
              <w:t>4.2) ili po ned</w:t>
            </w:r>
            <w:r w:rsidR="000F489A" w:rsidRPr="006B0439">
              <w:rPr>
                <w:bCs/>
                <w:sz w:val="22"/>
                <w:szCs w:val="22"/>
                <w:lang w:val="sr-Latn-CS"/>
              </w:rPr>
              <w:t>j</w:t>
            </w:r>
            <w:r w:rsidRPr="006B0439">
              <w:rPr>
                <w:bCs/>
                <w:sz w:val="22"/>
                <w:szCs w:val="22"/>
                <w:lang w:val="sr-Latn-CS"/>
              </w:rPr>
              <w:t>eljnom režimu. U slučaju dvoned</w:t>
            </w:r>
            <w:r w:rsidR="000F489A" w:rsidRPr="006B0439">
              <w:rPr>
                <w:bCs/>
                <w:sz w:val="22"/>
                <w:szCs w:val="22"/>
                <w:lang w:val="sr-Latn-CS"/>
              </w:rPr>
              <w:t>j</w:t>
            </w:r>
            <w:r w:rsidRPr="006B0439">
              <w:rPr>
                <w:bCs/>
                <w:sz w:val="22"/>
                <w:szCs w:val="22"/>
                <w:lang w:val="sr-Latn-CS"/>
              </w:rPr>
              <w:t>eljnog režima, prvog dana ciklusa, posl</w:t>
            </w:r>
            <w:r w:rsidR="000F489A" w:rsidRPr="006B0439">
              <w:rPr>
                <w:bCs/>
                <w:sz w:val="22"/>
                <w:szCs w:val="22"/>
                <w:lang w:val="sr-Latn-CS"/>
              </w:rPr>
              <w:t>ij</w:t>
            </w:r>
            <w:r w:rsidRPr="006B0439">
              <w:rPr>
                <w:bCs/>
                <w:sz w:val="22"/>
                <w:szCs w:val="22"/>
                <w:lang w:val="sr-Latn-CS"/>
              </w:rPr>
              <w:t>e primjene irinotekana (180 mg/m</w:t>
            </w:r>
            <w:r w:rsidRPr="006B0439">
              <w:rPr>
                <w:bCs/>
                <w:sz w:val="22"/>
                <w:szCs w:val="22"/>
                <w:vertAlign w:val="superscript"/>
                <w:lang w:val="sr-Latn-CS"/>
              </w:rPr>
              <w:t>2</w:t>
            </w:r>
            <w:r w:rsidRPr="006B0439">
              <w:rPr>
                <w:bCs/>
                <w:sz w:val="22"/>
                <w:szCs w:val="22"/>
                <w:lang w:val="sr-Latn-CS"/>
              </w:rPr>
              <w:t>, jednom u dvije ned</w:t>
            </w:r>
            <w:r w:rsidR="000F489A" w:rsidRPr="006B0439">
              <w:rPr>
                <w:bCs/>
                <w:sz w:val="22"/>
                <w:szCs w:val="22"/>
                <w:lang w:val="sr-Latn-CS"/>
              </w:rPr>
              <w:t>j</w:t>
            </w:r>
            <w:r w:rsidRPr="006B0439">
              <w:rPr>
                <w:bCs/>
                <w:sz w:val="22"/>
                <w:szCs w:val="22"/>
                <w:lang w:val="sr-Latn-CS"/>
              </w:rPr>
              <w:t>elje), pacijenti su dobijali folinsku kiselinu (200 mg/m</w:t>
            </w:r>
            <w:r w:rsidRPr="006B0439">
              <w:rPr>
                <w:bCs/>
                <w:sz w:val="22"/>
                <w:szCs w:val="22"/>
                <w:vertAlign w:val="superscript"/>
                <w:lang w:val="sr-Latn-CS"/>
              </w:rPr>
              <w:t>2</w:t>
            </w:r>
            <w:r w:rsidRPr="006B0439">
              <w:rPr>
                <w:bCs/>
                <w:sz w:val="22"/>
                <w:szCs w:val="22"/>
                <w:lang w:val="sr-Latn-CS"/>
              </w:rPr>
              <w:t>, i.v. infuzija, tokom 2 h), a zatim 5-fluorouracil (400 mg/m</w:t>
            </w:r>
            <w:r w:rsidRPr="006B0439">
              <w:rPr>
                <w:bCs/>
                <w:sz w:val="22"/>
                <w:szCs w:val="22"/>
                <w:vertAlign w:val="superscript"/>
                <w:lang w:val="sr-Latn-CS"/>
              </w:rPr>
              <w:t>2</w:t>
            </w:r>
            <w:r w:rsidRPr="006B0439">
              <w:rPr>
                <w:bCs/>
                <w:sz w:val="22"/>
                <w:szCs w:val="22"/>
                <w:lang w:val="sr-Latn-CS"/>
              </w:rPr>
              <w:t>, i.v. bolus, a zatim 600 mg/m</w:t>
            </w:r>
            <w:r w:rsidRPr="006B0439">
              <w:rPr>
                <w:bCs/>
                <w:sz w:val="22"/>
                <w:szCs w:val="22"/>
                <w:vertAlign w:val="superscript"/>
                <w:lang w:val="sr-Latn-CS"/>
              </w:rPr>
              <w:t>2</w:t>
            </w:r>
            <w:r w:rsidRPr="006B0439">
              <w:rPr>
                <w:bCs/>
                <w:sz w:val="22"/>
                <w:szCs w:val="22"/>
                <w:lang w:val="sr-Latn-CS"/>
              </w:rPr>
              <w:t xml:space="preserve"> tokom 22-časovne i.v. infuzije).</w:t>
            </w:r>
          </w:p>
          <w:p w:rsidR="00C76881" w:rsidRPr="006B0439" w:rsidRDefault="00C76881" w:rsidP="00C76881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CS"/>
              </w:rPr>
            </w:pPr>
            <w:r w:rsidRPr="006B0439">
              <w:rPr>
                <w:bCs/>
                <w:sz w:val="22"/>
                <w:szCs w:val="22"/>
                <w:lang w:val="sr-Latn-CS"/>
              </w:rPr>
              <w:t>Drugog dana ciklusa, folinska kiselina i 5-fluorouracil primjenjeni su u istoj dozi i istom doznom režimu kao i prvog dana. U nedeljnom režimu, posl</w:t>
            </w:r>
            <w:r w:rsidR="000F489A" w:rsidRPr="006B0439">
              <w:rPr>
                <w:bCs/>
                <w:sz w:val="22"/>
                <w:szCs w:val="22"/>
                <w:lang w:val="sr-Latn-CS"/>
              </w:rPr>
              <w:t>ij</w:t>
            </w:r>
            <w:r w:rsidRPr="006B0439">
              <w:rPr>
                <w:bCs/>
                <w:sz w:val="22"/>
                <w:szCs w:val="22"/>
                <w:lang w:val="sr-Latn-CS"/>
              </w:rPr>
              <w:t>e primjene irinotekana (80 mg/m</w:t>
            </w:r>
            <w:r w:rsidRPr="006B0439">
              <w:rPr>
                <w:bCs/>
                <w:sz w:val="22"/>
                <w:szCs w:val="22"/>
                <w:vertAlign w:val="superscript"/>
                <w:lang w:val="sr-Latn-CS"/>
              </w:rPr>
              <w:t>2</w:t>
            </w:r>
            <w:r w:rsidRPr="006B0439">
              <w:rPr>
                <w:bCs/>
                <w:sz w:val="22"/>
                <w:szCs w:val="22"/>
                <w:lang w:val="sr-Latn-CS"/>
              </w:rPr>
              <w:t>), pacijenti su dobijali folinsku kiselinu (500 mg/m</w:t>
            </w:r>
            <w:r w:rsidRPr="006B0439">
              <w:rPr>
                <w:bCs/>
                <w:sz w:val="22"/>
                <w:szCs w:val="22"/>
                <w:vertAlign w:val="superscript"/>
                <w:lang w:val="sr-Latn-CS"/>
              </w:rPr>
              <w:t>2</w:t>
            </w:r>
            <w:r w:rsidRPr="006B0439">
              <w:rPr>
                <w:bCs/>
                <w:sz w:val="22"/>
                <w:szCs w:val="22"/>
                <w:lang w:val="sr-Latn-CS"/>
              </w:rPr>
              <w:t>, i.v. infuzija, tokom 2 h), a zatim 5-fluorouracil (2300 mg/m</w:t>
            </w:r>
            <w:r w:rsidRPr="006B0439">
              <w:rPr>
                <w:bCs/>
                <w:sz w:val="22"/>
                <w:szCs w:val="22"/>
                <w:vertAlign w:val="superscript"/>
                <w:lang w:val="sr-Latn-CS"/>
              </w:rPr>
              <w:t>2</w:t>
            </w:r>
            <w:r w:rsidRPr="006B0439">
              <w:rPr>
                <w:bCs/>
                <w:sz w:val="22"/>
                <w:szCs w:val="22"/>
                <w:lang w:val="sr-Latn-CS"/>
              </w:rPr>
              <w:t xml:space="preserve"> u i.v. infuziji u trajanju od 24 h), tokom 6 ned</w:t>
            </w:r>
            <w:r w:rsidR="000F489A" w:rsidRPr="006B0439">
              <w:rPr>
                <w:bCs/>
                <w:sz w:val="22"/>
                <w:szCs w:val="22"/>
                <w:lang w:val="sr-Latn-CS"/>
              </w:rPr>
              <w:t>j</w:t>
            </w:r>
            <w:r w:rsidRPr="006B0439">
              <w:rPr>
                <w:bCs/>
                <w:sz w:val="22"/>
                <w:szCs w:val="22"/>
                <w:lang w:val="sr-Latn-CS"/>
              </w:rPr>
              <w:t>elja.</w:t>
            </w:r>
          </w:p>
          <w:p w:rsidR="00C76881" w:rsidRPr="006B0439" w:rsidRDefault="00C76881" w:rsidP="00C76881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CS"/>
              </w:rPr>
            </w:pPr>
            <w:r w:rsidRPr="006B0439">
              <w:rPr>
                <w:bCs/>
                <w:sz w:val="22"/>
                <w:szCs w:val="22"/>
                <w:lang w:val="sr-Latn-CS"/>
              </w:rPr>
              <w:t>U studiji sa kombinovanom terapijom, sa dva opisana dozna režima, efikasnost irinotekana ispitana je na 198 liječenih pacijenata:</w:t>
            </w:r>
          </w:p>
          <w:p w:rsidR="00C76881" w:rsidRPr="006B0439" w:rsidRDefault="00C76881" w:rsidP="00C76881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CS"/>
              </w:rPr>
            </w:pPr>
          </w:p>
          <w:p w:rsidR="00C76881" w:rsidRPr="006B0439" w:rsidRDefault="00C76881" w:rsidP="00C76881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CS"/>
              </w:rPr>
            </w:pPr>
          </w:p>
          <w:tbl>
            <w:tblPr>
              <w:tblW w:w="0" w:type="auto"/>
              <w:tblInd w:w="19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20"/>
              <w:gridCol w:w="1242"/>
              <w:gridCol w:w="1134"/>
              <w:gridCol w:w="1275"/>
              <w:gridCol w:w="1134"/>
              <w:gridCol w:w="1276"/>
              <w:gridCol w:w="1418"/>
            </w:tblGrid>
            <w:tr w:rsidR="00C76881" w:rsidRPr="006B0439" w:rsidTr="00C76881">
              <w:trPr>
                <w:trHeight w:hRule="exact" w:val="996"/>
              </w:trPr>
              <w:tc>
                <w:tcPr>
                  <w:tcW w:w="1820" w:type="dxa"/>
                  <w:tcBorders>
                    <w:top w:val="single" w:sz="2" w:space="0" w:color="000000"/>
                    <w:left w:val="single" w:sz="4" w:space="0" w:color="000000"/>
                    <w:bottom w:val="single" w:sz="3" w:space="0" w:color="000000"/>
                    <w:right w:val="single" w:sz="4" w:space="0" w:color="000000"/>
                  </w:tcBorders>
                </w:tcPr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jc w:val="both"/>
                    <w:rPr>
                      <w:bCs/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2376" w:type="dxa"/>
                  <w:gridSpan w:val="2"/>
                  <w:tcBorders>
                    <w:top w:val="single" w:sz="2" w:space="0" w:color="000000"/>
                    <w:left w:val="single" w:sz="4" w:space="0" w:color="000000"/>
                    <w:bottom w:val="single" w:sz="3" w:space="0" w:color="000000"/>
                    <w:right w:val="single" w:sz="4" w:space="0" w:color="000000"/>
                  </w:tcBorders>
                </w:tcPr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spacing w:before="3"/>
                    <w:ind w:left="247" w:right="218"/>
                    <w:jc w:val="both"/>
                    <w:rPr>
                      <w:b/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/>
                      <w:bCs/>
                      <w:sz w:val="22"/>
                      <w:szCs w:val="22"/>
                      <w:lang w:val="sr-Latn-CS"/>
                    </w:rPr>
                    <w:t>Kombinovani režim</w:t>
                  </w:r>
                </w:p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spacing w:before="7"/>
                    <w:ind w:left="717" w:right="695"/>
                    <w:jc w:val="both"/>
                    <w:rPr>
                      <w:b/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/>
                      <w:bCs/>
                      <w:sz w:val="22"/>
                      <w:szCs w:val="22"/>
                      <w:lang w:val="sr-Latn-CS"/>
                    </w:rPr>
                    <w:t>(n = 198)</w:t>
                  </w:r>
                </w:p>
              </w:tc>
              <w:tc>
                <w:tcPr>
                  <w:tcW w:w="2409" w:type="dxa"/>
                  <w:gridSpan w:val="2"/>
                  <w:tcBorders>
                    <w:top w:val="single" w:sz="2" w:space="0" w:color="000000"/>
                    <w:left w:val="single" w:sz="4" w:space="0" w:color="000000"/>
                    <w:bottom w:val="single" w:sz="3" w:space="0" w:color="000000"/>
                    <w:right w:val="single" w:sz="4" w:space="0" w:color="000000"/>
                  </w:tcBorders>
                </w:tcPr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spacing w:before="3"/>
                    <w:ind w:left="473" w:right="453"/>
                    <w:jc w:val="both"/>
                    <w:rPr>
                      <w:b/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/>
                      <w:bCs/>
                      <w:sz w:val="22"/>
                      <w:szCs w:val="22"/>
                      <w:lang w:val="sr-Latn-CS"/>
                    </w:rPr>
                    <w:t>Ned</w:t>
                  </w:r>
                  <w:r w:rsidR="00C578CB" w:rsidRPr="006B0439">
                    <w:rPr>
                      <w:b/>
                      <w:bCs/>
                      <w:sz w:val="22"/>
                      <w:szCs w:val="22"/>
                      <w:lang w:val="sr-Latn-CS"/>
                    </w:rPr>
                    <w:t>j</w:t>
                  </w:r>
                  <w:r w:rsidRPr="006B0439">
                    <w:rPr>
                      <w:b/>
                      <w:bCs/>
                      <w:sz w:val="22"/>
                      <w:szCs w:val="22"/>
                      <w:lang w:val="sr-Latn-CS"/>
                    </w:rPr>
                    <w:t>eljni režim</w:t>
                  </w:r>
                </w:p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spacing w:before="7"/>
                    <w:ind w:left="767" w:right="753"/>
                    <w:jc w:val="both"/>
                    <w:rPr>
                      <w:b/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/>
                      <w:bCs/>
                      <w:sz w:val="22"/>
                      <w:szCs w:val="22"/>
                      <w:lang w:val="sr-Latn-CS"/>
                    </w:rPr>
                    <w:t>(n = 50)</w:t>
                  </w:r>
                </w:p>
              </w:tc>
              <w:tc>
                <w:tcPr>
                  <w:tcW w:w="2694" w:type="dxa"/>
                  <w:gridSpan w:val="2"/>
                  <w:tcBorders>
                    <w:top w:val="single" w:sz="2" w:space="0" w:color="000000"/>
                    <w:left w:val="single" w:sz="4" w:space="0" w:color="000000"/>
                    <w:bottom w:val="single" w:sz="3" w:space="0" w:color="000000"/>
                    <w:right w:val="single" w:sz="4" w:space="0" w:color="000000"/>
                  </w:tcBorders>
                </w:tcPr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spacing w:before="3"/>
                    <w:ind w:left="315" w:right="288"/>
                    <w:jc w:val="both"/>
                    <w:rPr>
                      <w:b/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/>
                      <w:bCs/>
                      <w:sz w:val="22"/>
                      <w:szCs w:val="22"/>
                      <w:lang w:val="sr-Latn-CS"/>
                    </w:rPr>
                    <w:t>Dvoned</w:t>
                  </w:r>
                  <w:r w:rsidR="000F489A" w:rsidRPr="006B0439">
                    <w:rPr>
                      <w:b/>
                      <w:bCs/>
                      <w:sz w:val="22"/>
                      <w:szCs w:val="22"/>
                      <w:lang w:val="sr-Latn-CS"/>
                    </w:rPr>
                    <w:t>j</w:t>
                  </w:r>
                  <w:r w:rsidRPr="006B0439">
                    <w:rPr>
                      <w:b/>
                      <w:bCs/>
                      <w:sz w:val="22"/>
                      <w:szCs w:val="22"/>
                      <w:lang w:val="sr-Latn-CS"/>
                    </w:rPr>
                    <w:t>eljni režim</w:t>
                  </w:r>
                </w:p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spacing w:before="7"/>
                    <w:ind w:left="717" w:right="695"/>
                    <w:jc w:val="both"/>
                    <w:rPr>
                      <w:b/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/>
                      <w:bCs/>
                      <w:sz w:val="22"/>
                      <w:szCs w:val="22"/>
                      <w:lang w:val="sr-Latn-CS"/>
                    </w:rPr>
                    <w:t>(n = 148)</w:t>
                  </w:r>
                </w:p>
              </w:tc>
            </w:tr>
            <w:tr w:rsidR="00C76881" w:rsidRPr="006B0439" w:rsidTr="00C76881">
              <w:trPr>
                <w:trHeight w:hRule="exact" w:val="855"/>
              </w:trPr>
              <w:tc>
                <w:tcPr>
                  <w:tcW w:w="1820" w:type="dxa"/>
                  <w:tcBorders>
                    <w:top w:val="single" w:sz="3" w:space="0" w:color="000000"/>
                    <w:left w:val="single" w:sz="4" w:space="0" w:color="000000"/>
                    <w:bottom w:val="single" w:sz="3" w:space="0" w:color="000000"/>
                    <w:right w:val="single" w:sz="4" w:space="0" w:color="000000"/>
                  </w:tcBorders>
                </w:tcPr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jc w:val="both"/>
                    <w:rPr>
                      <w:bCs/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1242" w:type="dxa"/>
                  <w:tcBorders>
                    <w:top w:val="single" w:sz="3" w:space="0" w:color="000000"/>
                    <w:left w:val="single" w:sz="4" w:space="0" w:color="000000"/>
                    <w:bottom w:val="single" w:sz="3" w:space="0" w:color="000000"/>
                    <w:right w:val="single" w:sz="4" w:space="0" w:color="000000"/>
                  </w:tcBorders>
                </w:tcPr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spacing w:before="4"/>
                    <w:ind w:left="124" w:right="-20"/>
                    <w:jc w:val="both"/>
                    <w:rPr>
                      <w:b/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/>
                      <w:bCs/>
                      <w:sz w:val="22"/>
                      <w:szCs w:val="22"/>
                      <w:lang w:val="sr-Latn-CS"/>
                    </w:rPr>
                    <w:t>Irinotekan</w:t>
                  </w:r>
                </w:p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spacing w:before="7"/>
                    <w:ind w:left="138" w:right="-20"/>
                    <w:jc w:val="both"/>
                    <w:rPr>
                      <w:b/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/>
                      <w:bCs/>
                      <w:sz w:val="22"/>
                      <w:szCs w:val="22"/>
                      <w:lang w:val="sr-Latn-CS"/>
                    </w:rPr>
                    <w:t>+ 5FU/FA</w:t>
                  </w:r>
                </w:p>
              </w:tc>
              <w:tc>
                <w:tcPr>
                  <w:tcW w:w="1134" w:type="dxa"/>
                  <w:tcBorders>
                    <w:top w:val="single" w:sz="3" w:space="0" w:color="000000"/>
                    <w:left w:val="single" w:sz="4" w:space="0" w:color="000000"/>
                    <w:bottom w:val="single" w:sz="3" w:space="0" w:color="000000"/>
                    <w:right w:val="single" w:sz="4" w:space="0" w:color="000000"/>
                  </w:tcBorders>
                </w:tcPr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spacing w:before="4"/>
                    <w:ind w:left="222" w:right="-20"/>
                    <w:jc w:val="both"/>
                    <w:rPr>
                      <w:b/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/>
                      <w:bCs/>
                      <w:sz w:val="22"/>
                      <w:szCs w:val="22"/>
                      <w:lang w:val="sr-Latn-CS"/>
                    </w:rPr>
                    <w:t>5FU/FA</w:t>
                  </w:r>
                </w:p>
              </w:tc>
              <w:tc>
                <w:tcPr>
                  <w:tcW w:w="1275" w:type="dxa"/>
                  <w:tcBorders>
                    <w:top w:val="single" w:sz="3" w:space="0" w:color="000000"/>
                    <w:left w:val="single" w:sz="4" w:space="0" w:color="000000"/>
                    <w:bottom w:val="single" w:sz="3" w:space="0" w:color="000000"/>
                    <w:right w:val="single" w:sz="4" w:space="0" w:color="000000"/>
                  </w:tcBorders>
                </w:tcPr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spacing w:before="4"/>
                    <w:ind w:left="124" w:right="-20"/>
                    <w:jc w:val="both"/>
                    <w:rPr>
                      <w:b/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/>
                      <w:bCs/>
                      <w:sz w:val="22"/>
                      <w:szCs w:val="22"/>
                      <w:lang w:val="sr-Latn-CS"/>
                    </w:rPr>
                    <w:t>Irinotekan</w:t>
                  </w:r>
                </w:p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spacing w:before="7"/>
                    <w:ind w:left="136" w:right="-20"/>
                    <w:jc w:val="both"/>
                    <w:rPr>
                      <w:b/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/>
                      <w:bCs/>
                      <w:sz w:val="22"/>
                      <w:szCs w:val="22"/>
                      <w:lang w:val="sr-Latn-CS"/>
                    </w:rPr>
                    <w:t>+ 5FU/FA</w:t>
                  </w:r>
                </w:p>
              </w:tc>
              <w:tc>
                <w:tcPr>
                  <w:tcW w:w="1134" w:type="dxa"/>
                  <w:tcBorders>
                    <w:top w:val="single" w:sz="3" w:space="0" w:color="000000"/>
                    <w:left w:val="single" w:sz="4" w:space="0" w:color="000000"/>
                    <w:bottom w:val="single" w:sz="3" w:space="0" w:color="000000"/>
                    <w:right w:val="single" w:sz="4" w:space="0" w:color="000000"/>
                  </w:tcBorders>
                </w:tcPr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spacing w:before="4"/>
                    <w:ind w:left="222" w:right="-20"/>
                    <w:jc w:val="both"/>
                    <w:rPr>
                      <w:b/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/>
                      <w:bCs/>
                      <w:sz w:val="22"/>
                      <w:szCs w:val="22"/>
                      <w:lang w:val="sr-Latn-CS"/>
                    </w:rPr>
                    <w:t>5FU/FA</w:t>
                  </w:r>
                </w:p>
              </w:tc>
              <w:tc>
                <w:tcPr>
                  <w:tcW w:w="1276" w:type="dxa"/>
                  <w:tcBorders>
                    <w:top w:val="single" w:sz="3" w:space="0" w:color="000000"/>
                    <w:left w:val="single" w:sz="4" w:space="0" w:color="000000"/>
                    <w:bottom w:val="single" w:sz="3" w:space="0" w:color="000000"/>
                    <w:right w:val="single" w:sz="4" w:space="0" w:color="000000"/>
                  </w:tcBorders>
                </w:tcPr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spacing w:before="4"/>
                    <w:ind w:left="124" w:right="-20"/>
                    <w:jc w:val="both"/>
                    <w:rPr>
                      <w:b/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/>
                      <w:bCs/>
                      <w:sz w:val="22"/>
                      <w:szCs w:val="22"/>
                      <w:lang w:val="sr-Latn-CS"/>
                    </w:rPr>
                    <w:t>Irinotekan</w:t>
                  </w:r>
                </w:p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spacing w:before="7"/>
                    <w:ind w:left="138" w:right="-20"/>
                    <w:jc w:val="both"/>
                    <w:rPr>
                      <w:b/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/>
                      <w:bCs/>
                      <w:sz w:val="22"/>
                      <w:szCs w:val="22"/>
                      <w:lang w:val="sr-Latn-CS"/>
                    </w:rPr>
                    <w:t>+ 5FU/FA</w:t>
                  </w:r>
                </w:p>
              </w:tc>
              <w:tc>
                <w:tcPr>
                  <w:tcW w:w="1418" w:type="dxa"/>
                  <w:tcBorders>
                    <w:top w:val="single" w:sz="3" w:space="0" w:color="000000"/>
                    <w:left w:val="single" w:sz="4" w:space="0" w:color="000000"/>
                    <w:bottom w:val="single" w:sz="3" w:space="0" w:color="000000"/>
                    <w:right w:val="single" w:sz="4" w:space="0" w:color="000000"/>
                  </w:tcBorders>
                </w:tcPr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spacing w:before="4"/>
                    <w:ind w:left="222" w:right="-20"/>
                    <w:jc w:val="both"/>
                    <w:rPr>
                      <w:b/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/>
                      <w:bCs/>
                      <w:sz w:val="22"/>
                      <w:szCs w:val="22"/>
                      <w:lang w:val="sr-Latn-CS"/>
                    </w:rPr>
                    <w:t>5FU/FA</w:t>
                  </w:r>
                </w:p>
              </w:tc>
            </w:tr>
            <w:tr w:rsidR="00C76881" w:rsidRPr="006B0439" w:rsidTr="00C76881">
              <w:trPr>
                <w:trHeight w:hRule="exact" w:val="983"/>
              </w:trPr>
              <w:tc>
                <w:tcPr>
                  <w:tcW w:w="1820" w:type="dxa"/>
                  <w:tcBorders>
                    <w:top w:val="single" w:sz="3" w:space="0" w:color="000000"/>
                    <w:left w:val="single" w:sz="4" w:space="0" w:color="000000"/>
                    <w:bottom w:val="single" w:sz="3" w:space="0" w:color="000000"/>
                    <w:right w:val="single" w:sz="4" w:space="0" w:color="000000"/>
                  </w:tcBorders>
                </w:tcPr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spacing w:before="4" w:line="247" w:lineRule="auto"/>
                    <w:ind w:left="95" w:right="40"/>
                    <w:jc w:val="both"/>
                    <w:rPr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Cs/>
                      <w:sz w:val="22"/>
                      <w:szCs w:val="22"/>
                      <w:lang w:val="sr-Latn-CS"/>
                    </w:rPr>
                    <w:t>Stopa terapijskog odgovora (%)</w:t>
                  </w:r>
                </w:p>
              </w:tc>
              <w:tc>
                <w:tcPr>
                  <w:tcW w:w="1242" w:type="dxa"/>
                  <w:tcBorders>
                    <w:top w:val="single" w:sz="3" w:space="0" w:color="000000"/>
                    <w:left w:val="single" w:sz="4" w:space="0" w:color="000000"/>
                    <w:bottom w:val="single" w:sz="3" w:space="0" w:color="000000"/>
                    <w:right w:val="single" w:sz="4" w:space="0" w:color="000000"/>
                  </w:tcBorders>
                </w:tcPr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spacing w:before="2" w:line="240" w:lineRule="exact"/>
                    <w:jc w:val="both"/>
                    <w:rPr>
                      <w:bCs/>
                      <w:sz w:val="22"/>
                      <w:szCs w:val="22"/>
                      <w:lang w:val="sr-Latn-CS"/>
                    </w:rPr>
                  </w:pPr>
                </w:p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ind w:left="323" w:right="-20"/>
                    <w:jc w:val="both"/>
                    <w:rPr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Cs/>
                      <w:sz w:val="22"/>
                      <w:szCs w:val="22"/>
                      <w:lang w:val="sr-Latn-CS"/>
                    </w:rPr>
                    <w:t>40,8 *</w:t>
                  </w:r>
                </w:p>
              </w:tc>
              <w:tc>
                <w:tcPr>
                  <w:tcW w:w="1134" w:type="dxa"/>
                  <w:tcBorders>
                    <w:top w:val="single" w:sz="3" w:space="0" w:color="000000"/>
                    <w:left w:val="single" w:sz="4" w:space="0" w:color="000000"/>
                    <w:bottom w:val="single" w:sz="3" w:space="0" w:color="000000"/>
                    <w:right w:val="single" w:sz="4" w:space="0" w:color="000000"/>
                  </w:tcBorders>
                </w:tcPr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spacing w:before="2" w:line="240" w:lineRule="exact"/>
                    <w:jc w:val="both"/>
                    <w:rPr>
                      <w:bCs/>
                      <w:sz w:val="22"/>
                      <w:szCs w:val="22"/>
                      <w:lang w:val="sr-Latn-CS"/>
                    </w:rPr>
                  </w:pPr>
                </w:p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ind w:left="321" w:right="-20"/>
                    <w:jc w:val="both"/>
                    <w:rPr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Cs/>
                      <w:sz w:val="22"/>
                      <w:szCs w:val="22"/>
                      <w:lang w:val="sr-Latn-CS"/>
                    </w:rPr>
                    <w:t>23,1 *</w:t>
                  </w:r>
                </w:p>
              </w:tc>
              <w:tc>
                <w:tcPr>
                  <w:tcW w:w="1275" w:type="dxa"/>
                  <w:tcBorders>
                    <w:top w:val="single" w:sz="3" w:space="0" w:color="000000"/>
                    <w:left w:val="single" w:sz="4" w:space="0" w:color="000000"/>
                    <w:bottom w:val="single" w:sz="3" w:space="0" w:color="000000"/>
                    <w:right w:val="single" w:sz="4" w:space="0" w:color="000000"/>
                  </w:tcBorders>
                </w:tcPr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spacing w:before="2" w:line="240" w:lineRule="exact"/>
                    <w:jc w:val="both"/>
                    <w:rPr>
                      <w:bCs/>
                      <w:sz w:val="22"/>
                      <w:szCs w:val="22"/>
                      <w:lang w:val="sr-Latn-CS"/>
                    </w:rPr>
                  </w:pPr>
                </w:p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ind w:left="321" w:right="-20"/>
                    <w:jc w:val="both"/>
                    <w:rPr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Cs/>
                      <w:sz w:val="22"/>
                      <w:szCs w:val="22"/>
                      <w:lang w:val="sr-Latn-CS"/>
                    </w:rPr>
                    <w:t>51,2 *</w:t>
                  </w:r>
                </w:p>
              </w:tc>
              <w:tc>
                <w:tcPr>
                  <w:tcW w:w="1134" w:type="dxa"/>
                  <w:tcBorders>
                    <w:top w:val="single" w:sz="3" w:space="0" w:color="000000"/>
                    <w:left w:val="single" w:sz="4" w:space="0" w:color="000000"/>
                    <w:bottom w:val="single" w:sz="3" w:space="0" w:color="000000"/>
                    <w:right w:val="single" w:sz="4" w:space="0" w:color="000000"/>
                  </w:tcBorders>
                </w:tcPr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spacing w:before="2" w:line="240" w:lineRule="exact"/>
                    <w:jc w:val="both"/>
                    <w:rPr>
                      <w:bCs/>
                      <w:sz w:val="22"/>
                      <w:szCs w:val="22"/>
                      <w:lang w:val="sr-Latn-CS"/>
                    </w:rPr>
                  </w:pPr>
                </w:p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ind w:left="318" w:right="-20"/>
                    <w:jc w:val="both"/>
                    <w:rPr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Cs/>
                      <w:sz w:val="22"/>
                      <w:szCs w:val="22"/>
                      <w:lang w:val="sr-Latn-CS"/>
                    </w:rPr>
                    <w:t>28,6 *</w:t>
                  </w:r>
                </w:p>
              </w:tc>
              <w:tc>
                <w:tcPr>
                  <w:tcW w:w="1276" w:type="dxa"/>
                  <w:tcBorders>
                    <w:top w:val="single" w:sz="3" w:space="0" w:color="000000"/>
                    <w:left w:val="single" w:sz="4" w:space="0" w:color="000000"/>
                    <w:bottom w:val="single" w:sz="3" w:space="0" w:color="000000"/>
                    <w:right w:val="single" w:sz="4" w:space="0" w:color="000000"/>
                  </w:tcBorders>
                </w:tcPr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spacing w:before="2" w:line="240" w:lineRule="exact"/>
                    <w:jc w:val="both"/>
                    <w:rPr>
                      <w:bCs/>
                      <w:sz w:val="22"/>
                      <w:szCs w:val="22"/>
                      <w:lang w:val="sr-Latn-CS"/>
                    </w:rPr>
                  </w:pPr>
                </w:p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ind w:left="321" w:right="-20"/>
                    <w:jc w:val="both"/>
                    <w:rPr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Cs/>
                      <w:sz w:val="22"/>
                      <w:szCs w:val="22"/>
                      <w:lang w:val="sr-Latn-CS"/>
                    </w:rPr>
                    <w:t>37,5 *</w:t>
                  </w:r>
                </w:p>
              </w:tc>
              <w:tc>
                <w:tcPr>
                  <w:tcW w:w="1418" w:type="dxa"/>
                  <w:tcBorders>
                    <w:top w:val="single" w:sz="3" w:space="0" w:color="000000"/>
                    <w:left w:val="single" w:sz="4" w:space="0" w:color="000000"/>
                    <w:bottom w:val="single" w:sz="3" w:space="0" w:color="000000"/>
                    <w:right w:val="single" w:sz="4" w:space="0" w:color="000000"/>
                  </w:tcBorders>
                </w:tcPr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spacing w:before="2" w:line="240" w:lineRule="exact"/>
                    <w:jc w:val="both"/>
                    <w:rPr>
                      <w:bCs/>
                      <w:sz w:val="22"/>
                      <w:szCs w:val="22"/>
                      <w:lang w:val="sr-Latn-CS"/>
                    </w:rPr>
                  </w:pPr>
                </w:p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ind w:left="318" w:right="-20"/>
                    <w:jc w:val="both"/>
                    <w:rPr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Cs/>
                      <w:sz w:val="22"/>
                      <w:szCs w:val="22"/>
                      <w:lang w:val="sr-Latn-CS"/>
                    </w:rPr>
                    <w:t>21,6 *</w:t>
                  </w:r>
                </w:p>
              </w:tc>
            </w:tr>
            <w:tr w:rsidR="00C76881" w:rsidRPr="006B0439" w:rsidTr="00C76881">
              <w:trPr>
                <w:trHeight w:hRule="exact" w:val="248"/>
              </w:trPr>
              <w:tc>
                <w:tcPr>
                  <w:tcW w:w="1820" w:type="dxa"/>
                  <w:tcBorders>
                    <w:top w:val="single" w:sz="3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spacing w:before="4"/>
                    <w:ind w:left="95" w:right="-20"/>
                    <w:jc w:val="both"/>
                    <w:rPr>
                      <w:b/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/>
                      <w:bCs/>
                      <w:sz w:val="22"/>
                      <w:szCs w:val="22"/>
                      <w:lang w:val="sr-Latn-CS"/>
                    </w:rPr>
                    <w:t>p vrijednost</w:t>
                  </w:r>
                </w:p>
              </w:tc>
              <w:tc>
                <w:tcPr>
                  <w:tcW w:w="2376" w:type="dxa"/>
                  <w:gridSpan w:val="2"/>
                  <w:tcBorders>
                    <w:top w:val="single" w:sz="3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spacing w:before="4"/>
                    <w:ind w:left="757" w:right="-20"/>
                    <w:jc w:val="both"/>
                    <w:rPr>
                      <w:b/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/>
                      <w:bCs/>
                      <w:sz w:val="22"/>
                      <w:szCs w:val="22"/>
                      <w:lang w:val="sr-Latn-CS"/>
                    </w:rPr>
                    <w:t>p &lt; 0,001</w:t>
                  </w:r>
                </w:p>
              </w:tc>
              <w:tc>
                <w:tcPr>
                  <w:tcW w:w="2409" w:type="dxa"/>
                  <w:gridSpan w:val="2"/>
                  <w:tcBorders>
                    <w:top w:val="single" w:sz="3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spacing w:before="4"/>
                    <w:ind w:left="755" w:right="-20"/>
                    <w:jc w:val="both"/>
                    <w:rPr>
                      <w:b/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/>
                      <w:bCs/>
                      <w:sz w:val="22"/>
                      <w:szCs w:val="22"/>
                      <w:lang w:val="sr-Latn-CS"/>
                    </w:rPr>
                    <w:t>p = 0,045</w:t>
                  </w:r>
                </w:p>
              </w:tc>
              <w:tc>
                <w:tcPr>
                  <w:tcW w:w="2694" w:type="dxa"/>
                  <w:gridSpan w:val="2"/>
                  <w:tcBorders>
                    <w:top w:val="single" w:sz="3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spacing w:before="4"/>
                    <w:ind w:left="757" w:right="-20"/>
                    <w:jc w:val="both"/>
                    <w:rPr>
                      <w:b/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/>
                      <w:bCs/>
                      <w:sz w:val="22"/>
                      <w:szCs w:val="22"/>
                      <w:lang w:val="sr-Latn-CS"/>
                    </w:rPr>
                    <w:t>p = 0,005</w:t>
                  </w:r>
                </w:p>
              </w:tc>
            </w:tr>
            <w:tr w:rsidR="00C76881" w:rsidRPr="006B0439" w:rsidTr="00C76881">
              <w:trPr>
                <w:trHeight w:hRule="exact" w:val="1442"/>
              </w:trPr>
              <w:tc>
                <w:tcPr>
                  <w:tcW w:w="1820" w:type="dxa"/>
                  <w:tcBorders>
                    <w:top w:val="single" w:sz="4" w:space="0" w:color="000000"/>
                    <w:left w:val="single" w:sz="4" w:space="0" w:color="000000"/>
                    <w:bottom w:val="single" w:sz="3" w:space="0" w:color="000000"/>
                    <w:right w:val="single" w:sz="4" w:space="0" w:color="000000"/>
                  </w:tcBorders>
                </w:tcPr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spacing w:before="4" w:line="247" w:lineRule="auto"/>
                    <w:ind w:left="95" w:right="508"/>
                    <w:jc w:val="both"/>
                    <w:rPr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Cs/>
                      <w:sz w:val="22"/>
                      <w:szCs w:val="22"/>
                      <w:lang w:val="sr-Latn-CS"/>
                    </w:rPr>
                    <w:t>Medijana do pojave pogoršanja (mjeseci)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3" w:space="0" w:color="000000"/>
                    <w:right w:val="single" w:sz="4" w:space="0" w:color="000000"/>
                  </w:tcBorders>
                </w:tcPr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spacing w:before="2" w:line="240" w:lineRule="exact"/>
                    <w:jc w:val="both"/>
                    <w:rPr>
                      <w:bCs/>
                      <w:sz w:val="22"/>
                      <w:szCs w:val="22"/>
                      <w:lang w:val="sr-Latn-CS"/>
                    </w:rPr>
                  </w:pPr>
                </w:p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ind w:left="415" w:right="392"/>
                    <w:jc w:val="both"/>
                    <w:rPr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Cs/>
                      <w:sz w:val="22"/>
                      <w:szCs w:val="22"/>
                      <w:lang w:val="sr-Latn-CS"/>
                    </w:rPr>
                    <w:t>6,7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3" w:space="0" w:color="000000"/>
                    <w:right w:val="single" w:sz="4" w:space="0" w:color="000000"/>
                  </w:tcBorders>
                </w:tcPr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spacing w:before="2" w:line="240" w:lineRule="exact"/>
                    <w:jc w:val="both"/>
                    <w:rPr>
                      <w:bCs/>
                      <w:sz w:val="22"/>
                      <w:szCs w:val="22"/>
                      <w:lang w:val="sr-Latn-CS"/>
                    </w:rPr>
                  </w:pPr>
                </w:p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ind w:left="412" w:right="392"/>
                    <w:jc w:val="both"/>
                    <w:rPr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Cs/>
                      <w:sz w:val="22"/>
                      <w:szCs w:val="22"/>
                      <w:lang w:val="sr-Latn-CS"/>
                    </w:rPr>
                    <w:t>4,4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3" w:space="0" w:color="000000"/>
                    <w:right w:val="single" w:sz="4" w:space="0" w:color="000000"/>
                  </w:tcBorders>
                </w:tcPr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spacing w:before="2" w:line="240" w:lineRule="exact"/>
                    <w:jc w:val="both"/>
                    <w:rPr>
                      <w:bCs/>
                      <w:sz w:val="22"/>
                      <w:szCs w:val="22"/>
                      <w:lang w:val="sr-Latn-CS"/>
                    </w:rPr>
                  </w:pPr>
                </w:p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ind w:left="412" w:right="394"/>
                    <w:jc w:val="both"/>
                    <w:rPr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Cs/>
                      <w:sz w:val="22"/>
                      <w:szCs w:val="22"/>
                      <w:lang w:val="sr-Latn-CS"/>
                    </w:rPr>
                    <w:t>7,2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3" w:space="0" w:color="000000"/>
                    <w:right w:val="single" w:sz="4" w:space="0" w:color="000000"/>
                  </w:tcBorders>
                </w:tcPr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spacing w:before="2" w:line="240" w:lineRule="exact"/>
                    <w:jc w:val="both"/>
                    <w:rPr>
                      <w:bCs/>
                      <w:sz w:val="22"/>
                      <w:szCs w:val="22"/>
                      <w:lang w:val="sr-Latn-CS"/>
                    </w:rPr>
                  </w:pPr>
                </w:p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ind w:left="412" w:right="394"/>
                    <w:jc w:val="both"/>
                    <w:rPr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Cs/>
                      <w:sz w:val="22"/>
                      <w:szCs w:val="22"/>
                      <w:lang w:val="sr-Latn-CS"/>
                    </w:rPr>
                    <w:t>6,5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3" w:space="0" w:color="000000"/>
                    <w:right w:val="single" w:sz="4" w:space="0" w:color="000000"/>
                  </w:tcBorders>
                </w:tcPr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spacing w:before="2" w:line="240" w:lineRule="exact"/>
                    <w:jc w:val="both"/>
                    <w:rPr>
                      <w:bCs/>
                      <w:sz w:val="22"/>
                      <w:szCs w:val="22"/>
                      <w:lang w:val="sr-Latn-CS"/>
                    </w:rPr>
                  </w:pPr>
                </w:p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ind w:left="415" w:right="389"/>
                    <w:jc w:val="both"/>
                    <w:rPr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Cs/>
                      <w:sz w:val="22"/>
                      <w:szCs w:val="22"/>
                      <w:lang w:val="sr-Latn-CS"/>
                    </w:rPr>
                    <w:t>6,5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3" w:space="0" w:color="000000"/>
                    <w:right w:val="single" w:sz="4" w:space="0" w:color="000000"/>
                  </w:tcBorders>
                </w:tcPr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spacing w:before="2" w:line="240" w:lineRule="exact"/>
                    <w:jc w:val="both"/>
                    <w:rPr>
                      <w:bCs/>
                      <w:sz w:val="22"/>
                      <w:szCs w:val="22"/>
                      <w:lang w:val="sr-Latn-CS"/>
                    </w:rPr>
                  </w:pPr>
                </w:p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ind w:left="412" w:right="394"/>
                    <w:jc w:val="both"/>
                    <w:rPr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Cs/>
                      <w:sz w:val="22"/>
                      <w:szCs w:val="22"/>
                      <w:lang w:val="sr-Latn-CS"/>
                    </w:rPr>
                    <w:t>3,7</w:t>
                  </w:r>
                </w:p>
              </w:tc>
            </w:tr>
            <w:tr w:rsidR="00C76881" w:rsidRPr="006B0439" w:rsidTr="00C76881">
              <w:trPr>
                <w:trHeight w:hRule="exact" w:val="248"/>
              </w:trPr>
              <w:tc>
                <w:tcPr>
                  <w:tcW w:w="1820" w:type="dxa"/>
                  <w:tcBorders>
                    <w:top w:val="single" w:sz="3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spacing w:before="4"/>
                    <w:ind w:left="95" w:right="-20"/>
                    <w:jc w:val="both"/>
                    <w:rPr>
                      <w:b/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/>
                      <w:bCs/>
                      <w:sz w:val="22"/>
                      <w:szCs w:val="22"/>
                      <w:lang w:val="sr-Latn-CS"/>
                    </w:rPr>
                    <w:t>p vrijednost</w:t>
                  </w:r>
                </w:p>
              </w:tc>
              <w:tc>
                <w:tcPr>
                  <w:tcW w:w="2376" w:type="dxa"/>
                  <w:gridSpan w:val="2"/>
                  <w:tcBorders>
                    <w:top w:val="single" w:sz="3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spacing w:before="4"/>
                    <w:ind w:left="757" w:right="-20"/>
                    <w:jc w:val="both"/>
                    <w:rPr>
                      <w:b/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/>
                      <w:bCs/>
                      <w:sz w:val="22"/>
                      <w:szCs w:val="22"/>
                      <w:lang w:val="sr-Latn-CS"/>
                    </w:rPr>
                    <w:t>p &lt; 0,001</w:t>
                  </w:r>
                </w:p>
              </w:tc>
              <w:tc>
                <w:tcPr>
                  <w:tcW w:w="2409" w:type="dxa"/>
                  <w:gridSpan w:val="2"/>
                  <w:tcBorders>
                    <w:top w:val="single" w:sz="3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spacing w:before="4"/>
                    <w:ind w:left="995" w:right="975"/>
                    <w:jc w:val="both"/>
                    <w:rPr>
                      <w:b/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/>
                      <w:bCs/>
                      <w:sz w:val="22"/>
                      <w:szCs w:val="22"/>
                      <w:lang w:val="sr-Latn-CS"/>
                    </w:rPr>
                    <w:t>NZ</w:t>
                  </w:r>
                </w:p>
              </w:tc>
              <w:tc>
                <w:tcPr>
                  <w:tcW w:w="2694" w:type="dxa"/>
                  <w:gridSpan w:val="2"/>
                  <w:tcBorders>
                    <w:top w:val="single" w:sz="3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spacing w:before="4"/>
                    <w:ind w:left="757" w:right="-20"/>
                    <w:jc w:val="both"/>
                    <w:rPr>
                      <w:b/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/>
                      <w:bCs/>
                      <w:sz w:val="22"/>
                      <w:szCs w:val="22"/>
                      <w:lang w:val="sr-Latn-CS"/>
                    </w:rPr>
                    <w:t>p = 0,001</w:t>
                  </w:r>
                </w:p>
              </w:tc>
            </w:tr>
            <w:tr w:rsidR="00C76881" w:rsidRPr="006B0439" w:rsidTr="00C76881">
              <w:trPr>
                <w:trHeight w:hRule="exact" w:val="1594"/>
              </w:trPr>
              <w:tc>
                <w:tcPr>
                  <w:tcW w:w="1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spacing w:before="4" w:line="247" w:lineRule="auto"/>
                    <w:ind w:left="95" w:right="633"/>
                    <w:jc w:val="both"/>
                    <w:rPr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Cs/>
                      <w:sz w:val="22"/>
                      <w:szCs w:val="22"/>
                      <w:lang w:val="sr-Latn-CS"/>
                    </w:rPr>
                    <w:t>Medijana trajanja terapijskog odgovora (mjeseci)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spacing w:before="19" w:line="220" w:lineRule="exact"/>
                    <w:jc w:val="both"/>
                    <w:rPr>
                      <w:bCs/>
                      <w:sz w:val="22"/>
                      <w:szCs w:val="22"/>
                      <w:lang w:val="sr-Latn-CS"/>
                    </w:rPr>
                  </w:pPr>
                </w:p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ind w:left="415" w:right="392"/>
                    <w:jc w:val="both"/>
                    <w:rPr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Cs/>
                      <w:sz w:val="22"/>
                      <w:szCs w:val="22"/>
                      <w:lang w:val="sr-Latn-CS"/>
                    </w:rPr>
                    <w:t>9,3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spacing w:before="19" w:line="220" w:lineRule="exact"/>
                    <w:jc w:val="both"/>
                    <w:rPr>
                      <w:bCs/>
                      <w:sz w:val="22"/>
                      <w:szCs w:val="22"/>
                      <w:lang w:val="sr-Latn-CS"/>
                    </w:rPr>
                  </w:pPr>
                </w:p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ind w:left="412" w:right="392"/>
                    <w:jc w:val="both"/>
                    <w:rPr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Cs/>
                      <w:sz w:val="22"/>
                      <w:szCs w:val="22"/>
                      <w:lang w:val="sr-Latn-CS"/>
                    </w:rPr>
                    <w:t>8,8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spacing w:before="19" w:line="220" w:lineRule="exact"/>
                    <w:jc w:val="both"/>
                    <w:rPr>
                      <w:bCs/>
                      <w:sz w:val="22"/>
                      <w:szCs w:val="22"/>
                      <w:lang w:val="sr-Latn-CS"/>
                    </w:rPr>
                  </w:pPr>
                </w:p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ind w:left="412" w:right="394"/>
                    <w:jc w:val="both"/>
                    <w:rPr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Cs/>
                      <w:sz w:val="22"/>
                      <w:szCs w:val="22"/>
                      <w:lang w:val="sr-Latn-CS"/>
                    </w:rPr>
                    <w:t>8,9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spacing w:before="19" w:line="220" w:lineRule="exact"/>
                    <w:jc w:val="both"/>
                    <w:rPr>
                      <w:bCs/>
                      <w:sz w:val="22"/>
                      <w:szCs w:val="22"/>
                      <w:lang w:val="sr-Latn-CS"/>
                    </w:rPr>
                  </w:pPr>
                </w:p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ind w:left="412" w:right="394"/>
                    <w:jc w:val="both"/>
                    <w:rPr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Cs/>
                      <w:sz w:val="22"/>
                      <w:szCs w:val="22"/>
                      <w:lang w:val="sr-Latn-CS"/>
                    </w:rPr>
                    <w:t>6,7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spacing w:before="19" w:line="220" w:lineRule="exact"/>
                    <w:jc w:val="both"/>
                    <w:rPr>
                      <w:bCs/>
                      <w:sz w:val="22"/>
                      <w:szCs w:val="22"/>
                      <w:lang w:val="sr-Latn-CS"/>
                    </w:rPr>
                  </w:pPr>
                </w:p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ind w:left="415" w:right="389"/>
                    <w:jc w:val="both"/>
                    <w:rPr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Cs/>
                      <w:sz w:val="22"/>
                      <w:szCs w:val="22"/>
                      <w:lang w:val="sr-Latn-CS"/>
                    </w:rPr>
                    <w:t>9,3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spacing w:before="19" w:line="220" w:lineRule="exact"/>
                    <w:jc w:val="both"/>
                    <w:rPr>
                      <w:bCs/>
                      <w:sz w:val="22"/>
                      <w:szCs w:val="22"/>
                      <w:lang w:val="sr-Latn-CS"/>
                    </w:rPr>
                  </w:pPr>
                </w:p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ind w:left="412" w:right="394"/>
                    <w:jc w:val="both"/>
                    <w:rPr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Cs/>
                      <w:sz w:val="22"/>
                      <w:szCs w:val="22"/>
                      <w:lang w:val="sr-Latn-CS"/>
                    </w:rPr>
                    <w:t>9,5</w:t>
                  </w:r>
                </w:p>
              </w:tc>
            </w:tr>
            <w:tr w:rsidR="00C76881" w:rsidRPr="006B0439" w:rsidTr="00C76881">
              <w:trPr>
                <w:trHeight w:hRule="exact" w:val="248"/>
              </w:trPr>
              <w:tc>
                <w:tcPr>
                  <w:tcW w:w="1820" w:type="dxa"/>
                  <w:tcBorders>
                    <w:top w:val="single" w:sz="4" w:space="0" w:color="000000"/>
                    <w:left w:val="single" w:sz="4" w:space="0" w:color="000000"/>
                    <w:bottom w:val="single" w:sz="3" w:space="0" w:color="000000"/>
                    <w:right w:val="single" w:sz="4" w:space="0" w:color="000000"/>
                  </w:tcBorders>
                </w:tcPr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spacing w:before="4"/>
                    <w:ind w:left="95" w:right="-20"/>
                    <w:jc w:val="both"/>
                    <w:rPr>
                      <w:b/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/>
                      <w:bCs/>
                      <w:sz w:val="22"/>
                      <w:szCs w:val="22"/>
                      <w:lang w:val="sr-Latn-CS"/>
                    </w:rPr>
                    <w:t>p vrijednost</w:t>
                  </w:r>
                </w:p>
              </w:tc>
              <w:tc>
                <w:tcPr>
                  <w:tcW w:w="237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3" w:space="0" w:color="000000"/>
                    <w:right w:val="single" w:sz="4" w:space="0" w:color="000000"/>
                  </w:tcBorders>
                </w:tcPr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spacing w:before="4"/>
                    <w:ind w:left="998" w:right="971"/>
                    <w:jc w:val="both"/>
                    <w:rPr>
                      <w:b/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/>
                      <w:bCs/>
                      <w:sz w:val="22"/>
                      <w:szCs w:val="22"/>
                      <w:lang w:val="sr-Latn-CS"/>
                    </w:rPr>
                    <w:t>NZ</w:t>
                  </w:r>
                </w:p>
              </w:tc>
              <w:tc>
                <w:tcPr>
                  <w:tcW w:w="240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3" w:space="0" w:color="000000"/>
                    <w:right w:val="single" w:sz="4" w:space="0" w:color="000000"/>
                  </w:tcBorders>
                </w:tcPr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spacing w:before="4"/>
                    <w:ind w:left="755" w:right="-20"/>
                    <w:jc w:val="both"/>
                    <w:rPr>
                      <w:b/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/>
                      <w:bCs/>
                      <w:sz w:val="22"/>
                      <w:szCs w:val="22"/>
                      <w:lang w:val="sr-Latn-CS"/>
                    </w:rPr>
                    <w:t>p = 0,043</w:t>
                  </w:r>
                </w:p>
              </w:tc>
              <w:tc>
                <w:tcPr>
                  <w:tcW w:w="269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3" w:space="0" w:color="000000"/>
                    <w:right w:val="single" w:sz="4" w:space="0" w:color="000000"/>
                  </w:tcBorders>
                </w:tcPr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spacing w:before="4"/>
                    <w:ind w:left="995" w:right="973"/>
                    <w:jc w:val="both"/>
                    <w:rPr>
                      <w:b/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/>
                      <w:bCs/>
                      <w:sz w:val="22"/>
                      <w:szCs w:val="22"/>
                      <w:lang w:val="sr-Latn-CS"/>
                    </w:rPr>
                    <w:t>NZ</w:t>
                  </w:r>
                </w:p>
              </w:tc>
            </w:tr>
            <w:tr w:rsidR="00C76881" w:rsidRPr="006B0439" w:rsidTr="00C76881">
              <w:trPr>
                <w:trHeight w:hRule="exact" w:val="1873"/>
              </w:trPr>
              <w:tc>
                <w:tcPr>
                  <w:tcW w:w="1820" w:type="dxa"/>
                  <w:tcBorders>
                    <w:top w:val="single" w:sz="3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spacing w:before="4" w:line="248" w:lineRule="auto"/>
                    <w:ind w:left="95" w:right="582"/>
                    <w:jc w:val="both"/>
                    <w:rPr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Cs/>
                      <w:sz w:val="22"/>
                      <w:szCs w:val="22"/>
                      <w:lang w:val="sr-Latn-CS"/>
                    </w:rPr>
                    <w:lastRenderedPageBreak/>
                    <w:t>Medijana trajanja terapijskog odgovora i stabilizacije (mjeseci)</w:t>
                  </w:r>
                </w:p>
              </w:tc>
              <w:tc>
                <w:tcPr>
                  <w:tcW w:w="1242" w:type="dxa"/>
                  <w:tcBorders>
                    <w:top w:val="single" w:sz="3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spacing w:before="2" w:line="240" w:lineRule="exact"/>
                    <w:jc w:val="both"/>
                    <w:rPr>
                      <w:bCs/>
                      <w:sz w:val="22"/>
                      <w:szCs w:val="22"/>
                      <w:lang w:val="sr-Latn-CS"/>
                    </w:rPr>
                  </w:pPr>
                </w:p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ind w:left="415" w:right="392"/>
                    <w:jc w:val="both"/>
                    <w:rPr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Cs/>
                      <w:sz w:val="22"/>
                      <w:szCs w:val="22"/>
                      <w:lang w:val="sr-Latn-CS"/>
                    </w:rPr>
                    <w:t>8,6</w:t>
                  </w:r>
                </w:p>
              </w:tc>
              <w:tc>
                <w:tcPr>
                  <w:tcW w:w="1134" w:type="dxa"/>
                  <w:tcBorders>
                    <w:top w:val="single" w:sz="3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spacing w:before="2" w:line="240" w:lineRule="exact"/>
                    <w:jc w:val="both"/>
                    <w:rPr>
                      <w:bCs/>
                      <w:sz w:val="22"/>
                      <w:szCs w:val="22"/>
                      <w:lang w:val="sr-Latn-CS"/>
                    </w:rPr>
                  </w:pPr>
                </w:p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ind w:left="412" w:right="392"/>
                    <w:jc w:val="both"/>
                    <w:rPr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Cs/>
                      <w:sz w:val="22"/>
                      <w:szCs w:val="22"/>
                      <w:lang w:val="sr-Latn-CS"/>
                    </w:rPr>
                    <w:t>6,2</w:t>
                  </w:r>
                </w:p>
              </w:tc>
              <w:tc>
                <w:tcPr>
                  <w:tcW w:w="1275" w:type="dxa"/>
                  <w:tcBorders>
                    <w:top w:val="single" w:sz="3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spacing w:before="2" w:line="240" w:lineRule="exact"/>
                    <w:jc w:val="both"/>
                    <w:rPr>
                      <w:bCs/>
                      <w:sz w:val="22"/>
                      <w:szCs w:val="22"/>
                      <w:lang w:val="sr-Latn-CS"/>
                    </w:rPr>
                  </w:pPr>
                </w:p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ind w:left="412" w:right="394"/>
                    <w:jc w:val="both"/>
                    <w:rPr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Cs/>
                      <w:sz w:val="22"/>
                      <w:szCs w:val="22"/>
                      <w:lang w:val="sr-Latn-CS"/>
                    </w:rPr>
                    <w:t>8,3</w:t>
                  </w:r>
                </w:p>
              </w:tc>
              <w:tc>
                <w:tcPr>
                  <w:tcW w:w="1134" w:type="dxa"/>
                  <w:tcBorders>
                    <w:top w:val="single" w:sz="3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spacing w:before="2" w:line="240" w:lineRule="exact"/>
                    <w:jc w:val="both"/>
                    <w:rPr>
                      <w:bCs/>
                      <w:sz w:val="22"/>
                      <w:szCs w:val="22"/>
                      <w:lang w:val="sr-Latn-CS"/>
                    </w:rPr>
                  </w:pPr>
                </w:p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ind w:left="412" w:right="394"/>
                    <w:jc w:val="both"/>
                    <w:rPr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Cs/>
                      <w:sz w:val="22"/>
                      <w:szCs w:val="22"/>
                      <w:lang w:val="sr-Latn-CS"/>
                    </w:rPr>
                    <w:t>6,7</w:t>
                  </w:r>
                </w:p>
              </w:tc>
              <w:tc>
                <w:tcPr>
                  <w:tcW w:w="1276" w:type="dxa"/>
                  <w:tcBorders>
                    <w:top w:val="single" w:sz="3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spacing w:before="2" w:line="240" w:lineRule="exact"/>
                    <w:jc w:val="both"/>
                    <w:rPr>
                      <w:bCs/>
                      <w:sz w:val="22"/>
                      <w:szCs w:val="22"/>
                      <w:lang w:val="sr-Latn-CS"/>
                    </w:rPr>
                  </w:pPr>
                </w:p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ind w:left="415" w:right="389"/>
                    <w:jc w:val="both"/>
                    <w:rPr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Cs/>
                      <w:sz w:val="22"/>
                      <w:szCs w:val="22"/>
                      <w:lang w:val="sr-Latn-CS"/>
                    </w:rPr>
                    <w:t>8,5</w:t>
                  </w:r>
                </w:p>
              </w:tc>
              <w:tc>
                <w:tcPr>
                  <w:tcW w:w="1418" w:type="dxa"/>
                  <w:tcBorders>
                    <w:top w:val="single" w:sz="3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spacing w:before="2" w:line="240" w:lineRule="exact"/>
                    <w:jc w:val="both"/>
                    <w:rPr>
                      <w:bCs/>
                      <w:sz w:val="22"/>
                      <w:szCs w:val="22"/>
                      <w:lang w:val="sr-Latn-CS"/>
                    </w:rPr>
                  </w:pPr>
                </w:p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ind w:left="412" w:right="394"/>
                    <w:jc w:val="both"/>
                    <w:rPr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Cs/>
                      <w:sz w:val="22"/>
                      <w:szCs w:val="22"/>
                      <w:lang w:val="sr-Latn-CS"/>
                    </w:rPr>
                    <w:t>5,6</w:t>
                  </w:r>
                </w:p>
              </w:tc>
            </w:tr>
            <w:tr w:rsidR="00C76881" w:rsidRPr="006B0439" w:rsidTr="00C76881">
              <w:trPr>
                <w:trHeight w:hRule="exact" w:val="250"/>
              </w:trPr>
              <w:tc>
                <w:tcPr>
                  <w:tcW w:w="1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spacing w:before="4"/>
                    <w:ind w:left="95" w:right="-20"/>
                    <w:jc w:val="both"/>
                    <w:rPr>
                      <w:b/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/>
                      <w:bCs/>
                      <w:sz w:val="22"/>
                      <w:szCs w:val="22"/>
                      <w:lang w:val="sr-Latn-CS"/>
                    </w:rPr>
                    <w:t>p vrijednost</w:t>
                  </w:r>
                </w:p>
              </w:tc>
              <w:tc>
                <w:tcPr>
                  <w:tcW w:w="237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spacing w:before="4"/>
                    <w:ind w:left="757" w:right="-20"/>
                    <w:jc w:val="both"/>
                    <w:rPr>
                      <w:b/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/>
                      <w:bCs/>
                      <w:sz w:val="22"/>
                      <w:szCs w:val="22"/>
                      <w:lang w:val="sr-Latn-CS"/>
                    </w:rPr>
                    <w:t>p &lt; 0,001</w:t>
                  </w:r>
                </w:p>
              </w:tc>
              <w:tc>
                <w:tcPr>
                  <w:tcW w:w="240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spacing w:before="4"/>
                    <w:ind w:left="995" w:right="975"/>
                    <w:jc w:val="both"/>
                    <w:rPr>
                      <w:b/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/>
                      <w:bCs/>
                      <w:sz w:val="22"/>
                      <w:szCs w:val="22"/>
                      <w:lang w:val="sr-Latn-CS"/>
                    </w:rPr>
                    <w:t>NZ</w:t>
                  </w:r>
                </w:p>
              </w:tc>
              <w:tc>
                <w:tcPr>
                  <w:tcW w:w="269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spacing w:before="4"/>
                    <w:ind w:left="757" w:right="-20"/>
                    <w:jc w:val="both"/>
                    <w:rPr>
                      <w:b/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/>
                      <w:bCs/>
                      <w:sz w:val="22"/>
                      <w:szCs w:val="22"/>
                      <w:lang w:val="sr-Latn-CS"/>
                    </w:rPr>
                    <w:t>p = 0,003</w:t>
                  </w:r>
                </w:p>
              </w:tc>
            </w:tr>
            <w:tr w:rsidR="00C76881" w:rsidRPr="006B0439" w:rsidTr="00C76881">
              <w:trPr>
                <w:trHeight w:hRule="exact" w:val="1864"/>
              </w:trPr>
              <w:tc>
                <w:tcPr>
                  <w:tcW w:w="1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spacing w:before="4" w:line="247" w:lineRule="auto"/>
                    <w:ind w:left="95" w:right="633"/>
                    <w:jc w:val="both"/>
                    <w:rPr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Cs/>
                      <w:sz w:val="22"/>
                      <w:szCs w:val="22"/>
                      <w:lang w:val="sr-Latn-CS"/>
                    </w:rPr>
                    <w:t>Medijana nastupa terapijskog neusp</w:t>
                  </w:r>
                  <w:r w:rsidR="000F489A" w:rsidRPr="006B0439">
                    <w:rPr>
                      <w:bCs/>
                      <w:sz w:val="22"/>
                      <w:szCs w:val="22"/>
                      <w:lang w:val="sr-Latn-CS"/>
                    </w:rPr>
                    <w:t>j</w:t>
                  </w:r>
                  <w:r w:rsidRPr="006B0439">
                    <w:rPr>
                      <w:bCs/>
                      <w:sz w:val="22"/>
                      <w:szCs w:val="22"/>
                      <w:lang w:val="sr-Latn-CS"/>
                    </w:rPr>
                    <w:t>eha (mjeseci)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spacing w:before="19" w:line="220" w:lineRule="exact"/>
                    <w:jc w:val="both"/>
                    <w:rPr>
                      <w:bCs/>
                      <w:sz w:val="22"/>
                      <w:szCs w:val="22"/>
                      <w:lang w:val="sr-Latn-CS"/>
                    </w:rPr>
                  </w:pPr>
                </w:p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ind w:left="415" w:right="392"/>
                    <w:jc w:val="both"/>
                    <w:rPr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Cs/>
                      <w:sz w:val="22"/>
                      <w:szCs w:val="22"/>
                      <w:lang w:val="sr-Latn-CS"/>
                    </w:rPr>
                    <w:t>5,3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spacing w:before="19" w:line="220" w:lineRule="exact"/>
                    <w:jc w:val="both"/>
                    <w:rPr>
                      <w:bCs/>
                      <w:sz w:val="22"/>
                      <w:szCs w:val="22"/>
                      <w:lang w:val="sr-Latn-CS"/>
                    </w:rPr>
                  </w:pPr>
                </w:p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ind w:left="412" w:right="392"/>
                    <w:jc w:val="both"/>
                    <w:rPr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Cs/>
                      <w:sz w:val="22"/>
                      <w:szCs w:val="22"/>
                      <w:lang w:val="sr-Latn-CS"/>
                    </w:rPr>
                    <w:t>3,8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spacing w:before="19" w:line="220" w:lineRule="exact"/>
                    <w:jc w:val="both"/>
                    <w:rPr>
                      <w:bCs/>
                      <w:sz w:val="22"/>
                      <w:szCs w:val="22"/>
                      <w:lang w:val="sr-Latn-CS"/>
                    </w:rPr>
                  </w:pPr>
                </w:p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ind w:left="412" w:right="394"/>
                    <w:jc w:val="both"/>
                    <w:rPr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Cs/>
                      <w:sz w:val="22"/>
                      <w:szCs w:val="22"/>
                      <w:lang w:val="sr-Latn-CS"/>
                    </w:rPr>
                    <w:t>5,4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spacing w:before="19" w:line="220" w:lineRule="exact"/>
                    <w:jc w:val="both"/>
                    <w:rPr>
                      <w:bCs/>
                      <w:sz w:val="22"/>
                      <w:szCs w:val="22"/>
                      <w:lang w:val="sr-Latn-CS"/>
                    </w:rPr>
                  </w:pPr>
                </w:p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ind w:left="412" w:right="394"/>
                    <w:jc w:val="both"/>
                    <w:rPr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Cs/>
                      <w:sz w:val="22"/>
                      <w:szCs w:val="22"/>
                      <w:lang w:val="sr-Latn-CS"/>
                    </w:rPr>
                    <w:t>5,0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spacing w:before="19" w:line="220" w:lineRule="exact"/>
                    <w:jc w:val="both"/>
                    <w:rPr>
                      <w:bCs/>
                      <w:sz w:val="22"/>
                      <w:szCs w:val="22"/>
                      <w:lang w:val="sr-Latn-CS"/>
                    </w:rPr>
                  </w:pPr>
                </w:p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ind w:left="415" w:right="389"/>
                    <w:jc w:val="both"/>
                    <w:rPr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Cs/>
                      <w:sz w:val="22"/>
                      <w:szCs w:val="22"/>
                      <w:lang w:val="sr-Latn-CS"/>
                    </w:rPr>
                    <w:t>5,1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spacing w:before="19" w:line="220" w:lineRule="exact"/>
                    <w:jc w:val="both"/>
                    <w:rPr>
                      <w:bCs/>
                      <w:sz w:val="22"/>
                      <w:szCs w:val="22"/>
                      <w:lang w:val="sr-Latn-CS"/>
                    </w:rPr>
                  </w:pPr>
                </w:p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ind w:left="412" w:right="394"/>
                    <w:jc w:val="both"/>
                    <w:rPr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Cs/>
                      <w:sz w:val="22"/>
                      <w:szCs w:val="22"/>
                      <w:lang w:val="sr-Latn-CS"/>
                    </w:rPr>
                    <w:t>3,0</w:t>
                  </w:r>
                </w:p>
              </w:tc>
            </w:tr>
            <w:tr w:rsidR="00C76881" w:rsidRPr="006B0439" w:rsidTr="00C76881">
              <w:trPr>
                <w:trHeight w:hRule="exact" w:val="247"/>
              </w:trPr>
              <w:tc>
                <w:tcPr>
                  <w:tcW w:w="1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spacing w:before="4"/>
                    <w:ind w:left="95" w:right="-20"/>
                    <w:jc w:val="both"/>
                    <w:rPr>
                      <w:b/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/>
                      <w:bCs/>
                      <w:sz w:val="22"/>
                      <w:szCs w:val="22"/>
                      <w:lang w:val="sr-Latn-CS"/>
                    </w:rPr>
                    <w:t>p vrijednost</w:t>
                  </w:r>
                </w:p>
              </w:tc>
              <w:tc>
                <w:tcPr>
                  <w:tcW w:w="237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spacing w:before="4"/>
                    <w:ind w:left="705" w:right="-20"/>
                    <w:jc w:val="both"/>
                    <w:rPr>
                      <w:b/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/>
                      <w:bCs/>
                      <w:sz w:val="22"/>
                      <w:szCs w:val="22"/>
                      <w:lang w:val="sr-Latn-CS"/>
                    </w:rPr>
                    <w:t>p = 0,0014</w:t>
                  </w:r>
                </w:p>
              </w:tc>
              <w:tc>
                <w:tcPr>
                  <w:tcW w:w="240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spacing w:before="4"/>
                    <w:ind w:left="995" w:right="975"/>
                    <w:jc w:val="both"/>
                    <w:rPr>
                      <w:b/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/>
                      <w:bCs/>
                      <w:sz w:val="22"/>
                      <w:szCs w:val="22"/>
                      <w:lang w:val="sr-Latn-CS"/>
                    </w:rPr>
                    <w:t>NZS</w:t>
                  </w:r>
                </w:p>
              </w:tc>
              <w:tc>
                <w:tcPr>
                  <w:tcW w:w="269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spacing w:before="4"/>
                    <w:ind w:left="757" w:right="-20"/>
                    <w:jc w:val="both"/>
                    <w:rPr>
                      <w:b/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/>
                      <w:bCs/>
                      <w:sz w:val="22"/>
                      <w:szCs w:val="22"/>
                      <w:lang w:val="sr-Latn-CS"/>
                    </w:rPr>
                    <w:t>p &lt; 0,001</w:t>
                  </w:r>
                </w:p>
              </w:tc>
            </w:tr>
            <w:tr w:rsidR="00C76881" w:rsidRPr="006B0439" w:rsidTr="00C76881">
              <w:trPr>
                <w:trHeight w:hRule="exact" w:val="1171"/>
              </w:trPr>
              <w:tc>
                <w:tcPr>
                  <w:tcW w:w="1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spacing w:before="4" w:line="247" w:lineRule="auto"/>
                    <w:ind w:left="95" w:right="352"/>
                    <w:jc w:val="both"/>
                    <w:rPr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Cs/>
                      <w:sz w:val="22"/>
                      <w:szCs w:val="22"/>
                      <w:lang w:val="sr-Latn-CS"/>
                    </w:rPr>
                    <w:t>Medijana preživljavanja (mjeseci)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spacing w:before="2" w:line="240" w:lineRule="exact"/>
                    <w:jc w:val="both"/>
                    <w:rPr>
                      <w:bCs/>
                      <w:sz w:val="22"/>
                      <w:szCs w:val="22"/>
                      <w:lang w:val="sr-Latn-CS"/>
                    </w:rPr>
                  </w:pPr>
                </w:p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ind w:left="364" w:right="339"/>
                    <w:jc w:val="both"/>
                    <w:rPr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Cs/>
                      <w:sz w:val="22"/>
                      <w:szCs w:val="22"/>
                      <w:lang w:val="sr-Latn-CS"/>
                    </w:rPr>
                    <w:t>16,8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spacing w:before="2" w:line="240" w:lineRule="exact"/>
                    <w:jc w:val="both"/>
                    <w:rPr>
                      <w:bCs/>
                      <w:sz w:val="22"/>
                      <w:szCs w:val="22"/>
                      <w:lang w:val="sr-Latn-CS"/>
                    </w:rPr>
                  </w:pPr>
                </w:p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ind w:left="359" w:right="339"/>
                    <w:jc w:val="both"/>
                    <w:rPr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Cs/>
                      <w:sz w:val="22"/>
                      <w:szCs w:val="22"/>
                      <w:lang w:val="sr-Latn-CS"/>
                    </w:rPr>
                    <w:t>14,0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spacing w:before="2" w:line="240" w:lineRule="exact"/>
                    <w:jc w:val="both"/>
                    <w:rPr>
                      <w:bCs/>
                      <w:sz w:val="22"/>
                      <w:szCs w:val="22"/>
                      <w:lang w:val="sr-Latn-CS"/>
                    </w:rPr>
                  </w:pPr>
                </w:p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ind w:left="359" w:right="341"/>
                    <w:jc w:val="both"/>
                    <w:rPr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Cs/>
                      <w:sz w:val="22"/>
                      <w:szCs w:val="22"/>
                      <w:lang w:val="sr-Latn-CS"/>
                    </w:rPr>
                    <w:t>19,2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spacing w:before="2" w:line="240" w:lineRule="exact"/>
                    <w:jc w:val="both"/>
                    <w:rPr>
                      <w:bCs/>
                      <w:sz w:val="22"/>
                      <w:szCs w:val="22"/>
                      <w:lang w:val="sr-Latn-CS"/>
                    </w:rPr>
                  </w:pPr>
                </w:p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ind w:left="359" w:right="341"/>
                    <w:jc w:val="both"/>
                    <w:rPr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Cs/>
                      <w:sz w:val="22"/>
                      <w:szCs w:val="22"/>
                      <w:lang w:val="sr-Latn-CS"/>
                    </w:rPr>
                    <w:t>14,1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spacing w:before="2" w:line="240" w:lineRule="exact"/>
                    <w:jc w:val="both"/>
                    <w:rPr>
                      <w:bCs/>
                      <w:sz w:val="22"/>
                      <w:szCs w:val="22"/>
                      <w:lang w:val="sr-Latn-CS"/>
                    </w:rPr>
                  </w:pPr>
                </w:p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ind w:left="362" w:right="339"/>
                    <w:jc w:val="both"/>
                    <w:rPr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Cs/>
                      <w:sz w:val="22"/>
                      <w:szCs w:val="22"/>
                      <w:lang w:val="sr-Latn-CS"/>
                    </w:rPr>
                    <w:t>15,6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spacing w:before="2" w:line="240" w:lineRule="exact"/>
                    <w:jc w:val="both"/>
                    <w:rPr>
                      <w:bCs/>
                      <w:sz w:val="22"/>
                      <w:szCs w:val="22"/>
                      <w:lang w:val="sr-Latn-CS"/>
                    </w:rPr>
                  </w:pPr>
                </w:p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ind w:left="359" w:right="344"/>
                    <w:jc w:val="both"/>
                    <w:rPr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Cs/>
                      <w:sz w:val="22"/>
                      <w:szCs w:val="22"/>
                      <w:lang w:val="sr-Latn-CS"/>
                    </w:rPr>
                    <w:t>13,0</w:t>
                  </w:r>
                </w:p>
              </w:tc>
            </w:tr>
            <w:tr w:rsidR="00C76881" w:rsidRPr="006B0439" w:rsidTr="00C76881">
              <w:trPr>
                <w:trHeight w:hRule="exact" w:val="248"/>
              </w:trPr>
              <w:tc>
                <w:tcPr>
                  <w:tcW w:w="1820" w:type="dxa"/>
                  <w:tcBorders>
                    <w:top w:val="single" w:sz="4" w:space="0" w:color="000000"/>
                    <w:left w:val="single" w:sz="4" w:space="0" w:color="000000"/>
                    <w:bottom w:val="single" w:sz="3" w:space="0" w:color="000000"/>
                    <w:right w:val="single" w:sz="4" w:space="0" w:color="000000"/>
                  </w:tcBorders>
                </w:tcPr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spacing w:line="229" w:lineRule="exact"/>
                    <w:ind w:left="95" w:right="-20"/>
                    <w:jc w:val="both"/>
                    <w:rPr>
                      <w:b/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/>
                      <w:bCs/>
                      <w:sz w:val="22"/>
                      <w:szCs w:val="22"/>
                      <w:lang w:val="sr-Latn-CS"/>
                    </w:rPr>
                    <w:t>p vrijednost</w:t>
                  </w:r>
                </w:p>
              </w:tc>
              <w:tc>
                <w:tcPr>
                  <w:tcW w:w="237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3" w:space="0" w:color="000000"/>
                    <w:right w:val="single" w:sz="4" w:space="0" w:color="000000"/>
                  </w:tcBorders>
                </w:tcPr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spacing w:line="229" w:lineRule="exact"/>
                    <w:ind w:left="762" w:right="-20"/>
                    <w:jc w:val="both"/>
                    <w:rPr>
                      <w:b/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/>
                      <w:bCs/>
                      <w:sz w:val="22"/>
                      <w:szCs w:val="22"/>
                      <w:lang w:val="sr-Latn-CS"/>
                    </w:rPr>
                    <w:t>p = 0,028</w:t>
                  </w:r>
                </w:p>
              </w:tc>
              <w:tc>
                <w:tcPr>
                  <w:tcW w:w="240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3" w:space="0" w:color="000000"/>
                    <w:right w:val="single" w:sz="4" w:space="0" w:color="000000"/>
                  </w:tcBorders>
                </w:tcPr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spacing w:line="229" w:lineRule="exact"/>
                    <w:ind w:left="995" w:right="975"/>
                    <w:jc w:val="both"/>
                    <w:rPr>
                      <w:b/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/>
                      <w:bCs/>
                      <w:sz w:val="22"/>
                      <w:szCs w:val="22"/>
                      <w:lang w:val="sr-Latn-CS"/>
                    </w:rPr>
                    <w:t>NZ</w:t>
                  </w:r>
                </w:p>
              </w:tc>
              <w:tc>
                <w:tcPr>
                  <w:tcW w:w="269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3" w:space="0" w:color="000000"/>
                    <w:right w:val="single" w:sz="4" w:space="0" w:color="000000"/>
                  </w:tcBorders>
                </w:tcPr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spacing w:line="229" w:lineRule="exact"/>
                    <w:ind w:left="762" w:right="-20"/>
                    <w:jc w:val="both"/>
                    <w:rPr>
                      <w:b/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/>
                      <w:bCs/>
                      <w:sz w:val="22"/>
                      <w:szCs w:val="22"/>
                      <w:lang w:val="sr-Latn-CS"/>
                    </w:rPr>
                    <w:t>p = 0,041</w:t>
                  </w:r>
                </w:p>
              </w:tc>
            </w:tr>
          </w:tbl>
          <w:p w:rsidR="00C76881" w:rsidRPr="006B0439" w:rsidRDefault="00C76881" w:rsidP="00C76881">
            <w:pPr>
              <w:tabs>
                <w:tab w:val="left" w:pos="540"/>
                <w:tab w:val="left" w:pos="569"/>
              </w:tabs>
              <w:spacing w:line="229" w:lineRule="exact"/>
              <w:ind w:right="-20"/>
              <w:jc w:val="both"/>
              <w:rPr>
                <w:bCs/>
                <w:sz w:val="22"/>
                <w:szCs w:val="22"/>
                <w:lang w:val="sr-Latn-CS"/>
              </w:rPr>
            </w:pPr>
          </w:p>
          <w:p w:rsidR="00C76881" w:rsidRPr="006B0439" w:rsidRDefault="00C76881" w:rsidP="00C76881">
            <w:pPr>
              <w:tabs>
                <w:tab w:val="left" w:pos="540"/>
                <w:tab w:val="left" w:pos="569"/>
              </w:tabs>
              <w:spacing w:line="229" w:lineRule="exact"/>
              <w:ind w:right="-20"/>
              <w:jc w:val="both"/>
              <w:rPr>
                <w:bCs/>
                <w:sz w:val="22"/>
                <w:szCs w:val="22"/>
                <w:lang w:val="sr-Latn-CS"/>
              </w:rPr>
            </w:pPr>
            <w:r w:rsidRPr="006B0439">
              <w:rPr>
                <w:bCs/>
                <w:sz w:val="22"/>
                <w:szCs w:val="22"/>
                <w:lang w:val="sr-Latn-CS"/>
              </w:rPr>
              <w:t xml:space="preserve">5FU: 5-fluorouracil; FA: folinska kiselina; NZ – nije značajno; *: prema </w:t>
            </w:r>
            <w:r w:rsidRPr="006B0439">
              <w:rPr>
                <w:bCs/>
                <w:i/>
                <w:sz w:val="22"/>
                <w:szCs w:val="22"/>
                <w:lang w:val="sr-Latn-CS"/>
              </w:rPr>
              <w:t>per protocol</w:t>
            </w:r>
            <w:r w:rsidRPr="006B0439">
              <w:rPr>
                <w:bCs/>
                <w:sz w:val="22"/>
                <w:szCs w:val="22"/>
                <w:lang w:val="sr-Latn-CS"/>
              </w:rPr>
              <w:t xml:space="preserve"> populacionoj analizi</w:t>
            </w:r>
          </w:p>
          <w:p w:rsidR="00C76881" w:rsidRPr="006B0439" w:rsidRDefault="00C76881" w:rsidP="00C76881">
            <w:pPr>
              <w:tabs>
                <w:tab w:val="left" w:pos="540"/>
                <w:tab w:val="left" w:pos="569"/>
              </w:tabs>
              <w:spacing w:line="229" w:lineRule="exact"/>
              <w:ind w:right="-20"/>
              <w:jc w:val="both"/>
              <w:rPr>
                <w:bCs/>
                <w:sz w:val="22"/>
                <w:szCs w:val="22"/>
                <w:lang w:val="sr-Latn-CS"/>
              </w:rPr>
            </w:pPr>
          </w:p>
          <w:p w:rsidR="00C76881" w:rsidRPr="006B0439" w:rsidRDefault="00C76881" w:rsidP="00C76881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CS"/>
              </w:rPr>
            </w:pPr>
            <w:r w:rsidRPr="006B0439">
              <w:rPr>
                <w:bCs/>
                <w:sz w:val="22"/>
                <w:szCs w:val="22"/>
                <w:lang w:val="sr-Latn-CS"/>
              </w:rPr>
              <w:t>U ned</w:t>
            </w:r>
            <w:r w:rsidR="000F489A" w:rsidRPr="006B0439">
              <w:rPr>
                <w:bCs/>
                <w:sz w:val="22"/>
                <w:szCs w:val="22"/>
                <w:lang w:val="sr-Latn-CS"/>
              </w:rPr>
              <w:t>j</w:t>
            </w:r>
            <w:r w:rsidRPr="006B0439">
              <w:rPr>
                <w:bCs/>
                <w:sz w:val="22"/>
                <w:szCs w:val="22"/>
                <w:lang w:val="sr-Latn-CS"/>
              </w:rPr>
              <w:t>eljnom režimu, učestalost teške dijareje bila je 44,4% kod pacijenata koji su dobijali irinotekan u kombinaciji sa 5FU/FA i 25,6% kod pacijenata liječenih samo sa 5FU/FA. Učestalost teških neutropenija (broj neutrofila &lt; 500 ćelija/mm</w:t>
            </w:r>
            <w:r w:rsidRPr="006B0439">
              <w:rPr>
                <w:bCs/>
                <w:sz w:val="22"/>
                <w:szCs w:val="22"/>
                <w:vertAlign w:val="superscript"/>
                <w:lang w:val="sr-Latn-CS"/>
              </w:rPr>
              <w:t>3</w:t>
            </w:r>
            <w:r w:rsidRPr="006B0439">
              <w:rPr>
                <w:bCs/>
                <w:sz w:val="22"/>
                <w:szCs w:val="22"/>
                <w:lang w:val="sr-Latn-CS"/>
              </w:rPr>
              <w:t>) bio je 5,8% kod pacijenata koji su liječeni irinotekanom u kombinaciji sa 5FU/FA i 2,4% kod pacijenata liječenih samo sa 5FU/FA.</w:t>
            </w:r>
          </w:p>
          <w:p w:rsidR="00C76881" w:rsidRPr="006B0439" w:rsidRDefault="00C76881" w:rsidP="00C76881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CS"/>
              </w:rPr>
            </w:pPr>
            <w:r w:rsidRPr="006B0439">
              <w:rPr>
                <w:bCs/>
                <w:sz w:val="22"/>
                <w:szCs w:val="22"/>
                <w:lang w:val="sr-Latn-CS"/>
              </w:rPr>
              <w:t>Osim toga, medijana perioda do konačnog pogoršanja funkcionalnog statusa bila je značajno veća u grupi koja je primala kombinaciju lijekova sa irinotekanom  nego u grupi koja je liječena samo 5FU/FA (p = 0,046).</w:t>
            </w:r>
          </w:p>
          <w:p w:rsidR="00C76881" w:rsidRPr="006B0439" w:rsidRDefault="00C76881" w:rsidP="00C76881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CS"/>
              </w:rPr>
            </w:pPr>
            <w:r w:rsidRPr="006B0439">
              <w:rPr>
                <w:bCs/>
                <w:sz w:val="22"/>
                <w:szCs w:val="22"/>
                <w:lang w:val="sr-Latn-CS"/>
              </w:rPr>
              <w:t>Kvalitet života proc</w:t>
            </w:r>
            <w:r w:rsidR="000F489A" w:rsidRPr="006B0439">
              <w:rPr>
                <w:bCs/>
                <w:sz w:val="22"/>
                <w:szCs w:val="22"/>
                <w:lang w:val="sr-Latn-CS"/>
              </w:rPr>
              <w:t>ij</w:t>
            </w:r>
            <w:r w:rsidRPr="006B0439">
              <w:rPr>
                <w:bCs/>
                <w:sz w:val="22"/>
                <w:szCs w:val="22"/>
                <w:lang w:val="sr-Latn-CS"/>
              </w:rPr>
              <w:t xml:space="preserve">enjen je u ovoj III fazi studije na osnovu upitnika EORTC QLQ-C30. Period do konačnog pogoršanja konstantno je bio duži u grupi koja je dobijala irinotekan. Evolucija stanja prema </w:t>
            </w:r>
            <w:r w:rsidRPr="006B0439">
              <w:rPr>
                <w:bCs/>
                <w:i/>
                <w:sz w:val="22"/>
                <w:szCs w:val="22"/>
                <w:lang w:val="sr-Latn-CS"/>
              </w:rPr>
              <w:t>Global Health Status/Quality of Life</w:t>
            </w:r>
            <w:r w:rsidRPr="006B0439">
              <w:rPr>
                <w:bCs/>
                <w:sz w:val="22"/>
                <w:szCs w:val="22"/>
                <w:lang w:val="sr-Latn-CS"/>
              </w:rPr>
              <w:t xml:space="preserve"> bila je nešto bolja u grupi koja je dobijala kombinovanu terapiju sa irinotekanom, mada statistička značajnost nije dostignuta. Ovo pokazuje da se efikasnost kombinacije sa irinotekanom može dostići bez uticaja na kvalitet života.</w:t>
            </w:r>
          </w:p>
          <w:p w:rsidR="00C76881" w:rsidRPr="006B0439" w:rsidRDefault="00C76881" w:rsidP="00C76881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CS"/>
              </w:rPr>
            </w:pPr>
          </w:p>
          <w:p w:rsidR="00C76881" w:rsidRPr="006B0439" w:rsidRDefault="00C76881" w:rsidP="00C76881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sz w:val="22"/>
                <w:szCs w:val="22"/>
                <w:lang w:val="sr-Latn-CS"/>
              </w:rPr>
            </w:pPr>
            <w:r w:rsidRPr="006B0439">
              <w:rPr>
                <w:b/>
                <w:bCs/>
                <w:sz w:val="22"/>
                <w:szCs w:val="22"/>
                <w:lang w:val="sr-Latn-CS"/>
              </w:rPr>
              <w:t>U kombinovanoj terapiji sa bevacizumabom</w:t>
            </w:r>
          </w:p>
          <w:p w:rsidR="00C76881" w:rsidRPr="006B0439" w:rsidRDefault="00C76881" w:rsidP="00C76881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CS"/>
              </w:rPr>
            </w:pPr>
          </w:p>
          <w:p w:rsidR="00C76881" w:rsidRPr="006B0439" w:rsidRDefault="00C76881" w:rsidP="00C76881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CS"/>
              </w:rPr>
            </w:pPr>
            <w:r w:rsidRPr="006B0439">
              <w:rPr>
                <w:bCs/>
                <w:sz w:val="22"/>
                <w:szCs w:val="22"/>
                <w:lang w:val="sr-Latn-CS"/>
              </w:rPr>
              <w:t>Dvostruko-slijepa klinička studija III faze sa randomizacijom i aktivnom kontrolom ispitivala je primjenu bevacizumaba u kombinaciji sa irinotekanom/5FU/FA kao terapiju prvog izbora za metastatski karcinom kolona ili rektuma (studija AVF2107g). Dodavanje bevacizumaba kombinaciji irinotekana/5FU/FA dovelo je statistički značajnog porasta ukupnog preživljavanja. Kliničko poboljšanje, mjereno ukupnim preživljavanjem, zapaženo je u svim podgrupama pacijenata (podgrupe prema starosti, polu, funkcionalnom statusu, lokalizaciji primarnog tumora, broju zahvaćenih organa i trajanju metastatskog stadijuma bolesti). Za više podataka treba konsultovati sažetak karakteristika lijeka za bevacizumab. Rezultati efikasnosti po studiji AVF2107g ukratko su prikazani u sledećoj tabeli.</w:t>
            </w:r>
          </w:p>
          <w:p w:rsidR="00C578CB" w:rsidRPr="006B0439" w:rsidRDefault="00FA6A81" w:rsidP="00C76881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CS"/>
              </w:rPr>
            </w:pPr>
            <w:r w:rsidRPr="006B0439">
              <w:rPr>
                <w:bCs/>
                <w:sz w:val="22"/>
                <w:szCs w:val="22"/>
                <w:lang w:val="sr-Latn-CS"/>
              </w:rPr>
              <w:t xml:space="preserve"> </w:t>
            </w:r>
          </w:p>
          <w:tbl>
            <w:tblPr>
              <w:tblW w:w="0" w:type="auto"/>
              <w:tblInd w:w="9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12"/>
              <w:gridCol w:w="3260"/>
              <w:gridCol w:w="3402"/>
            </w:tblGrid>
            <w:tr w:rsidR="00C76881" w:rsidRPr="006B0439" w:rsidTr="00C76881">
              <w:trPr>
                <w:trHeight w:hRule="exact" w:val="414"/>
              </w:trPr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6881" w:rsidRPr="006B0439" w:rsidRDefault="00C76881" w:rsidP="00C76881">
                  <w:pPr>
                    <w:pBdr>
                      <w:top w:val="single" w:sz="4" w:space="1" w:color="auto"/>
                      <w:between w:val="single" w:sz="4" w:space="1" w:color="auto"/>
                      <w:bar w:val="single" w:sz="4" w:color="auto"/>
                    </w:pBdr>
                    <w:tabs>
                      <w:tab w:val="left" w:pos="540"/>
                      <w:tab w:val="left" w:pos="569"/>
                    </w:tabs>
                    <w:jc w:val="both"/>
                    <w:rPr>
                      <w:bCs/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666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6881" w:rsidRPr="006B0439" w:rsidRDefault="00C76881" w:rsidP="00C578CB">
                  <w:pPr>
                    <w:pBdr>
                      <w:top w:val="single" w:sz="4" w:space="1" w:color="auto"/>
                      <w:between w:val="single" w:sz="4" w:space="1" w:color="auto"/>
                      <w:bar w:val="single" w:sz="4" w:color="auto"/>
                    </w:pBdr>
                    <w:tabs>
                      <w:tab w:val="left" w:pos="540"/>
                      <w:tab w:val="left" w:pos="569"/>
                    </w:tabs>
                    <w:spacing w:before="3"/>
                    <w:ind w:left="2431" w:right="2410"/>
                    <w:jc w:val="center"/>
                    <w:rPr>
                      <w:b/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/>
                      <w:bCs/>
                      <w:sz w:val="22"/>
                      <w:szCs w:val="22"/>
                      <w:lang w:val="sr-Latn-CS"/>
                    </w:rPr>
                    <w:t>AVF2107g</w:t>
                  </w:r>
                </w:p>
              </w:tc>
            </w:tr>
            <w:tr w:rsidR="00C76881" w:rsidRPr="006B0439" w:rsidTr="00C76881">
              <w:trPr>
                <w:trHeight w:hRule="exact" w:val="875"/>
              </w:trPr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jc w:val="both"/>
                    <w:rPr>
                      <w:bCs/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3" w:space="0" w:color="000000"/>
                    <w:bottom w:val="single" w:sz="3" w:space="0" w:color="000000"/>
                    <w:right w:val="single" w:sz="4" w:space="0" w:color="000000"/>
                  </w:tcBorders>
                </w:tcPr>
                <w:p w:rsidR="00C76881" w:rsidRPr="006B0439" w:rsidRDefault="00C76881" w:rsidP="00C578CB">
                  <w:pPr>
                    <w:tabs>
                      <w:tab w:val="left" w:pos="540"/>
                      <w:tab w:val="left" w:pos="569"/>
                    </w:tabs>
                    <w:spacing w:before="4"/>
                    <w:ind w:left="1096" w:right="1076"/>
                    <w:jc w:val="center"/>
                    <w:rPr>
                      <w:b/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/>
                      <w:bCs/>
                      <w:sz w:val="22"/>
                      <w:szCs w:val="22"/>
                      <w:lang w:val="sr-Latn-CS"/>
                    </w:rPr>
                    <w:t>Grupa 1</w:t>
                  </w:r>
                </w:p>
                <w:p w:rsidR="00C76881" w:rsidRPr="006B0439" w:rsidRDefault="00C76881" w:rsidP="00C578CB">
                  <w:pPr>
                    <w:tabs>
                      <w:tab w:val="left" w:pos="540"/>
                      <w:tab w:val="left" w:pos="569"/>
                    </w:tabs>
                    <w:spacing w:before="5"/>
                    <w:ind w:left="172" w:right="152"/>
                    <w:jc w:val="center"/>
                    <w:rPr>
                      <w:b/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/>
                      <w:bCs/>
                      <w:sz w:val="22"/>
                      <w:szCs w:val="22"/>
                      <w:lang w:val="sr-Latn-CS"/>
                    </w:rPr>
                    <w:t>irinotekan/5FU/FA  + placebo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000000"/>
                    <w:bottom w:val="single" w:sz="3" w:space="0" w:color="000000"/>
                    <w:right w:val="single" w:sz="4" w:space="0" w:color="000000"/>
                  </w:tcBorders>
                </w:tcPr>
                <w:p w:rsidR="00C76881" w:rsidRPr="006B0439" w:rsidRDefault="00C76881" w:rsidP="00C578CB">
                  <w:pPr>
                    <w:tabs>
                      <w:tab w:val="left" w:pos="540"/>
                      <w:tab w:val="left" w:pos="569"/>
                    </w:tabs>
                    <w:spacing w:before="4"/>
                    <w:ind w:left="1024" w:right="1006"/>
                    <w:jc w:val="center"/>
                    <w:rPr>
                      <w:b/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/>
                      <w:bCs/>
                      <w:sz w:val="22"/>
                      <w:szCs w:val="22"/>
                      <w:lang w:val="sr-Latn-CS"/>
                    </w:rPr>
                    <w:t>Grupa 2</w:t>
                  </w:r>
                </w:p>
                <w:p w:rsidR="00C76881" w:rsidRPr="006B0439" w:rsidRDefault="00C76881" w:rsidP="00C578CB">
                  <w:pPr>
                    <w:tabs>
                      <w:tab w:val="left" w:pos="540"/>
                      <w:tab w:val="left" w:pos="569"/>
                    </w:tabs>
                    <w:spacing w:before="1" w:line="238" w:lineRule="exact"/>
                    <w:ind w:left="483" w:right="460"/>
                    <w:jc w:val="center"/>
                    <w:rPr>
                      <w:b/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/>
                      <w:bCs/>
                      <w:sz w:val="22"/>
                      <w:szCs w:val="22"/>
                      <w:lang w:val="sr-Latn-CS"/>
                    </w:rPr>
                    <w:t>irinotekan/5FU/FA  + Avastatina</w:t>
                  </w:r>
                  <w:r w:rsidR="00FA6A81" w:rsidRPr="006B0439">
                    <w:rPr>
                      <w:b/>
                      <w:bCs/>
                      <w:sz w:val="22"/>
                      <w:szCs w:val="22"/>
                      <w:vertAlign w:val="superscript"/>
                      <w:lang w:val="sr-Latn-CS"/>
                    </w:rPr>
                    <w:t>a</w:t>
                  </w:r>
                </w:p>
              </w:tc>
            </w:tr>
            <w:tr w:rsidR="00C76881" w:rsidRPr="006B0439" w:rsidTr="00C76881">
              <w:trPr>
                <w:trHeight w:hRule="exact" w:val="418"/>
              </w:trPr>
              <w:tc>
                <w:tcPr>
                  <w:tcW w:w="2912" w:type="dxa"/>
                  <w:tcBorders>
                    <w:top w:val="single" w:sz="3" w:space="0" w:color="000000"/>
                    <w:left w:val="single" w:sz="4" w:space="0" w:color="000000"/>
                    <w:bottom w:val="single" w:sz="4" w:space="0" w:color="000000"/>
                    <w:right w:val="single" w:sz="3" w:space="0" w:color="000000"/>
                  </w:tcBorders>
                </w:tcPr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spacing w:line="229" w:lineRule="exact"/>
                    <w:ind w:left="95" w:right="-20"/>
                    <w:jc w:val="both"/>
                    <w:rPr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Cs/>
                      <w:sz w:val="22"/>
                      <w:szCs w:val="22"/>
                      <w:lang w:val="sr-Latn-CS"/>
                    </w:rPr>
                    <w:t>Broj bolesnika</w:t>
                  </w:r>
                </w:p>
              </w:tc>
              <w:tc>
                <w:tcPr>
                  <w:tcW w:w="3260" w:type="dxa"/>
                  <w:tcBorders>
                    <w:top w:val="single" w:sz="3" w:space="0" w:color="000000"/>
                    <w:left w:val="single" w:sz="3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spacing w:line="229" w:lineRule="exact"/>
                    <w:ind w:left="1310" w:right="1289"/>
                    <w:jc w:val="both"/>
                    <w:rPr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Cs/>
                      <w:sz w:val="22"/>
                      <w:szCs w:val="22"/>
                      <w:lang w:val="sr-Latn-CS"/>
                    </w:rPr>
                    <w:t>411</w:t>
                  </w:r>
                </w:p>
              </w:tc>
              <w:tc>
                <w:tcPr>
                  <w:tcW w:w="3402" w:type="dxa"/>
                  <w:tcBorders>
                    <w:top w:val="single" w:sz="3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spacing w:line="229" w:lineRule="exact"/>
                    <w:ind w:left="1238" w:right="1220"/>
                    <w:jc w:val="both"/>
                    <w:rPr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Cs/>
                      <w:sz w:val="22"/>
                      <w:szCs w:val="22"/>
                      <w:lang w:val="sr-Latn-CS"/>
                    </w:rPr>
                    <w:t>402</w:t>
                  </w:r>
                </w:p>
              </w:tc>
            </w:tr>
            <w:tr w:rsidR="00C76881" w:rsidRPr="006B0439" w:rsidTr="00C76881">
              <w:trPr>
                <w:trHeight w:hRule="exact" w:val="427"/>
              </w:trPr>
              <w:tc>
                <w:tcPr>
                  <w:tcW w:w="29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3" w:space="0" w:color="000000"/>
                  </w:tcBorders>
                </w:tcPr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spacing w:line="229" w:lineRule="exact"/>
                    <w:ind w:left="95" w:right="-20"/>
                    <w:jc w:val="both"/>
                    <w:rPr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Cs/>
                      <w:sz w:val="22"/>
                      <w:szCs w:val="22"/>
                      <w:lang w:val="sr-Latn-CS"/>
                    </w:rPr>
                    <w:t>Ukupno preživljavanje</w:t>
                  </w:r>
                </w:p>
              </w:tc>
              <w:tc>
                <w:tcPr>
                  <w:tcW w:w="3260" w:type="dxa"/>
                  <w:tcBorders>
                    <w:top w:val="single" w:sz="4" w:space="0" w:color="000000"/>
                    <w:left w:val="single" w:sz="3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jc w:val="both"/>
                    <w:rPr>
                      <w:bCs/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jc w:val="both"/>
                    <w:rPr>
                      <w:bCs/>
                      <w:sz w:val="22"/>
                      <w:szCs w:val="22"/>
                      <w:lang w:val="sr-Latn-CS"/>
                    </w:rPr>
                  </w:pPr>
                </w:p>
              </w:tc>
            </w:tr>
            <w:tr w:rsidR="00C76881" w:rsidRPr="006B0439" w:rsidTr="00C76881">
              <w:trPr>
                <w:trHeight w:hRule="exact" w:val="434"/>
              </w:trPr>
              <w:tc>
                <w:tcPr>
                  <w:tcW w:w="29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3" w:space="0" w:color="000000"/>
                  </w:tcBorders>
                </w:tcPr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spacing w:line="229" w:lineRule="exact"/>
                    <w:ind w:left="95" w:right="-20"/>
                    <w:jc w:val="both"/>
                    <w:rPr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Cs/>
                      <w:sz w:val="22"/>
                      <w:szCs w:val="22"/>
                      <w:lang w:val="sr-Latn-CS"/>
                    </w:rPr>
                    <w:lastRenderedPageBreak/>
                    <w:t>Medijana (mjeseci)</w:t>
                  </w:r>
                </w:p>
              </w:tc>
              <w:tc>
                <w:tcPr>
                  <w:tcW w:w="3260" w:type="dxa"/>
                  <w:tcBorders>
                    <w:top w:val="single" w:sz="4" w:space="0" w:color="000000"/>
                    <w:left w:val="single" w:sz="3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spacing w:line="229" w:lineRule="exact"/>
                    <w:ind w:left="1283" w:right="1265"/>
                    <w:jc w:val="both"/>
                    <w:rPr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Cs/>
                      <w:sz w:val="22"/>
                      <w:szCs w:val="22"/>
                      <w:lang w:val="sr-Latn-CS"/>
                    </w:rPr>
                    <w:t>15,6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spacing w:line="229" w:lineRule="exact"/>
                    <w:ind w:left="1214" w:right="1193"/>
                    <w:jc w:val="both"/>
                    <w:rPr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Cs/>
                      <w:sz w:val="22"/>
                      <w:szCs w:val="22"/>
                      <w:lang w:val="sr-Latn-CS"/>
                    </w:rPr>
                    <w:t>20,3</w:t>
                  </w:r>
                </w:p>
              </w:tc>
            </w:tr>
            <w:tr w:rsidR="00C76881" w:rsidRPr="006B0439" w:rsidTr="00C76881">
              <w:trPr>
                <w:trHeight w:hRule="exact" w:val="425"/>
              </w:trPr>
              <w:tc>
                <w:tcPr>
                  <w:tcW w:w="29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3" w:space="0" w:color="000000"/>
                  </w:tcBorders>
                </w:tcPr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spacing w:line="229" w:lineRule="exact"/>
                    <w:ind w:left="95" w:right="-20"/>
                    <w:jc w:val="both"/>
                    <w:rPr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Cs/>
                      <w:sz w:val="22"/>
                      <w:szCs w:val="22"/>
                      <w:lang w:val="sr-Latn-CS"/>
                    </w:rPr>
                    <w:t>95% interval poverenja</w:t>
                  </w:r>
                </w:p>
              </w:tc>
              <w:tc>
                <w:tcPr>
                  <w:tcW w:w="3260" w:type="dxa"/>
                  <w:tcBorders>
                    <w:top w:val="single" w:sz="4" w:space="0" w:color="000000"/>
                    <w:left w:val="single" w:sz="3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spacing w:line="229" w:lineRule="exact"/>
                    <w:ind w:left="1002" w:right="-20"/>
                    <w:jc w:val="both"/>
                    <w:rPr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Cs/>
                      <w:sz w:val="22"/>
                      <w:szCs w:val="22"/>
                      <w:lang w:val="sr-Latn-CS"/>
                    </w:rPr>
                    <w:t>14,29-16,99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spacing w:line="229" w:lineRule="exact"/>
                    <w:ind w:left="928" w:right="-20"/>
                    <w:jc w:val="both"/>
                    <w:rPr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Cs/>
                      <w:sz w:val="22"/>
                      <w:szCs w:val="22"/>
                      <w:lang w:val="sr-Latn-CS"/>
                    </w:rPr>
                    <w:t>18,46-24,18</w:t>
                  </w:r>
                </w:p>
              </w:tc>
            </w:tr>
            <w:tr w:rsidR="00C76881" w:rsidRPr="006B0439" w:rsidTr="00C76881">
              <w:trPr>
                <w:trHeight w:hRule="exact" w:val="431"/>
              </w:trPr>
              <w:tc>
                <w:tcPr>
                  <w:tcW w:w="29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3" w:space="0" w:color="000000"/>
                  </w:tcBorders>
                </w:tcPr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spacing w:line="229" w:lineRule="exact"/>
                    <w:ind w:left="95" w:right="-20"/>
                    <w:jc w:val="both"/>
                    <w:rPr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Cs/>
                      <w:sz w:val="22"/>
                      <w:szCs w:val="22"/>
                      <w:lang w:val="sr-Latn-CS"/>
                    </w:rPr>
                    <w:t>Odnos rizikab (HR)</w:t>
                  </w:r>
                </w:p>
              </w:tc>
              <w:tc>
                <w:tcPr>
                  <w:tcW w:w="3260" w:type="dxa"/>
                  <w:tcBorders>
                    <w:top w:val="single" w:sz="4" w:space="0" w:color="000000"/>
                    <w:left w:val="single" w:sz="3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jc w:val="both"/>
                    <w:rPr>
                      <w:bCs/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spacing w:line="229" w:lineRule="exact"/>
                    <w:ind w:left="1159" w:right="1138"/>
                    <w:jc w:val="both"/>
                    <w:rPr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Cs/>
                      <w:sz w:val="22"/>
                      <w:szCs w:val="22"/>
                      <w:lang w:val="sr-Latn-CS"/>
                    </w:rPr>
                    <w:t>0,660</w:t>
                  </w:r>
                </w:p>
              </w:tc>
            </w:tr>
            <w:tr w:rsidR="00C76881" w:rsidRPr="006B0439" w:rsidTr="00C76881">
              <w:trPr>
                <w:trHeight w:hRule="exact" w:val="245"/>
              </w:trPr>
              <w:tc>
                <w:tcPr>
                  <w:tcW w:w="29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3" w:space="0" w:color="000000"/>
                  </w:tcBorders>
                </w:tcPr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spacing w:line="229" w:lineRule="exact"/>
                    <w:ind w:left="95" w:right="-20"/>
                    <w:jc w:val="both"/>
                    <w:rPr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Cs/>
                      <w:sz w:val="22"/>
                      <w:szCs w:val="22"/>
                      <w:lang w:val="sr-Latn-CS"/>
                    </w:rPr>
                    <w:t>p- vrijednost</w:t>
                  </w:r>
                </w:p>
              </w:tc>
              <w:tc>
                <w:tcPr>
                  <w:tcW w:w="3260" w:type="dxa"/>
                  <w:tcBorders>
                    <w:top w:val="single" w:sz="4" w:space="0" w:color="000000"/>
                    <w:left w:val="single" w:sz="3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jc w:val="both"/>
                    <w:rPr>
                      <w:bCs/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spacing w:line="229" w:lineRule="exact"/>
                    <w:ind w:left="1058" w:right="1037"/>
                    <w:jc w:val="both"/>
                    <w:rPr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Cs/>
                      <w:sz w:val="22"/>
                      <w:szCs w:val="22"/>
                      <w:lang w:val="sr-Latn-CS"/>
                    </w:rPr>
                    <w:t>0,00004</w:t>
                  </w:r>
                </w:p>
              </w:tc>
            </w:tr>
            <w:tr w:rsidR="00C76881" w:rsidRPr="006B0439" w:rsidTr="00C76881">
              <w:trPr>
                <w:trHeight w:hRule="exact" w:val="313"/>
              </w:trPr>
              <w:tc>
                <w:tcPr>
                  <w:tcW w:w="2912" w:type="dxa"/>
                  <w:tcBorders>
                    <w:top w:val="single" w:sz="4" w:space="0" w:color="000000"/>
                    <w:left w:val="single" w:sz="4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spacing w:line="229" w:lineRule="exact"/>
                    <w:ind w:left="95" w:right="-20"/>
                    <w:jc w:val="both"/>
                    <w:rPr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Cs/>
                      <w:sz w:val="22"/>
                      <w:szCs w:val="22"/>
                      <w:lang w:val="sr-Latn-CS"/>
                    </w:rPr>
                    <w:t>Preživljavanje bez pogoršanja</w:t>
                  </w:r>
                </w:p>
              </w:tc>
              <w:tc>
                <w:tcPr>
                  <w:tcW w:w="3260" w:type="dxa"/>
                  <w:tcBorders>
                    <w:top w:val="single" w:sz="4" w:space="0" w:color="000000"/>
                    <w:left w:val="single" w:sz="3" w:space="0" w:color="000000"/>
                    <w:bottom w:val="single" w:sz="3" w:space="0" w:color="000000"/>
                    <w:right w:val="single" w:sz="4" w:space="0" w:color="000000"/>
                  </w:tcBorders>
                </w:tcPr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jc w:val="both"/>
                    <w:rPr>
                      <w:bCs/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3" w:space="0" w:color="000000"/>
                    <w:right w:val="single" w:sz="4" w:space="0" w:color="000000"/>
                  </w:tcBorders>
                </w:tcPr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jc w:val="both"/>
                    <w:rPr>
                      <w:bCs/>
                      <w:sz w:val="22"/>
                      <w:szCs w:val="22"/>
                      <w:lang w:val="sr-Latn-CS"/>
                    </w:rPr>
                  </w:pPr>
                </w:p>
              </w:tc>
            </w:tr>
            <w:tr w:rsidR="00C76881" w:rsidRPr="006B0439" w:rsidTr="00C76881">
              <w:trPr>
                <w:trHeight w:hRule="exact" w:val="429"/>
              </w:trPr>
              <w:tc>
                <w:tcPr>
                  <w:tcW w:w="2912" w:type="dxa"/>
                  <w:tcBorders>
                    <w:top w:val="single" w:sz="3" w:space="0" w:color="000000"/>
                    <w:left w:val="single" w:sz="4" w:space="0" w:color="000000"/>
                    <w:bottom w:val="single" w:sz="4" w:space="0" w:color="000000"/>
                    <w:right w:val="single" w:sz="3" w:space="0" w:color="000000"/>
                  </w:tcBorders>
                </w:tcPr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spacing w:line="229" w:lineRule="exact"/>
                    <w:ind w:left="95" w:right="-20"/>
                    <w:jc w:val="both"/>
                    <w:rPr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Cs/>
                      <w:sz w:val="22"/>
                      <w:szCs w:val="22"/>
                      <w:lang w:val="sr-Latn-CS"/>
                    </w:rPr>
                    <w:t>Medijana (mjeseci)</w:t>
                  </w:r>
                </w:p>
              </w:tc>
              <w:tc>
                <w:tcPr>
                  <w:tcW w:w="3260" w:type="dxa"/>
                  <w:tcBorders>
                    <w:top w:val="single" w:sz="3" w:space="0" w:color="000000"/>
                    <w:left w:val="single" w:sz="3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spacing w:line="229" w:lineRule="exact"/>
                    <w:ind w:left="1336" w:right="1316"/>
                    <w:jc w:val="both"/>
                    <w:rPr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Cs/>
                      <w:sz w:val="22"/>
                      <w:szCs w:val="22"/>
                      <w:lang w:val="sr-Latn-CS"/>
                    </w:rPr>
                    <w:t>6,2</w:t>
                  </w:r>
                </w:p>
              </w:tc>
              <w:tc>
                <w:tcPr>
                  <w:tcW w:w="3402" w:type="dxa"/>
                  <w:tcBorders>
                    <w:top w:val="single" w:sz="3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spacing w:line="229" w:lineRule="exact"/>
                    <w:ind w:left="1214" w:right="1193"/>
                    <w:jc w:val="both"/>
                    <w:rPr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Cs/>
                      <w:sz w:val="22"/>
                      <w:szCs w:val="22"/>
                      <w:lang w:val="sr-Latn-CS"/>
                    </w:rPr>
                    <w:t>10,6</w:t>
                  </w:r>
                </w:p>
              </w:tc>
            </w:tr>
            <w:tr w:rsidR="00C76881" w:rsidRPr="006B0439" w:rsidTr="00C76881">
              <w:trPr>
                <w:trHeight w:hRule="exact" w:val="281"/>
              </w:trPr>
              <w:tc>
                <w:tcPr>
                  <w:tcW w:w="29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3" w:space="0" w:color="000000"/>
                  </w:tcBorders>
                </w:tcPr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spacing w:line="229" w:lineRule="exact"/>
                    <w:ind w:left="95" w:right="-20"/>
                    <w:jc w:val="both"/>
                    <w:rPr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Cs/>
                      <w:sz w:val="22"/>
                      <w:szCs w:val="22"/>
                      <w:lang w:val="sr-Latn-CS"/>
                    </w:rPr>
                    <w:t>Odnos rizika (HR)</w:t>
                  </w:r>
                </w:p>
              </w:tc>
              <w:tc>
                <w:tcPr>
                  <w:tcW w:w="3260" w:type="dxa"/>
                  <w:tcBorders>
                    <w:top w:val="single" w:sz="4" w:space="0" w:color="000000"/>
                    <w:left w:val="single" w:sz="3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jc w:val="both"/>
                    <w:rPr>
                      <w:bCs/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spacing w:line="229" w:lineRule="exact"/>
                    <w:ind w:left="1214" w:right="1193"/>
                    <w:jc w:val="both"/>
                    <w:rPr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Cs/>
                      <w:sz w:val="22"/>
                      <w:szCs w:val="22"/>
                      <w:lang w:val="sr-Latn-CS"/>
                    </w:rPr>
                    <w:t>0,54</w:t>
                  </w:r>
                </w:p>
              </w:tc>
            </w:tr>
            <w:tr w:rsidR="00C76881" w:rsidRPr="006B0439" w:rsidTr="00C76881">
              <w:trPr>
                <w:trHeight w:hRule="exact" w:val="412"/>
              </w:trPr>
              <w:tc>
                <w:tcPr>
                  <w:tcW w:w="29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3" w:space="0" w:color="000000"/>
                  </w:tcBorders>
                </w:tcPr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spacing w:line="229" w:lineRule="exact"/>
                    <w:ind w:left="95" w:right="-20"/>
                    <w:jc w:val="both"/>
                    <w:rPr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Cs/>
                      <w:sz w:val="22"/>
                      <w:szCs w:val="22"/>
                      <w:lang w:val="sr-Latn-CS"/>
                    </w:rPr>
                    <w:t>p- vrijednost</w:t>
                  </w:r>
                </w:p>
              </w:tc>
              <w:tc>
                <w:tcPr>
                  <w:tcW w:w="3260" w:type="dxa"/>
                  <w:tcBorders>
                    <w:top w:val="single" w:sz="4" w:space="0" w:color="000000"/>
                    <w:left w:val="single" w:sz="3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jc w:val="both"/>
                    <w:rPr>
                      <w:bCs/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spacing w:line="229" w:lineRule="exact"/>
                    <w:ind w:left="1024" w:right="1006"/>
                    <w:jc w:val="both"/>
                    <w:rPr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Cs/>
                      <w:sz w:val="22"/>
                      <w:szCs w:val="22"/>
                      <w:lang w:val="sr-Latn-CS"/>
                    </w:rPr>
                    <w:t>&lt; 0,0001</w:t>
                  </w:r>
                </w:p>
              </w:tc>
            </w:tr>
            <w:tr w:rsidR="00C76881" w:rsidRPr="006B0439" w:rsidTr="00C76881">
              <w:trPr>
                <w:trHeight w:hRule="exact" w:val="485"/>
              </w:trPr>
              <w:tc>
                <w:tcPr>
                  <w:tcW w:w="29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3" w:space="0" w:color="000000"/>
                  </w:tcBorders>
                </w:tcPr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spacing w:line="229" w:lineRule="exact"/>
                    <w:ind w:left="95" w:right="-20"/>
                    <w:jc w:val="both"/>
                    <w:rPr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Cs/>
                      <w:sz w:val="22"/>
                      <w:szCs w:val="22"/>
                      <w:lang w:val="sr-Latn-CS"/>
                    </w:rPr>
                    <w:t>Ukupna       stopa       terapijskog</w:t>
                  </w:r>
                </w:p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spacing w:before="5"/>
                    <w:ind w:left="95" w:right="-20"/>
                    <w:jc w:val="both"/>
                    <w:rPr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Cs/>
                      <w:sz w:val="22"/>
                      <w:szCs w:val="22"/>
                      <w:lang w:val="sr-Latn-CS"/>
                    </w:rPr>
                    <w:t>odgovora</w:t>
                  </w:r>
                </w:p>
              </w:tc>
              <w:tc>
                <w:tcPr>
                  <w:tcW w:w="3260" w:type="dxa"/>
                  <w:tcBorders>
                    <w:top w:val="single" w:sz="4" w:space="0" w:color="000000"/>
                    <w:left w:val="single" w:sz="3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jc w:val="both"/>
                    <w:rPr>
                      <w:bCs/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jc w:val="both"/>
                    <w:rPr>
                      <w:bCs/>
                      <w:sz w:val="22"/>
                      <w:szCs w:val="22"/>
                      <w:lang w:val="sr-Latn-CS"/>
                    </w:rPr>
                  </w:pPr>
                </w:p>
              </w:tc>
            </w:tr>
            <w:tr w:rsidR="00C76881" w:rsidRPr="006B0439" w:rsidTr="00C76881">
              <w:trPr>
                <w:trHeight w:hRule="exact" w:val="383"/>
              </w:trPr>
              <w:tc>
                <w:tcPr>
                  <w:tcW w:w="29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3" w:space="0" w:color="000000"/>
                  </w:tcBorders>
                </w:tcPr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spacing w:line="229" w:lineRule="exact"/>
                    <w:ind w:left="95" w:right="-20"/>
                    <w:jc w:val="both"/>
                    <w:rPr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Cs/>
                      <w:sz w:val="22"/>
                      <w:szCs w:val="22"/>
                      <w:lang w:val="sr-Latn-CS"/>
                    </w:rPr>
                    <w:t>Stopa (%)</w:t>
                  </w:r>
                </w:p>
              </w:tc>
              <w:tc>
                <w:tcPr>
                  <w:tcW w:w="3260" w:type="dxa"/>
                  <w:tcBorders>
                    <w:top w:val="single" w:sz="4" w:space="0" w:color="000000"/>
                    <w:left w:val="single" w:sz="3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spacing w:line="229" w:lineRule="exact"/>
                    <w:ind w:left="1283" w:right="1265"/>
                    <w:jc w:val="both"/>
                    <w:rPr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Cs/>
                      <w:sz w:val="22"/>
                      <w:szCs w:val="22"/>
                      <w:lang w:val="sr-Latn-CS"/>
                    </w:rPr>
                    <w:t>34,8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spacing w:line="229" w:lineRule="exact"/>
                    <w:ind w:left="1214" w:right="1193"/>
                    <w:jc w:val="both"/>
                    <w:rPr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Cs/>
                      <w:sz w:val="22"/>
                      <w:szCs w:val="22"/>
                      <w:lang w:val="sr-Latn-CS"/>
                    </w:rPr>
                    <w:t>44,8</w:t>
                  </w:r>
                </w:p>
              </w:tc>
            </w:tr>
            <w:tr w:rsidR="00C76881" w:rsidRPr="006B0439" w:rsidTr="00C76881">
              <w:trPr>
                <w:trHeight w:hRule="exact" w:val="250"/>
              </w:trPr>
              <w:tc>
                <w:tcPr>
                  <w:tcW w:w="29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3" w:space="0" w:color="000000"/>
                  </w:tcBorders>
                </w:tcPr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spacing w:line="229" w:lineRule="exact"/>
                    <w:ind w:left="95" w:right="-20"/>
                    <w:jc w:val="both"/>
                    <w:rPr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Cs/>
                      <w:sz w:val="22"/>
                      <w:szCs w:val="22"/>
                      <w:lang w:val="sr-Latn-CS"/>
                    </w:rPr>
                    <w:t>95% interval povjerenja</w:t>
                  </w:r>
                </w:p>
              </w:tc>
              <w:tc>
                <w:tcPr>
                  <w:tcW w:w="3260" w:type="dxa"/>
                  <w:tcBorders>
                    <w:top w:val="single" w:sz="4" w:space="0" w:color="000000"/>
                    <w:left w:val="single" w:sz="3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spacing w:line="229" w:lineRule="exact"/>
                    <w:ind w:left="1070" w:right="1047"/>
                    <w:jc w:val="both"/>
                    <w:rPr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Cs/>
                      <w:sz w:val="22"/>
                      <w:szCs w:val="22"/>
                      <w:lang w:val="sr-Latn-CS"/>
                    </w:rPr>
                    <w:t>30,2-39,6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spacing w:line="229" w:lineRule="exact"/>
                    <w:ind w:left="998" w:right="980"/>
                    <w:jc w:val="both"/>
                    <w:rPr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Cs/>
                      <w:sz w:val="22"/>
                      <w:szCs w:val="22"/>
                      <w:lang w:val="sr-Latn-CS"/>
                    </w:rPr>
                    <w:t>39,9-49,8</w:t>
                  </w:r>
                </w:p>
              </w:tc>
            </w:tr>
            <w:tr w:rsidR="00C76881" w:rsidRPr="006B0439" w:rsidTr="00C76881">
              <w:trPr>
                <w:trHeight w:hRule="exact" w:val="307"/>
              </w:trPr>
              <w:tc>
                <w:tcPr>
                  <w:tcW w:w="29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3" w:space="0" w:color="000000"/>
                  </w:tcBorders>
                </w:tcPr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spacing w:line="229" w:lineRule="exact"/>
                    <w:ind w:left="95" w:right="-20"/>
                    <w:jc w:val="both"/>
                    <w:rPr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Cs/>
                      <w:sz w:val="22"/>
                      <w:szCs w:val="22"/>
                      <w:lang w:val="sr-Latn-CS"/>
                    </w:rPr>
                    <w:t>p- vrijednost</w:t>
                  </w:r>
                </w:p>
              </w:tc>
              <w:tc>
                <w:tcPr>
                  <w:tcW w:w="3260" w:type="dxa"/>
                  <w:tcBorders>
                    <w:top w:val="single" w:sz="4" w:space="0" w:color="000000"/>
                    <w:left w:val="single" w:sz="3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jc w:val="both"/>
                    <w:rPr>
                      <w:bCs/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spacing w:line="229" w:lineRule="exact"/>
                    <w:ind w:left="1111" w:right="1090"/>
                    <w:jc w:val="both"/>
                    <w:rPr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Cs/>
                      <w:sz w:val="22"/>
                      <w:szCs w:val="22"/>
                      <w:lang w:val="sr-Latn-CS"/>
                    </w:rPr>
                    <w:t>0,0036</w:t>
                  </w:r>
                </w:p>
              </w:tc>
            </w:tr>
            <w:tr w:rsidR="00C76881" w:rsidRPr="006B0439" w:rsidTr="00C76881">
              <w:trPr>
                <w:trHeight w:hRule="exact" w:val="248"/>
              </w:trPr>
              <w:tc>
                <w:tcPr>
                  <w:tcW w:w="2912" w:type="dxa"/>
                  <w:tcBorders>
                    <w:top w:val="single" w:sz="4" w:space="0" w:color="000000"/>
                    <w:left w:val="single" w:sz="4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spacing w:line="229" w:lineRule="exact"/>
                    <w:ind w:left="95" w:right="-20"/>
                    <w:jc w:val="both"/>
                    <w:rPr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Cs/>
                      <w:sz w:val="22"/>
                      <w:szCs w:val="22"/>
                      <w:lang w:val="sr-Latn-CS"/>
                    </w:rPr>
                    <w:t>Trajanje odgovora</w:t>
                  </w:r>
                </w:p>
              </w:tc>
              <w:tc>
                <w:tcPr>
                  <w:tcW w:w="3260" w:type="dxa"/>
                  <w:tcBorders>
                    <w:top w:val="single" w:sz="4" w:space="0" w:color="000000"/>
                    <w:left w:val="single" w:sz="3" w:space="0" w:color="000000"/>
                    <w:bottom w:val="single" w:sz="3" w:space="0" w:color="000000"/>
                    <w:right w:val="single" w:sz="4" w:space="0" w:color="000000"/>
                  </w:tcBorders>
                </w:tcPr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jc w:val="both"/>
                    <w:rPr>
                      <w:bCs/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3" w:space="0" w:color="000000"/>
                    <w:right w:val="single" w:sz="4" w:space="0" w:color="000000"/>
                  </w:tcBorders>
                </w:tcPr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jc w:val="both"/>
                    <w:rPr>
                      <w:bCs/>
                      <w:sz w:val="22"/>
                      <w:szCs w:val="22"/>
                      <w:lang w:val="sr-Latn-CS"/>
                    </w:rPr>
                  </w:pPr>
                </w:p>
              </w:tc>
            </w:tr>
            <w:tr w:rsidR="00C76881" w:rsidRPr="006B0439" w:rsidTr="00C76881">
              <w:trPr>
                <w:trHeight w:hRule="exact" w:val="248"/>
              </w:trPr>
              <w:tc>
                <w:tcPr>
                  <w:tcW w:w="2912" w:type="dxa"/>
                  <w:tcBorders>
                    <w:top w:val="single" w:sz="3" w:space="0" w:color="000000"/>
                    <w:left w:val="single" w:sz="4" w:space="0" w:color="000000"/>
                    <w:bottom w:val="single" w:sz="4" w:space="0" w:color="000000"/>
                    <w:right w:val="single" w:sz="3" w:space="0" w:color="000000"/>
                  </w:tcBorders>
                </w:tcPr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spacing w:before="2"/>
                    <w:ind w:left="95" w:right="-20"/>
                    <w:jc w:val="both"/>
                    <w:rPr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Cs/>
                      <w:sz w:val="22"/>
                      <w:szCs w:val="22"/>
                      <w:lang w:val="sr-Latn-CS"/>
                    </w:rPr>
                    <w:t>Medijana (mjeseci)</w:t>
                  </w:r>
                </w:p>
              </w:tc>
              <w:tc>
                <w:tcPr>
                  <w:tcW w:w="3260" w:type="dxa"/>
                  <w:tcBorders>
                    <w:top w:val="single" w:sz="3" w:space="0" w:color="000000"/>
                    <w:left w:val="single" w:sz="3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spacing w:before="2"/>
                    <w:ind w:left="1336" w:right="1316"/>
                    <w:jc w:val="both"/>
                    <w:rPr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Cs/>
                      <w:sz w:val="22"/>
                      <w:szCs w:val="22"/>
                      <w:lang w:val="sr-Latn-CS"/>
                    </w:rPr>
                    <w:t>7,1</w:t>
                  </w:r>
                </w:p>
              </w:tc>
              <w:tc>
                <w:tcPr>
                  <w:tcW w:w="3402" w:type="dxa"/>
                  <w:tcBorders>
                    <w:top w:val="single" w:sz="3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spacing w:before="2"/>
                    <w:ind w:left="1214" w:right="1193"/>
                    <w:jc w:val="both"/>
                    <w:rPr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Cs/>
                      <w:sz w:val="22"/>
                      <w:szCs w:val="22"/>
                      <w:lang w:val="sr-Latn-CS"/>
                    </w:rPr>
                    <w:t>10,4</w:t>
                  </w:r>
                </w:p>
              </w:tc>
            </w:tr>
            <w:tr w:rsidR="00C76881" w:rsidRPr="006B0439" w:rsidTr="00C76881">
              <w:trPr>
                <w:trHeight w:hRule="exact" w:val="346"/>
              </w:trPr>
              <w:tc>
                <w:tcPr>
                  <w:tcW w:w="2912" w:type="dxa"/>
                  <w:tcBorders>
                    <w:top w:val="single" w:sz="4" w:space="0" w:color="000000"/>
                    <w:left w:val="single" w:sz="4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spacing w:line="229" w:lineRule="exact"/>
                    <w:ind w:left="95" w:right="-20"/>
                    <w:jc w:val="both"/>
                    <w:rPr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Cs/>
                      <w:sz w:val="22"/>
                      <w:szCs w:val="22"/>
                      <w:lang w:val="sr-Latn-CS"/>
                    </w:rPr>
                    <w:t>25-75 percentil (mjeseci)</w:t>
                  </w:r>
                </w:p>
              </w:tc>
              <w:tc>
                <w:tcPr>
                  <w:tcW w:w="3260" w:type="dxa"/>
                  <w:tcBorders>
                    <w:top w:val="single" w:sz="4" w:space="0" w:color="000000"/>
                    <w:left w:val="single" w:sz="3" w:space="0" w:color="000000"/>
                    <w:bottom w:val="single" w:sz="3" w:space="0" w:color="000000"/>
                    <w:right w:val="single" w:sz="4" w:space="0" w:color="000000"/>
                  </w:tcBorders>
                </w:tcPr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spacing w:line="229" w:lineRule="exact"/>
                    <w:ind w:left="1123" w:right="1100"/>
                    <w:jc w:val="both"/>
                    <w:rPr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Cs/>
                      <w:sz w:val="22"/>
                      <w:szCs w:val="22"/>
                      <w:lang w:val="sr-Latn-CS"/>
                    </w:rPr>
                    <w:t>4,7-11,8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3" w:space="0" w:color="000000"/>
                    <w:right w:val="single" w:sz="4" w:space="0" w:color="000000"/>
                  </w:tcBorders>
                </w:tcPr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spacing w:line="229" w:lineRule="exact"/>
                    <w:ind w:left="1048" w:right="1030"/>
                    <w:jc w:val="both"/>
                    <w:rPr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Cs/>
                      <w:sz w:val="22"/>
                      <w:szCs w:val="22"/>
                      <w:lang w:val="sr-Latn-CS"/>
                    </w:rPr>
                    <w:t>6,7-15,0</w:t>
                  </w:r>
                </w:p>
              </w:tc>
            </w:tr>
          </w:tbl>
          <w:p w:rsidR="00C76881" w:rsidRPr="006B0439" w:rsidRDefault="00C76881" w:rsidP="00C76881">
            <w:pPr>
              <w:pStyle w:val="Header"/>
              <w:tabs>
                <w:tab w:val="left" w:pos="284"/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CS"/>
              </w:rPr>
            </w:pPr>
            <w:r w:rsidRPr="006B0439">
              <w:rPr>
                <w:bCs/>
                <w:sz w:val="22"/>
                <w:szCs w:val="22"/>
                <w:vertAlign w:val="superscript"/>
                <w:lang w:val="sr-Latn-CS"/>
              </w:rPr>
              <w:t>a</w:t>
            </w:r>
            <w:r w:rsidRPr="006B0439">
              <w:rPr>
                <w:bCs/>
                <w:sz w:val="22"/>
                <w:szCs w:val="22"/>
                <w:lang w:val="sr-Latn-CS"/>
              </w:rPr>
              <w:t xml:space="preserve"> 5 mg/kg, svake 2 ned</w:t>
            </w:r>
            <w:r w:rsidR="000F489A" w:rsidRPr="006B0439">
              <w:rPr>
                <w:bCs/>
                <w:sz w:val="22"/>
                <w:szCs w:val="22"/>
                <w:lang w:val="sr-Latn-CS"/>
              </w:rPr>
              <w:t>j</w:t>
            </w:r>
            <w:r w:rsidRPr="006B0439">
              <w:rPr>
                <w:bCs/>
                <w:sz w:val="22"/>
                <w:szCs w:val="22"/>
                <w:lang w:val="sr-Latn-CS"/>
              </w:rPr>
              <w:t>elje</w:t>
            </w:r>
          </w:p>
          <w:p w:rsidR="00C76881" w:rsidRPr="006B0439" w:rsidRDefault="00C76881" w:rsidP="00C76881">
            <w:pPr>
              <w:pStyle w:val="Header"/>
              <w:tabs>
                <w:tab w:val="left" w:pos="284"/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CS"/>
              </w:rPr>
            </w:pPr>
            <w:r w:rsidRPr="006B0439">
              <w:rPr>
                <w:bCs/>
                <w:sz w:val="22"/>
                <w:szCs w:val="22"/>
                <w:vertAlign w:val="superscript"/>
                <w:lang w:val="sr-Latn-CS"/>
              </w:rPr>
              <w:t>b</w:t>
            </w:r>
            <w:r w:rsidRPr="006B0439">
              <w:rPr>
                <w:bCs/>
                <w:sz w:val="22"/>
                <w:szCs w:val="22"/>
                <w:lang w:val="sr-Latn-CS"/>
              </w:rPr>
              <w:t xml:space="preserve"> U odnosu na kontrolnu grupu</w:t>
            </w:r>
          </w:p>
          <w:p w:rsidR="00C76881" w:rsidRPr="006B0439" w:rsidRDefault="00C76881" w:rsidP="00C76881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CS"/>
              </w:rPr>
            </w:pPr>
          </w:p>
          <w:p w:rsidR="00C76881" w:rsidRPr="006B0439" w:rsidRDefault="00C76881" w:rsidP="00C76881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sz w:val="22"/>
                <w:szCs w:val="22"/>
                <w:lang w:val="sr-Latn-CS"/>
              </w:rPr>
            </w:pPr>
            <w:r w:rsidRPr="006B0439">
              <w:rPr>
                <w:b/>
                <w:bCs/>
                <w:sz w:val="22"/>
                <w:szCs w:val="22"/>
                <w:lang w:val="sr-Latn-CS"/>
              </w:rPr>
              <w:t>U kombinovanoj terapiji sa cetuksimabom</w:t>
            </w:r>
          </w:p>
          <w:p w:rsidR="00C76881" w:rsidRPr="006B0439" w:rsidRDefault="00C76881" w:rsidP="00C76881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CS"/>
              </w:rPr>
            </w:pPr>
          </w:p>
          <w:p w:rsidR="00C76881" w:rsidRPr="006B0439" w:rsidRDefault="00C76881" w:rsidP="00C76881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CS"/>
              </w:rPr>
            </w:pPr>
            <w:r w:rsidRPr="006B0439">
              <w:rPr>
                <w:bCs/>
                <w:sz w:val="22"/>
                <w:szCs w:val="22"/>
                <w:lang w:val="sr-Latn-CS"/>
              </w:rPr>
              <w:t>EMR 62 202-013: Ovo randomizirano istraživanje vršeno je kod pacijenata sa metastatskim kolorektalnim kancerom koji nisu prethodno primali terapiju za metastatske bolesti u odnosu na kombinaciju cetuksimab i irinotekan plus infuzije 5-fluorouracil/folne kiseline (5-FU/FA) (599 pacijenata) prema pojedinačnim istim hemoterapijama (599 bolesnika). Udeo pacijenata sa KRAS tumorom divljeg tipa iz ove proc</w:t>
            </w:r>
            <w:r w:rsidR="000F489A" w:rsidRPr="006B0439">
              <w:rPr>
                <w:bCs/>
                <w:sz w:val="22"/>
                <w:szCs w:val="22"/>
                <w:lang w:val="sr-Latn-CS"/>
              </w:rPr>
              <w:t>j</w:t>
            </w:r>
            <w:r w:rsidRPr="006B0439">
              <w:rPr>
                <w:bCs/>
                <w:sz w:val="22"/>
                <w:szCs w:val="22"/>
                <w:lang w:val="sr-Latn-CS"/>
              </w:rPr>
              <w:t>enjivane populacije pacijenata KRAS status čini 64%.</w:t>
            </w:r>
          </w:p>
          <w:p w:rsidR="00C76881" w:rsidRPr="006B0439" w:rsidRDefault="00C76881" w:rsidP="00C76881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CS"/>
              </w:rPr>
            </w:pPr>
          </w:p>
          <w:p w:rsidR="00C76881" w:rsidRPr="006B0439" w:rsidRDefault="00C76881" w:rsidP="00C76881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CS"/>
              </w:rPr>
            </w:pPr>
            <w:r w:rsidRPr="006B0439">
              <w:rPr>
                <w:bCs/>
                <w:sz w:val="22"/>
                <w:szCs w:val="22"/>
                <w:lang w:val="sr-Latn-CS"/>
              </w:rPr>
              <w:t>Podaci o efikasnosti sakupljeni u ovoj studiji prikazani su u tabeli u nastavku:</w:t>
            </w:r>
          </w:p>
          <w:p w:rsidR="00C76881" w:rsidRPr="006B0439" w:rsidRDefault="00C76881" w:rsidP="00C76881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C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04"/>
              <w:gridCol w:w="1311"/>
              <w:gridCol w:w="339"/>
              <w:gridCol w:w="1570"/>
              <w:gridCol w:w="1908"/>
              <w:gridCol w:w="1911"/>
            </w:tblGrid>
            <w:tr w:rsidR="00C76881" w:rsidRPr="006B0439" w:rsidTr="00C76881">
              <w:trPr>
                <w:trHeight w:val="515"/>
              </w:trPr>
              <w:tc>
                <w:tcPr>
                  <w:tcW w:w="2504" w:type="dxa"/>
                  <w:shd w:val="clear" w:color="auto" w:fill="auto"/>
                </w:tcPr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jc w:val="both"/>
                    <w:rPr>
                      <w:bCs/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3220" w:type="dxa"/>
                  <w:gridSpan w:val="3"/>
                  <w:shd w:val="clear" w:color="auto" w:fill="auto"/>
                </w:tcPr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jc w:val="both"/>
                    <w:rPr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Cs/>
                      <w:sz w:val="22"/>
                      <w:szCs w:val="22"/>
                      <w:lang w:val="sr-Latn-CS"/>
                    </w:rPr>
                    <w:t>Ukupna populacija</w:t>
                  </w:r>
                </w:p>
              </w:tc>
              <w:tc>
                <w:tcPr>
                  <w:tcW w:w="3817" w:type="dxa"/>
                  <w:gridSpan w:val="2"/>
                  <w:shd w:val="clear" w:color="auto" w:fill="auto"/>
                </w:tcPr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jc w:val="both"/>
                    <w:rPr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Cs/>
                      <w:sz w:val="22"/>
                      <w:szCs w:val="22"/>
                      <w:lang w:val="sr-Latn-CS"/>
                    </w:rPr>
                    <w:t>Populacija sa KRAS tumorom divljeg tipa</w:t>
                  </w:r>
                </w:p>
              </w:tc>
            </w:tr>
            <w:tr w:rsidR="00C76881" w:rsidRPr="006B0439" w:rsidTr="00C76881">
              <w:trPr>
                <w:trHeight w:val="778"/>
              </w:trPr>
              <w:tc>
                <w:tcPr>
                  <w:tcW w:w="2504" w:type="dxa"/>
                  <w:shd w:val="clear" w:color="auto" w:fill="auto"/>
                </w:tcPr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jc w:val="both"/>
                    <w:rPr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Cs/>
                      <w:sz w:val="22"/>
                      <w:szCs w:val="22"/>
                      <w:lang w:val="sr-Latn-CS"/>
                    </w:rPr>
                    <w:t>Promeljive/</w:t>
                  </w:r>
                </w:p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jc w:val="both"/>
                    <w:rPr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Cs/>
                      <w:sz w:val="22"/>
                      <w:szCs w:val="22"/>
                      <w:lang w:val="sr-Latn-CS"/>
                    </w:rPr>
                    <w:t>statistika</w:t>
                  </w:r>
                </w:p>
              </w:tc>
              <w:tc>
                <w:tcPr>
                  <w:tcW w:w="1650" w:type="dxa"/>
                  <w:gridSpan w:val="2"/>
                  <w:shd w:val="clear" w:color="auto" w:fill="auto"/>
                </w:tcPr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jc w:val="both"/>
                    <w:rPr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Cs/>
                      <w:sz w:val="22"/>
                      <w:szCs w:val="22"/>
                      <w:lang w:val="sr-Latn-CS"/>
                    </w:rPr>
                    <w:t>Cetuksimab + FOLFIRI (N=599)</w:t>
                  </w:r>
                </w:p>
              </w:tc>
              <w:tc>
                <w:tcPr>
                  <w:tcW w:w="1570" w:type="dxa"/>
                  <w:shd w:val="clear" w:color="auto" w:fill="auto"/>
                </w:tcPr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jc w:val="both"/>
                    <w:rPr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Cs/>
                      <w:sz w:val="22"/>
                      <w:szCs w:val="22"/>
                      <w:lang w:val="sr-Latn-CS"/>
                    </w:rPr>
                    <w:t>FOLFIRI</w:t>
                  </w:r>
                </w:p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jc w:val="both"/>
                    <w:rPr>
                      <w:bCs/>
                      <w:sz w:val="22"/>
                      <w:szCs w:val="22"/>
                      <w:lang w:val="sr-Latn-CS"/>
                    </w:rPr>
                  </w:pPr>
                </w:p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jc w:val="both"/>
                    <w:rPr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Cs/>
                      <w:sz w:val="22"/>
                      <w:szCs w:val="22"/>
                      <w:lang w:val="sr-Latn-CS"/>
                    </w:rPr>
                    <w:t>(N=599)</w:t>
                  </w:r>
                </w:p>
              </w:tc>
              <w:tc>
                <w:tcPr>
                  <w:tcW w:w="1908" w:type="dxa"/>
                  <w:shd w:val="clear" w:color="auto" w:fill="auto"/>
                </w:tcPr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jc w:val="both"/>
                    <w:rPr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Cs/>
                      <w:sz w:val="22"/>
                      <w:szCs w:val="22"/>
                      <w:lang w:val="sr-Latn-CS"/>
                    </w:rPr>
                    <w:t>Cetuksimab + FOLFIRI (N=172)</w:t>
                  </w:r>
                </w:p>
              </w:tc>
              <w:tc>
                <w:tcPr>
                  <w:tcW w:w="1908" w:type="dxa"/>
                  <w:shd w:val="clear" w:color="auto" w:fill="auto"/>
                </w:tcPr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jc w:val="both"/>
                    <w:rPr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Cs/>
                      <w:sz w:val="22"/>
                      <w:szCs w:val="22"/>
                      <w:lang w:val="sr-Latn-CS"/>
                    </w:rPr>
                    <w:t>FOLFIRI</w:t>
                  </w:r>
                </w:p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jc w:val="both"/>
                    <w:rPr>
                      <w:bCs/>
                      <w:sz w:val="22"/>
                      <w:szCs w:val="22"/>
                      <w:lang w:val="sr-Latn-CS"/>
                    </w:rPr>
                  </w:pPr>
                </w:p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jc w:val="both"/>
                    <w:rPr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Cs/>
                      <w:sz w:val="22"/>
                      <w:szCs w:val="22"/>
                      <w:lang w:val="sr-Latn-CS"/>
                    </w:rPr>
                    <w:t>(N=176)</w:t>
                  </w:r>
                </w:p>
              </w:tc>
            </w:tr>
            <w:tr w:rsidR="00C76881" w:rsidRPr="006B0439" w:rsidTr="00C76881">
              <w:trPr>
                <w:trHeight w:val="252"/>
              </w:trPr>
              <w:tc>
                <w:tcPr>
                  <w:tcW w:w="9543" w:type="dxa"/>
                  <w:gridSpan w:val="6"/>
                  <w:shd w:val="clear" w:color="auto" w:fill="auto"/>
                </w:tcPr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jc w:val="both"/>
                    <w:rPr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Cs/>
                      <w:sz w:val="22"/>
                      <w:szCs w:val="22"/>
                      <w:lang w:val="sr-Latn-CS"/>
                    </w:rPr>
                    <w:t>ORR (Objective Resonse Rate)</w:t>
                  </w:r>
                </w:p>
              </w:tc>
            </w:tr>
            <w:tr w:rsidR="00C76881" w:rsidRPr="006B0439" w:rsidTr="00C76881">
              <w:trPr>
                <w:trHeight w:val="515"/>
              </w:trPr>
              <w:tc>
                <w:tcPr>
                  <w:tcW w:w="2504" w:type="dxa"/>
                  <w:shd w:val="clear" w:color="auto" w:fill="auto"/>
                </w:tcPr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jc w:val="both"/>
                    <w:rPr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Cs/>
                      <w:sz w:val="22"/>
                      <w:szCs w:val="22"/>
                      <w:lang w:val="sr-Latn-CS"/>
                    </w:rPr>
                    <w:t>% (95%CI)</w:t>
                  </w:r>
                </w:p>
              </w:tc>
              <w:tc>
                <w:tcPr>
                  <w:tcW w:w="1311" w:type="dxa"/>
                  <w:shd w:val="clear" w:color="auto" w:fill="auto"/>
                </w:tcPr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jc w:val="both"/>
                    <w:rPr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Cs/>
                      <w:sz w:val="22"/>
                      <w:szCs w:val="22"/>
                      <w:lang w:val="sr-Latn-CS"/>
                    </w:rPr>
                    <w:t>46,9 (42,9, 51,0)</w:t>
                  </w:r>
                </w:p>
              </w:tc>
              <w:tc>
                <w:tcPr>
                  <w:tcW w:w="1908" w:type="dxa"/>
                  <w:gridSpan w:val="2"/>
                  <w:shd w:val="clear" w:color="auto" w:fill="auto"/>
                </w:tcPr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jc w:val="both"/>
                    <w:rPr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Cs/>
                      <w:sz w:val="22"/>
                      <w:szCs w:val="22"/>
                      <w:lang w:val="sr-Latn-CS"/>
                    </w:rPr>
                    <w:t>38,7 (34,8, 42,8)</w:t>
                  </w:r>
                </w:p>
              </w:tc>
              <w:tc>
                <w:tcPr>
                  <w:tcW w:w="1908" w:type="dxa"/>
                  <w:shd w:val="clear" w:color="auto" w:fill="auto"/>
                </w:tcPr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jc w:val="both"/>
                    <w:rPr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Cs/>
                      <w:sz w:val="22"/>
                      <w:szCs w:val="22"/>
                      <w:lang w:val="sr-Latn-CS"/>
                    </w:rPr>
                    <w:t>59,3 (51,6, 66,7)</w:t>
                  </w:r>
                </w:p>
              </w:tc>
              <w:tc>
                <w:tcPr>
                  <w:tcW w:w="1908" w:type="dxa"/>
                  <w:shd w:val="clear" w:color="auto" w:fill="auto"/>
                </w:tcPr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jc w:val="both"/>
                    <w:rPr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Cs/>
                      <w:sz w:val="22"/>
                      <w:szCs w:val="22"/>
                      <w:lang w:val="sr-Latn-CS"/>
                    </w:rPr>
                    <w:t>43,2 (35,8, 50,9)</w:t>
                  </w:r>
                </w:p>
              </w:tc>
            </w:tr>
            <w:tr w:rsidR="00C76881" w:rsidRPr="006B0439" w:rsidTr="00C76881">
              <w:trPr>
                <w:trHeight w:val="263"/>
              </w:trPr>
              <w:tc>
                <w:tcPr>
                  <w:tcW w:w="2504" w:type="dxa"/>
                  <w:shd w:val="clear" w:color="auto" w:fill="auto"/>
                </w:tcPr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jc w:val="both"/>
                    <w:rPr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Cs/>
                      <w:sz w:val="22"/>
                      <w:szCs w:val="22"/>
                      <w:lang w:val="sr-Latn-CS"/>
                    </w:rPr>
                    <w:t>p-vr</w:t>
                  </w:r>
                  <w:r w:rsidR="00FA6A81" w:rsidRPr="006B0439">
                    <w:rPr>
                      <w:bCs/>
                      <w:sz w:val="22"/>
                      <w:szCs w:val="22"/>
                      <w:lang w:val="sr-Latn-CS"/>
                    </w:rPr>
                    <w:t>ij</w:t>
                  </w:r>
                  <w:r w:rsidRPr="006B0439">
                    <w:rPr>
                      <w:bCs/>
                      <w:sz w:val="22"/>
                      <w:szCs w:val="22"/>
                      <w:lang w:val="sr-Latn-CS"/>
                    </w:rPr>
                    <w:t>ednost</w:t>
                  </w:r>
                </w:p>
              </w:tc>
              <w:tc>
                <w:tcPr>
                  <w:tcW w:w="3220" w:type="dxa"/>
                  <w:gridSpan w:val="3"/>
                  <w:shd w:val="clear" w:color="auto" w:fill="auto"/>
                </w:tcPr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jc w:val="both"/>
                    <w:rPr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Cs/>
                      <w:sz w:val="22"/>
                      <w:szCs w:val="22"/>
                      <w:lang w:val="sr-Latn-CS"/>
                    </w:rPr>
                    <w:t>0,0038</w:t>
                  </w:r>
                </w:p>
              </w:tc>
              <w:tc>
                <w:tcPr>
                  <w:tcW w:w="3817" w:type="dxa"/>
                  <w:gridSpan w:val="2"/>
                  <w:shd w:val="clear" w:color="auto" w:fill="auto"/>
                </w:tcPr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jc w:val="both"/>
                    <w:rPr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Cs/>
                      <w:sz w:val="22"/>
                      <w:szCs w:val="22"/>
                      <w:lang w:val="sr-Latn-CS"/>
                    </w:rPr>
                    <w:t>0,0025</w:t>
                  </w:r>
                </w:p>
              </w:tc>
            </w:tr>
            <w:tr w:rsidR="00C76881" w:rsidRPr="006B0439" w:rsidTr="00C76881">
              <w:trPr>
                <w:trHeight w:val="252"/>
              </w:trPr>
              <w:tc>
                <w:tcPr>
                  <w:tcW w:w="9543" w:type="dxa"/>
                  <w:gridSpan w:val="6"/>
                  <w:shd w:val="clear" w:color="auto" w:fill="auto"/>
                </w:tcPr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jc w:val="both"/>
                    <w:rPr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Cs/>
                      <w:sz w:val="22"/>
                      <w:szCs w:val="22"/>
                      <w:lang w:val="sr-Latn-CS"/>
                    </w:rPr>
                    <w:t>PFS (</w:t>
                  </w:r>
                  <w:r w:rsidRPr="006B0439">
                    <w:rPr>
                      <w:bCs/>
                      <w:i/>
                      <w:sz w:val="22"/>
                      <w:szCs w:val="22"/>
                      <w:lang w:val="sr-Latn-CS"/>
                    </w:rPr>
                    <w:t>Progression-free survival time</w:t>
                  </w:r>
                  <w:r w:rsidRPr="006B0439">
                    <w:rPr>
                      <w:bCs/>
                      <w:sz w:val="22"/>
                      <w:szCs w:val="22"/>
                      <w:lang w:val="sr-Latn-CS"/>
                    </w:rPr>
                    <w:t>)</w:t>
                  </w:r>
                </w:p>
              </w:tc>
            </w:tr>
            <w:tr w:rsidR="00C76881" w:rsidRPr="006B0439" w:rsidTr="00C76881">
              <w:trPr>
                <w:trHeight w:val="252"/>
              </w:trPr>
              <w:tc>
                <w:tcPr>
                  <w:tcW w:w="2504" w:type="dxa"/>
                  <w:shd w:val="clear" w:color="auto" w:fill="auto"/>
                </w:tcPr>
                <w:p w:rsidR="00C76881" w:rsidRPr="006B0439" w:rsidRDefault="00FA6A81" w:rsidP="00C76881">
                  <w:pPr>
                    <w:tabs>
                      <w:tab w:val="left" w:pos="540"/>
                      <w:tab w:val="left" w:pos="569"/>
                    </w:tabs>
                    <w:jc w:val="both"/>
                    <w:rPr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Cs/>
                      <w:sz w:val="22"/>
                      <w:szCs w:val="22"/>
                      <w:lang w:val="sr-Latn-CS"/>
                    </w:rPr>
                    <w:t>Odnos</w:t>
                  </w:r>
                  <w:r w:rsidR="00C76881" w:rsidRPr="006B0439">
                    <w:rPr>
                      <w:bCs/>
                      <w:sz w:val="22"/>
                      <w:szCs w:val="22"/>
                      <w:lang w:val="sr-Latn-CS"/>
                    </w:rPr>
                    <w:t xml:space="preserve"> rizika (95% CI) </w:t>
                  </w:r>
                </w:p>
              </w:tc>
              <w:tc>
                <w:tcPr>
                  <w:tcW w:w="3220" w:type="dxa"/>
                  <w:gridSpan w:val="3"/>
                  <w:shd w:val="clear" w:color="auto" w:fill="auto"/>
                </w:tcPr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jc w:val="both"/>
                    <w:rPr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Cs/>
                      <w:sz w:val="22"/>
                      <w:szCs w:val="22"/>
                      <w:lang w:val="sr-Latn-CS"/>
                    </w:rPr>
                    <w:t>0,85 (0,726, 0,998)</w:t>
                  </w:r>
                </w:p>
              </w:tc>
              <w:tc>
                <w:tcPr>
                  <w:tcW w:w="3817" w:type="dxa"/>
                  <w:gridSpan w:val="2"/>
                  <w:shd w:val="clear" w:color="auto" w:fill="auto"/>
                </w:tcPr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jc w:val="both"/>
                    <w:rPr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Cs/>
                      <w:sz w:val="22"/>
                      <w:szCs w:val="22"/>
                      <w:lang w:val="sr-Latn-CS"/>
                    </w:rPr>
                    <w:t>0,68 (0,501, 0,934)</w:t>
                  </w:r>
                </w:p>
              </w:tc>
            </w:tr>
            <w:tr w:rsidR="00C76881" w:rsidRPr="006B0439" w:rsidTr="00C76881">
              <w:trPr>
                <w:trHeight w:val="263"/>
              </w:trPr>
              <w:tc>
                <w:tcPr>
                  <w:tcW w:w="2504" w:type="dxa"/>
                  <w:shd w:val="clear" w:color="auto" w:fill="auto"/>
                </w:tcPr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jc w:val="both"/>
                    <w:rPr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Cs/>
                      <w:sz w:val="22"/>
                      <w:szCs w:val="22"/>
                      <w:lang w:val="sr-Latn-CS"/>
                    </w:rPr>
                    <w:t>p-vr</w:t>
                  </w:r>
                  <w:r w:rsidR="00FA6A81" w:rsidRPr="006B0439">
                    <w:rPr>
                      <w:bCs/>
                      <w:sz w:val="22"/>
                      <w:szCs w:val="22"/>
                      <w:lang w:val="sr-Latn-CS"/>
                    </w:rPr>
                    <w:t>ij</w:t>
                  </w:r>
                  <w:r w:rsidRPr="006B0439">
                    <w:rPr>
                      <w:bCs/>
                      <w:sz w:val="22"/>
                      <w:szCs w:val="22"/>
                      <w:lang w:val="sr-Latn-CS"/>
                    </w:rPr>
                    <w:t>ednost</w:t>
                  </w:r>
                </w:p>
              </w:tc>
              <w:tc>
                <w:tcPr>
                  <w:tcW w:w="3220" w:type="dxa"/>
                  <w:gridSpan w:val="3"/>
                  <w:shd w:val="clear" w:color="auto" w:fill="auto"/>
                </w:tcPr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jc w:val="both"/>
                    <w:rPr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Cs/>
                      <w:sz w:val="22"/>
                      <w:szCs w:val="22"/>
                      <w:lang w:val="sr-Latn-CS"/>
                    </w:rPr>
                    <w:t>0,0479</w:t>
                  </w:r>
                </w:p>
              </w:tc>
              <w:tc>
                <w:tcPr>
                  <w:tcW w:w="3817" w:type="dxa"/>
                  <w:gridSpan w:val="2"/>
                  <w:shd w:val="clear" w:color="auto" w:fill="auto"/>
                </w:tcPr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jc w:val="both"/>
                    <w:rPr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Cs/>
                      <w:sz w:val="22"/>
                      <w:szCs w:val="22"/>
                      <w:lang w:val="sr-Latn-CS"/>
                    </w:rPr>
                    <w:t>0,0167</w:t>
                  </w:r>
                </w:p>
              </w:tc>
            </w:tr>
          </w:tbl>
          <w:p w:rsidR="00C76881" w:rsidRPr="006B0439" w:rsidRDefault="00C76881" w:rsidP="00C76881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CS"/>
              </w:rPr>
            </w:pPr>
            <w:r w:rsidRPr="006B0439">
              <w:rPr>
                <w:bCs/>
                <w:sz w:val="22"/>
                <w:szCs w:val="22"/>
                <w:lang w:val="sr-Latn-CS"/>
              </w:rPr>
              <w:t>CI = (</w:t>
            </w:r>
            <w:r w:rsidRPr="006B0439">
              <w:rPr>
                <w:bCs/>
                <w:i/>
                <w:sz w:val="22"/>
                <w:szCs w:val="22"/>
                <w:lang w:val="sr-Latn-CS"/>
              </w:rPr>
              <w:t>Confidence Interval</w:t>
            </w:r>
            <w:r w:rsidRPr="006B0439">
              <w:rPr>
                <w:bCs/>
                <w:sz w:val="22"/>
                <w:szCs w:val="22"/>
                <w:lang w:val="sr-Latn-CS"/>
              </w:rPr>
              <w:t>) interval pouzdanosti</w:t>
            </w:r>
          </w:p>
          <w:p w:rsidR="00C76881" w:rsidRPr="006B0439" w:rsidRDefault="00C76881" w:rsidP="00C76881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CS"/>
              </w:rPr>
            </w:pPr>
            <w:r w:rsidRPr="006B0439">
              <w:rPr>
                <w:bCs/>
                <w:sz w:val="22"/>
                <w:szCs w:val="22"/>
                <w:lang w:val="sr-Latn-CS"/>
              </w:rPr>
              <w:t>FOLFIRI = irinotekan plus inuzijski 5-FU/FA</w:t>
            </w:r>
          </w:p>
          <w:p w:rsidR="00C76881" w:rsidRPr="006B0439" w:rsidRDefault="00C76881" w:rsidP="00C76881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CS"/>
              </w:rPr>
            </w:pPr>
            <w:r w:rsidRPr="006B0439">
              <w:rPr>
                <w:bCs/>
                <w:sz w:val="22"/>
                <w:szCs w:val="22"/>
                <w:lang w:val="sr-Latn-CS"/>
              </w:rPr>
              <w:t>ORR (</w:t>
            </w:r>
            <w:r w:rsidRPr="006B0439">
              <w:rPr>
                <w:bCs/>
                <w:i/>
                <w:sz w:val="22"/>
                <w:szCs w:val="22"/>
                <w:lang w:val="sr-Latn-CS"/>
              </w:rPr>
              <w:t>Objective Resonse Rate</w:t>
            </w:r>
            <w:r w:rsidRPr="006B0439">
              <w:rPr>
                <w:bCs/>
                <w:sz w:val="22"/>
                <w:szCs w:val="22"/>
                <w:lang w:val="sr-Latn-CS"/>
              </w:rPr>
              <w:t>) = stopa objektivnog odgovora (pacijenti sa potpunim ili delimičnim terapijskim odgovorom)</w:t>
            </w:r>
          </w:p>
          <w:p w:rsidR="00C76881" w:rsidRPr="006B0439" w:rsidRDefault="00C76881" w:rsidP="00C76881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CS"/>
              </w:rPr>
            </w:pPr>
            <w:r w:rsidRPr="006B0439">
              <w:rPr>
                <w:bCs/>
                <w:sz w:val="22"/>
                <w:szCs w:val="22"/>
                <w:lang w:val="sr-Latn-CS"/>
              </w:rPr>
              <w:t>PFS (</w:t>
            </w:r>
            <w:r w:rsidRPr="006B0439">
              <w:rPr>
                <w:bCs/>
                <w:i/>
                <w:sz w:val="22"/>
                <w:szCs w:val="22"/>
                <w:lang w:val="sr-Latn-CS"/>
              </w:rPr>
              <w:t>Progression-free survival time</w:t>
            </w:r>
            <w:r w:rsidRPr="006B0439">
              <w:rPr>
                <w:bCs/>
                <w:sz w:val="22"/>
                <w:szCs w:val="22"/>
                <w:lang w:val="sr-Latn-CS"/>
              </w:rPr>
              <w:t>) = Period preživljavanja ber pogoršanja</w:t>
            </w:r>
          </w:p>
          <w:p w:rsidR="00C76881" w:rsidRPr="006B0439" w:rsidRDefault="00C76881" w:rsidP="00C76881">
            <w:pPr>
              <w:pStyle w:val="Header"/>
              <w:tabs>
                <w:tab w:val="left" w:pos="284"/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CS"/>
              </w:rPr>
            </w:pPr>
          </w:p>
          <w:p w:rsidR="00C76881" w:rsidRPr="006B0439" w:rsidRDefault="00C76881" w:rsidP="00C76881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sz w:val="22"/>
                <w:szCs w:val="22"/>
                <w:lang w:val="sr-Latn-CS"/>
              </w:rPr>
            </w:pPr>
            <w:r w:rsidRPr="006B0439">
              <w:rPr>
                <w:b/>
                <w:bCs/>
                <w:sz w:val="22"/>
                <w:szCs w:val="22"/>
                <w:lang w:val="sr-Latn-CS"/>
              </w:rPr>
              <w:t>U kombinovanoj terapiji sa kapecitabinom</w:t>
            </w:r>
          </w:p>
          <w:p w:rsidR="00C76881" w:rsidRPr="006B0439" w:rsidRDefault="00C76881" w:rsidP="00C76881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CS"/>
              </w:rPr>
            </w:pPr>
          </w:p>
          <w:p w:rsidR="00C76881" w:rsidRPr="006B0439" w:rsidRDefault="00C76881" w:rsidP="00C76881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CS"/>
              </w:rPr>
            </w:pPr>
            <w:r w:rsidRPr="006B0439">
              <w:rPr>
                <w:bCs/>
                <w:sz w:val="22"/>
                <w:szCs w:val="22"/>
                <w:lang w:val="sr-Latn-CS"/>
              </w:rPr>
              <w:t>Podaci iz randomizirane, kontrolisans studije faze III (CAIRO) podržavaju upotrebu kapecitabina u početnoj dozi od 1000 mg/m</w:t>
            </w:r>
            <w:r w:rsidRPr="006B0439">
              <w:rPr>
                <w:bCs/>
                <w:sz w:val="22"/>
                <w:szCs w:val="22"/>
                <w:vertAlign w:val="superscript"/>
                <w:lang w:val="sr-Latn-CS"/>
              </w:rPr>
              <w:t>2</w:t>
            </w:r>
            <w:r w:rsidRPr="006B0439">
              <w:rPr>
                <w:bCs/>
                <w:sz w:val="22"/>
                <w:szCs w:val="22"/>
                <w:lang w:val="sr-Latn-CS"/>
              </w:rPr>
              <w:t xml:space="preserve"> tokom 2 ned</w:t>
            </w:r>
            <w:r w:rsidR="000F489A" w:rsidRPr="006B0439">
              <w:rPr>
                <w:bCs/>
                <w:sz w:val="22"/>
                <w:szCs w:val="22"/>
                <w:lang w:val="sr-Latn-CS"/>
              </w:rPr>
              <w:t>j</w:t>
            </w:r>
            <w:r w:rsidRPr="006B0439">
              <w:rPr>
                <w:bCs/>
                <w:sz w:val="22"/>
                <w:szCs w:val="22"/>
                <w:lang w:val="sr-Latn-CS"/>
              </w:rPr>
              <w:t>elje svake 3 ned</w:t>
            </w:r>
            <w:r w:rsidR="000F489A" w:rsidRPr="006B0439">
              <w:rPr>
                <w:bCs/>
                <w:sz w:val="22"/>
                <w:szCs w:val="22"/>
                <w:lang w:val="sr-Latn-CS"/>
              </w:rPr>
              <w:t>j</w:t>
            </w:r>
            <w:r w:rsidRPr="006B0439">
              <w:rPr>
                <w:bCs/>
                <w:sz w:val="22"/>
                <w:szCs w:val="22"/>
                <w:lang w:val="sr-Latn-CS"/>
              </w:rPr>
              <w:t xml:space="preserve">elje u kombinaciji sa irinotekanom kao prva linija terapije pacijenata sa metastatskim kolorektalnim kancerom. 820 pacijenata su nasumično određeno da primaju ili </w:t>
            </w:r>
            <w:r w:rsidRPr="006B0439">
              <w:rPr>
                <w:bCs/>
                <w:sz w:val="22"/>
                <w:szCs w:val="22"/>
                <w:lang w:val="sr-Latn-CS"/>
              </w:rPr>
              <w:lastRenderedPageBreak/>
              <w:t>sekvencijalni tretman (n = 410) ili kombinovanu terapiju (n = 410). Sekvencijalna terapija se sastoji od terapije prvog izbora kapecitabina (1250 mg/m</w:t>
            </w:r>
            <w:r w:rsidRPr="006B0439">
              <w:rPr>
                <w:bCs/>
                <w:sz w:val="22"/>
                <w:szCs w:val="22"/>
                <w:vertAlign w:val="superscript"/>
                <w:lang w:val="sr-Latn-CS"/>
              </w:rPr>
              <w:t>2</w:t>
            </w:r>
            <w:r w:rsidRPr="006B0439">
              <w:rPr>
                <w:bCs/>
                <w:sz w:val="22"/>
                <w:szCs w:val="22"/>
                <w:lang w:val="sr-Latn-CS"/>
              </w:rPr>
              <w:t xml:space="preserve"> dva puta dnevno tokom 14 dana), terapije drugog izbora irinotekan (350 mg/m</w:t>
            </w:r>
            <w:r w:rsidRPr="006B0439">
              <w:rPr>
                <w:bCs/>
                <w:sz w:val="22"/>
                <w:szCs w:val="22"/>
                <w:vertAlign w:val="superscript"/>
                <w:lang w:val="sr-Latn-CS"/>
              </w:rPr>
              <w:t>2</w:t>
            </w:r>
            <w:r w:rsidRPr="006B0439">
              <w:rPr>
                <w:bCs/>
                <w:sz w:val="22"/>
                <w:szCs w:val="22"/>
                <w:lang w:val="sr-Latn-CS"/>
              </w:rPr>
              <w:t xml:space="preserve"> na dan 1.), i terapije trećeg izbora kombinacije kapecitabina (1000 mg/m</w:t>
            </w:r>
            <w:r w:rsidRPr="006B0439">
              <w:rPr>
                <w:bCs/>
                <w:sz w:val="22"/>
                <w:szCs w:val="22"/>
                <w:vertAlign w:val="superscript"/>
                <w:lang w:val="sr-Latn-CS"/>
              </w:rPr>
              <w:t>2</w:t>
            </w:r>
            <w:r w:rsidRPr="006B0439">
              <w:rPr>
                <w:bCs/>
                <w:sz w:val="22"/>
                <w:szCs w:val="22"/>
                <w:lang w:val="sr-Latn-CS"/>
              </w:rPr>
              <w:t xml:space="preserve"> dva puta dnevno 14 dana) sa oksaliplatinom (130 mg/m</w:t>
            </w:r>
            <w:r w:rsidRPr="006B0439">
              <w:rPr>
                <w:bCs/>
                <w:sz w:val="22"/>
                <w:szCs w:val="22"/>
                <w:vertAlign w:val="superscript"/>
                <w:lang w:val="sr-Latn-CS"/>
              </w:rPr>
              <w:t>2</w:t>
            </w:r>
            <w:r w:rsidRPr="006B0439">
              <w:rPr>
                <w:bCs/>
                <w:sz w:val="22"/>
                <w:szCs w:val="22"/>
                <w:lang w:val="sr-Latn-CS"/>
              </w:rPr>
              <w:t xml:space="preserve"> na dan 1.). Kombinovana terapija sastoji se od terapije prvog izbora kombinacije kapecitabina (1000 mg/m</w:t>
            </w:r>
            <w:r w:rsidRPr="006B0439">
              <w:rPr>
                <w:bCs/>
                <w:sz w:val="22"/>
                <w:szCs w:val="22"/>
                <w:vertAlign w:val="superscript"/>
                <w:lang w:val="sr-Latn-CS"/>
              </w:rPr>
              <w:t>2</w:t>
            </w:r>
            <w:r w:rsidRPr="006B0439">
              <w:rPr>
                <w:bCs/>
                <w:sz w:val="22"/>
                <w:szCs w:val="22"/>
                <w:lang w:val="sr-Latn-CS"/>
              </w:rPr>
              <w:t xml:space="preserve"> dva puta dnevno tokom 14 dana) sa irinotekanom (250 mg/m</w:t>
            </w:r>
            <w:r w:rsidRPr="006B0439">
              <w:rPr>
                <w:bCs/>
                <w:sz w:val="22"/>
                <w:szCs w:val="22"/>
                <w:vertAlign w:val="superscript"/>
                <w:lang w:val="sr-Latn-CS"/>
              </w:rPr>
              <w:t xml:space="preserve">2 </w:t>
            </w:r>
            <w:r w:rsidRPr="006B0439">
              <w:rPr>
                <w:bCs/>
                <w:sz w:val="22"/>
                <w:szCs w:val="22"/>
                <w:lang w:val="sr-Latn-CS"/>
              </w:rPr>
              <w:t>na dan 1.) (XELIRI) i terapija drugog izbora kapecitabin (1000 mg/m</w:t>
            </w:r>
            <w:r w:rsidRPr="006B0439">
              <w:rPr>
                <w:bCs/>
                <w:sz w:val="22"/>
                <w:szCs w:val="22"/>
                <w:vertAlign w:val="superscript"/>
                <w:lang w:val="sr-Latn-CS"/>
              </w:rPr>
              <w:t>2</w:t>
            </w:r>
            <w:r w:rsidRPr="006B0439">
              <w:rPr>
                <w:bCs/>
                <w:sz w:val="22"/>
                <w:szCs w:val="22"/>
                <w:lang w:val="sr-Latn-CS"/>
              </w:rPr>
              <w:t xml:space="preserve"> dva puta dnevno tokom 14 dana) plus oksaliplatin (130 mg/m</w:t>
            </w:r>
            <w:r w:rsidRPr="006B0439">
              <w:rPr>
                <w:bCs/>
                <w:sz w:val="22"/>
                <w:szCs w:val="22"/>
                <w:vertAlign w:val="superscript"/>
                <w:lang w:val="sr-Latn-CS"/>
              </w:rPr>
              <w:t>2</w:t>
            </w:r>
            <w:r w:rsidRPr="006B0439">
              <w:rPr>
                <w:bCs/>
                <w:sz w:val="22"/>
                <w:szCs w:val="22"/>
                <w:lang w:val="sr-Latn-CS"/>
              </w:rPr>
              <w:t xml:space="preserve"> na dan 1.). Svi ciklusi terapije su davani u intervalima od 3 ned</w:t>
            </w:r>
            <w:r w:rsidR="000F489A" w:rsidRPr="006B0439">
              <w:rPr>
                <w:bCs/>
                <w:sz w:val="22"/>
                <w:szCs w:val="22"/>
                <w:lang w:val="sr-Latn-CS"/>
              </w:rPr>
              <w:t>j</w:t>
            </w:r>
            <w:r w:rsidRPr="006B0439">
              <w:rPr>
                <w:bCs/>
                <w:sz w:val="22"/>
                <w:szCs w:val="22"/>
                <w:lang w:val="sr-Latn-CS"/>
              </w:rPr>
              <w:t>elje. Kod terapije prvog izbora medijana preživljavanja be</w:t>
            </w:r>
            <w:r w:rsidR="000F489A" w:rsidRPr="006B0439">
              <w:rPr>
                <w:bCs/>
                <w:sz w:val="22"/>
                <w:szCs w:val="22"/>
                <w:lang w:val="sr-Latn-CS"/>
              </w:rPr>
              <w:t xml:space="preserve">z </w:t>
            </w:r>
            <w:r w:rsidRPr="006B0439">
              <w:rPr>
                <w:bCs/>
                <w:sz w:val="22"/>
                <w:szCs w:val="22"/>
                <w:lang w:val="sr-Latn-CS"/>
              </w:rPr>
              <w:t>pogoršanja u populaciji sa nam</w:t>
            </w:r>
            <w:r w:rsidR="000F489A" w:rsidRPr="006B0439">
              <w:rPr>
                <w:bCs/>
                <w:sz w:val="22"/>
                <w:szCs w:val="22"/>
                <w:lang w:val="sr-Latn-CS"/>
              </w:rPr>
              <w:t>j</w:t>
            </w:r>
            <w:r w:rsidRPr="006B0439">
              <w:rPr>
                <w:bCs/>
                <w:sz w:val="22"/>
                <w:szCs w:val="22"/>
                <w:lang w:val="sr-Latn-CS"/>
              </w:rPr>
              <w:t>erom da se liječi je 5,8 mjeseci (95% CI, 5.1-6.2 mjeseci) za kapecitabin monoterapiju i 7,8 mjeseci (95% CI, 7.0-8.3 mjeseci) za kombinovanu XELIRI terapiju (p = 0,0002).</w:t>
            </w:r>
          </w:p>
          <w:p w:rsidR="00C76881" w:rsidRPr="006B0439" w:rsidRDefault="00C76881" w:rsidP="00C76881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CS"/>
              </w:rPr>
            </w:pPr>
            <w:r w:rsidRPr="006B0439">
              <w:rPr>
                <w:bCs/>
                <w:sz w:val="22"/>
                <w:szCs w:val="22"/>
                <w:lang w:val="sr-Latn-CS"/>
              </w:rPr>
              <w:t>Podaci iz privremene analize multicentrične, randomizirane, kontrolisane studije faze II (AIO KRK 0604) podržavaju upotrebu kapecitabina u početnoj dozi od 800 mg/m</w:t>
            </w:r>
            <w:r w:rsidRPr="006B0439">
              <w:rPr>
                <w:bCs/>
                <w:sz w:val="22"/>
                <w:szCs w:val="22"/>
                <w:vertAlign w:val="superscript"/>
                <w:lang w:val="sr-Latn-CS"/>
              </w:rPr>
              <w:t xml:space="preserve">2 </w:t>
            </w:r>
            <w:r w:rsidRPr="006B0439">
              <w:rPr>
                <w:bCs/>
                <w:sz w:val="22"/>
                <w:szCs w:val="22"/>
                <w:lang w:val="sr-Latn-CS"/>
              </w:rPr>
              <w:t>tokom 2 ned</w:t>
            </w:r>
            <w:r w:rsidR="00CD1BC8" w:rsidRPr="006B0439">
              <w:rPr>
                <w:bCs/>
                <w:sz w:val="22"/>
                <w:szCs w:val="22"/>
                <w:lang w:val="sr-Latn-CS"/>
              </w:rPr>
              <w:t>j</w:t>
            </w:r>
            <w:r w:rsidRPr="006B0439">
              <w:rPr>
                <w:bCs/>
                <w:sz w:val="22"/>
                <w:szCs w:val="22"/>
                <w:lang w:val="sr-Latn-CS"/>
              </w:rPr>
              <w:t>lje svake 3 ned</w:t>
            </w:r>
            <w:r w:rsidR="00CD1BC8" w:rsidRPr="006B0439">
              <w:rPr>
                <w:bCs/>
                <w:sz w:val="22"/>
                <w:szCs w:val="22"/>
                <w:lang w:val="sr-Latn-CS"/>
              </w:rPr>
              <w:t>j</w:t>
            </w:r>
            <w:r w:rsidRPr="006B0439">
              <w:rPr>
                <w:bCs/>
                <w:sz w:val="22"/>
                <w:szCs w:val="22"/>
                <w:lang w:val="sr-Latn-CS"/>
              </w:rPr>
              <w:t>elje u kombinaciji sa irinotekanom i bevacizumabom kao terapiju prvog izbora pacijenata sa metastatskim kolorektalnim kancerom. 115 pacijenata nasumično je raspoređeno za liječenje kapecitabinom u kombinaciji sa irinotekanom (XELIRI) i bevacizumabom: kapecitabin (800 mg/m</w:t>
            </w:r>
            <w:r w:rsidRPr="006B0439">
              <w:rPr>
                <w:bCs/>
                <w:sz w:val="22"/>
                <w:szCs w:val="22"/>
                <w:vertAlign w:val="superscript"/>
                <w:lang w:val="sr-Latn-CS"/>
              </w:rPr>
              <w:t xml:space="preserve">2 </w:t>
            </w:r>
            <w:r w:rsidRPr="006B0439">
              <w:rPr>
                <w:bCs/>
                <w:sz w:val="22"/>
                <w:szCs w:val="22"/>
                <w:lang w:val="sr-Latn-CS"/>
              </w:rPr>
              <w:t>dva puta dnevno tokom dve ned</w:t>
            </w:r>
            <w:r w:rsidR="00CD1BC8" w:rsidRPr="006B0439">
              <w:rPr>
                <w:bCs/>
                <w:sz w:val="22"/>
                <w:szCs w:val="22"/>
                <w:lang w:val="sr-Latn-CS"/>
              </w:rPr>
              <w:t>j</w:t>
            </w:r>
            <w:r w:rsidRPr="006B0439">
              <w:rPr>
                <w:bCs/>
                <w:sz w:val="22"/>
                <w:szCs w:val="22"/>
                <w:lang w:val="sr-Latn-CS"/>
              </w:rPr>
              <w:t>elje, nakon čega slijedi period od 7 dana odmora), irinotekan (200 mg/m</w:t>
            </w:r>
            <w:r w:rsidRPr="006B0439">
              <w:rPr>
                <w:bCs/>
                <w:sz w:val="22"/>
                <w:szCs w:val="22"/>
                <w:vertAlign w:val="superscript"/>
                <w:lang w:val="sr-Latn-CS"/>
              </w:rPr>
              <w:t xml:space="preserve">2 </w:t>
            </w:r>
            <w:r w:rsidRPr="006B0439">
              <w:rPr>
                <w:bCs/>
                <w:sz w:val="22"/>
                <w:szCs w:val="22"/>
                <w:lang w:val="sr-Latn-CS"/>
              </w:rPr>
              <w:t>kao 30 minuta infuzija 1. dan svake 3 nedelje) i bevacizumab (7,5 mg/kg kao 30 do 90 minutna infuzija.na dan 1. svake 3 ned</w:t>
            </w:r>
            <w:r w:rsidR="0071182F" w:rsidRPr="006B0439">
              <w:rPr>
                <w:bCs/>
                <w:sz w:val="22"/>
                <w:szCs w:val="22"/>
                <w:lang w:val="sr-Latn-CS"/>
              </w:rPr>
              <w:t>j</w:t>
            </w:r>
            <w:r w:rsidRPr="006B0439">
              <w:rPr>
                <w:bCs/>
                <w:sz w:val="22"/>
                <w:szCs w:val="22"/>
                <w:lang w:val="sr-Latn-CS"/>
              </w:rPr>
              <w:t>elje); ukupno 118 bolesnika su nasumično liječenje kapecitabinom u kombinaciji sa oksaliplatinom plus bevacizumab: kapecitabinom (1000 mg/m</w:t>
            </w:r>
            <w:r w:rsidRPr="006B0439">
              <w:rPr>
                <w:bCs/>
                <w:sz w:val="22"/>
                <w:szCs w:val="22"/>
                <w:vertAlign w:val="superscript"/>
                <w:lang w:val="sr-Latn-CS"/>
              </w:rPr>
              <w:t xml:space="preserve">2 </w:t>
            </w:r>
            <w:r w:rsidRPr="006B0439">
              <w:rPr>
                <w:bCs/>
                <w:sz w:val="22"/>
                <w:szCs w:val="22"/>
                <w:lang w:val="sr-Latn-CS"/>
              </w:rPr>
              <w:t>dva puta dnevno tokom dve ned</w:t>
            </w:r>
            <w:r w:rsidR="0071182F" w:rsidRPr="006B0439">
              <w:rPr>
                <w:bCs/>
                <w:sz w:val="22"/>
                <w:szCs w:val="22"/>
                <w:lang w:val="sr-Latn-CS"/>
              </w:rPr>
              <w:t>j</w:t>
            </w:r>
            <w:r w:rsidRPr="006B0439">
              <w:rPr>
                <w:bCs/>
                <w:sz w:val="22"/>
                <w:szCs w:val="22"/>
                <w:lang w:val="sr-Latn-CS"/>
              </w:rPr>
              <w:t>elje, nakon čega slijedi period od 7 dana odmora), oksaliplatin (130 mg/m</w:t>
            </w:r>
            <w:r w:rsidRPr="006B0439">
              <w:rPr>
                <w:bCs/>
                <w:sz w:val="22"/>
                <w:szCs w:val="22"/>
                <w:vertAlign w:val="superscript"/>
                <w:lang w:val="sr-Latn-CS"/>
              </w:rPr>
              <w:t xml:space="preserve">2 </w:t>
            </w:r>
            <w:r w:rsidRPr="006B0439">
              <w:rPr>
                <w:bCs/>
                <w:sz w:val="22"/>
                <w:szCs w:val="22"/>
                <w:lang w:val="sr-Latn-CS"/>
              </w:rPr>
              <w:t>kao 2 satna infuzija 1. dan svake 3 ned</w:t>
            </w:r>
            <w:r w:rsidR="00CD1BC8" w:rsidRPr="006B0439">
              <w:rPr>
                <w:bCs/>
                <w:sz w:val="22"/>
                <w:szCs w:val="22"/>
                <w:lang w:val="sr-Latn-CS"/>
              </w:rPr>
              <w:t>j</w:t>
            </w:r>
            <w:r w:rsidRPr="006B0439">
              <w:rPr>
                <w:bCs/>
                <w:sz w:val="22"/>
                <w:szCs w:val="22"/>
                <w:lang w:val="sr-Latn-CS"/>
              </w:rPr>
              <w:t>elje) i bevacizumab (7,5 mg/kg, kao 30 do 90 minuta infuzija na dan 1, svake 3 ned</w:t>
            </w:r>
            <w:r w:rsidR="00CD1BC8" w:rsidRPr="006B0439">
              <w:rPr>
                <w:bCs/>
                <w:sz w:val="22"/>
                <w:szCs w:val="22"/>
                <w:lang w:val="sr-Latn-CS"/>
              </w:rPr>
              <w:t>j</w:t>
            </w:r>
            <w:r w:rsidRPr="006B0439">
              <w:rPr>
                <w:bCs/>
                <w:sz w:val="22"/>
                <w:szCs w:val="22"/>
                <w:lang w:val="sr-Latn-CS"/>
              </w:rPr>
              <w:t>elje). Preživljavanje bez pogoršanja nakon 6 mjeseci u populaciji sa namjerom da se liječi je 80% (XELIRI plus bevacizumab) u odnosu na 74% (XELOX plus bevacizumab). Ukupna stopa odgovora (potpuni odgovor plus d</w:t>
            </w:r>
            <w:r w:rsidR="00CD1BC8" w:rsidRPr="006B0439">
              <w:rPr>
                <w:bCs/>
                <w:sz w:val="22"/>
                <w:szCs w:val="22"/>
                <w:lang w:val="sr-Latn-CS"/>
              </w:rPr>
              <w:t>j</w:t>
            </w:r>
            <w:r w:rsidRPr="006B0439">
              <w:rPr>
                <w:bCs/>
                <w:sz w:val="22"/>
                <w:szCs w:val="22"/>
                <w:lang w:val="sr-Latn-CS"/>
              </w:rPr>
              <w:t>elimični odgovor) bila je 45% (XELOX plus bevacizumab) u odnosu na 47% (XELIRI plus bevacizumab).</w:t>
            </w:r>
          </w:p>
          <w:p w:rsidR="00E91420" w:rsidRPr="006B0439" w:rsidRDefault="00E91420" w:rsidP="00C76881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CS"/>
              </w:rPr>
            </w:pPr>
          </w:p>
          <w:p w:rsidR="00C76881" w:rsidRPr="006B0439" w:rsidRDefault="00C76881" w:rsidP="00C76881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sz w:val="22"/>
                <w:szCs w:val="22"/>
                <w:lang w:val="sr-Latn-CS"/>
              </w:rPr>
            </w:pPr>
            <w:r w:rsidRPr="006B0439">
              <w:rPr>
                <w:b/>
                <w:bCs/>
                <w:sz w:val="22"/>
                <w:szCs w:val="22"/>
                <w:lang w:val="sr-Latn-CS"/>
              </w:rPr>
              <w:t>U monoterapiji kao terapija druge linije kod metastastkog kolorektalnog karcinoma</w:t>
            </w:r>
          </w:p>
          <w:p w:rsidR="00C76881" w:rsidRPr="006B0439" w:rsidRDefault="00C76881" w:rsidP="00C76881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CS"/>
              </w:rPr>
            </w:pPr>
          </w:p>
          <w:p w:rsidR="00C76881" w:rsidRPr="006B0439" w:rsidRDefault="00C76881" w:rsidP="00C76881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CS"/>
              </w:rPr>
            </w:pPr>
            <w:r w:rsidRPr="006B0439">
              <w:rPr>
                <w:bCs/>
                <w:sz w:val="22"/>
                <w:szCs w:val="22"/>
                <w:lang w:val="sr-Latn-CS"/>
              </w:rPr>
              <w:t>Kliničke studije II/III faze sprovedene su na više od 980 pacijenata koji su lijek primali svake tri ned</w:t>
            </w:r>
            <w:r w:rsidR="00CD1BC8" w:rsidRPr="006B0439">
              <w:rPr>
                <w:bCs/>
                <w:sz w:val="22"/>
                <w:szCs w:val="22"/>
                <w:lang w:val="sr-Latn-CS"/>
              </w:rPr>
              <w:t>j</w:t>
            </w:r>
            <w:r w:rsidRPr="006B0439">
              <w:rPr>
                <w:bCs/>
                <w:sz w:val="22"/>
                <w:szCs w:val="22"/>
                <w:lang w:val="sr-Latn-CS"/>
              </w:rPr>
              <w:t>elje («troned</w:t>
            </w:r>
            <w:r w:rsidR="00CD1BC8" w:rsidRPr="006B0439">
              <w:rPr>
                <w:bCs/>
                <w:sz w:val="22"/>
                <w:szCs w:val="22"/>
                <w:lang w:val="sr-Latn-CS"/>
              </w:rPr>
              <w:t>j</w:t>
            </w:r>
            <w:r w:rsidRPr="006B0439">
              <w:rPr>
                <w:bCs/>
                <w:sz w:val="22"/>
                <w:szCs w:val="22"/>
                <w:lang w:val="sr-Latn-CS"/>
              </w:rPr>
              <w:t>eljni režim»). U pitanju su oboljeli od metastatskog kolorektalnog karcinoma koji je prethodno neuspješno liječen terapijskim protokolom sa 5-FU. Efikasnost irinotekana ispitana je na 765 pacijenata sa dokumentovanim pogoršanjem bolesti uz terapiju sa 5-FU pri uključivanju u studiju.</w:t>
            </w:r>
          </w:p>
          <w:p w:rsidR="00C76881" w:rsidRPr="006B0439" w:rsidRDefault="00C76881" w:rsidP="00C76881">
            <w:pPr>
              <w:pStyle w:val="Header"/>
              <w:tabs>
                <w:tab w:val="left" w:pos="284"/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CS"/>
              </w:rPr>
            </w:pPr>
          </w:p>
          <w:tbl>
            <w:tblPr>
              <w:tblW w:w="0" w:type="auto"/>
              <w:tblInd w:w="19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69"/>
              <w:gridCol w:w="1250"/>
              <w:gridCol w:w="1254"/>
              <w:gridCol w:w="1254"/>
              <w:gridCol w:w="1251"/>
              <w:gridCol w:w="1251"/>
              <w:gridCol w:w="1254"/>
            </w:tblGrid>
            <w:tr w:rsidR="00C76881" w:rsidRPr="006B0439" w:rsidTr="00C76881">
              <w:trPr>
                <w:trHeight w:hRule="exact" w:val="451"/>
              </w:trPr>
              <w:tc>
                <w:tcPr>
                  <w:tcW w:w="9083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6881" w:rsidRPr="006B0439" w:rsidRDefault="00E91420" w:rsidP="00E91420">
                  <w:pPr>
                    <w:pStyle w:val="Header"/>
                    <w:tabs>
                      <w:tab w:val="left" w:pos="284"/>
                      <w:tab w:val="left" w:pos="540"/>
                      <w:tab w:val="left" w:pos="569"/>
                    </w:tabs>
                    <w:jc w:val="center"/>
                    <w:rPr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Cs/>
                      <w:sz w:val="22"/>
                      <w:szCs w:val="22"/>
                      <w:lang w:val="sr-Latn-CS"/>
                    </w:rPr>
                    <w:t>F</w:t>
                  </w:r>
                  <w:r w:rsidR="00C76881" w:rsidRPr="006B0439">
                    <w:rPr>
                      <w:bCs/>
                      <w:sz w:val="22"/>
                      <w:szCs w:val="22"/>
                      <w:lang w:val="sr-Latn-CS"/>
                    </w:rPr>
                    <w:t>aza</w:t>
                  </w:r>
                  <w:r w:rsidRPr="006B0439">
                    <w:rPr>
                      <w:bCs/>
                      <w:sz w:val="22"/>
                      <w:szCs w:val="22"/>
                      <w:lang w:val="sr-Latn-CS"/>
                    </w:rPr>
                    <w:t xml:space="preserve"> III</w:t>
                  </w:r>
                </w:p>
              </w:tc>
            </w:tr>
            <w:tr w:rsidR="00C76881" w:rsidRPr="006B0439" w:rsidTr="00C76881">
              <w:trPr>
                <w:trHeight w:hRule="exact" w:val="319"/>
              </w:trPr>
              <w:tc>
                <w:tcPr>
                  <w:tcW w:w="1569" w:type="dxa"/>
                  <w:vMerge w:val="restart"/>
                  <w:tcBorders>
                    <w:top w:val="single" w:sz="4" w:space="0" w:color="auto"/>
                    <w:left w:val="single" w:sz="4" w:space="0" w:color="000000"/>
                    <w:right w:val="single" w:sz="3" w:space="0" w:color="000000"/>
                  </w:tcBorders>
                </w:tcPr>
                <w:p w:rsidR="00C76881" w:rsidRPr="006B0439" w:rsidRDefault="00C76881" w:rsidP="00E91420">
                  <w:pPr>
                    <w:pStyle w:val="Header"/>
                    <w:tabs>
                      <w:tab w:val="left" w:pos="284"/>
                      <w:tab w:val="left" w:pos="540"/>
                      <w:tab w:val="left" w:pos="569"/>
                    </w:tabs>
                    <w:jc w:val="center"/>
                    <w:rPr>
                      <w:bCs/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3758" w:type="dxa"/>
                  <w:gridSpan w:val="3"/>
                  <w:tcBorders>
                    <w:top w:val="single" w:sz="4" w:space="0" w:color="auto"/>
                    <w:left w:val="single" w:sz="3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6881" w:rsidRPr="006B0439" w:rsidRDefault="00C76881" w:rsidP="00E91420">
                  <w:pPr>
                    <w:pStyle w:val="Header"/>
                    <w:tabs>
                      <w:tab w:val="left" w:pos="284"/>
                      <w:tab w:val="left" w:pos="540"/>
                      <w:tab w:val="left" w:pos="569"/>
                    </w:tabs>
                    <w:jc w:val="center"/>
                    <w:rPr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Cs/>
                      <w:sz w:val="22"/>
                      <w:szCs w:val="22"/>
                      <w:lang w:val="sr-Latn-CS"/>
                    </w:rPr>
                    <w:t>irinotekan nasuprot suportivne terapije</w:t>
                  </w:r>
                </w:p>
              </w:tc>
              <w:tc>
                <w:tcPr>
                  <w:tcW w:w="3756" w:type="dxa"/>
                  <w:gridSpan w:val="3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6881" w:rsidRPr="006B0439" w:rsidRDefault="00C76881" w:rsidP="00E91420">
                  <w:pPr>
                    <w:pStyle w:val="Header"/>
                    <w:tabs>
                      <w:tab w:val="left" w:pos="284"/>
                      <w:tab w:val="left" w:pos="540"/>
                      <w:tab w:val="left" w:pos="569"/>
                    </w:tabs>
                    <w:jc w:val="center"/>
                    <w:rPr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Cs/>
                      <w:sz w:val="22"/>
                      <w:szCs w:val="22"/>
                      <w:lang w:val="sr-Latn-CS"/>
                    </w:rPr>
                    <w:t>irinotekan nasuprot 5FU</w:t>
                  </w:r>
                </w:p>
              </w:tc>
            </w:tr>
            <w:tr w:rsidR="00C76881" w:rsidRPr="006B0439" w:rsidTr="00C76881">
              <w:trPr>
                <w:trHeight w:hRule="exact" w:val="662"/>
              </w:trPr>
              <w:tc>
                <w:tcPr>
                  <w:tcW w:w="1569" w:type="dxa"/>
                  <w:vMerge/>
                  <w:tcBorders>
                    <w:left w:val="single" w:sz="4" w:space="0" w:color="000000"/>
                    <w:right w:val="single" w:sz="3" w:space="0" w:color="000000"/>
                  </w:tcBorders>
                </w:tcPr>
                <w:p w:rsidR="00C76881" w:rsidRPr="006B0439" w:rsidRDefault="00C76881" w:rsidP="00E91420">
                  <w:pPr>
                    <w:pStyle w:val="Header"/>
                    <w:tabs>
                      <w:tab w:val="left" w:pos="284"/>
                      <w:tab w:val="left" w:pos="540"/>
                      <w:tab w:val="left" w:pos="569"/>
                    </w:tabs>
                    <w:jc w:val="center"/>
                    <w:rPr>
                      <w:bCs/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1250" w:type="dxa"/>
                  <w:tcBorders>
                    <w:top w:val="single" w:sz="4" w:space="0" w:color="000000"/>
                    <w:left w:val="single" w:sz="3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6881" w:rsidRPr="006B0439" w:rsidRDefault="00C76881" w:rsidP="00E91420">
                  <w:pPr>
                    <w:pStyle w:val="Header"/>
                    <w:tabs>
                      <w:tab w:val="left" w:pos="284"/>
                      <w:tab w:val="left" w:pos="540"/>
                      <w:tab w:val="left" w:pos="569"/>
                    </w:tabs>
                    <w:jc w:val="center"/>
                    <w:rPr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Cs/>
                      <w:sz w:val="22"/>
                      <w:szCs w:val="22"/>
                      <w:lang w:val="sr-Latn-CS"/>
                    </w:rPr>
                    <w:t>irinotekan</w:t>
                  </w:r>
                </w:p>
              </w:tc>
              <w:tc>
                <w:tcPr>
                  <w:tcW w:w="12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6881" w:rsidRPr="006B0439" w:rsidRDefault="00C76881" w:rsidP="00E91420">
                  <w:pPr>
                    <w:pStyle w:val="Header"/>
                    <w:tabs>
                      <w:tab w:val="left" w:pos="284"/>
                      <w:tab w:val="left" w:pos="540"/>
                      <w:tab w:val="left" w:pos="569"/>
                    </w:tabs>
                    <w:jc w:val="center"/>
                    <w:rPr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Cs/>
                      <w:sz w:val="22"/>
                      <w:szCs w:val="22"/>
                      <w:lang w:val="sr-Latn-CS"/>
                    </w:rPr>
                    <w:t>Suportivna</w:t>
                  </w:r>
                </w:p>
                <w:p w:rsidR="00C76881" w:rsidRPr="006B0439" w:rsidRDefault="00C76881" w:rsidP="00E91420">
                  <w:pPr>
                    <w:pStyle w:val="Header"/>
                    <w:tabs>
                      <w:tab w:val="left" w:pos="284"/>
                      <w:tab w:val="left" w:pos="540"/>
                      <w:tab w:val="left" w:pos="569"/>
                    </w:tabs>
                    <w:jc w:val="center"/>
                    <w:rPr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Cs/>
                      <w:sz w:val="22"/>
                      <w:szCs w:val="22"/>
                      <w:lang w:val="sr-Latn-CS"/>
                    </w:rPr>
                    <w:t>terapija</w:t>
                  </w:r>
                </w:p>
              </w:tc>
              <w:tc>
                <w:tcPr>
                  <w:tcW w:w="12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6881" w:rsidRPr="006B0439" w:rsidRDefault="00C76881" w:rsidP="00E91420">
                  <w:pPr>
                    <w:pStyle w:val="Header"/>
                    <w:tabs>
                      <w:tab w:val="left" w:pos="284"/>
                      <w:tab w:val="left" w:pos="540"/>
                      <w:tab w:val="left" w:pos="569"/>
                    </w:tabs>
                    <w:jc w:val="center"/>
                    <w:rPr>
                      <w:bCs/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12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6881" w:rsidRPr="006B0439" w:rsidRDefault="00C76881" w:rsidP="00E91420">
                  <w:pPr>
                    <w:pStyle w:val="Header"/>
                    <w:tabs>
                      <w:tab w:val="left" w:pos="284"/>
                      <w:tab w:val="left" w:pos="540"/>
                      <w:tab w:val="left" w:pos="569"/>
                    </w:tabs>
                    <w:jc w:val="center"/>
                    <w:rPr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Cs/>
                      <w:sz w:val="22"/>
                      <w:szCs w:val="22"/>
                      <w:lang w:val="sr-Latn-CS"/>
                    </w:rPr>
                    <w:t>irinotekan</w:t>
                  </w:r>
                </w:p>
              </w:tc>
              <w:tc>
                <w:tcPr>
                  <w:tcW w:w="12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6881" w:rsidRPr="006B0439" w:rsidRDefault="00C76881" w:rsidP="00E91420">
                  <w:pPr>
                    <w:pStyle w:val="Header"/>
                    <w:tabs>
                      <w:tab w:val="left" w:pos="284"/>
                      <w:tab w:val="left" w:pos="540"/>
                      <w:tab w:val="left" w:pos="569"/>
                    </w:tabs>
                    <w:jc w:val="center"/>
                    <w:rPr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Cs/>
                      <w:sz w:val="22"/>
                      <w:szCs w:val="22"/>
                      <w:lang w:val="sr-Latn-CS"/>
                    </w:rPr>
                    <w:t>5FU</w:t>
                  </w:r>
                </w:p>
              </w:tc>
              <w:tc>
                <w:tcPr>
                  <w:tcW w:w="12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6881" w:rsidRPr="006B0439" w:rsidRDefault="00C76881" w:rsidP="00E91420">
                  <w:pPr>
                    <w:pStyle w:val="Header"/>
                    <w:tabs>
                      <w:tab w:val="left" w:pos="284"/>
                      <w:tab w:val="left" w:pos="540"/>
                      <w:tab w:val="left" w:pos="569"/>
                    </w:tabs>
                    <w:jc w:val="center"/>
                    <w:rPr>
                      <w:bCs/>
                      <w:sz w:val="22"/>
                      <w:szCs w:val="22"/>
                      <w:lang w:val="sr-Latn-CS"/>
                    </w:rPr>
                  </w:pPr>
                </w:p>
              </w:tc>
            </w:tr>
            <w:tr w:rsidR="00C76881" w:rsidRPr="006B0439" w:rsidTr="00C76881">
              <w:trPr>
                <w:trHeight w:hRule="exact" w:val="252"/>
              </w:trPr>
              <w:tc>
                <w:tcPr>
                  <w:tcW w:w="1569" w:type="dxa"/>
                  <w:vMerge/>
                  <w:tcBorders>
                    <w:left w:val="single" w:sz="4" w:space="0" w:color="000000"/>
                    <w:right w:val="single" w:sz="3" w:space="0" w:color="000000"/>
                  </w:tcBorders>
                </w:tcPr>
                <w:p w:rsidR="00C76881" w:rsidRPr="006B0439" w:rsidRDefault="00C76881" w:rsidP="00C76881">
                  <w:pPr>
                    <w:pStyle w:val="Header"/>
                    <w:tabs>
                      <w:tab w:val="left" w:pos="284"/>
                      <w:tab w:val="left" w:pos="540"/>
                      <w:tab w:val="left" w:pos="569"/>
                    </w:tabs>
                    <w:jc w:val="both"/>
                    <w:rPr>
                      <w:bCs/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1250" w:type="dxa"/>
                  <w:tcBorders>
                    <w:top w:val="single" w:sz="4" w:space="0" w:color="000000"/>
                    <w:left w:val="single" w:sz="3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6881" w:rsidRPr="006B0439" w:rsidRDefault="00C76881" w:rsidP="00C76881">
                  <w:pPr>
                    <w:pStyle w:val="Header"/>
                    <w:tabs>
                      <w:tab w:val="left" w:pos="284"/>
                      <w:tab w:val="left" w:pos="540"/>
                      <w:tab w:val="left" w:pos="569"/>
                    </w:tabs>
                    <w:jc w:val="both"/>
                    <w:rPr>
                      <w:bCs/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12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6881" w:rsidRPr="006B0439" w:rsidRDefault="00C76881" w:rsidP="00C76881">
                  <w:pPr>
                    <w:pStyle w:val="Header"/>
                    <w:tabs>
                      <w:tab w:val="left" w:pos="284"/>
                      <w:tab w:val="left" w:pos="540"/>
                      <w:tab w:val="left" w:pos="569"/>
                    </w:tabs>
                    <w:jc w:val="both"/>
                    <w:rPr>
                      <w:bCs/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12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6881" w:rsidRPr="006B0439" w:rsidRDefault="00C76881" w:rsidP="00C76881">
                  <w:pPr>
                    <w:pStyle w:val="Header"/>
                    <w:tabs>
                      <w:tab w:val="left" w:pos="284"/>
                      <w:tab w:val="left" w:pos="540"/>
                      <w:tab w:val="left" w:pos="569"/>
                    </w:tabs>
                    <w:jc w:val="both"/>
                    <w:rPr>
                      <w:bCs/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12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6881" w:rsidRPr="006B0439" w:rsidRDefault="00C76881" w:rsidP="00C76881">
                  <w:pPr>
                    <w:pStyle w:val="Header"/>
                    <w:tabs>
                      <w:tab w:val="left" w:pos="284"/>
                      <w:tab w:val="left" w:pos="540"/>
                      <w:tab w:val="left" w:pos="569"/>
                    </w:tabs>
                    <w:jc w:val="both"/>
                    <w:rPr>
                      <w:bCs/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12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6881" w:rsidRPr="006B0439" w:rsidRDefault="00C76881" w:rsidP="00C76881">
                  <w:pPr>
                    <w:pStyle w:val="Header"/>
                    <w:tabs>
                      <w:tab w:val="left" w:pos="284"/>
                      <w:tab w:val="left" w:pos="540"/>
                      <w:tab w:val="left" w:pos="569"/>
                    </w:tabs>
                    <w:jc w:val="both"/>
                    <w:rPr>
                      <w:bCs/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12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6881" w:rsidRPr="006B0439" w:rsidRDefault="00C76881" w:rsidP="00C76881">
                  <w:pPr>
                    <w:pStyle w:val="Header"/>
                    <w:tabs>
                      <w:tab w:val="left" w:pos="284"/>
                      <w:tab w:val="left" w:pos="540"/>
                      <w:tab w:val="left" w:pos="569"/>
                    </w:tabs>
                    <w:jc w:val="both"/>
                    <w:rPr>
                      <w:bCs/>
                      <w:sz w:val="22"/>
                      <w:szCs w:val="22"/>
                      <w:lang w:val="sr-Latn-CS"/>
                    </w:rPr>
                  </w:pPr>
                </w:p>
              </w:tc>
            </w:tr>
            <w:tr w:rsidR="00C76881" w:rsidRPr="006B0439" w:rsidTr="00C76881">
              <w:trPr>
                <w:trHeight w:hRule="exact" w:val="247"/>
              </w:trPr>
              <w:tc>
                <w:tcPr>
                  <w:tcW w:w="1569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3" w:space="0" w:color="000000"/>
                  </w:tcBorders>
                </w:tcPr>
                <w:p w:rsidR="00C76881" w:rsidRPr="006B0439" w:rsidRDefault="00C76881" w:rsidP="00C76881">
                  <w:pPr>
                    <w:pStyle w:val="Header"/>
                    <w:tabs>
                      <w:tab w:val="left" w:pos="284"/>
                      <w:tab w:val="left" w:pos="540"/>
                      <w:tab w:val="left" w:pos="569"/>
                    </w:tabs>
                    <w:jc w:val="both"/>
                    <w:rPr>
                      <w:bCs/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1250" w:type="dxa"/>
                  <w:tcBorders>
                    <w:top w:val="single" w:sz="4" w:space="0" w:color="000000"/>
                    <w:left w:val="single" w:sz="3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6881" w:rsidRPr="006B0439" w:rsidRDefault="00C76881" w:rsidP="00E91420">
                  <w:pPr>
                    <w:pStyle w:val="Header"/>
                    <w:tabs>
                      <w:tab w:val="left" w:pos="284"/>
                      <w:tab w:val="left" w:pos="540"/>
                      <w:tab w:val="left" w:pos="569"/>
                    </w:tabs>
                    <w:jc w:val="center"/>
                    <w:rPr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Cs/>
                      <w:sz w:val="22"/>
                      <w:szCs w:val="22"/>
                      <w:lang w:val="sr-Latn-CS"/>
                    </w:rPr>
                    <w:t>n = 183</w:t>
                  </w:r>
                </w:p>
              </w:tc>
              <w:tc>
                <w:tcPr>
                  <w:tcW w:w="12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6881" w:rsidRPr="006B0439" w:rsidRDefault="00C76881" w:rsidP="00E91420">
                  <w:pPr>
                    <w:pStyle w:val="Header"/>
                    <w:tabs>
                      <w:tab w:val="left" w:pos="284"/>
                      <w:tab w:val="left" w:pos="540"/>
                      <w:tab w:val="left" w:pos="569"/>
                    </w:tabs>
                    <w:jc w:val="center"/>
                    <w:rPr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Cs/>
                      <w:sz w:val="22"/>
                      <w:szCs w:val="22"/>
                      <w:lang w:val="sr-Latn-CS"/>
                    </w:rPr>
                    <w:t>n = 90</w:t>
                  </w:r>
                </w:p>
              </w:tc>
              <w:tc>
                <w:tcPr>
                  <w:tcW w:w="12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6881" w:rsidRPr="006B0439" w:rsidRDefault="00C76881" w:rsidP="00E91420">
                  <w:pPr>
                    <w:pStyle w:val="Header"/>
                    <w:tabs>
                      <w:tab w:val="left" w:pos="284"/>
                      <w:tab w:val="left" w:pos="540"/>
                      <w:tab w:val="left" w:pos="569"/>
                    </w:tabs>
                    <w:jc w:val="center"/>
                    <w:rPr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Cs/>
                      <w:sz w:val="22"/>
                      <w:szCs w:val="22"/>
                      <w:lang w:val="sr-Latn-CS"/>
                    </w:rPr>
                    <w:t>p vrijednosti</w:t>
                  </w:r>
                </w:p>
              </w:tc>
              <w:tc>
                <w:tcPr>
                  <w:tcW w:w="12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6881" w:rsidRPr="006B0439" w:rsidRDefault="00C76881" w:rsidP="00E91420">
                  <w:pPr>
                    <w:pStyle w:val="Header"/>
                    <w:tabs>
                      <w:tab w:val="left" w:pos="284"/>
                      <w:tab w:val="left" w:pos="540"/>
                      <w:tab w:val="left" w:pos="569"/>
                    </w:tabs>
                    <w:jc w:val="center"/>
                    <w:rPr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Cs/>
                      <w:sz w:val="22"/>
                      <w:szCs w:val="22"/>
                      <w:lang w:val="sr-Latn-CS"/>
                    </w:rPr>
                    <w:t>n = 127</w:t>
                  </w:r>
                </w:p>
              </w:tc>
              <w:tc>
                <w:tcPr>
                  <w:tcW w:w="12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6881" w:rsidRPr="006B0439" w:rsidRDefault="00C76881" w:rsidP="00E91420">
                  <w:pPr>
                    <w:pStyle w:val="Header"/>
                    <w:tabs>
                      <w:tab w:val="left" w:pos="284"/>
                      <w:tab w:val="left" w:pos="540"/>
                      <w:tab w:val="left" w:pos="569"/>
                    </w:tabs>
                    <w:jc w:val="center"/>
                    <w:rPr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Cs/>
                      <w:sz w:val="22"/>
                      <w:szCs w:val="22"/>
                      <w:lang w:val="sr-Latn-CS"/>
                    </w:rPr>
                    <w:t>n = 129</w:t>
                  </w:r>
                </w:p>
              </w:tc>
              <w:tc>
                <w:tcPr>
                  <w:tcW w:w="12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6881" w:rsidRPr="006B0439" w:rsidRDefault="00C76881" w:rsidP="00E91420">
                  <w:pPr>
                    <w:pStyle w:val="Header"/>
                    <w:tabs>
                      <w:tab w:val="left" w:pos="284"/>
                      <w:tab w:val="left" w:pos="540"/>
                      <w:tab w:val="left" w:pos="569"/>
                    </w:tabs>
                    <w:jc w:val="center"/>
                    <w:rPr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Cs/>
                      <w:sz w:val="22"/>
                      <w:szCs w:val="22"/>
                      <w:lang w:val="sr-Latn-CS"/>
                    </w:rPr>
                    <w:t>p vrijednosti</w:t>
                  </w:r>
                </w:p>
              </w:tc>
            </w:tr>
            <w:tr w:rsidR="00C76881" w:rsidRPr="006B0439" w:rsidTr="00C76881">
              <w:trPr>
                <w:trHeight w:hRule="exact" w:val="968"/>
              </w:trPr>
              <w:tc>
                <w:tcPr>
                  <w:tcW w:w="1569" w:type="dxa"/>
                  <w:tcBorders>
                    <w:top w:val="single" w:sz="4" w:space="0" w:color="000000"/>
                    <w:left w:val="single" w:sz="4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C76881" w:rsidRPr="006B0439" w:rsidRDefault="00C76881" w:rsidP="00E91420">
                  <w:pPr>
                    <w:pStyle w:val="Header"/>
                    <w:tabs>
                      <w:tab w:val="left" w:pos="284"/>
                      <w:tab w:val="left" w:pos="540"/>
                      <w:tab w:val="left" w:pos="569"/>
                    </w:tabs>
                    <w:jc w:val="center"/>
                    <w:rPr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Cs/>
                      <w:sz w:val="22"/>
                      <w:szCs w:val="22"/>
                      <w:lang w:val="sr-Latn-CS"/>
                    </w:rPr>
                    <w:t>Preživljavanje</w:t>
                  </w:r>
                </w:p>
                <w:p w:rsidR="00C76881" w:rsidRPr="006B0439" w:rsidRDefault="00C76881" w:rsidP="00E91420">
                  <w:pPr>
                    <w:pStyle w:val="Header"/>
                    <w:tabs>
                      <w:tab w:val="left" w:pos="284"/>
                      <w:tab w:val="left" w:pos="540"/>
                      <w:tab w:val="left" w:pos="569"/>
                    </w:tabs>
                    <w:jc w:val="center"/>
                    <w:rPr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Cs/>
                      <w:sz w:val="22"/>
                      <w:szCs w:val="22"/>
                      <w:lang w:val="sr-Latn-CS"/>
                    </w:rPr>
                    <w:t>bez  pogoršanja posle  6  mjeseci [%]</w:t>
                  </w:r>
                </w:p>
              </w:tc>
              <w:tc>
                <w:tcPr>
                  <w:tcW w:w="1250" w:type="dxa"/>
                  <w:tcBorders>
                    <w:top w:val="single" w:sz="4" w:space="0" w:color="000000"/>
                    <w:left w:val="single" w:sz="3" w:space="0" w:color="000000"/>
                    <w:bottom w:val="single" w:sz="3" w:space="0" w:color="000000"/>
                    <w:right w:val="single" w:sz="4" w:space="0" w:color="000000"/>
                  </w:tcBorders>
                </w:tcPr>
                <w:p w:rsidR="00C76881" w:rsidRPr="006B0439" w:rsidRDefault="00C76881" w:rsidP="00E91420">
                  <w:pPr>
                    <w:pStyle w:val="Header"/>
                    <w:tabs>
                      <w:tab w:val="left" w:pos="284"/>
                      <w:tab w:val="left" w:pos="540"/>
                      <w:tab w:val="left" w:pos="569"/>
                    </w:tabs>
                    <w:jc w:val="center"/>
                    <w:rPr>
                      <w:bCs/>
                      <w:sz w:val="22"/>
                      <w:szCs w:val="22"/>
                      <w:lang w:val="sr-Latn-CS"/>
                    </w:rPr>
                  </w:pPr>
                </w:p>
                <w:p w:rsidR="00C76881" w:rsidRPr="006B0439" w:rsidRDefault="00C76881" w:rsidP="00E91420">
                  <w:pPr>
                    <w:pStyle w:val="Header"/>
                    <w:tabs>
                      <w:tab w:val="left" w:pos="284"/>
                      <w:tab w:val="left" w:pos="540"/>
                      <w:tab w:val="left" w:pos="569"/>
                    </w:tabs>
                    <w:jc w:val="center"/>
                    <w:rPr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Cs/>
                      <w:sz w:val="22"/>
                      <w:szCs w:val="22"/>
                      <w:lang w:val="sr-Latn-CS"/>
                    </w:rPr>
                    <w:t>NP</w:t>
                  </w:r>
                </w:p>
              </w:tc>
              <w:tc>
                <w:tcPr>
                  <w:tcW w:w="1254" w:type="dxa"/>
                  <w:tcBorders>
                    <w:top w:val="single" w:sz="4" w:space="0" w:color="000000"/>
                    <w:left w:val="single" w:sz="4" w:space="0" w:color="000000"/>
                    <w:bottom w:val="single" w:sz="3" w:space="0" w:color="000000"/>
                    <w:right w:val="single" w:sz="4" w:space="0" w:color="000000"/>
                  </w:tcBorders>
                </w:tcPr>
                <w:p w:rsidR="00C76881" w:rsidRPr="006B0439" w:rsidRDefault="00C76881" w:rsidP="00E91420">
                  <w:pPr>
                    <w:pStyle w:val="Header"/>
                    <w:tabs>
                      <w:tab w:val="left" w:pos="284"/>
                      <w:tab w:val="left" w:pos="540"/>
                      <w:tab w:val="left" w:pos="569"/>
                    </w:tabs>
                    <w:jc w:val="center"/>
                    <w:rPr>
                      <w:bCs/>
                      <w:sz w:val="22"/>
                      <w:szCs w:val="22"/>
                      <w:lang w:val="sr-Latn-CS"/>
                    </w:rPr>
                  </w:pPr>
                </w:p>
                <w:p w:rsidR="00C76881" w:rsidRPr="006B0439" w:rsidRDefault="00C76881" w:rsidP="00E91420">
                  <w:pPr>
                    <w:pStyle w:val="Header"/>
                    <w:tabs>
                      <w:tab w:val="left" w:pos="284"/>
                      <w:tab w:val="left" w:pos="540"/>
                      <w:tab w:val="left" w:pos="569"/>
                    </w:tabs>
                    <w:jc w:val="center"/>
                    <w:rPr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Cs/>
                      <w:sz w:val="22"/>
                      <w:szCs w:val="22"/>
                      <w:lang w:val="sr-Latn-CS"/>
                    </w:rPr>
                    <w:t>NP</w:t>
                  </w:r>
                </w:p>
              </w:tc>
              <w:tc>
                <w:tcPr>
                  <w:tcW w:w="1254" w:type="dxa"/>
                  <w:tcBorders>
                    <w:top w:val="single" w:sz="4" w:space="0" w:color="000000"/>
                    <w:left w:val="single" w:sz="4" w:space="0" w:color="000000"/>
                    <w:bottom w:val="single" w:sz="3" w:space="0" w:color="000000"/>
                    <w:right w:val="single" w:sz="4" w:space="0" w:color="000000"/>
                  </w:tcBorders>
                </w:tcPr>
                <w:p w:rsidR="00C76881" w:rsidRPr="006B0439" w:rsidRDefault="00C76881" w:rsidP="00E91420">
                  <w:pPr>
                    <w:pStyle w:val="Header"/>
                    <w:tabs>
                      <w:tab w:val="left" w:pos="284"/>
                      <w:tab w:val="left" w:pos="540"/>
                      <w:tab w:val="left" w:pos="569"/>
                    </w:tabs>
                    <w:jc w:val="center"/>
                    <w:rPr>
                      <w:bCs/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1251" w:type="dxa"/>
                  <w:tcBorders>
                    <w:top w:val="single" w:sz="4" w:space="0" w:color="000000"/>
                    <w:left w:val="single" w:sz="4" w:space="0" w:color="000000"/>
                    <w:bottom w:val="single" w:sz="3" w:space="0" w:color="000000"/>
                    <w:right w:val="single" w:sz="4" w:space="0" w:color="000000"/>
                  </w:tcBorders>
                </w:tcPr>
                <w:p w:rsidR="00C76881" w:rsidRPr="006B0439" w:rsidRDefault="00C76881" w:rsidP="00E91420">
                  <w:pPr>
                    <w:pStyle w:val="Header"/>
                    <w:tabs>
                      <w:tab w:val="left" w:pos="284"/>
                      <w:tab w:val="left" w:pos="540"/>
                      <w:tab w:val="left" w:pos="569"/>
                    </w:tabs>
                    <w:jc w:val="center"/>
                    <w:rPr>
                      <w:bCs/>
                      <w:sz w:val="22"/>
                      <w:szCs w:val="22"/>
                      <w:lang w:val="sr-Latn-CS"/>
                    </w:rPr>
                  </w:pPr>
                </w:p>
                <w:p w:rsidR="00C76881" w:rsidRPr="006B0439" w:rsidRDefault="00C76881" w:rsidP="00E91420">
                  <w:pPr>
                    <w:pStyle w:val="Header"/>
                    <w:tabs>
                      <w:tab w:val="left" w:pos="284"/>
                      <w:tab w:val="left" w:pos="540"/>
                      <w:tab w:val="left" w:pos="569"/>
                    </w:tabs>
                    <w:jc w:val="center"/>
                    <w:rPr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Cs/>
                      <w:sz w:val="22"/>
                      <w:szCs w:val="22"/>
                      <w:lang w:val="sr-Latn-CS"/>
                    </w:rPr>
                    <w:t>33,5 *</w:t>
                  </w:r>
                </w:p>
              </w:tc>
              <w:tc>
                <w:tcPr>
                  <w:tcW w:w="1251" w:type="dxa"/>
                  <w:tcBorders>
                    <w:top w:val="single" w:sz="4" w:space="0" w:color="000000"/>
                    <w:left w:val="single" w:sz="4" w:space="0" w:color="000000"/>
                    <w:bottom w:val="single" w:sz="3" w:space="0" w:color="000000"/>
                    <w:right w:val="single" w:sz="4" w:space="0" w:color="000000"/>
                  </w:tcBorders>
                </w:tcPr>
                <w:p w:rsidR="00C76881" w:rsidRPr="006B0439" w:rsidRDefault="00C76881" w:rsidP="00E91420">
                  <w:pPr>
                    <w:pStyle w:val="Header"/>
                    <w:tabs>
                      <w:tab w:val="left" w:pos="284"/>
                      <w:tab w:val="left" w:pos="540"/>
                      <w:tab w:val="left" w:pos="569"/>
                    </w:tabs>
                    <w:jc w:val="center"/>
                    <w:rPr>
                      <w:bCs/>
                      <w:sz w:val="22"/>
                      <w:szCs w:val="22"/>
                      <w:lang w:val="sr-Latn-CS"/>
                    </w:rPr>
                  </w:pPr>
                </w:p>
                <w:p w:rsidR="00C76881" w:rsidRPr="006B0439" w:rsidRDefault="00C76881" w:rsidP="00E91420">
                  <w:pPr>
                    <w:pStyle w:val="Header"/>
                    <w:tabs>
                      <w:tab w:val="left" w:pos="284"/>
                      <w:tab w:val="left" w:pos="540"/>
                      <w:tab w:val="left" w:pos="569"/>
                    </w:tabs>
                    <w:jc w:val="center"/>
                    <w:rPr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Cs/>
                      <w:sz w:val="22"/>
                      <w:szCs w:val="22"/>
                      <w:lang w:val="sr-Latn-CS"/>
                    </w:rPr>
                    <w:t>26,7</w:t>
                  </w:r>
                </w:p>
              </w:tc>
              <w:tc>
                <w:tcPr>
                  <w:tcW w:w="1254" w:type="dxa"/>
                  <w:tcBorders>
                    <w:top w:val="single" w:sz="4" w:space="0" w:color="000000"/>
                    <w:left w:val="single" w:sz="4" w:space="0" w:color="000000"/>
                    <w:bottom w:val="single" w:sz="3" w:space="0" w:color="000000"/>
                    <w:right w:val="single" w:sz="4" w:space="0" w:color="000000"/>
                  </w:tcBorders>
                </w:tcPr>
                <w:p w:rsidR="00C76881" w:rsidRPr="006B0439" w:rsidRDefault="00C76881" w:rsidP="00E91420">
                  <w:pPr>
                    <w:pStyle w:val="Header"/>
                    <w:tabs>
                      <w:tab w:val="left" w:pos="284"/>
                      <w:tab w:val="left" w:pos="540"/>
                      <w:tab w:val="left" w:pos="569"/>
                    </w:tabs>
                    <w:jc w:val="center"/>
                    <w:rPr>
                      <w:bCs/>
                      <w:sz w:val="22"/>
                      <w:szCs w:val="22"/>
                      <w:lang w:val="sr-Latn-CS"/>
                    </w:rPr>
                  </w:pPr>
                </w:p>
                <w:p w:rsidR="00C76881" w:rsidRPr="006B0439" w:rsidRDefault="00C76881" w:rsidP="00E91420">
                  <w:pPr>
                    <w:pStyle w:val="Header"/>
                    <w:tabs>
                      <w:tab w:val="left" w:pos="284"/>
                      <w:tab w:val="left" w:pos="540"/>
                      <w:tab w:val="left" w:pos="569"/>
                    </w:tabs>
                    <w:jc w:val="center"/>
                    <w:rPr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Cs/>
                      <w:sz w:val="22"/>
                      <w:szCs w:val="22"/>
                      <w:lang w:val="sr-Latn-CS"/>
                    </w:rPr>
                    <w:t>p = 0,03</w:t>
                  </w:r>
                </w:p>
              </w:tc>
            </w:tr>
            <w:tr w:rsidR="00C76881" w:rsidRPr="006B0439" w:rsidTr="00C76881">
              <w:trPr>
                <w:trHeight w:hRule="exact" w:val="730"/>
              </w:trPr>
              <w:tc>
                <w:tcPr>
                  <w:tcW w:w="1569" w:type="dxa"/>
                  <w:tcBorders>
                    <w:top w:val="single" w:sz="3" w:space="0" w:color="000000"/>
                    <w:left w:val="single" w:sz="4" w:space="0" w:color="000000"/>
                    <w:bottom w:val="single" w:sz="4" w:space="0" w:color="000000"/>
                    <w:right w:val="single" w:sz="3" w:space="0" w:color="000000"/>
                  </w:tcBorders>
                </w:tcPr>
                <w:p w:rsidR="00C76881" w:rsidRPr="006B0439" w:rsidRDefault="00C76881" w:rsidP="00E91420">
                  <w:pPr>
                    <w:pStyle w:val="Header"/>
                    <w:tabs>
                      <w:tab w:val="left" w:pos="284"/>
                      <w:tab w:val="left" w:pos="540"/>
                      <w:tab w:val="left" w:pos="569"/>
                    </w:tabs>
                    <w:jc w:val="center"/>
                    <w:rPr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Cs/>
                      <w:sz w:val="22"/>
                      <w:szCs w:val="22"/>
                      <w:lang w:val="sr-Latn-CS"/>
                    </w:rPr>
                    <w:t>Preživljavanje</w:t>
                  </w:r>
                </w:p>
                <w:p w:rsidR="00C76881" w:rsidRPr="006B0439" w:rsidRDefault="00C76881" w:rsidP="00E91420">
                  <w:pPr>
                    <w:pStyle w:val="Header"/>
                    <w:tabs>
                      <w:tab w:val="left" w:pos="284"/>
                      <w:tab w:val="left" w:pos="540"/>
                      <w:tab w:val="left" w:pos="569"/>
                    </w:tabs>
                    <w:jc w:val="center"/>
                    <w:rPr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Cs/>
                      <w:sz w:val="22"/>
                      <w:szCs w:val="22"/>
                      <w:lang w:val="sr-Latn-CS"/>
                    </w:rPr>
                    <w:t>posle 12 mjeseci [%]</w:t>
                  </w:r>
                </w:p>
              </w:tc>
              <w:tc>
                <w:tcPr>
                  <w:tcW w:w="1250" w:type="dxa"/>
                  <w:tcBorders>
                    <w:top w:val="single" w:sz="3" w:space="0" w:color="000000"/>
                    <w:left w:val="single" w:sz="3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6881" w:rsidRPr="006B0439" w:rsidRDefault="00C76881" w:rsidP="00E91420">
                  <w:pPr>
                    <w:pStyle w:val="Header"/>
                    <w:tabs>
                      <w:tab w:val="left" w:pos="284"/>
                      <w:tab w:val="left" w:pos="540"/>
                      <w:tab w:val="left" w:pos="569"/>
                    </w:tabs>
                    <w:jc w:val="center"/>
                    <w:rPr>
                      <w:bCs/>
                      <w:sz w:val="22"/>
                      <w:szCs w:val="22"/>
                      <w:lang w:val="sr-Latn-CS"/>
                    </w:rPr>
                  </w:pPr>
                </w:p>
                <w:p w:rsidR="00C76881" w:rsidRPr="006B0439" w:rsidRDefault="00C76881" w:rsidP="00E91420">
                  <w:pPr>
                    <w:pStyle w:val="Header"/>
                    <w:tabs>
                      <w:tab w:val="left" w:pos="284"/>
                      <w:tab w:val="left" w:pos="540"/>
                      <w:tab w:val="left" w:pos="569"/>
                    </w:tabs>
                    <w:jc w:val="center"/>
                    <w:rPr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Cs/>
                      <w:sz w:val="22"/>
                      <w:szCs w:val="22"/>
                      <w:lang w:val="sr-Latn-CS"/>
                    </w:rPr>
                    <w:t>36,2 *</w:t>
                  </w:r>
                </w:p>
              </w:tc>
              <w:tc>
                <w:tcPr>
                  <w:tcW w:w="1254" w:type="dxa"/>
                  <w:tcBorders>
                    <w:top w:val="single" w:sz="3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6881" w:rsidRPr="006B0439" w:rsidRDefault="00C76881" w:rsidP="00E91420">
                  <w:pPr>
                    <w:pStyle w:val="Header"/>
                    <w:tabs>
                      <w:tab w:val="left" w:pos="284"/>
                      <w:tab w:val="left" w:pos="540"/>
                      <w:tab w:val="left" w:pos="569"/>
                    </w:tabs>
                    <w:jc w:val="center"/>
                    <w:rPr>
                      <w:bCs/>
                      <w:sz w:val="22"/>
                      <w:szCs w:val="22"/>
                      <w:lang w:val="sr-Latn-CS"/>
                    </w:rPr>
                  </w:pPr>
                </w:p>
                <w:p w:rsidR="00C76881" w:rsidRPr="006B0439" w:rsidRDefault="00C76881" w:rsidP="00E91420">
                  <w:pPr>
                    <w:pStyle w:val="Header"/>
                    <w:tabs>
                      <w:tab w:val="left" w:pos="284"/>
                      <w:tab w:val="left" w:pos="540"/>
                      <w:tab w:val="left" w:pos="569"/>
                    </w:tabs>
                    <w:jc w:val="center"/>
                    <w:rPr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Cs/>
                      <w:sz w:val="22"/>
                      <w:szCs w:val="22"/>
                      <w:lang w:val="sr-Latn-CS"/>
                    </w:rPr>
                    <w:t>13,8</w:t>
                  </w:r>
                </w:p>
              </w:tc>
              <w:tc>
                <w:tcPr>
                  <w:tcW w:w="1254" w:type="dxa"/>
                  <w:tcBorders>
                    <w:top w:val="single" w:sz="3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6881" w:rsidRPr="006B0439" w:rsidRDefault="00C76881" w:rsidP="00E91420">
                  <w:pPr>
                    <w:pStyle w:val="Header"/>
                    <w:tabs>
                      <w:tab w:val="left" w:pos="284"/>
                      <w:tab w:val="left" w:pos="540"/>
                      <w:tab w:val="left" w:pos="569"/>
                    </w:tabs>
                    <w:jc w:val="center"/>
                    <w:rPr>
                      <w:bCs/>
                      <w:sz w:val="22"/>
                      <w:szCs w:val="22"/>
                      <w:lang w:val="sr-Latn-CS"/>
                    </w:rPr>
                  </w:pPr>
                </w:p>
                <w:p w:rsidR="00C76881" w:rsidRPr="006B0439" w:rsidRDefault="00C76881" w:rsidP="00E91420">
                  <w:pPr>
                    <w:pStyle w:val="Header"/>
                    <w:tabs>
                      <w:tab w:val="left" w:pos="284"/>
                      <w:tab w:val="left" w:pos="540"/>
                      <w:tab w:val="left" w:pos="569"/>
                    </w:tabs>
                    <w:jc w:val="center"/>
                    <w:rPr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Cs/>
                      <w:sz w:val="22"/>
                      <w:szCs w:val="22"/>
                      <w:lang w:val="sr-Latn-CS"/>
                    </w:rPr>
                    <w:t>p = 0,0001</w:t>
                  </w:r>
                </w:p>
              </w:tc>
              <w:tc>
                <w:tcPr>
                  <w:tcW w:w="1251" w:type="dxa"/>
                  <w:tcBorders>
                    <w:top w:val="single" w:sz="3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6881" w:rsidRPr="006B0439" w:rsidRDefault="00C76881" w:rsidP="00E91420">
                  <w:pPr>
                    <w:pStyle w:val="Header"/>
                    <w:tabs>
                      <w:tab w:val="left" w:pos="284"/>
                      <w:tab w:val="left" w:pos="540"/>
                      <w:tab w:val="left" w:pos="569"/>
                    </w:tabs>
                    <w:jc w:val="center"/>
                    <w:rPr>
                      <w:bCs/>
                      <w:sz w:val="22"/>
                      <w:szCs w:val="22"/>
                      <w:lang w:val="sr-Latn-CS"/>
                    </w:rPr>
                  </w:pPr>
                </w:p>
                <w:p w:rsidR="00C76881" w:rsidRPr="006B0439" w:rsidRDefault="00C76881" w:rsidP="00E91420">
                  <w:pPr>
                    <w:pStyle w:val="Header"/>
                    <w:tabs>
                      <w:tab w:val="left" w:pos="284"/>
                      <w:tab w:val="left" w:pos="540"/>
                      <w:tab w:val="left" w:pos="569"/>
                    </w:tabs>
                    <w:jc w:val="center"/>
                    <w:rPr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Cs/>
                      <w:sz w:val="22"/>
                      <w:szCs w:val="22"/>
                      <w:lang w:val="sr-Latn-CS"/>
                    </w:rPr>
                    <w:t>44,8 *</w:t>
                  </w:r>
                </w:p>
              </w:tc>
              <w:tc>
                <w:tcPr>
                  <w:tcW w:w="1251" w:type="dxa"/>
                  <w:tcBorders>
                    <w:top w:val="single" w:sz="3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6881" w:rsidRPr="006B0439" w:rsidRDefault="00C76881" w:rsidP="00E91420">
                  <w:pPr>
                    <w:pStyle w:val="Header"/>
                    <w:tabs>
                      <w:tab w:val="left" w:pos="284"/>
                      <w:tab w:val="left" w:pos="540"/>
                      <w:tab w:val="left" w:pos="569"/>
                    </w:tabs>
                    <w:jc w:val="center"/>
                    <w:rPr>
                      <w:bCs/>
                      <w:sz w:val="22"/>
                      <w:szCs w:val="22"/>
                      <w:lang w:val="sr-Latn-CS"/>
                    </w:rPr>
                  </w:pPr>
                </w:p>
                <w:p w:rsidR="00C76881" w:rsidRPr="006B0439" w:rsidRDefault="00C76881" w:rsidP="00E91420">
                  <w:pPr>
                    <w:pStyle w:val="Header"/>
                    <w:tabs>
                      <w:tab w:val="left" w:pos="284"/>
                      <w:tab w:val="left" w:pos="540"/>
                      <w:tab w:val="left" w:pos="569"/>
                    </w:tabs>
                    <w:jc w:val="center"/>
                    <w:rPr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Cs/>
                      <w:sz w:val="22"/>
                      <w:szCs w:val="22"/>
                      <w:lang w:val="sr-Latn-CS"/>
                    </w:rPr>
                    <w:t>32,4</w:t>
                  </w:r>
                </w:p>
              </w:tc>
              <w:tc>
                <w:tcPr>
                  <w:tcW w:w="1254" w:type="dxa"/>
                  <w:tcBorders>
                    <w:top w:val="single" w:sz="3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6881" w:rsidRPr="006B0439" w:rsidRDefault="00C76881" w:rsidP="00E91420">
                  <w:pPr>
                    <w:pStyle w:val="Header"/>
                    <w:tabs>
                      <w:tab w:val="left" w:pos="284"/>
                      <w:tab w:val="left" w:pos="540"/>
                      <w:tab w:val="left" w:pos="569"/>
                    </w:tabs>
                    <w:jc w:val="center"/>
                    <w:rPr>
                      <w:bCs/>
                      <w:sz w:val="22"/>
                      <w:szCs w:val="22"/>
                      <w:lang w:val="sr-Latn-CS"/>
                    </w:rPr>
                  </w:pPr>
                </w:p>
                <w:p w:rsidR="00C76881" w:rsidRPr="006B0439" w:rsidRDefault="00C76881" w:rsidP="00E91420">
                  <w:pPr>
                    <w:pStyle w:val="Header"/>
                    <w:tabs>
                      <w:tab w:val="left" w:pos="284"/>
                      <w:tab w:val="left" w:pos="540"/>
                      <w:tab w:val="left" w:pos="569"/>
                    </w:tabs>
                    <w:jc w:val="center"/>
                    <w:rPr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Cs/>
                      <w:sz w:val="22"/>
                      <w:szCs w:val="22"/>
                      <w:lang w:val="sr-Latn-CS"/>
                    </w:rPr>
                    <w:t>p = 0,0351</w:t>
                  </w:r>
                </w:p>
              </w:tc>
            </w:tr>
            <w:tr w:rsidR="00C76881" w:rsidRPr="006B0439" w:rsidTr="00C76881">
              <w:trPr>
                <w:trHeight w:hRule="exact" w:val="844"/>
              </w:trPr>
              <w:tc>
                <w:tcPr>
                  <w:tcW w:w="1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3" w:space="0" w:color="000000"/>
                  </w:tcBorders>
                </w:tcPr>
                <w:p w:rsidR="00C76881" w:rsidRPr="006B0439" w:rsidRDefault="00C76881" w:rsidP="00E91420">
                  <w:pPr>
                    <w:pStyle w:val="Header"/>
                    <w:tabs>
                      <w:tab w:val="left" w:pos="284"/>
                      <w:tab w:val="left" w:pos="540"/>
                      <w:tab w:val="left" w:pos="569"/>
                    </w:tabs>
                    <w:jc w:val="center"/>
                    <w:rPr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Cs/>
                      <w:sz w:val="22"/>
                      <w:szCs w:val="22"/>
                      <w:lang w:val="sr-Latn-CS"/>
                    </w:rPr>
                    <w:t>Medijana</w:t>
                  </w:r>
                </w:p>
                <w:p w:rsidR="00C76881" w:rsidRPr="006B0439" w:rsidRDefault="00C76881" w:rsidP="00E91420">
                  <w:pPr>
                    <w:pStyle w:val="Header"/>
                    <w:tabs>
                      <w:tab w:val="left" w:pos="284"/>
                      <w:tab w:val="left" w:pos="540"/>
                      <w:tab w:val="left" w:pos="569"/>
                    </w:tabs>
                    <w:jc w:val="center"/>
                    <w:rPr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Cs/>
                      <w:sz w:val="22"/>
                      <w:szCs w:val="22"/>
                      <w:lang w:val="sr-Latn-CS"/>
                    </w:rPr>
                    <w:t>Preživljavanja (mjeseci)</w:t>
                  </w:r>
                </w:p>
                <w:p w:rsidR="00C76881" w:rsidRPr="006B0439" w:rsidRDefault="00C76881" w:rsidP="00E91420">
                  <w:pPr>
                    <w:pStyle w:val="Header"/>
                    <w:tabs>
                      <w:tab w:val="left" w:pos="284"/>
                      <w:tab w:val="left" w:pos="540"/>
                      <w:tab w:val="left" w:pos="569"/>
                    </w:tabs>
                    <w:jc w:val="center"/>
                    <w:rPr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Cs/>
                      <w:sz w:val="22"/>
                      <w:szCs w:val="22"/>
                      <w:lang w:val="sr-Latn-CS"/>
                    </w:rPr>
                    <w:t>(mjeseci)</w:t>
                  </w:r>
                </w:p>
              </w:tc>
              <w:tc>
                <w:tcPr>
                  <w:tcW w:w="1250" w:type="dxa"/>
                  <w:tcBorders>
                    <w:top w:val="single" w:sz="4" w:space="0" w:color="000000"/>
                    <w:left w:val="single" w:sz="3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6881" w:rsidRPr="006B0439" w:rsidRDefault="00C76881" w:rsidP="00E91420">
                  <w:pPr>
                    <w:pStyle w:val="Header"/>
                    <w:tabs>
                      <w:tab w:val="left" w:pos="284"/>
                      <w:tab w:val="left" w:pos="540"/>
                      <w:tab w:val="left" w:pos="569"/>
                    </w:tabs>
                    <w:jc w:val="center"/>
                    <w:rPr>
                      <w:bCs/>
                      <w:sz w:val="22"/>
                      <w:szCs w:val="22"/>
                      <w:lang w:val="sr-Latn-CS"/>
                    </w:rPr>
                  </w:pPr>
                </w:p>
                <w:p w:rsidR="00C76881" w:rsidRPr="006B0439" w:rsidRDefault="00C76881" w:rsidP="00E91420">
                  <w:pPr>
                    <w:pStyle w:val="Header"/>
                    <w:tabs>
                      <w:tab w:val="left" w:pos="284"/>
                      <w:tab w:val="left" w:pos="540"/>
                      <w:tab w:val="left" w:pos="569"/>
                    </w:tabs>
                    <w:jc w:val="center"/>
                    <w:rPr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Cs/>
                      <w:sz w:val="22"/>
                      <w:szCs w:val="22"/>
                      <w:lang w:val="sr-Latn-CS"/>
                    </w:rPr>
                    <w:t>9,2 *</w:t>
                  </w:r>
                </w:p>
              </w:tc>
              <w:tc>
                <w:tcPr>
                  <w:tcW w:w="12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6881" w:rsidRPr="006B0439" w:rsidRDefault="00C76881" w:rsidP="00E91420">
                  <w:pPr>
                    <w:pStyle w:val="Header"/>
                    <w:tabs>
                      <w:tab w:val="left" w:pos="284"/>
                      <w:tab w:val="left" w:pos="540"/>
                      <w:tab w:val="left" w:pos="569"/>
                    </w:tabs>
                    <w:jc w:val="center"/>
                    <w:rPr>
                      <w:bCs/>
                      <w:sz w:val="22"/>
                      <w:szCs w:val="22"/>
                      <w:lang w:val="sr-Latn-CS"/>
                    </w:rPr>
                  </w:pPr>
                </w:p>
                <w:p w:rsidR="00C76881" w:rsidRPr="006B0439" w:rsidRDefault="00C76881" w:rsidP="00E91420">
                  <w:pPr>
                    <w:pStyle w:val="Header"/>
                    <w:tabs>
                      <w:tab w:val="left" w:pos="284"/>
                      <w:tab w:val="left" w:pos="540"/>
                      <w:tab w:val="left" w:pos="569"/>
                    </w:tabs>
                    <w:jc w:val="center"/>
                    <w:rPr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Cs/>
                      <w:sz w:val="22"/>
                      <w:szCs w:val="22"/>
                      <w:lang w:val="sr-Latn-CS"/>
                    </w:rPr>
                    <w:t>6,5</w:t>
                  </w:r>
                </w:p>
              </w:tc>
              <w:tc>
                <w:tcPr>
                  <w:tcW w:w="12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6881" w:rsidRPr="006B0439" w:rsidRDefault="00C76881" w:rsidP="00E91420">
                  <w:pPr>
                    <w:pStyle w:val="Header"/>
                    <w:tabs>
                      <w:tab w:val="left" w:pos="284"/>
                      <w:tab w:val="left" w:pos="540"/>
                      <w:tab w:val="left" w:pos="569"/>
                    </w:tabs>
                    <w:jc w:val="center"/>
                    <w:rPr>
                      <w:bCs/>
                      <w:sz w:val="22"/>
                      <w:szCs w:val="22"/>
                      <w:lang w:val="sr-Latn-CS"/>
                    </w:rPr>
                  </w:pPr>
                </w:p>
                <w:p w:rsidR="00C76881" w:rsidRPr="006B0439" w:rsidRDefault="00C76881" w:rsidP="00E91420">
                  <w:pPr>
                    <w:pStyle w:val="Header"/>
                    <w:tabs>
                      <w:tab w:val="left" w:pos="284"/>
                      <w:tab w:val="left" w:pos="540"/>
                      <w:tab w:val="left" w:pos="569"/>
                    </w:tabs>
                    <w:jc w:val="center"/>
                    <w:rPr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Cs/>
                      <w:sz w:val="22"/>
                      <w:szCs w:val="22"/>
                      <w:lang w:val="sr-Latn-CS"/>
                    </w:rPr>
                    <w:t>p = 0,0001</w:t>
                  </w:r>
                </w:p>
              </w:tc>
              <w:tc>
                <w:tcPr>
                  <w:tcW w:w="12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6881" w:rsidRPr="006B0439" w:rsidRDefault="00C76881" w:rsidP="00E91420">
                  <w:pPr>
                    <w:pStyle w:val="Header"/>
                    <w:tabs>
                      <w:tab w:val="left" w:pos="284"/>
                      <w:tab w:val="left" w:pos="540"/>
                      <w:tab w:val="left" w:pos="569"/>
                    </w:tabs>
                    <w:jc w:val="center"/>
                    <w:rPr>
                      <w:bCs/>
                      <w:sz w:val="22"/>
                      <w:szCs w:val="22"/>
                      <w:lang w:val="sr-Latn-CS"/>
                    </w:rPr>
                  </w:pPr>
                </w:p>
                <w:p w:rsidR="00C76881" w:rsidRPr="006B0439" w:rsidRDefault="00C76881" w:rsidP="00E91420">
                  <w:pPr>
                    <w:pStyle w:val="Header"/>
                    <w:tabs>
                      <w:tab w:val="left" w:pos="284"/>
                      <w:tab w:val="left" w:pos="540"/>
                      <w:tab w:val="left" w:pos="569"/>
                    </w:tabs>
                    <w:jc w:val="center"/>
                    <w:rPr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Cs/>
                      <w:sz w:val="22"/>
                      <w:szCs w:val="22"/>
                      <w:lang w:val="sr-Latn-CS"/>
                    </w:rPr>
                    <w:t>10,8 *</w:t>
                  </w:r>
                </w:p>
              </w:tc>
              <w:tc>
                <w:tcPr>
                  <w:tcW w:w="12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6881" w:rsidRPr="006B0439" w:rsidRDefault="00C76881" w:rsidP="00E91420">
                  <w:pPr>
                    <w:pStyle w:val="Header"/>
                    <w:tabs>
                      <w:tab w:val="left" w:pos="284"/>
                      <w:tab w:val="left" w:pos="540"/>
                      <w:tab w:val="left" w:pos="569"/>
                    </w:tabs>
                    <w:jc w:val="center"/>
                    <w:rPr>
                      <w:bCs/>
                      <w:sz w:val="22"/>
                      <w:szCs w:val="22"/>
                      <w:lang w:val="sr-Latn-CS"/>
                    </w:rPr>
                  </w:pPr>
                </w:p>
                <w:p w:rsidR="00C76881" w:rsidRPr="006B0439" w:rsidRDefault="00C76881" w:rsidP="00E91420">
                  <w:pPr>
                    <w:pStyle w:val="Header"/>
                    <w:tabs>
                      <w:tab w:val="left" w:pos="284"/>
                      <w:tab w:val="left" w:pos="540"/>
                      <w:tab w:val="left" w:pos="569"/>
                    </w:tabs>
                    <w:jc w:val="center"/>
                    <w:rPr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Cs/>
                      <w:sz w:val="22"/>
                      <w:szCs w:val="22"/>
                      <w:lang w:val="sr-Latn-CS"/>
                    </w:rPr>
                    <w:t>8,5</w:t>
                  </w:r>
                </w:p>
              </w:tc>
              <w:tc>
                <w:tcPr>
                  <w:tcW w:w="12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6881" w:rsidRPr="006B0439" w:rsidRDefault="00C76881" w:rsidP="00E91420">
                  <w:pPr>
                    <w:pStyle w:val="Header"/>
                    <w:tabs>
                      <w:tab w:val="left" w:pos="284"/>
                      <w:tab w:val="left" w:pos="540"/>
                      <w:tab w:val="left" w:pos="569"/>
                    </w:tabs>
                    <w:jc w:val="center"/>
                    <w:rPr>
                      <w:bCs/>
                      <w:sz w:val="22"/>
                      <w:szCs w:val="22"/>
                      <w:lang w:val="sr-Latn-CS"/>
                    </w:rPr>
                  </w:pPr>
                </w:p>
                <w:p w:rsidR="00C76881" w:rsidRPr="006B0439" w:rsidRDefault="00C76881" w:rsidP="00E91420">
                  <w:pPr>
                    <w:pStyle w:val="Header"/>
                    <w:tabs>
                      <w:tab w:val="left" w:pos="284"/>
                      <w:tab w:val="left" w:pos="540"/>
                      <w:tab w:val="left" w:pos="569"/>
                    </w:tabs>
                    <w:jc w:val="center"/>
                    <w:rPr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Cs/>
                      <w:sz w:val="22"/>
                      <w:szCs w:val="22"/>
                      <w:lang w:val="sr-Latn-CS"/>
                    </w:rPr>
                    <w:t>p = 0,0351</w:t>
                  </w:r>
                </w:p>
              </w:tc>
            </w:tr>
          </w:tbl>
          <w:p w:rsidR="00C76881" w:rsidRPr="006B0439" w:rsidRDefault="00C76881" w:rsidP="00C76881">
            <w:pPr>
              <w:pStyle w:val="Header"/>
              <w:tabs>
                <w:tab w:val="left" w:pos="284"/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CS"/>
              </w:rPr>
            </w:pPr>
          </w:p>
          <w:p w:rsidR="00C76881" w:rsidRPr="006B0439" w:rsidRDefault="00C76881" w:rsidP="00C76881">
            <w:pPr>
              <w:pStyle w:val="Header"/>
              <w:tabs>
                <w:tab w:val="left" w:pos="284"/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CS"/>
              </w:rPr>
            </w:pPr>
            <w:r w:rsidRPr="006B0439">
              <w:rPr>
                <w:bCs/>
                <w:sz w:val="22"/>
                <w:szCs w:val="22"/>
                <w:lang w:val="sr-Latn-CS"/>
              </w:rPr>
              <w:t xml:space="preserve">NP – nije primjenljivo; </w:t>
            </w:r>
          </w:p>
          <w:p w:rsidR="00C76881" w:rsidRPr="006B0439" w:rsidRDefault="00C76881" w:rsidP="00C76881">
            <w:pPr>
              <w:pStyle w:val="Header"/>
              <w:tabs>
                <w:tab w:val="left" w:pos="284"/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CS"/>
              </w:rPr>
            </w:pPr>
            <w:r w:rsidRPr="006B0439">
              <w:rPr>
                <w:bCs/>
                <w:sz w:val="22"/>
                <w:szCs w:val="22"/>
                <w:lang w:val="sr-Latn-CS"/>
              </w:rPr>
              <w:t>*: statistički značajna razlika</w:t>
            </w:r>
          </w:p>
          <w:p w:rsidR="00C76881" w:rsidRPr="006B0439" w:rsidRDefault="00C76881" w:rsidP="00C76881">
            <w:pPr>
              <w:pStyle w:val="Header"/>
              <w:tabs>
                <w:tab w:val="left" w:pos="284"/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CS"/>
              </w:rPr>
            </w:pPr>
          </w:p>
          <w:p w:rsidR="00C76881" w:rsidRPr="006B0439" w:rsidRDefault="00C76881" w:rsidP="00C76881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CS"/>
              </w:rPr>
            </w:pPr>
            <w:r w:rsidRPr="006B0439">
              <w:rPr>
                <w:bCs/>
                <w:sz w:val="22"/>
                <w:szCs w:val="22"/>
                <w:lang w:val="sr-Latn-CS"/>
              </w:rPr>
              <w:t>U studijama II faze, sprovedenim na 455 pacijenata koji su lijek primali svake tri ned</w:t>
            </w:r>
            <w:r w:rsidR="00CD1BC8" w:rsidRPr="006B0439">
              <w:rPr>
                <w:bCs/>
                <w:sz w:val="22"/>
                <w:szCs w:val="22"/>
                <w:lang w:val="sr-Latn-CS"/>
              </w:rPr>
              <w:t>j</w:t>
            </w:r>
            <w:r w:rsidRPr="006B0439">
              <w:rPr>
                <w:bCs/>
                <w:sz w:val="22"/>
                <w:szCs w:val="22"/>
                <w:lang w:val="sr-Latn-CS"/>
              </w:rPr>
              <w:t>elje (troned</w:t>
            </w:r>
            <w:r w:rsidR="00CD1BC8" w:rsidRPr="006B0439">
              <w:rPr>
                <w:bCs/>
                <w:sz w:val="22"/>
                <w:szCs w:val="22"/>
                <w:lang w:val="sr-Latn-CS"/>
              </w:rPr>
              <w:t>j</w:t>
            </w:r>
            <w:r w:rsidRPr="006B0439">
              <w:rPr>
                <w:bCs/>
                <w:sz w:val="22"/>
                <w:szCs w:val="22"/>
                <w:lang w:val="sr-Latn-CS"/>
              </w:rPr>
              <w:t>eljni režim), preživljavanje bez pogoršanja posl</w:t>
            </w:r>
            <w:r w:rsidR="00CD1BC8" w:rsidRPr="006B0439">
              <w:rPr>
                <w:bCs/>
                <w:sz w:val="22"/>
                <w:szCs w:val="22"/>
                <w:lang w:val="sr-Latn-CS"/>
              </w:rPr>
              <w:t>ij</w:t>
            </w:r>
            <w:r w:rsidRPr="006B0439">
              <w:rPr>
                <w:bCs/>
                <w:sz w:val="22"/>
                <w:szCs w:val="22"/>
                <w:lang w:val="sr-Latn-CS"/>
              </w:rPr>
              <w:t>e 6 mjeseci iznosilo je 30%, a medijana preživljavanja 9 mjeseci. Medijana do pojave pogoršanja iznosila je 18 ned</w:t>
            </w:r>
            <w:r w:rsidR="00E91420" w:rsidRPr="006B0439">
              <w:rPr>
                <w:bCs/>
                <w:sz w:val="22"/>
                <w:szCs w:val="22"/>
                <w:lang w:val="sr-Latn-CS"/>
              </w:rPr>
              <w:t>j</w:t>
            </w:r>
            <w:r w:rsidRPr="006B0439">
              <w:rPr>
                <w:bCs/>
                <w:sz w:val="22"/>
                <w:szCs w:val="22"/>
                <w:lang w:val="sr-Latn-CS"/>
              </w:rPr>
              <w:t>elja.</w:t>
            </w:r>
          </w:p>
          <w:p w:rsidR="00C76881" w:rsidRPr="006B0439" w:rsidRDefault="00C76881" w:rsidP="00C76881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CS"/>
              </w:rPr>
            </w:pPr>
            <w:r w:rsidRPr="006B0439">
              <w:rPr>
                <w:bCs/>
                <w:sz w:val="22"/>
                <w:szCs w:val="22"/>
                <w:lang w:val="sr-Latn-CS"/>
              </w:rPr>
              <w:lastRenderedPageBreak/>
              <w:t>Osim toga, nekomparativne studije II faze sprovedene su na 304 pacijenata koji su lijek primali svake ned</w:t>
            </w:r>
            <w:r w:rsidR="00CD1BC8" w:rsidRPr="006B0439">
              <w:rPr>
                <w:bCs/>
                <w:sz w:val="22"/>
                <w:szCs w:val="22"/>
                <w:lang w:val="sr-Latn-CS"/>
              </w:rPr>
              <w:t>j</w:t>
            </w:r>
            <w:r w:rsidRPr="006B0439">
              <w:rPr>
                <w:bCs/>
                <w:sz w:val="22"/>
                <w:szCs w:val="22"/>
                <w:lang w:val="sr-Latn-CS"/>
              </w:rPr>
              <w:t>elje (nedeljni režim) u dozi od 125 mg/m2 putem i.v. infuzije tokom 90 min, tokom 4 uzastopne nedelje, sa 2 ned</w:t>
            </w:r>
            <w:r w:rsidR="00CD1BC8" w:rsidRPr="006B0439">
              <w:rPr>
                <w:bCs/>
                <w:sz w:val="22"/>
                <w:szCs w:val="22"/>
                <w:lang w:val="sr-Latn-CS"/>
              </w:rPr>
              <w:t>j</w:t>
            </w:r>
            <w:r w:rsidRPr="006B0439">
              <w:rPr>
                <w:bCs/>
                <w:sz w:val="22"/>
                <w:szCs w:val="22"/>
                <w:lang w:val="sr-Latn-CS"/>
              </w:rPr>
              <w:t>elje pauze. U ovim studijama, medijana do pojave pogoršanja iznosila je 17 nedelja i medijana preživljavanja 10 mjeseci. Sličan bezb</w:t>
            </w:r>
            <w:r w:rsidR="00CD1BC8" w:rsidRPr="006B0439">
              <w:rPr>
                <w:bCs/>
                <w:sz w:val="22"/>
                <w:szCs w:val="22"/>
                <w:lang w:val="sr-Latn-CS"/>
              </w:rPr>
              <w:t>j</w:t>
            </w:r>
            <w:r w:rsidRPr="006B0439">
              <w:rPr>
                <w:bCs/>
                <w:sz w:val="22"/>
                <w:szCs w:val="22"/>
                <w:lang w:val="sr-Latn-CS"/>
              </w:rPr>
              <w:t>ednosni profil primjećen je kada je lijek prim</w:t>
            </w:r>
            <w:r w:rsidR="00CD1BC8" w:rsidRPr="006B0439">
              <w:rPr>
                <w:bCs/>
                <w:sz w:val="22"/>
                <w:szCs w:val="22"/>
                <w:lang w:val="sr-Latn-CS"/>
              </w:rPr>
              <w:t>j</w:t>
            </w:r>
            <w:r w:rsidRPr="006B0439">
              <w:rPr>
                <w:bCs/>
                <w:sz w:val="22"/>
                <w:szCs w:val="22"/>
                <w:lang w:val="sr-Latn-CS"/>
              </w:rPr>
              <w:t>enjivan jednom ned</w:t>
            </w:r>
            <w:r w:rsidR="00CD1BC8" w:rsidRPr="006B0439">
              <w:rPr>
                <w:bCs/>
                <w:sz w:val="22"/>
                <w:szCs w:val="22"/>
                <w:lang w:val="sr-Latn-CS"/>
              </w:rPr>
              <w:t>j</w:t>
            </w:r>
            <w:r w:rsidRPr="006B0439">
              <w:rPr>
                <w:bCs/>
                <w:sz w:val="22"/>
                <w:szCs w:val="22"/>
                <w:lang w:val="sr-Latn-CS"/>
              </w:rPr>
              <w:t>eljno (ned</w:t>
            </w:r>
            <w:r w:rsidR="00CD1BC8" w:rsidRPr="006B0439">
              <w:rPr>
                <w:bCs/>
                <w:sz w:val="22"/>
                <w:szCs w:val="22"/>
                <w:lang w:val="sr-Latn-CS"/>
              </w:rPr>
              <w:t>j</w:t>
            </w:r>
            <w:r w:rsidRPr="006B0439">
              <w:rPr>
                <w:bCs/>
                <w:sz w:val="22"/>
                <w:szCs w:val="22"/>
                <w:lang w:val="sr-Latn-CS"/>
              </w:rPr>
              <w:t>eljni režim) u početnoj dozi od 125 mg/m2 (studija na 193 pacijenata), u odnosu na tronedeljni režim. Medijana do pojave prve tečne stolice bila je 11 dana.</w:t>
            </w:r>
          </w:p>
          <w:p w:rsidR="00C76881" w:rsidRPr="006B0439" w:rsidRDefault="00C76881" w:rsidP="00C76881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CS"/>
              </w:rPr>
            </w:pPr>
          </w:p>
          <w:p w:rsidR="00C76881" w:rsidRPr="006B0439" w:rsidRDefault="00C76881" w:rsidP="00C76881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sz w:val="22"/>
                <w:szCs w:val="22"/>
                <w:lang w:val="sr-Latn-CS"/>
              </w:rPr>
            </w:pPr>
            <w:r w:rsidRPr="006B0439">
              <w:rPr>
                <w:b/>
                <w:bCs/>
                <w:sz w:val="22"/>
                <w:szCs w:val="22"/>
                <w:lang w:val="sr-Latn-CS"/>
              </w:rPr>
              <w:t>U kombinovanoj terapiji sa cetuksimabom posl</w:t>
            </w:r>
            <w:r w:rsidR="00CD1BC8" w:rsidRPr="006B0439">
              <w:rPr>
                <w:b/>
                <w:bCs/>
                <w:sz w:val="22"/>
                <w:szCs w:val="22"/>
                <w:lang w:val="sr-Latn-CS"/>
              </w:rPr>
              <w:t>ij</w:t>
            </w:r>
            <w:r w:rsidRPr="006B0439">
              <w:rPr>
                <w:b/>
                <w:bCs/>
                <w:sz w:val="22"/>
                <w:szCs w:val="22"/>
                <w:lang w:val="sr-Latn-CS"/>
              </w:rPr>
              <w:t>e neuspeha citotoksične terapije koja je uključivala irinotekan</w:t>
            </w:r>
          </w:p>
          <w:p w:rsidR="00C76881" w:rsidRPr="006B0439" w:rsidRDefault="00C76881" w:rsidP="00C76881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CS"/>
              </w:rPr>
            </w:pPr>
          </w:p>
          <w:p w:rsidR="00C76881" w:rsidRPr="006B0439" w:rsidRDefault="00C76881" w:rsidP="00C76881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CS"/>
              </w:rPr>
            </w:pPr>
            <w:r w:rsidRPr="006B0439">
              <w:rPr>
                <w:bCs/>
                <w:sz w:val="22"/>
                <w:szCs w:val="22"/>
                <w:lang w:val="sr-Latn-CS"/>
              </w:rPr>
              <w:t>Efikasnost kombinacije cetuksimaba i irinotekana ispitivana je u dvije kliničke studije. Kombinovanu terapiju dobilo je ukupno 356 pacijenata sa metastatskim kolorektalnim karcinomom, sa izraženim receptorima za epidermalni faktor rasta (</w:t>
            </w:r>
            <w:r w:rsidRPr="006B0439">
              <w:rPr>
                <w:bCs/>
                <w:i/>
                <w:sz w:val="22"/>
                <w:szCs w:val="22"/>
                <w:lang w:val="sr-Latn-CS"/>
              </w:rPr>
              <w:t>epidermal growth factor receptors</w:t>
            </w:r>
            <w:r w:rsidRPr="006B0439">
              <w:rPr>
                <w:bCs/>
                <w:sz w:val="22"/>
                <w:szCs w:val="22"/>
                <w:lang w:val="sr-Latn-CS"/>
              </w:rPr>
              <w:t xml:space="preserve"> – EGFR), a kod kojih je prethodna primjena citotoksičnog protokola sa irinotekanom bila neuspjšna i koji imaju funkcionalni status po </w:t>
            </w:r>
            <w:r w:rsidRPr="006B0439">
              <w:rPr>
                <w:bCs/>
                <w:i/>
                <w:sz w:val="22"/>
                <w:szCs w:val="22"/>
                <w:lang w:val="sr-Latn-CS"/>
              </w:rPr>
              <w:t>Karnofky</w:t>
            </w:r>
            <w:r w:rsidRPr="006B0439">
              <w:rPr>
                <w:bCs/>
                <w:sz w:val="22"/>
                <w:szCs w:val="22"/>
                <w:lang w:val="sr-Latn-CS"/>
              </w:rPr>
              <w:t xml:space="preserve"> skali najmanje 60, a većina je imala ≥ 80.</w:t>
            </w:r>
          </w:p>
          <w:p w:rsidR="00C76881" w:rsidRPr="006B0439" w:rsidRDefault="00C76881" w:rsidP="00C76881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CS"/>
              </w:rPr>
            </w:pPr>
            <w:r w:rsidRPr="006B0439">
              <w:rPr>
                <w:bCs/>
                <w:sz w:val="22"/>
                <w:szCs w:val="22"/>
                <w:lang w:val="sr-Latn-CS"/>
              </w:rPr>
              <w:t>EMR 62 202-007: U ovoj randomiziranoj studiji upoređivana je kombinacija cetuksimaba i irinotekana (218 pacijenata) sa monoterapijom cetuksimabom (111 pacijenata).</w:t>
            </w:r>
          </w:p>
          <w:p w:rsidR="00C76881" w:rsidRPr="006B0439" w:rsidRDefault="00C76881" w:rsidP="00C76881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CS"/>
              </w:rPr>
            </w:pPr>
            <w:r w:rsidRPr="006B0439">
              <w:rPr>
                <w:bCs/>
                <w:sz w:val="22"/>
                <w:szCs w:val="22"/>
                <w:lang w:val="sr-Latn-CS"/>
              </w:rPr>
              <w:t>IMCL CP02-9923: U ovoj otvorenoj studiji sa jednom terapijskom grupom ispitana je kombinovana terapija na 138 pacijenata. Podaci o efikasnosti lijekova iz ovih studija prikazani su u sl</w:t>
            </w:r>
            <w:r w:rsidR="00CD1BC8" w:rsidRPr="006B0439">
              <w:rPr>
                <w:bCs/>
                <w:sz w:val="22"/>
                <w:szCs w:val="22"/>
                <w:lang w:val="sr-Latn-CS"/>
              </w:rPr>
              <w:t>j</w:t>
            </w:r>
            <w:r w:rsidRPr="006B0439">
              <w:rPr>
                <w:bCs/>
                <w:sz w:val="22"/>
                <w:szCs w:val="22"/>
                <w:lang w:val="sr-Latn-CS"/>
              </w:rPr>
              <w:t>edećoj tabeli:</w:t>
            </w:r>
          </w:p>
          <w:p w:rsidR="00C76881" w:rsidRPr="006B0439" w:rsidRDefault="00C76881" w:rsidP="00C76881">
            <w:pPr>
              <w:pStyle w:val="Header"/>
              <w:tabs>
                <w:tab w:val="left" w:pos="284"/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CS"/>
              </w:rPr>
            </w:pPr>
          </w:p>
          <w:tbl>
            <w:tblPr>
              <w:tblW w:w="0" w:type="auto"/>
              <w:tblInd w:w="10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18"/>
              <w:gridCol w:w="708"/>
              <w:gridCol w:w="851"/>
              <w:gridCol w:w="142"/>
              <w:gridCol w:w="850"/>
              <w:gridCol w:w="992"/>
              <w:gridCol w:w="851"/>
              <w:gridCol w:w="36"/>
              <w:gridCol w:w="1098"/>
              <w:gridCol w:w="992"/>
              <w:gridCol w:w="1100"/>
              <w:gridCol w:w="34"/>
              <w:gridCol w:w="992"/>
            </w:tblGrid>
            <w:tr w:rsidR="00C76881" w:rsidRPr="006B0439" w:rsidTr="00C76881">
              <w:trPr>
                <w:trHeight w:hRule="exact" w:val="561"/>
              </w:trPr>
              <w:tc>
                <w:tcPr>
                  <w:tcW w:w="918" w:type="dxa"/>
                  <w:tcBorders>
                    <w:top w:val="single" w:sz="1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spacing w:before="9"/>
                    <w:ind w:left="95" w:right="-20"/>
                    <w:jc w:val="both"/>
                    <w:rPr>
                      <w:b/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/>
                      <w:bCs/>
                      <w:sz w:val="22"/>
                      <w:szCs w:val="22"/>
                      <w:lang w:val="sr-Latn-CS"/>
                    </w:rPr>
                    <w:t>Studija</w:t>
                  </w:r>
                </w:p>
              </w:tc>
              <w:tc>
                <w:tcPr>
                  <w:tcW w:w="708" w:type="dxa"/>
                  <w:tcBorders>
                    <w:top w:val="single" w:sz="1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spacing w:before="9"/>
                    <w:ind w:left="136" w:right="120"/>
                    <w:jc w:val="both"/>
                    <w:rPr>
                      <w:b/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/>
                      <w:bCs/>
                      <w:sz w:val="22"/>
                      <w:szCs w:val="22"/>
                      <w:lang w:val="sr-Latn-CS"/>
                    </w:rPr>
                    <w:t>N</w:t>
                  </w:r>
                </w:p>
              </w:tc>
              <w:tc>
                <w:tcPr>
                  <w:tcW w:w="1843" w:type="dxa"/>
                  <w:gridSpan w:val="3"/>
                  <w:tcBorders>
                    <w:top w:val="single" w:sz="1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spacing w:before="9"/>
                    <w:ind w:left="638" w:right="619"/>
                    <w:jc w:val="both"/>
                    <w:rPr>
                      <w:b/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/>
                      <w:bCs/>
                      <w:sz w:val="22"/>
                      <w:szCs w:val="22"/>
                      <w:lang w:val="sr-Latn-CS"/>
                    </w:rPr>
                    <w:t>ORR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single" w:sz="1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spacing w:before="9"/>
                    <w:ind w:left="647" w:right="624"/>
                    <w:jc w:val="both"/>
                    <w:rPr>
                      <w:b/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/>
                      <w:bCs/>
                      <w:sz w:val="22"/>
                      <w:szCs w:val="22"/>
                      <w:lang w:val="sr-Latn-CS"/>
                    </w:rPr>
                    <w:t>DCR</w:t>
                  </w:r>
                </w:p>
              </w:tc>
              <w:tc>
                <w:tcPr>
                  <w:tcW w:w="2126" w:type="dxa"/>
                  <w:gridSpan w:val="3"/>
                  <w:tcBorders>
                    <w:top w:val="single" w:sz="18" w:space="0" w:color="000000"/>
                    <w:left w:val="single" w:sz="4" w:space="0" w:color="000000"/>
                    <w:bottom w:val="single" w:sz="4" w:space="0" w:color="000000"/>
                    <w:right w:val="single" w:sz="3" w:space="0" w:color="000000"/>
                  </w:tcBorders>
                </w:tcPr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spacing w:before="9"/>
                    <w:ind w:left="330" w:right="-20"/>
                    <w:jc w:val="both"/>
                    <w:rPr>
                      <w:b/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/>
                      <w:bCs/>
                      <w:sz w:val="22"/>
                      <w:szCs w:val="22"/>
                      <w:lang w:val="sr-Latn-CS"/>
                    </w:rPr>
                    <w:t>PFS (mjeseci)</w:t>
                  </w:r>
                </w:p>
              </w:tc>
              <w:tc>
                <w:tcPr>
                  <w:tcW w:w="2126" w:type="dxa"/>
                  <w:gridSpan w:val="3"/>
                  <w:tcBorders>
                    <w:top w:val="single" w:sz="18" w:space="0" w:color="000000"/>
                    <w:left w:val="single" w:sz="3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spacing w:before="9"/>
                    <w:ind w:left="549" w:right="-20"/>
                    <w:jc w:val="both"/>
                    <w:rPr>
                      <w:b/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/>
                      <w:bCs/>
                      <w:sz w:val="22"/>
                      <w:szCs w:val="22"/>
                      <w:lang w:val="sr-Latn-CS"/>
                    </w:rPr>
                    <w:t>OS (mjeseci)</w:t>
                  </w:r>
                </w:p>
              </w:tc>
            </w:tr>
            <w:tr w:rsidR="00C76881" w:rsidRPr="006B0439" w:rsidTr="00E91420">
              <w:trPr>
                <w:trHeight w:hRule="exact" w:val="662"/>
              </w:trPr>
              <w:tc>
                <w:tcPr>
                  <w:tcW w:w="9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jc w:val="both"/>
                    <w:rPr>
                      <w:bCs/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jc w:val="both"/>
                    <w:rPr>
                      <w:bCs/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3" w:space="0" w:color="000000"/>
                  </w:tcBorders>
                </w:tcPr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spacing w:before="4"/>
                    <w:ind w:left="189" w:right="-20"/>
                    <w:jc w:val="both"/>
                    <w:rPr>
                      <w:b/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/>
                      <w:bCs/>
                      <w:sz w:val="22"/>
                      <w:szCs w:val="22"/>
                      <w:lang w:val="sr-Latn-CS"/>
                    </w:rPr>
                    <w:t>n (%)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0"/>
                    <w:left w:val="single" w:sz="3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spacing w:before="4"/>
                    <w:ind w:left="126" w:right="-20"/>
                    <w:jc w:val="both"/>
                    <w:rPr>
                      <w:b/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/>
                      <w:bCs/>
                      <w:sz w:val="22"/>
                      <w:szCs w:val="22"/>
                      <w:lang w:val="sr-Latn-CS"/>
                    </w:rPr>
                    <w:t>95%IP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spacing w:before="4"/>
                    <w:ind w:left="193" w:right="-20"/>
                    <w:jc w:val="both"/>
                    <w:rPr>
                      <w:b/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/>
                      <w:bCs/>
                      <w:sz w:val="22"/>
                      <w:szCs w:val="22"/>
                      <w:lang w:val="sr-Latn-CS"/>
                    </w:rPr>
                    <w:t>n (%)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spacing w:before="4"/>
                    <w:ind w:left="126" w:right="-20"/>
                    <w:jc w:val="both"/>
                    <w:rPr>
                      <w:b/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/>
                      <w:bCs/>
                      <w:sz w:val="22"/>
                      <w:szCs w:val="22"/>
                      <w:lang w:val="sr-Latn-CS"/>
                    </w:rPr>
                    <w:t>95%IP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spacing w:before="4"/>
                    <w:ind w:left="119" w:right="-20"/>
                    <w:jc w:val="both"/>
                    <w:rPr>
                      <w:b/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/>
                      <w:bCs/>
                      <w:sz w:val="22"/>
                      <w:szCs w:val="22"/>
                      <w:lang w:val="sr-Latn-CS"/>
                    </w:rPr>
                    <w:t>Medijana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3" w:space="0" w:color="000000"/>
                  </w:tcBorders>
                </w:tcPr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spacing w:before="4" w:line="245" w:lineRule="auto"/>
                    <w:ind w:left="239" w:right="95" w:hanging="91"/>
                    <w:jc w:val="both"/>
                    <w:rPr>
                      <w:b/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/>
                      <w:bCs/>
                      <w:sz w:val="22"/>
                      <w:szCs w:val="22"/>
                      <w:lang w:val="sr-Latn-CS"/>
                    </w:rPr>
                    <w:t>95% IP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000000"/>
                    <w:left w:val="single" w:sz="3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spacing w:before="4"/>
                    <w:ind w:left="141" w:right="-20"/>
                    <w:jc w:val="both"/>
                    <w:rPr>
                      <w:b/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/>
                      <w:bCs/>
                      <w:sz w:val="22"/>
                      <w:szCs w:val="22"/>
                      <w:lang w:val="sr-Latn-CS"/>
                    </w:rPr>
                    <w:t>Medijana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spacing w:before="4"/>
                    <w:ind w:left="179" w:right="-20"/>
                    <w:jc w:val="both"/>
                    <w:rPr>
                      <w:b/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/>
                      <w:bCs/>
                      <w:sz w:val="22"/>
                      <w:szCs w:val="22"/>
                      <w:lang w:val="sr-Latn-CS"/>
                    </w:rPr>
                    <w:t>95%IP</w:t>
                  </w:r>
                </w:p>
              </w:tc>
            </w:tr>
            <w:tr w:rsidR="00C76881" w:rsidRPr="006B0439" w:rsidTr="00C76881">
              <w:trPr>
                <w:trHeight w:hRule="exact" w:val="338"/>
              </w:trPr>
              <w:tc>
                <w:tcPr>
                  <w:tcW w:w="9564" w:type="dxa"/>
                  <w:gridSpan w:val="1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6881" w:rsidRPr="006B0439" w:rsidRDefault="00C76881" w:rsidP="00C76881">
                  <w:pPr>
                    <w:tabs>
                      <w:tab w:val="left" w:pos="540"/>
                      <w:tab w:val="left" w:pos="569"/>
                    </w:tabs>
                    <w:spacing w:before="4" w:line="229" w:lineRule="exact"/>
                    <w:ind w:left="3506" w:right="3488"/>
                    <w:jc w:val="both"/>
                    <w:rPr>
                      <w:b/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/>
                      <w:bCs/>
                      <w:sz w:val="22"/>
                      <w:szCs w:val="22"/>
                      <w:lang w:val="sr-Latn-CS"/>
                    </w:rPr>
                    <w:t>Cetuksimab+irinotekan</w:t>
                  </w:r>
                </w:p>
              </w:tc>
            </w:tr>
            <w:tr w:rsidR="00C76881" w:rsidRPr="006B0439" w:rsidTr="00E91420">
              <w:trPr>
                <w:trHeight w:hRule="exact" w:val="725"/>
              </w:trPr>
              <w:tc>
                <w:tcPr>
                  <w:tcW w:w="9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6881" w:rsidRPr="006B0439" w:rsidRDefault="00C76881" w:rsidP="00E91420">
                  <w:pPr>
                    <w:tabs>
                      <w:tab w:val="left" w:pos="540"/>
                      <w:tab w:val="left" w:pos="569"/>
                    </w:tabs>
                    <w:spacing w:line="229" w:lineRule="exact"/>
                    <w:ind w:left="95" w:right="-20"/>
                    <w:jc w:val="center"/>
                    <w:rPr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Cs/>
                      <w:sz w:val="22"/>
                      <w:szCs w:val="22"/>
                      <w:lang w:val="sr-Latn-CS"/>
                    </w:rPr>
                    <w:t>EMR      62</w:t>
                  </w:r>
                </w:p>
                <w:p w:rsidR="00C76881" w:rsidRPr="006B0439" w:rsidRDefault="00C76881" w:rsidP="00E91420">
                  <w:pPr>
                    <w:tabs>
                      <w:tab w:val="left" w:pos="540"/>
                      <w:tab w:val="left" w:pos="569"/>
                    </w:tabs>
                    <w:spacing w:before="10"/>
                    <w:ind w:left="95" w:right="-20"/>
                    <w:jc w:val="center"/>
                    <w:rPr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Cs/>
                      <w:sz w:val="22"/>
                      <w:szCs w:val="22"/>
                      <w:lang w:val="sr-Latn-CS"/>
                    </w:rPr>
                    <w:t>202-007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6881" w:rsidRPr="006B0439" w:rsidRDefault="00C76881" w:rsidP="00E91420">
                  <w:pPr>
                    <w:tabs>
                      <w:tab w:val="left" w:pos="540"/>
                      <w:tab w:val="left" w:pos="569"/>
                    </w:tabs>
                    <w:spacing w:before="19" w:line="220" w:lineRule="exact"/>
                    <w:jc w:val="center"/>
                    <w:rPr>
                      <w:bCs/>
                      <w:sz w:val="22"/>
                      <w:szCs w:val="22"/>
                      <w:lang w:val="sr-Latn-CS"/>
                    </w:rPr>
                  </w:pPr>
                </w:p>
                <w:p w:rsidR="00C76881" w:rsidRPr="006B0439" w:rsidRDefault="00C76881" w:rsidP="00E91420">
                  <w:pPr>
                    <w:tabs>
                      <w:tab w:val="left" w:pos="540"/>
                      <w:tab w:val="left" w:pos="569"/>
                    </w:tabs>
                    <w:ind w:left="107" w:right="89"/>
                    <w:jc w:val="center"/>
                    <w:rPr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Cs/>
                      <w:sz w:val="22"/>
                      <w:szCs w:val="22"/>
                      <w:lang w:val="sr-Latn-CS"/>
                    </w:rPr>
                    <w:t>218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3" w:space="0" w:color="000000"/>
                  </w:tcBorders>
                </w:tcPr>
                <w:p w:rsidR="00C76881" w:rsidRPr="006B0439" w:rsidRDefault="00C76881" w:rsidP="00E91420">
                  <w:pPr>
                    <w:tabs>
                      <w:tab w:val="left" w:pos="540"/>
                      <w:tab w:val="left" w:pos="569"/>
                    </w:tabs>
                    <w:spacing w:before="19" w:line="220" w:lineRule="exact"/>
                    <w:jc w:val="center"/>
                    <w:rPr>
                      <w:bCs/>
                      <w:sz w:val="22"/>
                      <w:szCs w:val="22"/>
                      <w:lang w:val="sr-Latn-CS"/>
                    </w:rPr>
                  </w:pPr>
                </w:p>
                <w:p w:rsidR="00C76881" w:rsidRPr="006B0439" w:rsidRDefault="00C76881" w:rsidP="00E91420">
                  <w:pPr>
                    <w:tabs>
                      <w:tab w:val="left" w:pos="540"/>
                      <w:tab w:val="left" w:pos="569"/>
                    </w:tabs>
                    <w:spacing w:line="247" w:lineRule="auto"/>
                    <w:ind w:left="196" w:right="147" w:firstLine="146"/>
                    <w:jc w:val="center"/>
                    <w:rPr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Cs/>
                      <w:sz w:val="22"/>
                      <w:szCs w:val="22"/>
                      <w:lang w:val="sr-Latn-CS"/>
                    </w:rPr>
                    <w:t>50 (22,9)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3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6881" w:rsidRPr="006B0439" w:rsidRDefault="00C76881" w:rsidP="00E91420">
                  <w:pPr>
                    <w:tabs>
                      <w:tab w:val="left" w:pos="540"/>
                      <w:tab w:val="left" w:pos="569"/>
                    </w:tabs>
                    <w:spacing w:before="19" w:line="220" w:lineRule="exact"/>
                    <w:jc w:val="center"/>
                    <w:rPr>
                      <w:bCs/>
                      <w:sz w:val="22"/>
                      <w:szCs w:val="22"/>
                      <w:lang w:val="sr-Latn-CS"/>
                    </w:rPr>
                  </w:pPr>
                </w:p>
                <w:p w:rsidR="00C76881" w:rsidRPr="006B0439" w:rsidRDefault="00C76881" w:rsidP="00E91420">
                  <w:pPr>
                    <w:tabs>
                      <w:tab w:val="left" w:pos="540"/>
                      <w:tab w:val="left" w:pos="569"/>
                    </w:tabs>
                    <w:ind w:right="-20"/>
                    <w:rPr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Cs/>
                      <w:sz w:val="22"/>
                      <w:szCs w:val="22"/>
                      <w:lang w:val="sr-Latn-CS"/>
                    </w:rPr>
                    <w:t>17,5-29,1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6881" w:rsidRPr="006B0439" w:rsidRDefault="00C76881" w:rsidP="00E91420">
                  <w:pPr>
                    <w:tabs>
                      <w:tab w:val="left" w:pos="540"/>
                      <w:tab w:val="left" w:pos="569"/>
                    </w:tabs>
                    <w:spacing w:before="19" w:line="220" w:lineRule="exact"/>
                    <w:jc w:val="center"/>
                    <w:rPr>
                      <w:bCs/>
                      <w:sz w:val="22"/>
                      <w:szCs w:val="22"/>
                      <w:lang w:val="sr-Latn-CS"/>
                    </w:rPr>
                  </w:pPr>
                </w:p>
                <w:p w:rsidR="00C76881" w:rsidRPr="006B0439" w:rsidRDefault="00C76881" w:rsidP="00E91420">
                  <w:pPr>
                    <w:tabs>
                      <w:tab w:val="left" w:pos="540"/>
                      <w:tab w:val="left" w:pos="569"/>
                    </w:tabs>
                    <w:spacing w:line="247" w:lineRule="auto"/>
                    <w:ind w:left="201" w:right="144" w:firstLine="94"/>
                    <w:jc w:val="center"/>
                    <w:rPr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Cs/>
                      <w:sz w:val="22"/>
                      <w:szCs w:val="22"/>
                      <w:lang w:val="sr-Latn-CS"/>
                    </w:rPr>
                    <w:t>121 (55,5</w:t>
                  </w:r>
                  <w:r w:rsidR="00E91420" w:rsidRPr="006B0439">
                    <w:rPr>
                      <w:bCs/>
                      <w:sz w:val="22"/>
                      <w:szCs w:val="22"/>
                      <w:lang w:val="sr-Latn-CS"/>
                    </w:rPr>
                    <w:t>)</w:t>
                  </w:r>
                </w:p>
              </w:tc>
              <w:tc>
                <w:tcPr>
                  <w:tcW w:w="88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6881" w:rsidRPr="006B0439" w:rsidRDefault="00C76881" w:rsidP="00E91420">
                  <w:pPr>
                    <w:tabs>
                      <w:tab w:val="left" w:pos="540"/>
                      <w:tab w:val="left" w:pos="569"/>
                    </w:tabs>
                    <w:spacing w:before="19" w:line="220" w:lineRule="exact"/>
                    <w:jc w:val="center"/>
                    <w:rPr>
                      <w:bCs/>
                      <w:sz w:val="22"/>
                      <w:szCs w:val="22"/>
                      <w:lang w:val="sr-Latn-CS"/>
                    </w:rPr>
                  </w:pPr>
                </w:p>
                <w:p w:rsidR="00C76881" w:rsidRPr="006B0439" w:rsidRDefault="00C76881" w:rsidP="00E91420">
                  <w:pPr>
                    <w:tabs>
                      <w:tab w:val="left" w:pos="540"/>
                      <w:tab w:val="left" w:pos="569"/>
                    </w:tabs>
                    <w:ind w:right="-20"/>
                    <w:jc w:val="center"/>
                    <w:rPr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Cs/>
                      <w:sz w:val="22"/>
                      <w:szCs w:val="22"/>
                      <w:lang w:val="sr-Latn-CS"/>
                    </w:rPr>
                    <w:t>48,6-62,2</w:t>
                  </w:r>
                </w:p>
              </w:tc>
              <w:tc>
                <w:tcPr>
                  <w:tcW w:w="10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6881" w:rsidRPr="006B0439" w:rsidRDefault="00C76881" w:rsidP="00E91420">
                  <w:pPr>
                    <w:tabs>
                      <w:tab w:val="left" w:pos="540"/>
                      <w:tab w:val="left" w:pos="569"/>
                    </w:tabs>
                    <w:spacing w:before="19" w:line="220" w:lineRule="exact"/>
                    <w:jc w:val="center"/>
                    <w:rPr>
                      <w:bCs/>
                      <w:sz w:val="22"/>
                      <w:szCs w:val="22"/>
                      <w:lang w:val="sr-Latn-CS"/>
                    </w:rPr>
                  </w:pPr>
                </w:p>
                <w:p w:rsidR="00C76881" w:rsidRPr="006B0439" w:rsidRDefault="00C76881" w:rsidP="00E91420">
                  <w:pPr>
                    <w:tabs>
                      <w:tab w:val="left" w:pos="540"/>
                      <w:tab w:val="left" w:pos="569"/>
                    </w:tabs>
                    <w:ind w:left="283" w:right="262"/>
                    <w:jc w:val="center"/>
                    <w:rPr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Cs/>
                      <w:sz w:val="22"/>
                      <w:szCs w:val="22"/>
                      <w:lang w:val="sr-Latn-CS"/>
                    </w:rPr>
                    <w:t>4,1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3" w:space="0" w:color="000000"/>
                  </w:tcBorders>
                </w:tcPr>
                <w:p w:rsidR="00C76881" w:rsidRPr="006B0439" w:rsidRDefault="00C76881" w:rsidP="00E91420">
                  <w:pPr>
                    <w:tabs>
                      <w:tab w:val="left" w:pos="540"/>
                      <w:tab w:val="left" w:pos="569"/>
                    </w:tabs>
                    <w:spacing w:before="19" w:line="220" w:lineRule="exact"/>
                    <w:jc w:val="center"/>
                    <w:rPr>
                      <w:bCs/>
                      <w:sz w:val="22"/>
                      <w:szCs w:val="22"/>
                      <w:lang w:val="sr-Latn-CS"/>
                    </w:rPr>
                  </w:pPr>
                </w:p>
                <w:p w:rsidR="00C76881" w:rsidRPr="006B0439" w:rsidRDefault="00C76881" w:rsidP="00E91420">
                  <w:pPr>
                    <w:tabs>
                      <w:tab w:val="left" w:pos="540"/>
                      <w:tab w:val="left" w:pos="569"/>
                    </w:tabs>
                    <w:ind w:left="155" w:right="-20"/>
                    <w:jc w:val="center"/>
                    <w:rPr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Cs/>
                      <w:sz w:val="22"/>
                      <w:szCs w:val="22"/>
                      <w:lang w:val="sr-Latn-CS"/>
                    </w:rPr>
                    <w:t>2,8-4,3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000000"/>
                    <w:left w:val="single" w:sz="3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6881" w:rsidRPr="006B0439" w:rsidRDefault="00C76881" w:rsidP="00E91420">
                  <w:pPr>
                    <w:tabs>
                      <w:tab w:val="left" w:pos="540"/>
                      <w:tab w:val="left" w:pos="569"/>
                    </w:tabs>
                    <w:spacing w:before="19" w:line="220" w:lineRule="exact"/>
                    <w:jc w:val="center"/>
                    <w:rPr>
                      <w:bCs/>
                      <w:sz w:val="22"/>
                      <w:szCs w:val="22"/>
                      <w:lang w:val="sr-Latn-CS"/>
                    </w:rPr>
                  </w:pPr>
                </w:p>
                <w:p w:rsidR="00C76881" w:rsidRPr="006B0439" w:rsidRDefault="00C76881" w:rsidP="00E91420">
                  <w:pPr>
                    <w:tabs>
                      <w:tab w:val="left" w:pos="540"/>
                      <w:tab w:val="left" w:pos="569"/>
                    </w:tabs>
                    <w:ind w:left="285" w:right="262"/>
                    <w:jc w:val="center"/>
                    <w:rPr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Cs/>
                      <w:sz w:val="22"/>
                      <w:szCs w:val="22"/>
                      <w:lang w:val="sr-Latn-CS"/>
                    </w:rPr>
                    <w:t>8,6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6881" w:rsidRPr="006B0439" w:rsidRDefault="00C76881" w:rsidP="00E91420">
                  <w:pPr>
                    <w:tabs>
                      <w:tab w:val="left" w:pos="540"/>
                      <w:tab w:val="left" w:pos="569"/>
                    </w:tabs>
                    <w:spacing w:before="19" w:line="220" w:lineRule="exact"/>
                    <w:jc w:val="center"/>
                    <w:rPr>
                      <w:bCs/>
                      <w:sz w:val="22"/>
                      <w:szCs w:val="22"/>
                      <w:lang w:val="sr-Latn-CS"/>
                    </w:rPr>
                  </w:pPr>
                </w:p>
                <w:p w:rsidR="00C76881" w:rsidRPr="006B0439" w:rsidRDefault="00C76881" w:rsidP="00E91420">
                  <w:pPr>
                    <w:tabs>
                      <w:tab w:val="left" w:pos="540"/>
                      <w:tab w:val="left" w:pos="569"/>
                    </w:tabs>
                    <w:ind w:right="-20"/>
                    <w:jc w:val="center"/>
                    <w:rPr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Cs/>
                      <w:sz w:val="22"/>
                      <w:szCs w:val="22"/>
                      <w:lang w:val="sr-Latn-CS"/>
                    </w:rPr>
                    <w:t>7,6-9,6</w:t>
                  </w:r>
                </w:p>
              </w:tc>
            </w:tr>
            <w:tr w:rsidR="00C76881" w:rsidRPr="006B0439" w:rsidTr="00E91420">
              <w:trPr>
                <w:trHeight w:hRule="exact" w:val="722"/>
              </w:trPr>
              <w:tc>
                <w:tcPr>
                  <w:tcW w:w="9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6881" w:rsidRPr="006B0439" w:rsidRDefault="00C76881" w:rsidP="00E91420">
                  <w:pPr>
                    <w:tabs>
                      <w:tab w:val="left" w:pos="540"/>
                      <w:tab w:val="left" w:pos="569"/>
                    </w:tabs>
                    <w:spacing w:line="229" w:lineRule="exact"/>
                    <w:ind w:left="95" w:right="-20"/>
                    <w:jc w:val="center"/>
                    <w:rPr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Cs/>
                      <w:sz w:val="22"/>
                      <w:szCs w:val="22"/>
                      <w:lang w:val="sr-Latn-CS"/>
                    </w:rPr>
                    <w:t>IMCL</w:t>
                  </w:r>
                </w:p>
                <w:p w:rsidR="00C76881" w:rsidRPr="006B0439" w:rsidRDefault="00C76881" w:rsidP="00E91420">
                  <w:pPr>
                    <w:tabs>
                      <w:tab w:val="left" w:pos="540"/>
                      <w:tab w:val="left" w:pos="569"/>
                    </w:tabs>
                    <w:spacing w:before="7"/>
                    <w:ind w:left="95" w:right="-20"/>
                    <w:jc w:val="center"/>
                    <w:rPr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Cs/>
                      <w:sz w:val="22"/>
                      <w:szCs w:val="22"/>
                      <w:lang w:val="sr-Latn-CS"/>
                    </w:rPr>
                    <w:t>CP02-9923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6881" w:rsidRPr="006B0439" w:rsidRDefault="00C76881" w:rsidP="00E91420">
                  <w:pPr>
                    <w:tabs>
                      <w:tab w:val="left" w:pos="540"/>
                      <w:tab w:val="left" w:pos="569"/>
                    </w:tabs>
                    <w:spacing w:before="17" w:line="220" w:lineRule="exact"/>
                    <w:jc w:val="center"/>
                    <w:rPr>
                      <w:bCs/>
                      <w:sz w:val="22"/>
                      <w:szCs w:val="22"/>
                      <w:lang w:val="sr-Latn-CS"/>
                    </w:rPr>
                  </w:pPr>
                </w:p>
                <w:p w:rsidR="00C76881" w:rsidRPr="006B0439" w:rsidRDefault="00C76881" w:rsidP="00E91420">
                  <w:pPr>
                    <w:tabs>
                      <w:tab w:val="left" w:pos="540"/>
                      <w:tab w:val="left" w:pos="569"/>
                    </w:tabs>
                    <w:ind w:left="107" w:right="89"/>
                    <w:jc w:val="center"/>
                    <w:rPr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Cs/>
                      <w:sz w:val="22"/>
                      <w:szCs w:val="22"/>
                      <w:lang w:val="sr-Latn-CS"/>
                    </w:rPr>
                    <w:t>138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3" w:space="0" w:color="000000"/>
                  </w:tcBorders>
                </w:tcPr>
                <w:p w:rsidR="00C76881" w:rsidRPr="006B0439" w:rsidRDefault="00C76881" w:rsidP="00E91420">
                  <w:pPr>
                    <w:tabs>
                      <w:tab w:val="left" w:pos="540"/>
                      <w:tab w:val="left" w:pos="569"/>
                    </w:tabs>
                    <w:spacing w:before="17" w:line="220" w:lineRule="exact"/>
                    <w:jc w:val="center"/>
                    <w:rPr>
                      <w:bCs/>
                      <w:sz w:val="22"/>
                      <w:szCs w:val="22"/>
                      <w:lang w:val="sr-Latn-CS"/>
                    </w:rPr>
                  </w:pPr>
                </w:p>
                <w:p w:rsidR="00C76881" w:rsidRPr="006B0439" w:rsidRDefault="00C76881" w:rsidP="00E91420">
                  <w:pPr>
                    <w:tabs>
                      <w:tab w:val="left" w:pos="540"/>
                      <w:tab w:val="left" w:pos="569"/>
                    </w:tabs>
                    <w:spacing w:line="245" w:lineRule="auto"/>
                    <w:ind w:left="196" w:right="147" w:firstLine="146"/>
                    <w:jc w:val="center"/>
                    <w:rPr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Cs/>
                      <w:sz w:val="22"/>
                      <w:szCs w:val="22"/>
                      <w:lang w:val="sr-Latn-CS"/>
                    </w:rPr>
                    <w:t>21 (15,2)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3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6881" w:rsidRPr="006B0439" w:rsidRDefault="00C76881" w:rsidP="00E91420">
                  <w:pPr>
                    <w:tabs>
                      <w:tab w:val="left" w:pos="540"/>
                      <w:tab w:val="left" w:pos="569"/>
                    </w:tabs>
                    <w:spacing w:before="17" w:line="220" w:lineRule="exact"/>
                    <w:jc w:val="center"/>
                    <w:rPr>
                      <w:bCs/>
                      <w:sz w:val="22"/>
                      <w:szCs w:val="22"/>
                      <w:lang w:val="sr-Latn-CS"/>
                    </w:rPr>
                  </w:pPr>
                </w:p>
                <w:p w:rsidR="00C76881" w:rsidRPr="006B0439" w:rsidRDefault="00E91420" w:rsidP="00E91420">
                  <w:pPr>
                    <w:tabs>
                      <w:tab w:val="left" w:pos="540"/>
                      <w:tab w:val="left" w:pos="569"/>
                    </w:tabs>
                    <w:ind w:right="-20"/>
                    <w:rPr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Cs/>
                      <w:sz w:val="22"/>
                      <w:szCs w:val="22"/>
                      <w:lang w:val="sr-Latn-CS"/>
                    </w:rPr>
                    <w:t xml:space="preserve"> </w:t>
                  </w:r>
                  <w:r w:rsidR="00C76881" w:rsidRPr="006B0439">
                    <w:rPr>
                      <w:bCs/>
                      <w:sz w:val="22"/>
                      <w:szCs w:val="22"/>
                      <w:lang w:val="sr-Latn-CS"/>
                    </w:rPr>
                    <w:t>9,7-22,3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6881" w:rsidRPr="006B0439" w:rsidRDefault="00C76881" w:rsidP="00E91420">
                  <w:pPr>
                    <w:tabs>
                      <w:tab w:val="left" w:pos="540"/>
                      <w:tab w:val="left" w:pos="569"/>
                    </w:tabs>
                    <w:spacing w:before="17" w:line="220" w:lineRule="exact"/>
                    <w:jc w:val="center"/>
                    <w:rPr>
                      <w:bCs/>
                      <w:sz w:val="22"/>
                      <w:szCs w:val="22"/>
                      <w:lang w:val="sr-Latn-CS"/>
                    </w:rPr>
                  </w:pPr>
                </w:p>
                <w:p w:rsidR="00C76881" w:rsidRPr="006B0439" w:rsidRDefault="00C76881" w:rsidP="00E91420">
                  <w:pPr>
                    <w:tabs>
                      <w:tab w:val="left" w:pos="540"/>
                      <w:tab w:val="left" w:pos="569"/>
                    </w:tabs>
                    <w:spacing w:line="245" w:lineRule="auto"/>
                    <w:ind w:left="201" w:right="144" w:firstLine="146"/>
                    <w:jc w:val="center"/>
                    <w:rPr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Cs/>
                      <w:sz w:val="22"/>
                      <w:szCs w:val="22"/>
                      <w:lang w:val="sr-Latn-CS"/>
                    </w:rPr>
                    <w:t>84 (60,9)</w:t>
                  </w:r>
                </w:p>
              </w:tc>
              <w:tc>
                <w:tcPr>
                  <w:tcW w:w="88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6881" w:rsidRPr="006B0439" w:rsidRDefault="00C76881" w:rsidP="00E91420">
                  <w:pPr>
                    <w:tabs>
                      <w:tab w:val="left" w:pos="540"/>
                      <w:tab w:val="left" w:pos="569"/>
                    </w:tabs>
                    <w:spacing w:before="17" w:line="220" w:lineRule="exact"/>
                    <w:jc w:val="center"/>
                    <w:rPr>
                      <w:bCs/>
                      <w:sz w:val="22"/>
                      <w:szCs w:val="22"/>
                      <w:lang w:val="sr-Latn-CS"/>
                    </w:rPr>
                  </w:pPr>
                </w:p>
                <w:p w:rsidR="00C76881" w:rsidRPr="006B0439" w:rsidRDefault="00C76881" w:rsidP="00E91420">
                  <w:pPr>
                    <w:tabs>
                      <w:tab w:val="left" w:pos="540"/>
                      <w:tab w:val="left" w:pos="569"/>
                    </w:tabs>
                    <w:ind w:right="-20"/>
                    <w:jc w:val="center"/>
                    <w:rPr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Cs/>
                      <w:sz w:val="22"/>
                      <w:szCs w:val="22"/>
                      <w:lang w:val="sr-Latn-CS"/>
                    </w:rPr>
                    <w:t>52,2-69,1</w:t>
                  </w:r>
                </w:p>
              </w:tc>
              <w:tc>
                <w:tcPr>
                  <w:tcW w:w="10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6881" w:rsidRPr="006B0439" w:rsidRDefault="00C76881" w:rsidP="00E91420">
                  <w:pPr>
                    <w:tabs>
                      <w:tab w:val="left" w:pos="540"/>
                      <w:tab w:val="left" w:pos="569"/>
                    </w:tabs>
                    <w:spacing w:before="17" w:line="220" w:lineRule="exact"/>
                    <w:jc w:val="center"/>
                    <w:rPr>
                      <w:bCs/>
                      <w:sz w:val="22"/>
                      <w:szCs w:val="22"/>
                      <w:lang w:val="sr-Latn-CS"/>
                    </w:rPr>
                  </w:pPr>
                </w:p>
                <w:p w:rsidR="00C76881" w:rsidRPr="006B0439" w:rsidRDefault="00C76881" w:rsidP="00E91420">
                  <w:pPr>
                    <w:tabs>
                      <w:tab w:val="left" w:pos="540"/>
                      <w:tab w:val="left" w:pos="569"/>
                    </w:tabs>
                    <w:ind w:left="283" w:right="262"/>
                    <w:jc w:val="center"/>
                    <w:rPr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Cs/>
                      <w:sz w:val="22"/>
                      <w:szCs w:val="22"/>
                      <w:lang w:val="sr-Latn-CS"/>
                    </w:rPr>
                    <w:t>2,9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3" w:space="0" w:color="000000"/>
                  </w:tcBorders>
                </w:tcPr>
                <w:p w:rsidR="00C76881" w:rsidRPr="006B0439" w:rsidRDefault="00C76881" w:rsidP="00E91420">
                  <w:pPr>
                    <w:tabs>
                      <w:tab w:val="left" w:pos="540"/>
                      <w:tab w:val="left" w:pos="569"/>
                    </w:tabs>
                    <w:spacing w:before="17" w:line="220" w:lineRule="exact"/>
                    <w:jc w:val="center"/>
                    <w:rPr>
                      <w:bCs/>
                      <w:sz w:val="22"/>
                      <w:szCs w:val="22"/>
                      <w:lang w:val="sr-Latn-CS"/>
                    </w:rPr>
                  </w:pPr>
                </w:p>
                <w:p w:rsidR="00C76881" w:rsidRPr="006B0439" w:rsidRDefault="00C76881" w:rsidP="00E91420">
                  <w:pPr>
                    <w:tabs>
                      <w:tab w:val="left" w:pos="540"/>
                      <w:tab w:val="left" w:pos="569"/>
                    </w:tabs>
                    <w:ind w:left="155" w:right="-20"/>
                    <w:jc w:val="center"/>
                    <w:rPr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Cs/>
                      <w:sz w:val="22"/>
                      <w:szCs w:val="22"/>
                      <w:lang w:val="sr-Latn-CS"/>
                    </w:rPr>
                    <w:t>2,6-4,1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000000"/>
                    <w:left w:val="single" w:sz="3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6881" w:rsidRPr="006B0439" w:rsidRDefault="00C76881" w:rsidP="00E91420">
                  <w:pPr>
                    <w:tabs>
                      <w:tab w:val="left" w:pos="540"/>
                      <w:tab w:val="left" w:pos="569"/>
                    </w:tabs>
                    <w:spacing w:before="17" w:line="220" w:lineRule="exact"/>
                    <w:jc w:val="center"/>
                    <w:rPr>
                      <w:bCs/>
                      <w:sz w:val="22"/>
                      <w:szCs w:val="22"/>
                      <w:lang w:val="sr-Latn-CS"/>
                    </w:rPr>
                  </w:pPr>
                </w:p>
                <w:p w:rsidR="00C76881" w:rsidRPr="006B0439" w:rsidRDefault="00C76881" w:rsidP="00E91420">
                  <w:pPr>
                    <w:tabs>
                      <w:tab w:val="left" w:pos="540"/>
                      <w:tab w:val="left" w:pos="569"/>
                    </w:tabs>
                    <w:ind w:left="285" w:right="262"/>
                    <w:jc w:val="center"/>
                    <w:rPr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Cs/>
                      <w:sz w:val="22"/>
                      <w:szCs w:val="22"/>
                      <w:lang w:val="sr-Latn-CS"/>
                    </w:rPr>
                    <w:t>8,4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6881" w:rsidRPr="006B0439" w:rsidRDefault="00C76881" w:rsidP="00E91420">
                  <w:pPr>
                    <w:tabs>
                      <w:tab w:val="left" w:pos="540"/>
                      <w:tab w:val="left" w:pos="569"/>
                    </w:tabs>
                    <w:spacing w:before="17" w:line="220" w:lineRule="exact"/>
                    <w:jc w:val="center"/>
                    <w:rPr>
                      <w:bCs/>
                      <w:sz w:val="22"/>
                      <w:szCs w:val="22"/>
                      <w:lang w:val="sr-Latn-CS"/>
                    </w:rPr>
                  </w:pPr>
                </w:p>
                <w:p w:rsidR="00C76881" w:rsidRPr="006B0439" w:rsidRDefault="00C76881" w:rsidP="00E91420">
                  <w:pPr>
                    <w:tabs>
                      <w:tab w:val="left" w:pos="540"/>
                      <w:tab w:val="left" w:pos="569"/>
                    </w:tabs>
                    <w:ind w:right="-20"/>
                    <w:jc w:val="center"/>
                    <w:rPr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Cs/>
                      <w:sz w:val="22"/>
                      <w:szCs w:val="22"/>
                      <w:lang w:val="sr-Latn-CS"/>
                    </w:rPr>
                    <w:t>7,2-10,3</w:t>
                  </w:r>
                </w:p>
              </w:tc>
            </w:tr>
            <w:tr w:rsidR="00C76881" w:rsidRPr="006B0439" w:rsidTr="00C76881">
              <w:trPr>
                <w:trHeight w:hRule="exact" w:val="390"/>
              </w:trPr>
              <w:tc>
                <w:tcPr>
                  <w:tcW w:w="9564" w:type="dxa"/>
                  <w:gridSpan w:val="1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6881" w:rsidRPr="006B0439" w:rsidRDefault="00C76881" w:rsidP="00E91420">
                  <w:pPr>
                    <w:tabs>
                      <w:tab w:val="left" w:pos="540"/>
                      <w:tab w:val="left" w:pos="569"/>
                    </w:tabs>
                    <w:spacing w:line="229" w:lineRule="exact"/>
                    <w:ind w:left="4118" w:right="4097"/>
                    <w:jc w:val="center"/>
                    <w:rPr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Cs/>
                      <w:sz w:val="22"/>
                      <w:szCs w:val="22"/>
                      <w:lang w:val="sr-Latn-CS"/>
                    </w:rPr>
                    <w:t>Cetuksimab</w:t>
                  </w:r>
                </w:p>
              </w:tc>
            </w:tr>
            <w:tr w:rsidR="00C76881" w:rsidRPr="006B0439" w:rsidTr="00E91420">
              <w:trPr>
                <w:trHeight w:hRule="exact" w:val="722"/>
              </w:trPr>
              <w:tc>
                <w:tcPr>
                  <w:tcW w:w="9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6881" w:rsidRPr="006B0439" w:rsidRDefault="00C76881" w:rsidP="00E91420">
                  <w:pPr>
                    <w:tabs>
                      <w:tab w:val="left" w:pos="540"/>
                      <w:tab w:val="left" w:pos="569"/>
                    </w:tabs>
                    <w:spacing w:line="229" w:lineRule="exact"/>
                    <w:ind w:left="95" w:right="-20"/>
                    <w:jc w:val="center"/>
                    <w:rPr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Cs/>
                      <w:sz w:val="22"/>
                      <w:szCs w:val="22"/>
                      <w:lang w:val="sr-Latn-CS"/>
                    </w:rPr>
                    <w:t>EMR      62</w:t>
                  </w:r>
                </w:p>
                <w:p w:rsidR="00C76881" w:rsidRPr="006B0439" w:rsidRDefault="00C76881" w:rsidP="00E91420">
                  <w:pPr>
                    <w:tabs>
                      <w:tab w:val="left" w:pos="540"/>
                      <w:tab w:val="left" w:pos="569"/>
                    </w:tabs>
                    <w:spacing w:before="7"/>
                    <w:ind w:left="95" w:right="-20"/>
                    <w:jc w:val="center"/>
                    <w:rPr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Cs/>
                      <w:sz w:val="22"/>
                      <w:szCs w:val="22"/>
                      <w:lang w:val="sr-Latn-CS"/>
                    </w:rPr>
                    <w:t>202-007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6881" w:rsidRPr="006B0439" w:rsidRDefault="00C76881" w:rsidP="00E91420">
                  <w:pPr>
                    <w:tabs>
                      <w:tab w:val="left" w:pos="540"/>
                      <w:tab w:val="left" w:pos="569"/>
                    </w:tabs>
                    <w:spacing w:before="17" w:line="220" w:lineRule="exact"/>
                    <w:jc w:val="center"/>
                    <w:rPr>
                      <w:bCs/>
                      <w:sz w:val="22"/>
                      <w:szCs w:val="22"/>
                      <w:lang w:val="sr-Latn-CS"/>
                    </w:rPr>
                  </w:pPr>
                </w:p>
                <w:p w:rsidR="00C76881" w:rsidRPr="006B0439" w:rsidRDefault="00C76881" w:rsidP="00E91420">
                  <w:pPr>
                    <w:tabs>
                      <w:tab w:val="left" w:pos="540"/>
                      <w:tab w:val="left" w:pos="569"/>
                    </w:tabs>
                    <w:ind w:left="107" w:right="89"/>
                    <w:jc w:val="center"/>
                    <w:rPr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Cs/>
                      <w:sz w:val="22"/>
                      <w:szCs w:val="22"/>
                      <w:lang w:val="sr-Latn-CS"/>
                    </w:rPr>
                    <w:t>111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3" w:space="0" w:color="000000"/>
                  </w:tcBorders>
                </w:tcPr>
                <w:p w:rsidR="00C76881" w:rsidRPr="006B0439" w:rsidRDefault="00C76881" w:rsidP="00E91420">
                  <w:pPr>
                    <w:tabs>
                      <w:tab w:val="left" w:pos="540"/>
                      <w:tab w:val="left" w:pos="569"/>
                    </w:tabs>
                    <w:spacing w:before="17" w:line="220" w:lineRule="exact"/>
                    <w:jc w:val="center"/>
                    <w:rPr>
                      <w:bCs/>
                      <w:sz w:val="22"/>
                      <w:szCs w:val="22"/>
                      <w:lang w:val="sr-Latn-CS"/>
                    </w:rPr>
                  </w:pPr>
                </w:p>
                <w:p w:rsidR="00C76881" w:rsidRPr="006B0439" w:rsidRDefault="00C76881" w:rsidP="00E91420">
                  <w:pPr>
                    <w:tabs>
                      <w:tab w:val="left" w:pos="540"/>
                      <w:tab w:val="left" w:pos="569"/>
                    </w:tabs>
                    <w:spacing w:line="247" w:lineRule="auto"/>
                    <w:ind w:left="196" w:right="147" w:firstLine="146"/>
                    <w:jc w:val="center"/>
                    <w:rPr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Cs/>
                      <w:sz w:val="22"/>
                      <w:szCs w:val="22"/>
                      <w:lang w:val="sr-Latn-CS"/>
                    </w:rPr>
                    <w:t>12 (10,8)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3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6881" w:rsidRPr="006B0439" w:rsidRDefault="00C76881" w:rsidP="00E91420">
                  <w:pPr>
                    <w:tabs>
                      <w:tab w:val="left" w:pos="540"/>
                      <w:tab w:val="left" w:pos="569"/>
                    </w:tabs>
                    <w:spacing w:before="17" w:line="220" w:lineRule="exact"/>
                    <w:jc w:val="center"/>
                    <w:rPr>
                      <w:bCs/>
                      <w:sz w:val="22"/>
                      <w:szCs w:val="22"/>
                      <w:lang w:val="sr-Latn-CS"/>
                    </w:rPr>
                  </w:pPr>
                </w:p>
                <w:p w:rsidR="00C76881" w:rsidRPr="006B0439" w:rsidRDefault="00E91420" w:rsidP="00E91420">
                  <w:pPr>
                    <w:tabs>
                      <w:tab w:val="left" w:pos="540"/>
                      <w:tab w:val="left" w:pos="569"/>
                    </w:tabs>
                    <w:ind w:right="-20"/>
                    <w:rPr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Cs/>
                      <w:sz w:val="22"/>
                      <w:szCs w:val="22"/>
                      <w:lang w:val="sr-Latn-CS"/>
                    </w:rPr>
                    <w:t xml:space="preserve"> </w:t>
                  </w:r>
                  <w:r w:rsidR="00C76881" w:rsidRPr="006B0439">
                    <w:rPr>
                      <w:bCs/>
                      <w:sz w:val="22"/>
                      <w:szCs w:val="22"/>
                      <w:lang w:val="sr-Latn-CS"/>
                    </w:rPr>
                    <w:t>5,7-18,1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6881" w:rsidRPr="006B0439" w:rsidRDefault="00C76881" w:rsidP="00E91420">
                  <w:pPr>
                    <w:tabs>
                      <w:tab w:val="left" w:pos="540"/>
                      <w:tab w:val="left" w:pos="569"/>
                    </w:tabs>
                    <w:spacing w:before="17" w:line="220" w:lineRule="exact"/>
                    <w:jc w:val="center"/>
                    <w:rPr>
                      <w:bCs/>
                      <w:sz w:val="22"/>
                      <w:szCs w:val="22"/>
                      <w:lang w:val="sr-Latn-CS"/>
                    </w:rPr>
                  </w:pPr>
                </w:p>
                <w:p w:rsidR="00C76881" w:rsidRPr="006B0439" w:rsidRDefault="00C76881" w:rsidP="00E91420">
                  <w:pPr>
                    <w:tabs>
                      <w:tab w:val="left" w:pos="540"/>
                      <w:tab w:val="left" w:pos="569"/>
                    </w:tabs>
                    <w:spacing w:line="247" w:lineRule="auto"/>
                    <w:ind w:left="201" w:right="144" w:firstLine="146"/>
                    <w:jc w:val="center"/>
                    <w:rPr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Cs/>
                      <w:sz w:val="22"/>
                      <w:szCs w:val="22"/>
                      <w:lang w:val="sr-Latn-CS"/>
                    </w:rPr>
                    <w:t>36 (32,4)</w:t>
                  </w:r>
                </w:p>
              </w:tc>
              <w:tc>
                <w:tcPr>
                  <w:tcW w:w="88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6881" w:rsidRPr="006B0439" w:rsidRDefault="00C76881" w:rsidP="00E91420">
                  <w:pPr>
                    <w:tabs>
                      <w:tab w:val="left" w:pos="540"/>
                      <w:tab w:val="left" w:pos="569"/>
                    </w:tabs>
                    <w:spacing w:before="17" w:line="220" w:lineRule="exact"/>
                    <w:jc w:val="center"/>
                    <w:rPr>
                      <w:bCs/>
                      <w:sz w:val="22"/>
                      <w:szCs w:val="22"/>
                      <w:lang w:val="sr-Latn-CS"/>
                    </w:rPr>
                  </w:pPr>
                </w:p>
                <w:p w:rsidR="00C76881" w:rsidRPr="006B0439" w:rsidRDefault="00C76881" w:rsidP="00E91420">
                  <w:pPr>
                    <w:tabs>
                      <w:tab w:val="left" w:pos="540"/>
                      <w:tab w:val="left" w:pos="569"/>
                    </w:tabs>
                    <w:ind w:right="-20"/>
                    <w:jc w:val="center"/>
                    <w:rPr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Cs/>
                      <w:sz w:val="22"/>
                      <w:szCs w:val="22"/>
                      <w:lang w:val="sr-Latn-CS"/>
                    </w:rPr>
                    <w:t>23,9-42,0</w:t>
                  </w:r>
                </w:p>
              </w:tc>
              <w:tc>
                <w:tcPr>
                  <w:tcW w:w="10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6881" w:rsidRPr="006B0439" w:rsidRDefault="00C76881" w:rsidP="00E91420">
                  <w:pPr>
                    <w:tabs>
                      <w:tab w:val="left" w:pos="540"/>
                      <w:tab w:val="left" w:pos="569"/>
                    </w:tabs>
                    <w:spacing w:before="17" w:line="220" w:lineRule="exact"/>
                    <w:jc w:val="center"/>
                    <w:rPr>
                      <w:bCs/>
                      <w:sz w:val="22"/>
                      <w:szCs w:val="22"/>
                      <w:lang w:val="sr-Latn-CS"/>
                    </w:rPr>
                  </w:pPr>
                </w:p>
                <w:p w:rsidR="00C76881" w:rsidRPr="006B0439" w:rsidRDefault="00C76881" w:rsidP="00E91420">
                  <w:pPr>
                    <w:tabs>
                      <w:tab w:val="left" w:pos="540"/>
                      <w:tab w:val="left" w:pos="569"/>
                    </w:tabs>
                    <w:ind w:left="283" w:right="262"/>
                    <w:jc w:val="center"/>
                    <w:rPr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Cs/>
                      <w:sz w:val="22"/>
                      <w:szCs w:val="22"/>
                      <w:lang w:val="sr-Latn-CS"/>
                    </w:rPr>
                    <w:t>1,5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3" w:space="0" w:color="000000"/>
                  </w:tcBorders>
                </w:tcPr>
                <w:p w:rsidR="00C76881" w:rsidRPr="006B0439" w:rsidRDefault="00C76881" w:rsidP="00E91420">
                  <w:pPr>
                    <w:tabs>
                      <w:tab w:val="left" w:pos="540"/>
                      <w:tab w:val="left" w:pos="569"/>
                    </w:tabs>
                    <w:spacing w:before="17" w:line="220" w:lineRule="exact"/>
                    <w:jc w:val="center"/>
                    <w:rPr>
                      <w:bCs/>
                      <w:sz w:val="22"/>
                      <w:szCs w:val="22"/>
                      <w:lang w:val="sr-Latn-CS"/>
                    </w:rPr>
                  </w:pPr>
                </w:p>
                <w:p w:rsidR="00C76881" w:rsidRPr="006B0439" w:rsidRDefault="00C76881" w:rsidP="00E91420">
                  <w:pPr>
                    <w:tabs>
                      <w:tab w:val="left" w:pos="540"/>
                      <w:tab w:val="left" w:pos="569"/>
                    </w:tabs>
                    <w:ind w:left="155" w:right="-20"/>
                    <w:jc w:val="center"/>
                    <w:rPr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Cs/>
                      <w:sz w:val="22"/>
                      <w:szCs w:val="22"/>
                      <w:lang w:val="sr-Latn-CS"/>
                    </w:rPr>
                    <w:t>1,4-2,0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3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6881" w:rsidRPr="006B0439" w:rsidRDefault="00C76881" w:rsidP="00E91420">
                  <w:pPr>
                    <w:tabs>
                      <w:tab w:val="left" w:pos="540"/>
                      <w:tab w:val="left" w:pos="569"/>
                    </w:tabs>
                    <w:spacing w:before="17" w:line="220" w:lineRule="exact"/>
                    <w:jc w:val="center"/>
                    <w:rPr>
                      <w:bCs/>
                      <w:sz w:val="22"/>
                      <w:szCs w:val="22"/>
                      <w:lang w:val="sr-Latn-CS"/>
                    </w:rPr>
                  </w:pPr>
                </w:p>
                <w:p w:rsidR="00C76881" w:rsidRPr="006B0439" w:rsidRDefault="00C76881" w:rsidP="00E91420">
                  <w:pPr>
                    <w:tabs>
                      <w:tab w:val="left" w:pos="540"/>
                      <w:tab w:val="left" w:pos="569"/>
                    </w:tabs>
                    <w:ind w:right="262"/>
                    <w:jc w:val="center"/>
                    <w:rPr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Cs/>
                      <w:sz w:val="22"/>
                      <w:szCs w:val="22"/>
                      <w:lang w:val="sr-Latn-CS"/>
                    </w:rPr>
                    <w:t>6,9</w:t>
                  </w:r>
                </w:p>
              </w:tc>
              <w:tc>
                <w:tcPr>
                  <w:tcW w:w="102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6881" w:rsidRPr="006B0439" w:rsidRDefault="00C76881" w:rsidP="00E91420">
                  <w:pPr>
                    <w:tabs>
                      <w:tab w:val="left" w:pos="540"/>
                      <w:tab w:val="left" w:pos="569"/>
                    </w:tabs>
                    <w:spacing w:before="17" w:line="220" w:lineRule="exact"/>
                    <w:jc w:val="center"/>
                    <w:rPr>
                      <w:bCs/>
                      <w:sz w:val="22"/>
                      <w:szCs w:val="22"/>
                      <w:lang w:val="sr-Latn-CS"/>
                    </w:rPr>
                  </w:pPr>
                </w:p>
                <w:p w:rsidR="00C76881" w:rsidRPr="006B0439" w:rsidRDefault="00C76881" w:rsidP="00E91420">
                  <w:pPr>
                    <w:tabs>
                      <w:tab w:val="left" w:pos="540"/>
                      <w:tab w:val="left" w:pos="569"/>
                    </w:tabs>
                    <w:ind w:right="-20"/>
                    <w:jc w:val="center"/>
                    <w:rPr>
                      <w:bCs/>
                      <w:sz w:val="22"/>
                      <w:szCs w:val="22"/>
                      <w:lang w:val="sr-Latn-CS"/>
                    </w:rPr>
                  </w:pPr>
                  <w:r w:rsidRPr="006B0439">
                    <w:rPr>
                      <w:bCs/>
                      <w:sz w:val="22"/>
                      <w:szCs w:val="22"/>
                      <w:lang w:val="sr-Latn-CS"/>
                    </w:rPr>
                    <w:t>5,6-9,1</w:t>
                  </w:r>
                </w:p>
              </w:tc>
            </w:tr>
          </w:tbl>
          <w:p w:rsidR="00C76881" w:rsidRPr="006B0439" w:rsidRDefault="00C76881" w:rsidP="00C76881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CS"/>
              </w:rPr>
            </w:pPr>
          </w:p>
          <w:p w:rsidR="00C76881" w:rsidRPr="006B0439" w:rsidRDefault="00C76881" w:rsidP="00C76881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CS"/>
              </w:rPr>
            </w:pPr>
            <w:r w:rsidRPr="006B0439">
              <w:rPr>
                <w:bCs/>
                <w:sz w:val="22"/>
                <w:szCs w:val="22"/>
                <w:lang w:val="sr-Latn-CS"/>
              </w:rPr>
              <w:t>IP = interval pov</w:t>
            </w:r>
            <w:r w:rsidR="00F21370" w:rsidRPr="006B0439">
              <w:rPr>
                <w:bCs/>
                <w:sz w:val="22"/>
                <w:szCs w:val="22"/>
                <w:lang w:val="sr-Latn-CS"/>
              </w:rPr>
              <w:t>j</w:t>
            </w:r>
            <w:r w:rsidRPr="006B0439">
              <w:rPr>
                <w:bCs/>
                <w:sz w:val="22"/>
                <w:szCs w:val="22"/>
                <w:lang w:val="sr-Latn-CS"/>
              </w:rPr>
              <w:t>erenja; DCR = stopa kontrole bolesti (</w:t>
            </w:r>
            <w:r w:rsidRPr="006B0439">
              <w:rPr>
                <w:bCs/>
                <w:i/>
                <w:sz w:val="22"/>
                <w:szCs w:val="22"/>
                <w:lang w:val="sr-Latn-CS"/>
              </w:rPr>
              <w:t>disease control rate</w:t>
            </w:r>
            <w:r w:rsidRPr="006B0439">
              <w:rPr>
                <w:bCs/>
                <w:sz w:val="22"/>
                <w:szCs w:val="22"/>
                <w:lang w:val="sr-Latn-CS"/>
              </w:rPr>
              <w:t>) (pacijenti sa potpunim terapijskim odgovorom, delimičnim odgovorom ili stabilnom formom bolesti u trajanju od bar 6 ned</w:t>
            </w:r>
            <w:r w:rsidR="00F21370" w:rsidRPr="006B0439">
              <w:rPr>
                <w:bCs/>
                <w:sz w:val="22"/>
                <w:szCs w:val="22"/>
                <w:lang w:val="sr-Latn-CS"/>
              </w:rPr>
              <w:t>j</w:t>
            </w:r>
            <w:r w:rsidRPr="006B0439">
              <w:rPr>
                <w:bCs/>
                <w:sz w:val="22"/>
                <w:szCs w:val="22"/>
                <w:lang w:val="sr-Latn-CS"/>
              </w:rPr>
              <w:t>elja); ORR = stopa objektivnog odgovora (</w:t>
            </w:r>
            <w:r w:rsidRPr="006B0439">
              <w:rPr>
                <w:bCs/>
                <w:i/>
                <w:sz w:val="22"/>
                <w:szCs w:val="22"/>
                <w:lang w:val="sr-Latn-CS"/>
              </w:rPr>
              <w:t>objective response rate</w:t>
            </w:r>
            <w:r w:rsidRPr="006B0439">
              <w:rPr>
                <w:bCs/>
                <w:sz w:val="22"/>
                <w:szCs w:val="22"/>
                <w:lang w:val="sr-Latn-CS"/>
              </w:rPr>
              <w:t>) (pacijenti sa potpunim ili delimičnim terapijskim odgovorom); OS = ukupan period preživljavanja (</w:t>
            </w:r>
            <w:r w:rsidRPr="006B0439">
              <w:rPr>
                <w:bCs/>
                <w:i/>
                <w:sz w:val="22"/>
                <w:szCs w:val="22"/>
                <w:lang w:val="sr-Latn-CS"/>
              </w:rPr>
              <w:t>overall survival time</w:t>
            </w:r>
            <w:r w:rsidRPr="006B0439">
              <w:rPr>
                <w:bCs/>
                <w:sz w:val="22"/>
                <w:szCs w:val="22"/>
                <w:lang w:val="sr-Latn-CS"/>
              </w:rPr>
              <w:t>); PFS: period preživljavanja bez pogoršanja (</w:t>
            </w:r>
            <w:r w:rsidRPr="006B0439">
              <w:rPr>
                <w:bCs/>
                <w:i/>
                <w:sz w:val="22"/>
                <w:szCs w:val="22"/>
                <w:lang w:val="sr-Latn-CS"/>
              </w:rPr>
              <w:t>progression-free survival</w:t>
            </w:r>
            <w:r w:rsidRPr="006B0439">
              <w:rPr>
                <w:bCs/>
                <w:sz w:val="22"/>
                <w:szCs w:val="22"/>
                <w:lang w:val="sr-Latn-CS"/>
              </w:rPr>
              <w:t>)</w:t>
            </w:r>
          </w:p>
          <w:p w:rsidR="00C76881" w:rsidRPr="006B0439" w:rsidRDefault="00C76881" w:rsidP="00C76881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CS"/>
              </w:rPr>
            </w:pPr>
          </w:p>
          <w:p w:rsidR="00C76881" w:rsidRPr="006B0439" w:rsidRDefault="00C76881" w:rsidP="00C76881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CS"/>
              </w:rPr>
            </w:pPr>
            <w:r w:rsidRPr="006B0439">
              <w:rPr>
                <w:bCs/>
                <w:sz w:val="22"/>
                <w:szCs w:val="22"/>
                <w:lang w:val="sr-Latn-CS"/>
              </w:rPr>
              <w:t>Kombinacija cetuksimaba i irinotekana bila je efikasnija od cetuksimaba u monoterapiji, u odnosu na stopu objektivnog odgovora (ORR), stopu kontrole bolesti (DCR) i preživljavanje bez pogoršanja (PFS). U randomiziranoj studiji, nisu pokazani efekti na ukupno preživljavanje (odnos rizika 0,91; p = 0,48).</w:t>
            </w:r>
          </w:p>
          <w:p w:rsidR="00C76881" w:rsidRPr="006B0439" w:rsidRDefault="00C76881" w:rsidP="00C76881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CS"/>
              </w:rPr>
            </w:pPr>
          </w:p>
          <w:p w:rsidR="00C76881" w:rsidRPr="006B0439" w:rsidRDefault="00C76881" w:rsidP="00C76881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sz w:val="22"/>
                <w:szCs w:val="22"/>
                <w:lang w:val="sr-Latn-CS"/>
              </w:rPr>
            </w:pPr>
            <w:r w:rsidRPr="006B0439">
              <w:rPr>
                <w:b/>
                <w:bCs/>
                <w:sz w:val="22"/>
                <w:szCs w:val="22"/>
                <w:lang w:val="sr-Latn-CS"/>
              </w:rPr>
              <w:t>Farmakokinetički/farmakodinamski podaci</w:t>
            </w:r>
          </w:p>
          <w:p w:rsidR="00C76881" w:rsidRPr="006B0439" w:rsidRDefault="00C76881" w:rsidP="00C76881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CS"/>
              </w:rPr>
            </w:pPr>
          </w:p>
          <w:p w:rsidR="00C76881" w:rsidRPr="006B0439" w:rsidRDefault="00C76881" w:rsidP="00C76881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CS"/>
              </w:rPr>
            </w:pPr>
            <w:r w:rsidRPr="006B0439">
              <w:rPr>
                <w:bCs/>
                <w:sz w:val="22"/>
                <w:szCs w:val="22"/>
                <w:lang w:val="sr-Latn-CS"/>
              </w:rPr>
              <w:t>Intenziteti najvažnijih toksičnih efekata koji su zapaženi tokom primjene lijeka irinotekana (npr. leukoneutropenija i dijareja) u vezi su sa ekspozicijom (PIK) matičnoj supstanci i metabolitu SN-38. Zapažena je značajna korelacija između hematološke toksičnosti (smanjenje ukupanog broja leukocita i broja neutrofila</w:t>
            </w:r>
            <w:r w:rsidR="00F21370" w:rsidRPr="006B0439">
              <w:rPr>
                <w:bCs/>
                <w:sz w:val="22"/>
                <w:szCs w:val="22"/>
                <w:lang w:val="sr-Latn-CS"/>
              </w:rPr>
              <w:t xml:space="preserve"> pri najnižim vrijednostima</w:t>
            </w:r>
            <w:r w:rsidRPr="006B0439">
              <w:rPr>
                <w:bCs/>
                <w:sz w:val="22"/>
                <w:szCs w:val="22"/>
                <w:lang w:val="sr-Latn-CS"/>
              </w:rPr>
              <w:t>) ili intenziteta dijareje i PIK vrijednosti, kako za irinotekan, tako i za metabolit SN-38 (monoterapija).</w:t>
            </w:r>
          </w:p>
          <w:p w:rsidR="00C76881" w:rsidRDefault="00C76881" w:rsidP="00C76881">
            <w:pPr>
              <w:pStyle w:val="Header"/>
              <w:tabs>
                <w:tab w:val="left" w:pos="284"/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CS"/>
              </w:rPr>
            </w:pPr>
          </w:p>
          <w:p w:rsidR="006B0439" w:rsidRDefault="006B0439" w:rsidP="00C76881">
            <w:pPr>
              <w:pStyle w:val="Header"/>
              <w:tabs>
                <w:tab w:val="left" w:pos="284"/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CS"/>
              </w:rPr>
            </w:pPr>
          </w:p>
          <w:p w:rsidR="006B0439" w:rsidRPr="006B0439" w:rsidRDefault="006B0439" w:rsidP="00C76881">
            <w:pPr>
              <w:pStyle w:val="Header"/>
              <w:tabs>
                <w:tab w:val="left" w:pos="284"/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CS"/>
              </w:rPr>
            </w:pPr>
          </w:p>
        </w:tc>
      </w:tr>
      <w:tr w:rsidR="00C76881" w:rsidRPr="006B0439" w:rsidTr="005445CE">
        <w:trPr>
          <w:gridAfter w:val="1"/>
          <w:wAfter w:w="142" w:type="dxa"/>
        </w:trPr>
        <w:tc>
          <w:tcPr>
            <w:tcW w:w="9781" w:type="dxa"/>
            <w:vAlign w:val="center"/>
          </w:tcPr>
          <w:p w:rsidR="00C76881" w:rsidRPr="006B0439" w:rsidRDefault="00C76881" w:rsidP="00C76881">
            <w:pPr>
              <w:tabs>
                <w:tab w:val="left" w:pos="540"/>
                <w:tab w:val="left" w:pos="569"/>
              </w:tabs>
              <w:jc w:val="both"/>
              <w:rPr>
                <w:bCs/>
                <w:i/>
                <w:sz w:val="22"/>
                <w:szCs w:val="22"/>
                <w:u w:val="single"/>
                <w:lang w:val="sr-Latn-CS"/>
              </w:rPr>
            </w:pPr>
            <w:r w:rsidRPr="006B0439">
              <w:rPr>
                <w:bCs/>
                <w:i/>
                <w:sz w:val="22"/>
                <w:szCs w:val="22"/>
                <w:u w:val="single"/>
                <w:lang w:val="sr-Latn-CS"/>
              </w:rPr>
              <w:lastRenderedPageBreak/>
              <w:t>Pacijenti sa smanjenom UGT1A1 aktivnošću:</w:t>
            </w:r>
          </w:p>
          <w:p w:rsidR="00C76881" w:rsidRPr="006B0439" w:rsidRDefault="00C76881" w:rsidP="00C76881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CS"/>
              </w:rPr>
            </w:pPr>
          </w:p>
          <w:p w:rsidR="00C76881" w:rsidRPr="006B0439" w:rsidRDefault="00C76881" w:rsidP="00C76881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CS"/>
              </w:rPr>
            </w:pPr>
            <w:r w:rsidRPr="006B0439">
              <w:rPr>
                <w:bCs/>
                <w:sz w:val="22"/>
                <w:szCs w:val="22"/>
                <w:lang w:val="sr-Latn-CS"/>
              </w:rPr>
              <w:t>Uridin difosfat-glukuronozil transferaze 1A1 (UGT1A1) je uključena u metaboličko deaktiviranje SN-38, aktivnog metabolita irinotekana u neaktivni SN-38 glukuronida (SN-38G). Gen UGT1A1 je vrlo polimorfan, što rezultira u promjenjivim metaboličkim sposobnostima među pojedincima. Jedna specifična varijacija gena UGT1A1 uključuje polimorfizam regije promotora koji je poznat kao UGT1A1*28 varijanta. Ova varijanta i druge nasljedne nedostatke UGT1A1 ekspresije (kao Crigler-Najjar i Gilbert-ov sindrom) su povezane sa smanjenom aktivnošću ovog enzima. Podaci iz meta analize pokazuju da osobe sa Crigler-Najjar sindromom (tipovi 1 i 2), ili oni koji su homozigota za UGT1A1*28 alel (Gilbert sindrom) imaju povećani rizik hematološke toksičnosti (stepen 3 i 4) nakon primjene irinotekana u umjerenim ili visokim dozama (&gt; 150 mg/m</w:t>
            </w:r>
            <w:r w:rsidRPr="006B0439">
              <w:rPr>
                <w:bCs/>
                <w:sz w:val="22"/>
                <w:szCs w:val="22"/>
                <w:vertAlign w:val="superscript"/>
                <w:lang w:val="sr-Latn-CS"/>
              </w:rPr>
              <w:t>2</w:t>
            </w:r>
            <w:r w:rsidRPr="006B0439">
              <w:rPr>
                <w:bCs/>
                <w:sz w:val="22"/>
                <w:szCs w:val="22"/>
                <w:lang w:val="sr-Latn-CS"/>
              </w:rPr>
              <w:t>). Odnos između UGT1A1 genotipa i pojave irinotekan uzrokovane dijareje nije utvrđena.</w:t>
            </w:r>
          </w:p>
          <w:p w:rsidR="00C76881" w:rsidRPr="006B0439" w:rsidRDefault="00C76881" w:rsidP="00C76881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CS"/>
              </w:rPr>
            </w:pPr>
            <w:r w:rsidRPr="006B0439">
              <w:rPr>
                <w:bCs/>
                <w:sz w:val="22"/>
                <w:szCs w:val="22"/>
                <w:lang w:val="sr-Latn-CS"/>
              </w:rPr>
              <w:t xml:space="preserve">Pacijentima za koje se zna da homozigoti za UGT1A1*28 treba davati normalno preporučene početne doze irinotekana. Međutim, ove pacijente treba nadzirati zbog hematološke toksičnosti. Smanjenje početnih doza irinotekana treba uzeti u obzir kod pacijenata koji su imali znake hematološke toksičnosti u prethodnom tretmanu. Tačno smanjenje početne doze kod ove populacije pacijenata nije utvrđeno i sve naknadne modifikacije doze treba bazirati na pacijentovoj toleranciji tretmana. (vidjeti </w:t>
            </w:r>
            <w:r w:rsidR="00CD1BC8" w:rsidRPr="006B0439">
              <w:rPr>
                <w:bCs/>
                <w:sz w:val="22"/>
                <w:szCs w:val="22"/>
                <w:lang w:val="sr-Latn-CS"/>
              </w:rPr>
              <w:t xml:space="preserve">dijelove </w:t>
            </w:r>
            <w:r w:rsidRPr="006B0439">
              <w:rPr>
                <w:bCs/>
                <w:sz w:val="22"/>
                <w:szCs w:val="22"/>
                <w:lang w:val="sr-Latn-CS"/>
              </w:rPr>
              <w:t>4.2 i 4.4).</w:t>
            </w:r>
          </w:p>
          <w:p w:rsidR="00C76881" w:rsidRPr="006B0439" w:rsidRDefault="00C76881" w:rsidP="00C76881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CS"/>
              </w:rPr>
            </w:pPr>
            <w:r w:rsidRPr="006B0439">
              <w:rPr>
                <w:bCs/>
                <w:sz w:val="22"/>
                <w:szCs w:val="22"/>
                <w:lang w:val="sr-Latn-CS"/>
              </w:rPr>
              <w:t>U ovom trenutku nema dovoljno podataka da bi se don</w:t>
            </w:r>
            <w:r w:rsidR="00CD1BC8" w:rsidRPr="006B0439">
              <w:rPr>
                <w:bCs/>
                <w:sz w:val="22"/>
                <w:szCs w:val="22"/>
                <w:lang w:val="sr-Latn-CS"/>
              </w:rPr>
              <w:t>ij</w:t>
            </w:r>
            <w:r w:rsidRPr="006B0439">
              <w:rPr>
                <w:bCs/>
                <w:sz w:val="22"/>
                <w:szCs w:val="22"/>
                <w:lang w:val="sr-Latn-CS"/>
              </w:rPr>
              <w:t>eli zaključci o kliničkoj korisnosti UGT1A1 genotipizaciji.</w:t>
            </w:r>
          </w:p>
        </w:tc>
      </w:tr>
    </w:tbl>
    <w:p w:rsidR="002E37A5" w:rsidRPr="006B0439" w:rsidRDefault="002E37A5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CS"/>
        </w:rPr>
      </w:pPr>
    </w:p>
    <w:p w:rsidR="00DC049E" w:rsidRPr="006B0439" w:rsidRDefault="00DC049E" w:rsidP="006B043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CS"/>
        </w:rPr>
      </w:pPr>
      <w:r w:rsidRPr="006B0439">
        <w:rPr>
          <w:bCs/>
          <w:sz w:val="22"/>
          <w:szCs w:val="22"/>
          <w:lang w:val="sr-Latn-CS"/>
        </w:rPr>
        <w:t xml:space="preserve">Da bi se utvrdili </w:t>
      </w:r>
      <w:r w:rsidR="00114F37" w:rsidRPr="006B0439">
        <w:rPr>
          <w:bCs/>
          <w:sz w:val="22"/>
          <w:szCs w:val="22"/>
          <w:lang w:val="sr-Latn-CS"/>
        </w:rPr>
        <w:t xml:space="preserve">pacijenti </w:t>
      </w:r>
      <w:r w:rsidRPr="006B0439">
        <w:rPr>
          <w:bCs/>
          <w:sz w:val="22"/>
          <w:szCs w:val="22"/>
          <w:lang w:val="sr-Latn-CS"/>
        </w:rPr>
        <w:t>s</w:t>
      </w:r>
      <w:r w:rsidR="00114F37" w:rsidRPr="006B0439">
        <w:rPr>
          <w:bCs/>
          <w:sz w:val="22"/>
          <w:szCs w:val="22"/>
          <w:lang w:val="sr-Latn-CS"/>
        </w:rPr>
        <w:t>a</w:t>
      </w:r>
      <w:r w:rsidRPr="006B0439">
        <w:rPr>
          <w:bCs/>
          <w:sz w:val="22"/>
          <w:szCs w:val="22"/>
          <w:lang w:val="sr-Latn-CS"/>
        </w:rPr>
        <w:t xml:space="preserve"> povećanim rizikom od teške neutropenije i</w:t>
      </w:r>
      <w:r w:rsidR="00114F37" w:rsidRPr="006B0439">
        <w:rPr>
          <w:bCs/>
          <w:sz w:val="22"/>
          <w:szCs w:val="22"/>
          <w:lang w:val="sr-Latn-CS"/>
        </w:rPr>
        <w:t xml:space="preserve">dijareje </w:t>
      </w:r>
      <w:r w:rsidRPr="006B0439">
        <w:rPr>
          <w:bCs/>
          <w:sz w:val="22"/>
          <w:szCs w:val="22"/>
          <w:lang w:val="sr-Latn-CS"/>
        </w:rPr>
        <w:t>, mo</w:t>
      </w:r>
      <w:r w:rsidR="00114F37" w:rsidRPr="006B0439">
        <w:rPr>
          <w:bCs/>
          <w:sz w:val="22"/>
          <w:szCs w:val="22"/>
          <w:lang w:val="sr-Latn-CS"/>
        </w:rPr>
        <w:t>ž</w:t>
      </w:r>
      <w:r w:rsidRPr="006B0439">
        <w:rPr>
          <w:bCs/>
          <w:sz w:val="22"/>
          <w:szCs w:val="22"/>
          <w:lang w:val="sr-Latn-CS"/>
        </w:rPr>
        <w:t>e se provesti genotipizacija</w:t>
      </w:r>
      <w:r w:rsidR="00114F37" w:rsidRPr="006B0439">
        <w:rPr>
          <w:bCs/>
          <w:sz w:val="22"/>
          <w:szCs w:val="22"/>
          <w:lang w:val="sr-Latn-CS"/>
        </w:rPr>
        <w:t xml:space="preserve"> </w:t>
      </w:r>
      <w:r w:rsidRPr="006B0439">
        <w:rPr>
          <w:bCs/>
          <w:sz w:val="22"/>
          <w:szCs w:val="22"/>
          <w:lang w:val="sr-Latn-CS"/>
        </w:rPr>
        <w:t>gena UGT1A1. Učestalost homozigotne varijante UGT1A1*28 u populaciji e</w:t>
      </w:r>
      <w:r w:rsidR="00114F37" w:rsidRPr="006B0439">
        <w:rPr>
          <w:bCs/>
          <w:sz w:val="22"/>
          <w:szCs w:val="22"/>
          <w:lang w:val="sr-Latn-CS"/>
        </w:rPr>
        <w:t>v</w:t>
      </w:r>
      <w:r w:rsidRPr="006B0439">
        <w:rPr>
          <w:bCs/>
          <w:sz w:val="22"/>
          <w:szCs w:val="22"/>
          <w:lang w:val="sr-Latn-CS"/>
        </w:rPr>
        <w:t>ropskog, afričkog, bliskoistočnog</w:t>
      </w:r>
      <w:r w:rsidR="00114F37" w:rsidRPr="006B0439">
        <w:rPr>
          <w:bCs/>
          <w:sz w:val="22"/>
          <w:szCs w:val="22"/>
          <w:lang w:val="sr-Latn-CS"/>
        </w:rPr>
        <w:t xml:space="preserve"> </w:t>
      </w:r>
      <w:r w:rsidRPr="006B0439">
        <w:rPr>
          <w:bCs/>
          <w:sz w:val="22"/>
          <w:szCs w:val="22"/>
          <w:lang w:val="sr-Latn-CS"/>
        </w:rPr>
        <w:t>i latinoameričkog po</w:t>
      </w:r>
      <w:r w:rsidR="00114F37" w:rsidRPr="006B0439">
        <w:rPr>
          <w:bCs/>
          <w:sz w:val="22"/>
          <w:szCs w:val="22"/>
          <w:lang w:val="sr-Latn-CS"/>
        </w:rPr>
        <w:t>rijekla</w:t>
      </w:r>
      <w:r w:rsidRPr="006B0439">
        <w:rPr>
          <w:bCs/>
          <w:sz w:val="22"/>
          <w:szCs w:val="22"/>
          <w:lang w:val="sr-Latn-CS"/>
        </w:rPr>
        <w:t xml:space="preserve"> iznosi od 8 do 20%. Varijante *6 gotovo da i nema kod ovih populacija. Kod</w:t>
      </w:r>
      <w:r w:rsidR="00114F37" w:rsidRPr="006B0439">
        <w:rPr>
          <w:bCs/>
          <w:sz w:val="22"/>
          <w:szCs w:val="22"/>
          <w:lang w:val="sr-Latn-CS"/>
        </w:rPr>
        <w:t xml:space="preserve"> </w:t>
      </w:r>
      <w:r w:rsidRPr="006B0439">
        <w:rPr>
          <w:bCs/>
          <w:sz w:val="22"/>
          <w:szCs w:val="22"/>
          <w:lang w:val="sr-Latn-CS"/>
        </w:rPr>
        <w:t>istočnoazijske populacije učestalost varijacije *28/*28 iznosi oko 1–4%, varijante *6/*28 oko 3–8% te varijante</w:t>
      </w:r>
      <w:r w:rsidR="00114F37" w:rsidRPr="006B0439">
        <w:rPr>
          <w:bCs/>
          <w:sz w:val="22"/>
          <w:szCs w:val="22"/>
          <w:lang w:val="sr-Latn-CS"/>
        </w:rPr>
        <w:t xml:space="preserve"> </w:t>
      </w:r>
      <w:r w:rsidRPr="006B0439">
        <w:rPr>
          <w:bCs/>
          <w:sz w:val="22"/>
          <w:szCs w:val="22"/>
          <w:lang w:val="sr-Latn-CS"/>
        </w:rPr>
        <w:t>*6/*6 oko 2–6%. U srednjoj i ju</w:t>
      </w:r>
      <w:r w:rsidR="00114F37" w:rsidRPr="006B0439">
        <w:rPr>
          <w:bCs/>
          <w:sz w:val="22"/>
          <w:szCs w:val="22"/>
          <w:lang w:val="sr-Latn-CS"/>
        </w:rPr>
        <w:t>ž</w:t>
      </w:r>
      <w:r w:rsidRPr="006B0439">
        <w:rPr>
          <w:bCs/>
          <w:sz w:val="22"/>
          <w:szCs w:val="22"/>
          <w:lang w:val="sr-Latn-CS"/>
        </w:rPr>
        <w:t>noj Aziji učestalost varijante *28/*28 iznosi oko 17%, varijante *6/*28 oko</w:t>
      </w:r>
    </w:p>
    <w:p w:rsidR="00DC049E" w:rsidRPr="006B0439" w:rsidRDefault="00DC049E" w:rsidP="006B043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CS"/>
        </w:rPr>
      </w:pPr>
      <w:r w:rsidRPr="006B0439">
        <w:rPr>
          <w:bCs/>
          <w:sz w:val="22"/>
          <w:szCs w:val="22"/>
          <w:lang w:val="sr-Latn-CS"/>
        </w:rPr>
        <w:t xml:space="preserve">4% </w:t>
      </w:r>
      <w:r w:rsidR="00114F37" w:rsidRPr="006B0439">
        <w:rPr>
          <w:bCs/>
          <w:sz w:val="22"/>
          <w:szCs w:val="22"/>
          <w:lang w:val="sr-Latn-CS"/>
        </w:rPr>
        <w:t xml:space="preserve">kao i </w:t>
      </w:r>
      <w:r w:rsidRPr="006B0439">
        <w:rPr>
          <w:bCs/>
          <w:sz w:val="22"/>
          <w:szCs w:val="22"/>
          <w:lang w:val="sr-Latn-CS"/>
        </w:rPr>
        <w:t>varijante *6/*6 oko 0,2%</w:t>
      </w:r>
      <w:r w:rsidR="00114F37" w:rsidRPr="006B0439">
        <w:rPr>
          <w:bCs/>
          <w:sz w:val="22"/>
          <w:szCs w:val="22"/>
          <w:lang w:val="sr-Latn-CS"/>
        </w:rPr>
        <w:t>.</w:t>
      </w:r>
    </w:p>
    <w:p w:rsidR="00DC049E" w:rsidRPr="006B0439" w:rsidRDefault="00DC049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CS"/>
        </w:rPr>
      </w:pPr>
    </w:p>
    <w:p w:rsidR="0072020E" w:rsidRPr="006B0439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CS"/>
        </w:rPr>
      </w:pPr>
      <w:r w:rsidRPr="006B0439">
        <w:rPr>
          <w:b/>
          <w:bCs/>
          <w:sz w:val="22"/>
          <w:szCs w:val="22"/>
          <w:lang w:val="sr-Latn-CS"/>
        </w:rPr>
        <w:t xml:space="preserve">5.2. </w:t>
      </w:r>
      <w:r w:rsidR="00480FB1" w:rsidRPr="006B0439">
        <w:rPr>
          <w:b/>
          <w:bCs/>
          <w:sz w:val="22"/>
          <w:szCs w:val="22"/>
          <w:lang w:val="sr-Latn-CS"/>
        </w:rPr>
        <w:tab/>
      </w:r>
      <w:r w:rsidRPr="006B0439">
        <w:rPr>
          <w:b/>
          <w:bCs/>
          <w:sz w:val="22"/>
          <w:szCs w:val="22"/>
        </w:rPr>
        <w:t>Farmakokineti</w:t>
      </w:r>
      <w:r w:rsidRPr="006B0439">
        <w:rPr>
          <w:b/>
          <w:bCs/>
          <w:sz w:val="22"/>
          <w:szCs w:val="22"/>
          <w:lang w:val="sr-Latn-CS"/>
        </w:rPr>
        <w:t>č</w:t>
      </w:r>
      <w:r w:rsidRPr="006B0439">
        <w:rPr>
          <w:b/>
          <w:bCs/>
          <w:sz w:val="22"/>
          <w:szCs w:val="22"/>
        </w:rPr>
        <w:t>ki</w:t>
      </w:r>
      <w:r w:rsidRPr="006B0439">
        <w:rPr>
          <w:b/>
          <w:bCs/>
          <w:sz w:val="22"/>
          <w:szCs w:val="22"/>
          <w:lang w:val="sr-Latn-CS"/>
        </w:rPr>
        <w:t xml:space="preserve"> </w:t>
      </w:r>
      <w:r w:rsidRPr="006B0439">
        <w:rPr>
          <w:b/>
          <w:bCs/>
          <w:sz w:val="22"/>
          <w:szCs w:val="22"/>
        </w:rPr>
        <w:t>podaci</w:t>
      </w:r>
      <w:r w:rsidR="003A7059" w:rsidRPr="006B0439">
        <w:rPr>
          <w:b/>
          <w:bCs/>
          <w:sz w:val="22"/>
          <w:szCs w:val="22"/>
          <w:lang w:val="sr-Latn-CS"/>
        </w:rPr>
        <w:t xml:space="preserve"> </w:t>
      </w:r>
    </w:p>
    <w:p w:rsidR="00883071" w:rsidRPr="006B0439" w:rsidRDefault="00883071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CS"/>
        </w:rPr>
      </w:pPr>
    </w:p>
    <w:p w:rsidR="00883071" w:rsidRPr="006B0439" w:rsidRDefault="00883071" w:rsidP="00883071">
      <w:pPr>
        <w:tabs>
          <w:tab w:val="left" w:pos="540"/>
          <w:tab w:val="left" w:pos="569"/>
        </w:tabs>
        <w:rPr>
          <w:bCs/>
          <w:sz w:val="22"/>
          <w:szCs w:val="22"/>
          <w:u w:val="single"/>
          <w:lang w:val="sr-Latn-CS"/>
        </w:rPr>
      </w:pPr>
      <w:r w:rsidRPr="006B0439">
        <w:rPr>
          <w:bCs/>
          <w:sz w:val="22"/>
          <w:szCs w:val="22"/>
          <w:u w:val="single"/>
          <w:lang w:val="sr-Latn-CS"/>
        </w:rPr>
        <w:t>Apsorpcija</w:t>
      </w:r>
    </w:p>
    <w:p w:rsidR="00883071" w:rsidRPr="006B0439" w:rsidRDefault="00883071" w:rsidP="00883071">
      <w:pPr>
        <w:tabs>
          <w:tab w:val="left" w:pos="540"/>
          <w:tab w:val="left" w:pos="569"/>
        </w:tabs>
        <w:rPr>
          <w:bCs/>
          <w:sz w:val="22"/>
          <w:szCs w:val="22"/>
          <w:lang w:val="sr-Latn-CS"/>
        </w:rPr>
      </w:pPr>
      <w:r w:rsidRPr="006B0439">
        <w:rPr>
          <w:bCs/>
          <w:sz w:val="22"/>
          <w:szCs w:val="22"/>
          <w:lang w:val="sr-Latn-CS"/>
        </w:rPr>
        <w:t xml:space="preserve"> Na kraju infuzije (preporučena doza od 350 mg/m</w:t>
      </w:r>
      <w:r w:rsidRPr="006B0439">
        <w:rPr>
          <w:bCs/>
          <w:sz w:val="22"/>
          <w:szCs w:val="22"/>
          <w:vertAlign w:val="superscript"/>
          <w:lang w:val="sr-Latn-CS"/>
        </w:rPr>
        <w:t>2</w:t>
      </w:r>
      <w:r w:rsidRPr="006B0439">
        <w:rPr>
          <w:bCs/>
          <w:sz w:val="22"/>
          <w:szCs w:val="22"/>
          <w:lang w:val="sr-Latn-CS"/>
        </w:rPr>
        <w:t>), prosječna vrijednost maksimalne koncentracije irinotekana u plazmi bila je 7,7 µg/ml, a za SN-38 ista vrijednost bila je 56 ng/ml. Takođe, srednja PIK vrijednost za irinotekan bila je 34 µg h/ml, a za SN-38 451 ng h/ml. Za SN-38 utvrđene su velike interindividualne varijacije u farmakonitetičkim parametrima.</w:t>
      </w:r>
    </w:p>
    <w:p w:rsidR="00883071" w:rsidRPr="006B0439" w:rsidRDefault="00883071" w:rsidP="00480FB1">
      <w:pPr>
        <w:tabs>
          <w:tab w:val="left" w:pos="540"/>
          <w:tab w:val="left" w:pos="569"/>
        </w:tabs>
        <w:rPr>
          <w:bCs/>
          <w:sz w:val="22"/>
          <w:szCs w:val="22"/>
          <w:u w:val="single"/>
          <w:lang w:val="sr-Latn-CS"/>
        </w:rPr>
      </w:pPr>
    </w:p>
    <w:p w:rsidR="00883071" w:rsidRPr="006B0439" w:rsidRDefault="00883071" w:rsidP="00883071">
      <w:pPr>
        <w:tabs>
          <w:tab w:val="left" w:pos="540"/>
          <w:tab w:val="left" w:pos="569"/>
        </w:tabs>
        <w:rPr>
          <w:bCs/>
          <w:sz w:val="22"/>
          <w:szCs w:val="22"/>
          <w:u w:val="single"/>
          <w:lang w:val="sr-Latn-ME"/>
        </w:rPr>
      </w:pPr>
      <w:r w:rsidRPr="006B0439">
        <w:rPr>
          <w:bCs/>
          <w:sz w:val="22"/>
          <w:szCs w:val="22"/>
          <w:u w:val="single"/>
          <w:lang w:val="sr-Latn-ME"/>
        </w:rPr>
        <w:t xml:space="preserve">Distribucija </w:t>
      </w:r>
    </w:p>
    <w:p w:rsidR="00883071" w:rsidRPr="006B0439" w:rsidRDefault="00883071" w:rsidP="0088307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6B0439">
        <w:rPr>
          <w:bCs/>
          <w:sz w:val="22"/>
          <w:szCs w:val="22"/>
          <w:lang w:val="sr-Latn-ME"/>
        </w:rPr>
        <w:t xml:space="preserve">U kliničkom ispitivanju faze I koje je obuhvaćalo 60 pacijenata koji su dobijali 100-750 mg/m2 irinotekana u obliku 30-minutne intravenske infuzije svake tri nedjelje, volumen distribucije u stanju dinamičke ravnoteţe iznosio je 157 L/m2. </w:t>
      </w:r>
    </w:p>
    <w:p w:rsidR="00883071" w:rsidRPr="006B0439" w:rsidRDefault="00883071" w:rsidP="00883071">
      <w:pPr>
        <w:tabs>
          <w:tab w:val="left" w:pos="540"/>
          <w:tab w:val="left" w:pos="569"/>
        </w:tabs>
        <w:rPr>
          <w:bCs/>
          <w:sz w:val="22"/>
          <w:szCs w:val="22"/>
          <w:lang w:val="sr-Latn-CS"/>
        </w:rPr>
      </w:pPr>
      <w:r w:rsidRPr="006B0439">
        <w:rPr>
          <w:bCs/>
          <w:i/>
          <w:iCs/>
          <w:sz w:val="22"/>
          <w:szCs w:val="22"/>
          <w:lang w:val="sr-Latn-ME"/>
        </w:rPr>
        <w:t>In vitro</w:t>
      </w:r>
      <w:r w:rsidRPr="006B0439">
        <w:rPr>
          <w:bCs/>
          <w:sz w:val="22"/>
          <w:szCs w:val="22"/>
          <w:lang w:val="sr-Latn-ME"/>
        </w:rPr>
        <w:t>, vezivanje za proteine plazme iznosilo je 65%za irinotekan i 95% za SN-38.</w:t>
      </w:r>
    </w:p>
    <w:p w:rsidR="00883071" w:rsidRPr="006B0439" w:rsidRDefault="00883071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CS"/>
        </w:rPr>
      </w:pPr>
    </w:p>
    <w:p w:rsidR="00883071" w:rsidRPr="006B0439" w:rsidRDefault="00883071" w:rsidP="00480FB1">
      <w:pPr>
        <w:tabs>
          <w:tab w:val="left" w:pos="540"/>
          <w:tab w:val="left" w:pos="569"/>
        </w:tabs>
        <w:rPr>
          <w:bCs/>
          <w:sz w:val="22"/>
          <w:szCs w:val="22"/>
          <w:u w:val="single"/>
          <w:lang w:val="sr-Latn-CS"/>
        </w:rPr>
      </w:pPr>
      <w:r w:rsidRPr="006B0439">
        <w:rPr>
          <w:bCs/>
          <w:sz w:val="22"/>
          <w:szCs w:val="22"/>
          <w:u w:val="single"/>
          <w:lang w:val="sr-Latn-CS"/>
        </w:rPr>
        <w:t xml:space="preserve">Metabolizam </w:t>
      </w:r>
    </w:p>
    <w:p w:rsidR="00883071" w:rsidRPr="006B0439" w:rsidRDefault="00883071" w:rsidP="00883071">
      <w:pPr>
        <w:tabs>
          <w:tab w:val="left" w:pos="540"/>
          <w:tab w:val="left" w:pos="569"/>
        </w:tabs>
        <w:rPr>
          <w:bCs/>
          <w:sz w:val="22"/>
          <w:szCs w:val="22"/>
          <w:lang w:val="sr-Latn-CS"/>
        </w:rPr>
      </w:pPr>
      <w:r w:rsidRPr="006B0439">
        <w:rPr>
          <w:bCs/>
          <w:sz w:val="22"/>
          <w:szCs w:val="22"/>
          <w:lang w:val="sr-Latn-CS"/>
        </w:rPr>
        <w:t xml:space="preserve"> Metaboličke studije sa 14 C-objeleženim lijekom pokazale su da se više od 50% doze irinotekana primenjenog intravenskim putem izlučuje u nepromenjenom obliku, od čega 33% u fecesu (pretežno, preko žuči), a 22% u urinu.</w:t>
      </w:r>
    </w:p>
    <w:p w:rsidR="00883071" w:rsidRPr="006B0439" w:rsidRDefault="00883071" w:rsidP="00883071">
      <w:pPr>
        <w:tabs>
          <w:tab w:val="left" w:pos="540"/>
          <w:tab w:val="left" w:pos="569"/>
        </w:tabs>
        <w:rPr>
          <w:bCs/>
          <w:sz w:val="22"/>
          <w:szCs w:val="22"/>
          <w:lang w:val="sr-Latn-CS"/>
        </w:rPr>
      </w:pPr>
      <w:r w:rsidRPr="006B0439">
        <w:rPr>
          <w:bCs/>
          <w:sz w:val="22"/>
          <w:szCs w:val="22"/>
          <w:lang w:val="sr-Latn-CS"/>
        </w:rPr>
        <w:t>Dva metabolička puta odgovorna su, svaki za najmanje po 12% od primjenjene doze:</w:t>
      </w:r>
    </w:p>
    <w:p w:rsidR="00883071" w:rsidRPr="006B0439" w:rsidRDefault="00883071" w:rsidP="00883071">
      <w:pPr>
        <w:numPr>
          <w:ilvl w:val="0"/>
          <w:numId w:val="17"/>
        </w:numPr>
        <w:tabs>
          <w:tab w:val="left" w:pos="540"/>
          <w:tab w:val="left" w:pos="569"/>
        </w:tabs>
        <w:rPr>
          <w:bCs/>
          <w:sz w:val="22"/>
          <w:szCs w:val="22"/>
          <w:lang w:val="sr-Latn-CS"/>
        </w:rPr>
      </w:pPr>
      <w:r w:rsidRPr="006B0439">
        <w:rPr>
          <w:bCs/>
          <w:sz w:val="22"/>
          <w:szCs w:val="22"/>
          <w:lang w:val="sr-Latn-CS"/>
        </w:rPr>
        <w:t>Hidroliza pod uticajem karboksilesteraze do aktivnog metabolita SN-38. Ovaj metabolit se pretežno eliminiše glukuronidacijom, a zatim bilijarnom i renalnom ekskrecijom (manje od 0,5% doze irinotekana). SN-38 glukuronid se vjerovatno zatim hidrolizuje u crijevima.</w:t>
      </w:r>
    </w:p>
    <w:p w:rsidR="00883071" w:rsidRPr="006B0439" w:rsidRDefault="00883071" w:rsidP="00883071">
      <w:pPr>
        <w:numPr>
          <w:ilvl w:val="0"/>
          <w:numId w:val="17"/>
        </w:numPr>
        <w:tabs>
          <w:tab w:val="left" w:pos="540"/>
          <w:tab w:val="left" w:pos="569"/>
        </w:tabs>
        <w:rPr>
          <w:bCs/>
          <w:sz w:val="22"/>
          <w:szCs w:val="22"/>
          <w:lang w:val="sr-Latn-CS"/>
        </w:rPr>
      </w:pPr>
      <w:r w:rsidRPr="006B0439">
        <w:rPr>
          <w:bCs/>
          <w:sz w:val="22"/>
          <w:szCs w:val="22"/>
          <w:lang w:val="sr-Latn-CS"/>
        </w:rPr>
        <w:t>Citohrom P450 3Aenzim-zavisna oksidacija koja dovodi do otvaranja spoljašnjeg piperidinskog prstena, pri čemu nastaje APC (derivat aminopentanske kiseline) i NPC (derivat primarnog amina) (vidjeti odjeljak 4.5).</w:t>
      </w:r>
    </w:p>
    <w:p w:rsidR="00883071" w:rsidRPr="006B0439" w:rsidRDefault="00883071" w:rsidP="00883071">
      <w:pPr>
        <w:tabs>
          <w:tab w:val="left" w:pos="540"/>
          <w:tab w:val="left" w:pos="569"/>
        </w:tabs>
        <w:rPr>
          <w:bCs/>
          <w:sz w:val="22"/>
          <w:szCs w:val="22"/>
          <w:lang w:val="sr-Latn-CS"/>
        </w:rPr>
      </w:pPr>
      <w:r w:rsidRPr="006B0439">
        <w:rPr>
          <w:bCs/>
          <w:sz w:val="22"/>
          <w:szCs w:val="22"/>
          <w:lang w:val="sr-Latn-CS"/>
        </w:rPr>
        <w:t>Neizmenjeni irinotekan je glavna forma lijeka u plazmi, a zatim slijede metaboliti APC, SN-38 glukuronid i SN-38.</w:t>
      </w:r>
    </w:p>
    <w:p w:rsidR="00883071" w:rsidRPr="006B0439" w:rsidRDefault="00883071" w:rsidP="00883071">
      <w:pPr>
        <w:tabs>
          <w:tab w:val="left" w:pos="540"/>
          <w:tab w:val="left" w:pos="569"/>
        </w:tabs>
        <w:rPr>
          <w:bCs/>
          <w:sz w:val="22"/>
          <w:szCs w:val="22"/>
          <w:lang w:val="sr-Latn-CS"/>
        </w:rPr>
      </w:pPr>
      <w:r w:rsidRPr="006B0439">
        <w:rPr>
          <w:bCs/>
          <w:sz w:val="22"/>
          <w:szCs w:val="22"/>
          <w:lang w:val="sr-Latn-CS"/>
        </w:rPr>
        <w:t>Samo SN-38 ispoljava značajnu citotoksičnu aktivnost.</w:t>
      </w:r>
    </w:p>
    <w:p w:rsidR="00883071" w:rsidRDefault="00883071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CS"/>
        </w:rPr>
      </w:pPr>
    </w:p>
    <w:p w:rsidR="006B0439" w:rsidRPr="006B0439" w:rsidRDefault="006B0439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CS"/>
        </w:rPr>
      </w:pPr>
    </w:p>
    <w:p w:rsidR="0072020E" w:rsidRPr="006B0439" w:rsidRDefault="00883071" w:rsidP="00480FB1">
      <w:pPr>
        <w:tabs>
          <w:tab w:val="left" w:pos="540"/>
          <w:tab w:val="left" w:pos="569"/>
        </w:tabs>
        <w:rPr>
          <w:bCs/>
          <w:sz w:val="22"/>
          <w:szCs w:val="22"/>
          <w:u w:val="single"/>
          <w:lang w:val="sr-Latn-CS"/>
        </w:rPr>
      </w:pPr>
      <w:r w:rsidRPr="006B0439">
        <w:rPr>
          <w:bCs/>
          <w:sz w:val="22"/>
          <w:szCs w:val="22"/>
          <w:u w:val="single"/>
          <w:lang w:val="sr-Latn-CS"/>
        </w:rPr>
        <w:lastRenderedPageBreak/>
        <w:t>Eliminacija</w:t>
      </w:r>
    </w:p>
    <w:p w:rsidR="00883071" w:rsidRPr="006B0439" w:rsidRDefault="006D6226" w:rsidP="00982DE4">
      <w:pPr>
        <w:autoSpaceDE w:val="0"/>
        <w:autoSpaceDN w:val="0"/>
        <w:adjustRightInd w:val="0"/>
        <w:jc w:val="both"/>
        <w:rPr>
          <w:bCs/>
          <w:sz w:val="22"/>
          <w:szCs w:val="22"/>
          <w:lang w:val="sr-Latn-CS"/>
        </w:rPr>
      </w:pPr>
      <w:r w:rsidRPr="006B0439">
        <w:rPr>
          <w:bCs/>
          <w:sz w:val="22"/>
          <w:szCs w:val="22"/>
          <w:lang w:val="sr-Latn-CS"/>
        </w:rPr>
        <w:t>U studije faze I</w:t>
      </w:r>
      <w:r w:rsidR="005445CE" w:rsidRPr="006B0439">
        <w:rPr>
          <w:bCs/>
          <w:sz w:val="22"/>
          <w:szCs w:val="22"/>
          <w:lang w:val="sr-Latn-CS"/>
        </w:rPr>
        <w:t xml:space="preserve"> kod</w:t>
      </w:r>
      <w:r w:rsidRPr="006B0439">
        <w:rPr>
          <w:bCs/>
          <w:sz w:val="22"/>
          <w:szCs w:val="22"/>
          <w:lang w:val="sr-Latn-CS"/>
        </w:rPr>
        <w:t xml:space="preserve"> 60 pacijenata, irinotekan (dozni režim: 100-750 mg/m</w:t>
      </w:r>
      <w:r w:rsidRPr="006B0439">
        <w:rPr>
          <w:bCs/>
          <w:sz w:val="22"/>
          <w:szCs w:val="22"/>
          <w:vertAlign w:val="superscript"/>
          <w:lang w:val="sr-Latn-CS"/>
        </w:rPr>
        <w:t>2</w:t>
      </w:r>
      <w:r w:rsidRPr="006B0439">
        <w:rPr>
          <w:bCs/>
          <w:sz w:val="22"/>
          <w:szCs w:val="22"/>
          <w:lang w:val="sr-Latn-CS"/>
        </w:rPr>
        <w:t>, i.v. infuzija, tokom 30 min, svake tri ned</w:t>
      </w:r>
      <w:r w:rsidR="00883071" w:rsidRPr="006B0439">
        <w:rPr>
          <w:bCs/>
          <w:sz w:val="22"/>
          <w:szCs w:val="22"/>
          <w:lang w:val="sr-Latn-CS"/>
        </w:rPr>
        <w:t>j</w:t>
      </w:r>
      <w:r w:rsidRPr="006B0439">
        <w:rPr>
          <w:bCs/>
          <w:sz w:val="22"/>
          <w:szCs w:val="22"/>
          <w:lang w:val="sr-Latn-CS"/>
        </w:rPr>
        <w:t>elje) ispoljio je dvofazni ili trofazni profil eliminacije. Srednja vrijednost klirensa plazme bila je 15 L/h/m</w:t>
      </w:r>
      <w:r w:rsidRPr="006B0439">
        <w:rPr>
          <w:bCs/>
          <w:sz w:val="22"/>
          <w:szCs w:val="22"/>
          <w:vertAlign w:val="superscript"/>
          <w:lang w:val="sr-Latn-CS"/>
        </w:rPr>
        <w:t>2</w:t>
      </w:r>
      <w:r w:rsidRPr="006B0439">
        <w:rPr>
          <w:bCs/>
          <w:sz w:val="22"/>
          <w:szCs w:val="22"/>
          <w:lang w:val="sr-Latn-CS"/>
        </w:rPr>
        <w:t xml:space="preserve"> i zapremina distribucije po postizanju stanja ravnoteže (Vss) - 157 L/m</w:t>
      </w:r>
      <w:r w:rsidRPr="006B0439">
        <w:rPr>
          <w:bCs/>
          <w:sz w:val="22"/>
          <w:szCs w:val="22"/>
          <w:vertAlign w:val="superscript"/>
          <w:lang w:val="sr-Latn-CS"/>
        </w:rPr>
        <w:t>2</w:t>
      </w:r>
      <w:r w:rsidRPr="006B0439">
        <w:rPr>
          <w:bCs/>
          <w:sz w:val="22"/>
          <w:szCs w:val="22"/>
          <w:lang w:val="sr-Latn-CS"/>
        </w:rPr>
        <w:t>. Srednje poluvrijeme eliminacije u prvoj fazi trofaznog modela bilo je 12 minuta, u drugoj fazi 2,5 h, a u trećoj (terminalnoj) fazi 14,2 h. SN-38 ima bifazni profil eliminacije, sa prosječnim terminalnim poluvremenom eliminacije od 13,8 h.</w:t>
      </w:r>
    </w:p>
    <w:p w:rsidR="00883071" w:rsidRPr="006B0439" w:rsidRDefault="00883071" w:rsidP="00982DE4">
      <w:pPr>
        <w:autoSpaceDE w:val="0"/>
        <w:autoSpaceDN w:val="0"/>
        <w:adjustRightInd w:val="0"/>
        <w:jc w:val="both"/>
        <w:rPr>
          <w:bCs/>
          <w:sz w:val="22"/>
          <w:szCs w:val="22"/>
          <w:lang w:val="sr-Latn-CS"/>
        </w:rPr>
      </w:pPr>
    </w:p>
    <w:p w:rsidR="00883071" w:rsidRPr="006B0439" w:rsidRDefault="00883071" w:rsidP="00883071">
      <w:pPr>
        <w:autoSpaceDE w:val="0"/>
        <w:autoSpaceDN w:val="0"/>
        <w:adjustRightInd w:val="0"/>
        <w:jc w:val="both"/>
        <w:rPr>
          <w:bCs/>
          <w:sz w:val="22"/>
          <w:szCs w:val="22"/>
          <w:lang w:val="sr-Latn-CS"/>
        </w:rPr>
      </w:pPr>
      <w:r w:rsidRPr="006B0439">
        <w:rPr>
          <w:bCs/>
          <w:sz w:val="22"/>
          <w:szCs w:val="22"/>
          <w:lang w:val="sr-Latn-CS"/>
        </w:rPr>
        <w:t>Kod pacijenata s bilirubinemijom (bilirubin 1,5 do 3 puta iznad gornje granice normalne vrijednosti) klirens irinotekana je snižen za oko 40%. Kod tih pacijenata irinotekan primijenjen u dozi od 200 mg/m2 dovodi do plazmatskih koncentracija lijeka koje su slične onima koje su zabiljeţene pri dozi od 350 mg/m2 kod pacijenata sa normalnom funkcijom jetre.</w:t>
      </w:r>
    </w:p>
    <w:p w:rsidR="00883071" w:rsidRPr="006B0439" w:rsidRDefault="00883071" w:rsidP="00982DE4">
      <w:pPr>
        <w:autoSpaceDE w:val="0"/>
        <w:autoSpaceDN w:val="0"/>
        <w:adjustRightInd w:val="0"/>
        <w:jc w:val="both"/>
        <w:rPr>
          <w:bCs/>
          <w:sz w:val="22"/>
          <w:szCs w:val="22"/>
          <w:lang w:val="sr-Latn-CS"/>
        </w:rPr>
      </w:pPr>
    </w:p>
    <w:p w:rsidR="00883071" w:rsidRPr="006B0439" w:rsidRDefault="00883071" w:rsidP="00982DE4">
      <w:pPr>
        <w:autoSpaceDE w:val="0"/>
        <w:autoSpaceDN w:val="0"/>
        <w:adjustRightInd w:val="0"/>
        <w:jc w:val="both"/>
        <w:rPr>
          <w:bCs/>
          <w:sz w:val="22"/>
          <w:szCs w:val="22"/>
          <w:u w:val="single"/>
          <w:lang w:val="sr-Latn-CS"/>
        </w:rPr>
      </w:pPr>
      <w:r w:rsidRPr="006B0439">
        <w:rPr>
          <w:bCs/>
          <w:sz w:val="22"/>
          <w:szCs w:val="22"/>
          <w:u w:val="single"/>
          <w:lang w:val="sr-Latn-ME"/>
        </w:rPr>
        <w:t>Linearnost/nelinearnost</w:t>
      </w:r>
    </w:p>
    <w:p w:rsidR="006D6226" w:rsidRPr="006B0439" w:rsidRDefault="006D6226" w:rsidP="00982DE4">
      <w:pPr>
        <w:autoSpaceDE w:val="0"/>
        <w:autoSpaceDN w:val="0"/>
        <w:adjustRightInd w:val="0"/>
        <w:jc w:val="both"/>
        <w:rPr>
          <w:bCs/>
          <w:sz w:val="22"/>
          <w:szCs w:val="22"/>
          <w:lang w:val="sr-Latn-CS"/>
        </w:rPr>
      </w:pPr>
      <w:r w:rsidRPr="006B0439">
        <w:rPr>
          <w:bCs/>
          <w:sz w:val="22"/>
          <w:szCs w:val="22"/>
          <w:lang w:val="sr-Latn-CS"/>
        </w:rPr>
        <w:t>Populaciona farmakokinetička analiza irinotekana sprovedena je na 148 pacijenata sa metastatskim kolorektalnim karcinomom, liječenih različitim dozama i doznim režimima, u studijama II faze. Farmakokinetički parametri izračunavani su prema troprostornom modelu i imali su slične vrijednosti kao i u studijama I faze. Sve studije pokazale su da ekspozicija irinotekanu (CPT-11) i SN-38 raste srazmerno primenjenoj dozi CPT-11; farmakokinetika irinotekana i SN-38 bila je nezavisna od broja prethodnih ciklusa i doznog režima.</w:t>
      </w:r>
    </w:p>
    <w:p w:rsidR="00883071" w:rsidRPr="006B0439" w:rsidRDefault="00883071" w:rsidP="00982DE4">
      <w:pPr>
        <w:autoSpaceDE w:val="0"/>
        <w:autoSpaceDN w:val="0"/>
        <w:adjustRightInd w:val="0"/>
        <w:jc w:val="both"/>
        <w:rPr>
          <w:bCs/>
          <w:sz w:val="22"/>
          <w:szCs w:val="22"/>
          <w:lang w:val="sr-Latn-CS"/>
        </w:rPr>
      </w:pPr>
    </w:p>
    <w:p w:rsidR="0072020E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CS"/>
        </w:rPr>
      </w:pPr>
      <w:r w:rsidRPr="006B0439">
        <w:rPr>
          <w:b/>
          <w:bCs/>
          <w:sz w:val="22"/>
          <w:szCs w:val="22"/>
          <w:lang w:val="sr-Latn-CS"/>
        </w:rPr>
        <w:t xml:space="preserve">5.3. </w:t>
      </w:r>
      <w:r w:rsidR="00480FB1" w:rsidRPr="006B0439">
        <w:rPr>
          <w:b/>
          <w:bCs/>
          <w:sz w:val="22"/>
          <w:szCs w:val="22"/>
          <w:lang w:val="sr-Latn-CS"/>
        </w:rPr>
        <w:tab/>
      </w:r>
      <w:r w:rsidRPr="006B0439">
        <w:rPr>
          <w:b/>
          <w:bCs/>
          <w:sz w:val="22"/>
          <w:szCs w:val="22"/>
        </w:rPr>
        <w:t>Pretklini</w:t>
      </w:r>
      <w:r w:rsidRPr="006B0439">
        <w:rPr>
          <w:b/>
          <w:bCs/>
          <w:sz w:val="22"/>
          <w:szCs w:val="22"/>
          <w:lang w:val="sr-Latn-CS"/>
        </w:rPr>
        <w:t>č</w:t>
      </w:r>
      <w:r w:rsidRPr="006B0439">
        <w:rPr>
          <w:b/>
          <w:bCs/>
          <w:sz w:val="22"/>
          <w:szCs w:val="22"/>
        </w:rPr>
        <w:t>ki</w:t>
      </w:r>
      <w:r w:rsidRPr="006B0439">
        <w:rPr>
          <w:b/>
          <w:bCs/>
          <w:sz w:val="22"/>
          <w:szCs w:val="22"/>
          <w:lang w:val="sr-Latn-CS"/>
        </w:rPr>
        <w:t xml:space="preserve"> </w:t>
      </w:r>
      <w:r w:rsidRPr="006B0439">
        <w:rPr>
          <w:b/>
          <w:bCs/>
          <w:sz w:val="22"/>
          <w:szCs w:val="22"/>
        </w:rPr>
        <w:t>podaci</w:t>
      </w:r>
      <w:r w:rsidRPr="006B0439">
        <w:rPr>
          <w:b/>
          <w:bCs/>
          <w:sz w:val="22"/>
          <w:szCs w:val="22"/>
          <w:lang w:val="sr-Latn-CS"/>
        </w:rPr>
        <w:t xml:space="preserve"> </w:t>
      </w:r>
      <w:r w:rsidRPr="006B0439">
        <w:rPr>
          <w:b/>
          <w:bCs/>
          <w:sz w:val="22"/>
          <w:szCs w:val="22"/>
        </w:rPr>
        <w:t>o</w:t>
      </w:r>
      <w:r w:rsidRPr="006B0439">
        <w:rPr>
          <w:b/>
          <w:bCs/>
          <w:sz w:val="22"/>
          <w:szCs w:val="22"/>
          <w:lang w:val="sr-Latn-CS"/>
        </w:rPr>
        <w:t xml:space="preserve"> </w:t>
      </w:r>
      <w:r w:rsidRPr="006B0439">
        <w:rPr>
          <w:b/>
          <w:bCs/>
          <w:sz w:val="22"/>
          <w:szCs w:val="22"/>
        </w:rPr>
        <w:t>bezbjednosti</w:t>
      </w:r>
      <w:r w:rsidRPr="006B0439">
        <w:rPr>
          <w:b/>
          <w:bCs/>
          <w:sz w:val="22"/>
          <w:szCs w:val="22"/>
          <w:lang w:val="sr-Latn-CS"/>
        </w:rPr>
        <w:t xml:space="preserve"> </w:t>
      </w:r>
    </w:p>
    <w:p w:rsidR="006B0439" w:rsidRPr="006B0439" w:rsidRDefault="006B0439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CS"/>
        </w:rPr>
      </w:pPr>
    </w:p>
    <w:p w:rsidR="00836AA7" w:rsidRPr="006B0439" w:rsidRDefault="00836AA7" w:rsidP="00836AA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CS"/>
        </w:rPr>
      </w:pPr>
      <w:r w:rsidRPr="006B0439">
        <w:rPr>
          <w:bCs/>
          <w:sz w:val="22"/>
          <w:szCs w:val="22"/>
          <w:lang w:val="sr-Latn-CS"/>
        </w:rPr>
        <w:t xml:space="preserve">Irinotekan i SN-38 su dokazani mutageni u </w:t>
      </w:r>
      <w:r w:rsidRPr="006B0439">
        <w:rPr>
          <w:bCs/>
          <w:i/>
          <w:iCs/>
          <w:sz w:val="22"/>
          <w:szCs w:val="22"/>
          <w:lang w:val="sr-Latn-CS"/>
        </w:rPr>
        <w:t xml:space="preserve">in vitro </w:t>
      </w:r>
      <w:r w:rsidRPr="006B0439">
        <w:rPr>
          <w:bCs/>
          <w:sz w:val="22"/>
          <w:szCs w:val="22"/>
          <w:lang w:val="sr-Latn-CS"/>
        </w:rPr>
        <w:t xml:space="preserve">testu hromozomskih aberacija na CHO-ćelijama, kao i u </w:t>
      </w:r>
      <w:r w:rsidRPr="006B0439">
        <w:rPr>
          <w:bCs/>
          <w:i/>
          <w:iCs/>
          <w:sz w:val="22"/>
          <w:szCs w:val="22"/>
          <w:lang w:val="sr-Latn-CS"/>
        </w:rPr>
        <w:t xml:space="preserve">in vivo </w:t>
      </w:r>
      <w:r w:rsidRPr="006B0439">
        <w:rPr>
          <w:bCs/>
          <w:sz w:val="22"/>
          <w:szCs w:val="22"/>
          <w:lang w:val="sr-Latn-CS"/>
        </w:rPr>
        <w:t>mikronukleusnom testu na miševima.</w:t>
      </w:r>
    </w:p>
    <w:p w:rsidR="00836AA7" w:rsidRPr="006B0439" w:rsidRDefault="00836AA7" w:rsidP="00836AA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CS"/>
        </w:rPr>
      </w:pPr>
      <w:r w:rsidRPr="006B0439">
        <w:rPr>
          <w:bCs/>
          <w:sz w:val="22"/>
          <w:szCs w:val="22"/>
          <w:lang w:val="sr-Latn-CS"/>
        </w:rPr>
        <w:t xml:space="preserve">Međutim, oni nisu ispoljili bilo kakav mutageni potencijal u </w:t>
      </w:r>
      <w:r w:rsidRPr="006B0439">
        <w:rPr>
          <w:bCs/>
          <w:i/>
          <w:iCs/>
          <w:sz w:val="22"/>
          <w:szCs w:val="22"/>
          <w:lang w:val="sr-Latn-CS"/>
        </w:rPr>
        <w:t>Ames</w:t>
      </w:r>
      <w:r w:rsidRPr="006B0439">
        <w:rPr>
          <w:bCs/>
          <w:sz w:val="22"/>
          <w:szCs w:val="22"/>
          <w:lang w:val="sr-Latn-CS"/>
        </w:rPr>
        <w:t>-ovom testu.</w:t>
      </w:r>
    </w:p>
    <w:p w:rsidR="00836AA7" w:rsidRPr="006B0439" w:rsidRDefault="00836AA7" w:rsidP="00836AA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CS"/>
        </w:rPr>
      </w:pPr>
      <w:r w:rsidRPr="006B0439">
        <w:rPr>
          <w:bCs/>
          <w:sz w:val="22"/>
          <w:szCs w:val="22"/>
          <w:lang w:val="sr-Latn-CS"/>
        </w:rPr>
        <w:t>Kod pacova koji su jednom nedeljno tokom 13 ned</w:t>
      </w:r>
      <w:r w:rsidR="00DC049E" w:rsidRPr="006B0439">
        <w:rPr>
          <w:bCs/>
          <w:sz w:val="22"/>
          <w:szCs w:val="22"/>
          <w:lang w:val="sr-Latn-CS"/>
        </w:rPr>
        <w:t>j</w:t>
      </w:r>
      <w:r w:rsidRPr="006B0439">
        <w:rPr>
          <w:bCs/>
          <w:sz w:val="22"/>
          <w:szCs w:val="22"/>
          <w:lang w:val="sr-Latn-CS"/>
        </w:rPr>
        <w:t>elja dobijali irinotekan u maksimalnoj dozi od 150 mg/m</w:t>
      </w:r>
      <w:r w:rsidRPr="006B0439">
        <w:rPr>
          <w:bCs/>
          <w:sz w:val="22"/>
          <w:szCs w:val="22"/>
          <w:vertAlign w:val="superscript"/>
          <w:lang w:val="sr-Latn-CS"/>
        </w:rPr>
        <w:t>2</w:t>
      </w:r>
      <w:r w:rsidRPr="006B0439">
        <w:rPr>
          <w:bCs/>
          <w:sz w:val="22"/>
          <w:szCs w:val="22"/>
          <w:lang w:val="sr-Latn-CS"/>
        </w:rPr>
        <w:t xml:space="preserve"> (što je manje od polovine preporučene doze kod čovjeka), nije bilo tumora izazvanih lijekom 91 ned</w:t>
      </w:r>
      <w:r w:rsidR="00DC049E" w:rsidRPr="006B0439">
        <w:rPr>
          <w:bCs/>
          <w:sz w:val="22"/>
          <w:szCs w:val="22"/>
          <w:lang w:val="sr-Latn-CS"/>
        </w:rPr>
        <w:t>j</w:t>
      </w:r>
      <w:r w:rsidRPr="006B0439">
        <w:rPr>
          <w:bCs/>
          <w:sz w:val="22"/>
          <w:szCs w:val="22"/>
          <w:lang w:val="sr-Latn-CS"/>
        </w:rPr>
        <w:t>elju po završetku terapije.</w:t>
      </w:r>
    </w:p>
    <w:p w:rsidR="00836AA7" w:rsidRPr="006B0439" w:rsidRDefault="00836AA7" w:rsidP="00836AA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CS"/>
        </w:rPr>
      </w:pPr>
      <w:r w:rsidRPr="006B0439">
        <w:rPr>
          <w:bCs/>
          <w:sz w:val="22"/>
          <w:szCs w:val="22"/>
          <w:lang w:val="sr-Latn-CS"/>
        </w:rPr>
        <w:t>Toksikološke studije sa jednom ili više ponovljenih doza irinotekana sprovedene su na miševima, pacovima i psima. Glavni toksični efekti zapaženi su u hematopoetskom i limfnom sistemu. Kod pasa, opisana je odložena dijareja udružena sa atrofijom i fokalnom nekrozom intestinalne mukoze. Alopecija je takođe opisana kod pasa.</w:t>
      </w:r>
    </w:p>
    <w:p w:rsidR="00836AA7" w:rsidRPr="006B0439" w:rsidRDefault="00836AA7" w:rsidP="00836AA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CS"/>
        </w:rPr>
      </w:pPr>
    </w:p>
    <w:p w:rsidR="00836AA7" w:rsidRPr="006B0439" w:rsidRDefault="00836AA7" w:rsidP="00836AA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CS"/>
        </w:rPr>
      </w:pPr>
      <w:r w:rsidRPr="006B0439">
        <w:rPr>
          <w:bCs/>
          <w:sz w:val="22"/>
          <w:szCs w:val="22"/>
          <w:lang w:val="sr-Latn-CS"/>
        </w:rPr>
        <w:t>Intenzitet ovih efekata bio je dozno-zavistan i reverzibilan.</w:t>
      </w:r>
    </w:p>
    <w:p w:rsidR="00836AA7" w:rsidRPr="006B0439" w:rsidRDefault="00836AA7" w:rsidP="00836AA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CS"/>
        </w:rPr>
      </w:pPr>
    </w:p>
    <w:p w:rsidR="00836AA7" w:rsidRPr="006B0439" w:rsidRDefault="00836AA7" w:rsidP="00836AA7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CS"/>
        </w:rPr>
      </w:pPr>
      <w:r w:rsidRPr="006B0439">
        <w:rPr>
          <w:bCs/>
          <w:sz w:val="22"/>
          <w:szCs w:val="22"/>
          <w:u w:val="single"/>
          <w:lang w:val="sr-Latn-CS"/>
        </w:rPr>
        <w:t>Reprodukcija</w:t>
      </w:r>
    </w:p>
    <w:p w:rsidR="00836B35" w:rsidRPr="006B0439" w:rsidRDefault="00836AA7" w:rsidP="00836AA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CS"/>
        </w:rPr>
      </w:pPr>
      <w:r w:rsidRPr="006B0439">
        <w:rPr>
          <w:bCs/>
          <w:sz w:val="22"/>
          <w:szCs w:val="22"/>
          <w:lang w:val="sr-Latn-CS"/>
        </w:rPr>
        <w:t>Irinotekan je ispoljio teratogeno dejstvo kod pacova i kunića u dozama koje su ispod terapijskih doza koje se prim</w:t>
      </w:r>
      <w:r w:rsidR="008F390D" w:rsidRPr="006B0439">
        <w:rPr>
          <w:bCs/>
          <w:sz w:val="22"/>
          <w:szCs w:val="22"/>
          <w:lang w:val="sr-Latn-CS"/>
        </w:rPr>
        <w:t>j</w:t>
      </w:r>
      <w:r w:rsidRPr="006B0439">
        <w:rPr>
          <w:bCs/>
          <w:sz w:val="22"/>
          <w:szCs w:val="22"/>
          <w:lang w:val="sr-Latn-CS"/>
        </w:rPr>
        <w:t xml:space="preserve">enjuju kod ljudi. Kod pacova, mladunci tretiranih životinjama sa spoljašnjim deformitetima pokazali su smanjenje fertiliteta. Ovo nije zapaženo kod morfološki normalnih mladunaca. Kod skotnih pacova uočeno je smanjenje u težini placente, a kod tek rođenih mladunaca smanjenje fetalnog preživljavanja i učestalija pojava poremećaja ponašanja. </w:t>
      </w:r>
    </w:p>
    <w:p w:rsidR="00396DFD" w:rsidRPr="006B0439" w:rsidRDefault="00396DFD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CS"/>
        </w:rPr>
      </w:pPr>
    </w:p>
    <w:p w:rsidR="00E07473" w:rsidRPr="006B0439" w:rsidRDefault="00E07473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CS"/>
        </w:rPr>
      </w:pPr>
    </w:p>
    <w:p w:rsidR="0072020E" w:rsidRPr="006B0439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6B0439">
        <w:rPr>
          <w:b/>
          <w:bCs/>
          <w:sz w:val="22"/>
          <w:szCs w:val="22"/>
        </w:rPr>
        <w:t xml:space="preserve">6. </w:t>
      </w:r>
      <w:r w:rsidR="00480FB1" w:rsidRPr="006B0439">
        <w:rPr>
          <w:b/>
          <w:bCs/>
          <w:sz w:val="22"/>
          <w:szCs w:val="22"/>
        </w:rPr>
        <w:tab/>
      </w:r>
      <w:r w:rsidRPr="006B0439">
        <w:rPr>
          <w:b/>
          <w:bCs/>
          <w:sz w:val="22"/>
          <w:szCs w:val="22"/>
        </w:rPr>
        <w:t>FARMACEUTSKI PODACI</w:t>
      </w:r>
    </w:p>
    <w:p w:rsidR="00836B35" w:rsidRPr="006B0439" w:rsidRDefault="00836B35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:rsidR="0072020E" w:rsidRPr="006B0439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6B0439">
        <w:rPr>
          <w:b/>
          <w:bCs/>
          <w:sz w:val="22"/>
          <w:szCs w:val="22"/>
        </w:rPr>
        <w:t xml:space="preserve">6.1. </w:t>
      </w:r>
      <w:r w:rsidR="00480FB1" w:rsidRPr="006B0439">
        <w:rPr>
          <w:b/>
          <w:bCs/>
          <w:sz w:val="22"/>
          <w:szCs w:val="22"/>
        </w:rPr>
        <w:tab/>
      </w:r>
      <w:r w:rsidRPr="006B0439">
        <w:rPr>
          <w:b/>
          <w:bCs/>
          <w:sz w:val="22"/>
          <w:szCs w:val="22"/>
        </w:rPr>
        <w:t>Lista pomoćnih supstanci</w:t>
      </w:r>
      <w:r w:rsidR="002E0135" w:rsidRPr="006B0439">
        <w:rPr>
          <w:b/>
          <w:bCs/>
          <w:sz w:val="22"/>
          <w:szCs w:val="22"/>
        </w:rPr>
        <w:t xml:space="preserve"> (ekscipijenasa)</w:t>
      </w:r>
    </w:p>
    <w:p w:rsidR="0072020E" w:rsidRPr="006B0439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:rsidR="00836AA7" w:rsidRPr="006B0439" w:rsidRDefault="00E07473" w:rsidP="00836AA7">
      <w:pPr>
        <w:tabs>
          <w:tab w:val="left" w:pos="540"/>
          <w:tab w:val="left" w:pos="569"/>
        </w:tabs>
        <w:rPr>
          <w:bCs/>
          <w:sz w:val="22"/>
          <w:szCs w:val="22"/>
          <w:lang w:val="sr-Latn-CS"/>
        </w:rPr>
      </w:pPr>
      <w:r w:rsidRPr="006B0439">
        <w:rPr>
          <w:bCs/>
          <w:sz w:val="22"/>
          <w:szCs w:val="22"/>
          <w:lang w:val="sr-Latn-CS"/>
        </w:rPr>
        <w:t>s</w:t>
      </w:r>
      <w:r w:rsidR="00836AA7" w:rsidRPr="006B0439">
        <w:rPr>
          <w:bCs/>
          <w:sz w:val="22"/>
          <w:szCs w:val="22"/>
          <w:lang w:val="sr-Latn-CS"/>
        </w:rPr>
        <w:t>orbitol (E420),</w:t>
      </w:r>
    </w:p>
    <w:p w:rsidR="00836AA7" w:rsidRPr="006B0439" w:rsidRDefault="00E07473" w:rsidP="00836AA7">
      <w:pPr>
        <w:tabs>
          <w:tab w:val="left" w:pos="540"/>
          <w:tab w:val="left" w:pos="569"/>
        </w:tabs>
        <w:rPr>
          <w:bCs/>
          <w:sz w:val="22"/>
          <w:szCs w:val="22"/>
          <w:lang w:val="sr-Latn-CS"/>
        </w:rPr>
      </w:pPr>
      <w:r w:rsidRPr="006B0439">
        <w:rPr>
          <w:bCs/>
          <w:sz w:val="22"/>
          <w:szCs w:val="22"/>
          <w:lang w:val="sr-Latn-CS"/>
        </w:rPr>
        <w:t>m</w:t>
      </w:r>
      <w:r w:rsidR="00836AA7" w:rsidRPr="006B0439">
        <w:rPr>
          <w:bCs/>
          <w:sz w:val="22"/>
          <w:szCs w:val="22"/>
          <w:lang w:val="sr-Latn-CS"/>
        </w:rPr>
        <w:t>l</w:t>
      </w:r>
      <w:r w:rsidR="005166B3" w:rsidRPr="006B0439">
        <w:rPr>
          <w:bCs/>
          <w:sz w:val="22"/>
          <w:szCs w:val="22"/>
          <w:lang w:val="sr-Latn-CS"/>
        </w:rPr>
        <w:t>i</w:t>
      </w:r>
      <w:r w:rsidR="00836AA7" w:rsidRPr="006B0439">
        <w:rPr>
          <w:bCs/>
          <w:sz w:val="22"/>
          <w:szCs w:val="22"/>
          <w:lang w:val="sr-Latn-CS"/>
        </w:rPr>
        <w:t>ječna kiselina (E270),</w:t>
      </w:r>
    </w:p>
    <w:p w:rsidR="00836AA7" w:rsidRPr="006B0439" w:rsidRDefault="00E07473" w:rsidP="00836AA7">
      <w:pPr>
        <w:tabs>
          <w:tab w:val="left" w:pos="540"/>
          <w:tab w:val="left" w:pos="569"/>
        </w:tabs>
        <w:rPr>
          <w:bCs/>
          <w:sz w:val="22"/>
          <w:szCs w:val="22"/>
          <w:lang w:val="sr-Latn-CS"/>
        </w:rPr>
      </w:pPr>
      <w:r w:rsidRPr="006B0439">
        <w:rPr>
          <w:bCs/>
          <w:sz w:val="22"/>
          <w:szCs w:val="22"/>
          <w:lang w:val="sr-Latn-CS"/>
        </w:rPr>
        <w:t>n</w:t>
      </w:r>
      <w:r w:rsidR="00836AA7" w:rsidRPr="006B0439">
        <w:rPr>
          <w:bCs/>
          <w:sz w:val="22"/>
          <w:szCs w:val="22"/>
          <w:lang w:val="sr-Latn-CS"/>
        </w:rPr>
        <w:t>atrijum</w:t>
      </w:r>
      <w:r w:rsidRPr="006B0439">
        <w:rPr>
          <w:bCs/>
          <w:sz w:val="22"/>
          <w:szCs w:val="22"/>
          <w:lang w:val="sr-Latn-CS"/>
        </w:rPr>
        <w:t xml:space="preserve"> </w:t>
      </w:r>
      <w:r w:rsidR="00836AA7" w:rsidRPr="006B0439">
        <w:rPr>
          <w:bCs/>
          <w:sz w:val="22"/>
          <w:szCs w:val="22"/>
          <w:lang w:val="sr-Latn-CS"/>
        </w:rPr>
        <w:t xml:space="preserve">hidroksid (E524) (za podešavanje pH </w:t>
      </w:r>
      <w:r w:rsidRPr="006B0439">
        <w:rPr>
          <w:bCs/>
          <w:sz w:val="22"/>
          <w:szCs w:val="22"/>
          <w:lang w:val="sr-Latn-CS"/>
        </w:rPr>
        <w:t>vrijednosti</w:t>
      </w:r>
      <w:r w:rsidR="005166B3" w:rsidRPr="006B0439">
        <w:rPr>
          <w:bCs/>
          <w:sz w:val="22"/>
          <w:szCs w:val="22"/>
          <w:lang w:val="sr-Latn-CS"/>
        </w:rPr>
        <w:t xml:space="preserve"> na 3.0 - 3.8</w:t>
      </w:r>
      <w:r w:rsidR="00836AA7" w:rsidRPr="006B0439">
        <w:rPr>
          <w:bCs/>
          <w:sz w:val="22"/>
          <w:szCs w:val="22"/>
          <w:lang w:val="sr-Latn-CS"/>
        </w:rPr>
        <w:t>)</w:t>
      </w:r>
      <w:r w:rsidR="005166B3" w:rsidRPr="006B0439">
        <w:rPr>
          <w:bCs/>
          <w:sz w:val="22"/>
          <w:szCs w:val="22"/>
          <w:lang w:val="sr-Latn-CS"/>
        </w:rPr>
        <w:t xml:space="preserve"> ili</w:t>
      </w:r>
    </w:p>
    <w:p w:rsidR="00836AA7" w:rsidRPr="006B0439" w:rsidRDefault="00E07473" w:rsidP="00836AA7">
      <w:pPr>
        <w:tabs>
          <w:tab w:val="left" w:pos="540"/>
          <w:tab w:val="left" w:pos="569"/>
        </w:tabs>
        <w:rPr>
          <w:bCs/>
          <w:sz w:val="22"/>
          <w:szCs w:val="22"/>
          <w:lang w:val="sr-Latn-CS"/>
        </w:rPr>
      </w:pPr>
      <w:r w:rsidRPr="006B0439">
        <w:rPr>
          <w:bCs/>
          <w:sz w:val="22"/>
          <w:szCs w:val="22"/>
          <w:lang w:val="sr-Latn-CS"/>
        </w:rPr>
        <w:t>h</w:t>
      </w:r>
      <w:r w:rsidR="00836AA7" w:rsidRPr="006B0439">
        <w:rPr>
          <w:bCs/>
          <w:sz w:val="22"/>
          <w:szCs w:val="22"/>
          <w:lang w:val="sr-Latn-CS"/>
        </w:rPr>
        <w:t xml:space="preserve">lorovodonična kiselina (za podešavanje pH </w:t>
      </w:r>
      <w:r w:rsidRPr="006B0439">
        <w:rPr>
          <w:bCs/>
          <w:sz w:val="22"/>
          <w:szCs w:val="22"/>
          <w:lang w:val="sr-Latn-CS"/>
        </w:rPr>
        <w:t>vrijednosti</w:t>
      </w:r>
      <w:r w:rsidR="005166B3" w:rsidRPr="006B0439">
        <w:rPr>
          <w:bCs/>
          <w:sz w:val="22"/>
          <w:szCs w:val="22"/>
          <w:lang w:val="sr-Latn-CS"/>
        </w:rPr>
        <w:t xml:space="preserve"> na 3.0 - 3.8</w:t>
      </w:r>
      <w:r w:rsidR="00836AA7" w:rsidRPr="006B0439">
        <w:rPr>
          <w:bCs/>
          <w:sz w:val="22"/>
          <w:szCs w:val="22"/>
          <w:lang w:val="sr-Latn-CS"/>
        </w:rPr>
        <w:t>),</w:t>
      </w:r>
    </w:p>
    <w:p w:rsidR="00836AA7" w:rsidRPr="006B0439" w:rsidRDefault="00836AA7" w:rsidP="00836AA7">
      <w:pPr>
        <w:tabs>
          <w:tab w:val="left" w:pos="540"/>
          <w:tab w:val="left" w:pos="569"/>
        </w:tabs>
        <w:rPr>
          <w:bCs/>
          <w:sz w:val="22"/>
          <w:szCs w:val="22"/>
          <w:lang w:val="sr-Latn-CS"/>
        </w:rPr>
      </w:pPr>
      <w:r w:rsidRPr="006B0439">
        <w:rPr>
          <w:bCs/>
          <w:sz w:val="22"/>
          <w:szCs w:val="22"/>
          <w:lang w:val="sr-Latn-CS"/>
        </w:rPr>
        <w:t>voda za injekcije.</w:t>
      </w:r>
    </w:p>
    <w:p w:rsidR="00836AA7" w:rsidRPr="006B0439" w:rsidRDefault="00836AA7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CS"/>
        </w:rPr>
      </w:pPr>
    </w:p>
    <w:p w:rsidR="0072020E" w:rsidRPr="006B0439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CS"/>
        </w:rPr>
      </w:pPr>
      <w:r w:rsidRPr="006B0439">
        <w:rPr>
          <w:b/>
          <w:bCs/>
          <w:sz w:val="22"/>
          <w:szCs w:val="22"/>
          <w:lang w:val="sr-Latn-CS"/>
        </w:rPr>
        <w:t xml:space="preserve">6.2. </w:t>
      </w:r>
      <w:r w:rsidR="00480FB1" w:rsidRPr="006B0439">
        <w:rPr>
          <w:b/>
          <w:bCs/>
          <w:sz w:val="22"/>
          <w:szCs w:val="22"/>
          <w:lang w:val="sr-Latn-CS"/>
        </w:rPr>
        <w:tab/>
      </w:r>
      <w:r w:rsidRPr="006B0439">
        <w:rPr>
          <w:b/>
          <w:bCs/>
          <w:sz w:val="22"/>
          <w:szCs w:val="22"/>
        </w:rPr>
        <w:t>Inkompatibilnost</w:t>
      </w:r>
      <w:r w:rsidR="002846DB" w:rsidRPr="006B0439">
        <w:rPr>
          <w:b/>
          <w:bCs/>
          <w:sz w:val="22"/>
          <w:szCs w:val="22"/>
        </w:rPr>
        <w:t>i</w:t>
      </w:r>
    </w:p>
    <w:p w:rsidR="005166B3" w:rsidRPr="006B0439" w:rsidRDefault="005166B3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CS"/>
        </w:rPr>
      </w:pPr>
    </w:p>
    <w:p w:rsidR="0072020E" w:rsidRPr="006B0439" w:rsidRDefault="00165BBF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CS"/>
        </w:rPr>
      </w:pPr>
      <w:r w:rsidRPr="006B0439">
        <w:rPr>
          <w:bCs/>
          <w:sz w:val="22"/>
          <w:szCs w:val="22"/>
          <w:lang w:val="sr-Latn-CS"/>
        </w:rPr>
        <w:t>Nije poznato.</w:t>
      </w:r>
    </w:p>
    <w:p w:rsidR="00CE50DB" w:rsidRPr="006B0439" w:rsidRDefault="00CE50DB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CS"/>
        </w:rPr>
      </w:pPr>
      <w:r w:rsidRPr="006B0439">
        <w:rPr>
          <w:bCs/>
          <w:sz w:val="22"/>
          <w:szCs w:val="22"/>
          <w:lang w:val="sr-Latn-CS"/>
        </w:rPr>
        <w:lastRenderedPageBreak/>
        <w:t>Ne m</w:t>
      </w:r>
      <w:r w:rsidR="00165BBF" w:rsidRPr="006B0439">
        <w:rPr>
          <w:bCs/>
          <w:sz w:val="22"/>
          <w:szCs w:val="22"/>
          <w:lang w:val="sr-Latn-CS"/>
        </w:rPr>
        <w:t>i</w:t>
      </w:r>
      <w:r w:rsidRPr="006B0439">
        <w:rPr>
          <w:bCs/>
          <w:sz w:val="22"/>
          <w:szCs w:val="22"/>
          <w:lang w:val="sr-Latn-CS"/>
        </w:rPr>
        <w:t xml:space="preserve">ješati sa drugim ljekovima, osim sa navedenim u </w:t>
      </w:r>
      <w:r w:rsidR="005166B3" w:rsidRPr="006B0439">
        <w:rPr>
          <w:bCs/>
          <w:sz w:val="22"/>
          <w:szCs w:val="22"/>
          <w:lang w:val="sr-Latn-CS"/>
        </w:rPr>
        <w:t>dijelu</w:t>
      </w:r>
      <w:r w:rsidRPr="006B0439">
        <w:rPr>
          <w:bCs/>
          <w:sz w:val="22"/>
          <w:szCs w:val="22"/>
          <w:lang w:val="sr-Latn-CS"/>
        </w:rPr>
        <w:t xml:space="preserve"> 6.6.</w:t>
      </w:r>
    </w:p>
    <w:p w:rsidR="00CE50DB" w:rsidRPr="006B0439" w:rsidRDefault="00CE50DB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CS"/>
        </w:rPr>
      </w:pPr>
    </w:p>
    <w:p w:rsidR="0072020E" w:rsidRPr="006B0439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6B0439">
        <w:rPr>
          <w:b/>
          <w:bCs/>
          <w:sz w:val="22"/>
          <w:szCs w:val="22"/>
        </w:rPr>
        <w:t>6.3.</w:t>
      </w:r>
      <w:r w:rsidR="00C05DF8" w:rsidRPr="006B0439">
        <w:rPr>
          <w:b/>
          <w:bCs/>
          <w:sz w:val="22"/>
          <w:szCs w:val="22"/>
        </w:rPr>
        <w:t xml:space="preserve"> </w:t>
      </w:r>
      <w:r w:rsidR="00480FB1" w:rsidRPr="006B0439">
        <w:rPr>
          <w:b/>
          <w:bCs/>
          <w:sz w:val="22"/>
          <w:szCs w:val="22"/>
        </w:rPr>
        <w:tab/>
      </w:r>
      <w:r w:rsidRPr="006B0439">
        <w:rPr>
          <w:b/>
          <w:bCs/>
          <w:sz w:val="22"/>
          <w:szCs w:val="22"/>
        </w:rPr>
        <w:t>Rok upotrebe</w:t>
      </w:r>
    </w:p>
    <w:p w:rsidR="0072020E" w:rsidRPr="006B0439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:rsidR="00CE50DB" w:rsidRPr="006B0439" w:rsidRDefault="00CE50DB" w:rsidP="00CE50D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CS"/>
        </w:rPr>
      </w:pPr>
      <w:r w:rsidRPr="006B0439">
        <w:rPr>
          <w:bCs/>
          <w:sz w:val="22"/>
          <w:szCs w:val="22"/>
          <w:u w:val="single"/>
          <w:lang w:val="sr-Latn-CS"/>
        </w:rPr>
        <w:t>Neotvorena bočica:</w:t>
      </w:r>
      <w:r w:rsidRPr="006B0439">
        <w:rPr>
          <w:bCs/>
          <w:sz w:val="22"/>
          <w:szCs w:val="22"/>
          <w:lang w:val="sr-Latn-CS"/>
        </w:rPr>
        <w:t xml:space="preserve"> </w:t>
      </w:r>
      <w:r w:rsidR="00CD5681" w:rsidRPr="006B0439">
        <w:rPr>
          <w:bCs/>
          <w:sz w:val="22"/>
          <w:szCs w:val="22"/>
          <w:lang w:val="sr-Latn-CS"/>
        </w:rPr>
        <w:t>3</w:t>
      </w:r>
      <w:r w:rsidRPr="006B0439">
        <w:rPr>
          <w:bCs/>
          <w:sz w:val="22"/>
          <w:szCs w:val="22"/>
          <w:lang w:val="sr-Latn-CS"/>
        </w:rPr>
        <w:t xml:space="preserve"> godine.</w:t>
      </w:r>
    </w:p>
    <w:p w:rsidR="00CD5681" w:rsidRPr="006B0439" w:rsidRDefault="00CD5681" w:rsidP="00CE50D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CS"/>
        </w:rPr>
      </w:pPr>
    </w:p>
    <w:p w:rsidR="00CE50DB" w:rsidRPr="006B0439" w:rsidRDefault="00CE50DB" w:rsidP="00CE50DB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6B0439">
        <w:rPr>
          <w:bCs/>
          <w:sz w:val="22"/>
          <w:szCs w:val="22"/>
          <w:u w:val="single"/>
        </w:rPr>
        <w:t xml:space="preserve">Rastvor posle </w:t>
      </w:r>
      <w:r w:rsidR="00CD5681" w:rsidRPr="006B0439">
        <w:rPr>
          <w:bCs/>
          <w:sz w:val="22"/>
          <w:szCs w:val="22"/>
          <w:u w:val="single"/>
        </w:rPr>
        <w:t>rekonstitucije/</w:t>
      </w:r>
      <w:r w:rsidRPr="006B0439">
        <w:rPr>
          <w:bCs/>
          <w:sz w:val="22"/>
          <w:szCs w:val="22"/>
          <w:u w:val="single"/>
        </w:rPr>
        <w:t>razblaženja</w:t>
      </w:r>
      <w:r w:rsidRPr="006B0439">
        <w:rPr>
          <w:bCs/>
          <w:sz w:val="22"/>
          <w:szCs w:val="22"/>
        </w:rPr>
        <w:t>: Hemijska i fizička stabilnost</w:t>
      </w:r>
      <w:r w:rsidR="00165BBF" w:rsidRPr="006B0439">
        <w:rPr>
          <w:bCs/>
          <w:sz w:val="22"/>
          <w:szCs w:val="22"/>
        </w:rPr>
        <w:t xml:space="preserve"> tokom upotrebe</w:t>
      </w:r>
      <w:r w:rsidRPr="006B0439">
        <w:rPr>
          <w:bCs/>
          <w:sz w:val="22"/>
          <w:szCs w:val="22"/>
        </w:rPr>
        <w:t xml:space="preserve"> je dokazana </w:t>
      </w:r>
      <w:r w:rsidR="00165BBF" w:rsidRPr="006B0439">
        <w:rPr>
          <w:bCs/>
          <w:sz w:val="22"/>
          <w:szCs w:val="22"/>
        </w:rPr>
        <w:t>tokom</w:t>
      </w:r>
      <w:r w:rsidRPr="006B0439">
        <w:rPr>
          <w:bCs/>
          <w:sz w:val="22"/>
          <w:szCs w:val="22"/>
        </w:rPr>
        <w:t xml:space="preserve"> 12 sati posle rekonstitucije na sobnoj temperatuti ili </w:t>
      </w:r>
      <w:r w:rsidR="00CD5681" w:rsidRPr="006B0439">
        <w:rPr>
          <w:bCs/>
          <w:sz w:val="22"/>
          <w:szCs w:val="22"/>
        </w:rPr>
        <w:t>tokom</w:t>
      </w:r>
      <w:r w:rsidRPr="006B0439">
        <w:rPr>
          <w:bCs/>
          <w:sz w:val="22"/>
          <w:szCs w:val="22"/>
        </w:rPr>
        <w:t xml:space="preserve"> 24 sata na</w:t>
      </w:r>
      <w:r w:rsidR="006B0439">
        <w:rPr>
          <w:bCs/>
          <w:sz w:val="22"/>
          <w:szCs w:val="22"/>
        </w:rPr>
        <w:t xml:space="preserve"> temperature od</w:t>
      </w:r>
      <w:r w:rsidRPr="006B0439">
        <w:rPr>
          <w:bCs/>
          <w:sz w:val="22"/>
          <w:szCs w:val="22"/>
        </w:rPr>
        <w:t xml:space="preserve"> 2°</w:t>
      </w:r>
      <w:r w:rsidR="00F96487" w:rsidRPr="006B0439">
        <w:rPr>
          <w:bCs/>
          <w:sz w:val="22"/>
          <w:szCs w:val="22"/>
        </w:rPr>
        <w:t>C</w:t>
      </w:r>
      <w:r w:rsidRPr="006B0439">
        <w:rPr>
          <w:bCs/>
          <w:sz w:val="22"/>
          <w:szCs w:val="22"/>
        </w:rPr>
        <w:t xml:space="preserve"> do 8°C.</w:t>
      </w:r>
    </w:p>
    <w:p w:rsidR="00CD5681" w:rsidRPr="006B0439" w:rsidRDefault="00CD5681" w:rsidP="00CE50D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CS"/>
        </w:rPr>
      </w:pPr>
    </w:p>
    <w:p w:rsidR="00CE50DB" w:rsidRPr="006B0439" w:rsidRDefault="00F96487" w:rsidP="00CE50D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CS"/>
        </w:rPr>
      </w:pPr>
      <w:r w:rsidRPr="006B0439">
        <w:rPr>
          <w:bCs/>
          <w:sz w:val="22"/>
          <w:szCs w:val="22"/>
          <w:lang w:val="sr-Latn-CS"/>
        </w:rPr>
        <w:t>Preporučuje se da se, kako bi se smanji</w:t>
      </w:r>
      <w:r w:rsidR="00CD5681" w:rsidRPr="006B0439">
        <w:rPr>
          <w:bCs/>
          <w:sz w:val="22"/>
          <w:szCs w:val="22"/>
          <w:lang w:val="sr-Latn-CS"/>
        </w:rPr>
        <w:t>o rizik od</w:t>
      </w:r>
      <w:r w:rsidRPr="006B0439">
        <w:rPr>
          <w:bCs/>
          <w:sz w:val="22"/>
          <w:szCs w:val="22"/>
          <w:lang w:val="sr-Latn-CS"/>
        </w:rPr>
        <w:t xml:space="preserve"> mikrobiološk</w:t>
      </w:r>
      <w:r w:rsidR="00CD5681" w:rsidRPr="006B0439">
        <w:rPr>
          <w:bCs/>
          <w:sz w:val="22"/>
          <w:szCs w:val="22"/>
          <w:lang w:val="sr-Latn-CS"/>
        </w:rPr>
        <w:t>e</w:t>
      </w:r>
      <w:r w:rsidRPr="006B0439">
        <w:rPr>
          <w:bCs/>
          <w:sz w:val="22"/>
          <w:szCs w:val="22"/>
          <w:lang w:val="sr-Latn-CS"/>
        </w:rPr>
        <w:t xml:space="preserve"> </w:t>
      </w:r>
      <w:r w:rsidR="00CD5681" w:rsidRPr="006B0439">
        <w:rPr>
          <w:bCs/>
          <w:sz w:val="22"/>
          <w:szCs w:val="22"/>
          <w:lang w:val="sr-Latn-CS"/>
        </w:rPr>
        <w:t>kontaminacije</w:t>
      </w:r>
      <w:r w:rsidRPr="006B0439">
        <w:rPr>
          <w:bCs/>
          <w:sz w:val="22"/>
          <w:szCs w:val="22"/>
          <w:lang w:val="sr-Latn-CS"/>
        </w:rPr>
        <w:t>, rastvori za infuziju pripremaju neposredno prije upotrebe i da se infuzija započne što je prije moguće nakon pripreme.</w:t>
      </w:r>
      <w:r w:rsidR="001B55D9" w:rsidRPr="006B0439">
        <w:rPr>
          <w:bCs/>
          <w:sz w:val="22"/>
          <w:szCs w:val="22"/>
          <w:lang w:val="sr-Latn-CS"/>
        </w:rPr>
        <w:t xml:space="preserve"> </w:t>
      </w:r>
      <w:r w:rsidR="00CE50DB" w:rsidRPr="006B0439">
        <w:rPr>
          <w:bCs/>
          <w:sz w:val="22"/>
          <w:szCs w:val="22"/>
          <w:lang w:val="sr-Latn-CS"/>
        </w:rPr>
        <w:t>Ako se lijek ne prim</w:t>
      </w:r>
      <w:r w:rsidR="00CD5681" w:rsidRPr="006B0439">
        <w:rPr>
          <w:bCs/>
          <w:sz w:val="22"/>
          <w:szCs w:val="22"/>
          <w:lang w:val="sr-Latn-CS"/>
        </w:rPr>
        <w:t>i</w:t>
      </w:r>
      <w:r w:rsidR="00CE50DB" w:rsidRPr="006B0439">
        <w:rPr>
          <w:bCs/>
          <w:sz w:val="22"/>
          <w:szCs w:val="22"/>
          <w:lang w:val="sr-Latn-CS"/>
        </w:rPr>
        <w:t>jeni odmah</w:t>
      </w:r>
      <w:r w:rsidRPr="006B0439">
        <w:rPr>
          <w:bCs/>
          <w:sz w:val="22"/>
          <w:szCs w:val="22"/>
          <w:lang w:val="sr-Latn-CS"/>
        </w:rPr>
        <w:t xml:space="preserve"> nakon razblaženja</w:t>
      </w:r>
      <w:r w:rsidR="00CE50DB" w:rsidRPr="006B0439">
        <w:rPr>
          <w:bCs/>
          <w:sz w:val="22"/>
          <w:szCs w:val="22"/>
          <w:lang w:val="sr-Latn-CS"/>
        </w:rPr>
        <w:t>, vrijeme i uslovi čuvanja prije primjene predstavljaju odgovornost korisnika i normalno, ne bi trebalo da budu duži od 24 sata na temperaturi od 2ºC do 8ºC</w:t>
      </w:r>
      <w:r w:rsidRPr="006B0439">
        <w:rPr>
          <w:bCs/>
          <w:sz w:val="22"/>
          <w:szCs w:val="22"/>
          <w:lang w:val="sr-Latn-CS"/>
        </w:rPr>
        <w:t xml:space="preserve"> i od 12 sati na sobnoj teperaturi</w:t>
      </w:r>
      <w:r w:rsidR="00CE50DB" w:rsidRPr="006B0439">
        <w:rPr>
          <w:bCs/>
          <w:sz w:val="22"/>
          <w:szCs w:val="22"/>
          <w:lang w:val="sr-Latn-CS"/>
        </w:rPr>
        <w:t>, osim ako se rekonstitucija/razblaženje ne odvija u strogo kontrolisanim i validiranim aseptič</w:t>
      </w:r>
      <w:r w:rsidR="00CD5681" w:rsidRPr="006B0439">
        <w:rPr>
          <w:bCs/>
          <w:sz w:val="22"/>
          <w:szCs w:val="22"/>
          <w:lang w:val="sr-Latn-CS"/>
        </w:rPr>
        <w:t>n</w:t>
      </w:r>
      <w:r w:rsidR="00CE50DB" w:rsidRPr="006B0439">
        <w:rPr>
          <w:bCs/>
          <w:sz w:val="22"/>
          <w:szCs w:val="22"/>
          <w:lang w:val="sr-Latn-CS"/>
        </w:rPr>
        <w:t>im uslovima.</w:t>
      </w:r>
    </w:p>
    <w:p w:rsidR="00CE50DB" w:rsidRPr="006B0439" w:rsidRDefault="00CE50DB" w:rsidP="00CE50DB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6B0439">
        <w:rPr>
          <w:bCs/>
          <w:sz w:val="22"/>
          <w:szCs w:val="22"/>
        </w:rPr>
        <w:t>Neiskorišćeni dio rastvora treba odbaciti.</w:t>
      </w:r>
    </w:p>
    <w:p w:rsidR="00CE50DB" w:rsidRPr="006B0439" w:rsidRDefault="00CE50DB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:rsidR="0072020E" w:rsidRPr="006B0439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6B0439">
        <w:rPr>
          <w:b/>
          <w:bCs/>
          <w:sz w:val="22"/>
          <w:szCs w:val="22"/>
        </w:rPr>
        <w:t xml:space="preserve">6.4. </w:t>
      </w:r>
      <w:r w:rsidR="00480FB1" w:rsidRPr="006B0439">
        <w:rPr>
          <w:b/>
          <w:bCs/>
          <w:sz w:val="22"/>
          <w:szCs w:val="22"/>
        </w:rPr>
        <w:tab/>
      </w:r>
      <w:r w:rsidRPr="006B0439">
        <w:rPr>
          <w:b/>
          <w:bCs/>
          <w:sz w:val="22"/>
          <w:szCs w:val="22"/>
        </w:rPr>
        <w:t>Posebne mjere upozorenja pri čuvanju</w:t>
      </w:r>
      <w:r w:rsidR="00F8570A" w:rsidRPr="006B0439">
        <w:rPr>
          <w:b/>
          <w:bCs/>
          <w:sz w:val="22"/>
          <w:szCs w:val="22"/>
        </w:rPr>
        <w:t xml:space="preserve"> lijeka</w:t>
      </w:r>
    </w:p>
    <w:p w:rsidR="00EC2532" w:rsidRPr="006B0439" w:rsidRDefault="00EC2532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:rsidR="00CE50DB" w:rsidRPr="006B0439" w:rsidRDefault="00CE50DB" w:rsidP="00CE50DB">
      <w:pPr>
        <w:tabs>
          <w:tab w:val="left" w:pos="540"/>
          <w:tab w:val="left" w:pos="569"/>
        </w:tabs>
        <w:rPr>
          <w:bCs/>
          <w:sz w:val="22"/>
          <w:szCs w:val="22"/>
          <w:lang w:val="sr-Latn-CS"/>
        </w:rPr>
      </w:pPr>
      <w:r w:rsidRPr="006B0439">
        <w:rPr>
          <w:bCs/>
          <w:sz w:val="22"/>
          <w:szCs w:val="22"/>
          <w:lang w:val="sr-Latn-CS"/>
        </w:rPr>
        <w:t>Čuvati na temperaturi do 25ºC  u originalnom pakovanju, radi zaštite od svjetlosti.</w:t>
      </w:r>
    </w:p>
    <w:p w:rsidR="00CE50DB" w:rsidRPr="006B0439" w:rsidRDefault="00CE50DB" w:rsidP="00CE50DB">
      <w:pPr>
        <w:tabs>
          <w:tab w:val="left" w:pos="540"/>
          <w:tab w:val="left" w:pos="569"/>
        </w:tabs>
        <w:rPr>
          <w:bCs/>
          <w:sz w:val="22"/>
          <w:szCs w:val="22"/>
          <w:lang w:val="sr-Latn-CS"/>
        </w:rPr>
      </w:pPr>
      <w:r w:rsidRPr="006B0439">
        <w:rPr>
          <w:bCs/>
          <w:sz w:val="22"/>
          <w:szCs w:val="22"/>
          <w:lang w:val="sr-Latn-CS"/>
        </w:rPr>
        <w:t xml:space="preserve">Za </w:t>
      </w:r>
      <w:r w:rsidR="00F96487" w:rsidRPr="006B0439">
        <w:rPr>
          <w:bCs/>
          <w:sz w:val="22"/>
          <w:szCs w:val="22"/>
          <w:lang w:val="sr-Latn-CS"/>
        </w:rPr>
        <w:t xml:space="preserve">uslove </w:t>
      </w:r>
      <w:r w:rsidRPr="006B0439">
        <w:rPr>
          <w:bCs/>
          <w:sz w:val="22"/>
          <w:szCs w:val="22"/>
          <w:lang w:val="sr-Latn-CS"/>
        </w:rPr>
        <w:t>čuvanj</w:t>
      </w:r>
      <w:r w:rsidR="00F96487" w:rsidRPr="006B0439">
        <w:rPr>
          <w:bCs/>
          <w:sz w:val="22"/>
          <w:szCs w:val="22"/>
          <w:lang w:val="sr-Latn-CS"/>
        </w:rPr>
        <w:t>a</w:t>
      </w:r>
      <w:r w:rsidR="00CD5681" w:rsidRPr="006B0439">
        <w:rPr>
          <w:bCs/>
          <w:sz w:val="22"/>
          <w:szCs w:val="22"/>
          <w:lang w:val="sr-Latn-CS"/>
        </w:rPr>
        <w:t xml:space="preserve"> lijeka</w:t>
      </w:r>
      <w:r w:rsidRPr="006B0439">
        <w:rPr>
          <w:bCs/>
          <w:sz w:val="22"/>
          <w:szCs w:val="22"/>
          <w:lang w:val="sr-Latn-CS"/>
        </w:rPr>
        <w:t xml:space="preserve"> </w:t>
      </w:r>
      <w:r w:rsidR="00CD5681" w:rsidRPr="006B0439">
        <w:rPr>
          <w:bCs/>
          <w:sz w:val="22"/>
          <w:szCs w:val="22"/>
          <w:lang w:val="sr-Latn-CS"/>
        </w:rPr>
        <w:t>nakon</w:t>
      </w:r>
      <w:r w:rsidRPr="006B0439">
        <w:rPr>
          <w:bCs/>
          <w:sz w:val="22"/>
          <w:szCs w:val="22"/>
          <w:lang w:val="sr-Latn-CS"/>
        </w:rPr>
        <w:t xml:space="preserve"> razblaženja, vidjeti </w:t>
      </w:r>
      <w:r w:rsidR="00CD5681" w:rsidRPr="006B0439">
        <w:rPr>
          <w:bCs/>
          <w:sz w:val="22"/>
          <w:szCs w:val="22"/>
          <w:lang w:val="sr-Latn-CS"/>
        </w:rPr>
        <w:t>dio</w:t>
      </w:r>
      <w:r w:rsidRPr="006B0439">
        <w:rPr>
          <w:bCs/>
          <w:sz w:val="22"/>
          <w:szCs w:val="22"/>
          <w:lang w:val="sr-Latn-CS"/>
        </w:rPr>
        <w:t xml:space="preserve"> 6.3</w:t>
      </w:r>
      <w:r w:rsidR="00CD5681" w:rsidRPr="006B0439">
        <w:rPr>
          <w:bCs/>
          <w:sz w:val="22"/>
          <w:szCs w:val="22"/>
          <w:lang w:val="sr-Latn-CS"/>
        </w:rPr>
        <w:t>.</w:t>
      </w:r>
    </w:p>
    <w:p w:rsidR="00CE50DB" w:rsidRPr="006B0439" w:rsidRDefault="00CE50DB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CS"/>
        </w:rPr>
      </w:pPr>
    </w:p>
    <w:p w:rsidR="0072020E" w:rsidRPr="006B0439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6B0439">
        <w:rPr>
          <w:b/>
          <w:bCs/>
          <w:sz w:val="22"/>
          <w:szCs w:val="22"/>
        </w:rPr>
        <w:t xml:space="preserve">6.5. </w:t>
      </w:r>
      <w:r w:rsidR="00480FB1" w:rsidRPr="006B0439">
        <w:rPr>
          <w:b/>
          <w:bCs/>
          <w:sz w:val="22"/>
          <w:szCs w:val="22"/>
        </w:rPr>
        <w:tab/>
      </w:r>
      <w:r w:rsidR="002846DB" w:rsidRPr="006B0439">
        <w:rPr>
          <w:b/>
          <w:bCs/>
          <w:sz w:val="22"/>
          <w:szCs w:val="22"/>
        </w:rPr>
        <w:t xml:space="preserve">Vrsta i sadržaj </w:t>
      </w:r>
      <w:r w:rsidR="00F8570A" w:rsidRPr="006B0439">
        <w:rPr>
          <w:b/>
          <w:bCs/>
          <w:sz w:val="22"/>
          <w:szCs w:val="22"/>
        </w:rPr>
        <w:t>pakovanja</w:t>
      </w:r>
      <w:r w:rsidR="00C06864" w:rsidRPr="006B0439">
        <w:rPr>
          <w:b/>
          <w:bCs/>
          <w:sz w:val="22"/>
          <w:szCs w:val="22"/>
        </w:rPr>
        <w:t xml:space="preserve"> </w:t>
      </w:r>
    </w:p>
    <w:p w:rsidR="0072020E" w:rsidRPr="006B0439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:rsidR="00CD5681" w:rsidRPr="006B0439" w:rsidRDefault="00CD5681" w:rsidP="00CE50DB">
      <w:pPr>
        <w:tabs>
          <w:tab w:val="left" w:pos="540"/>
          <w:tab w:val="left" w:pos="569"/>
        </w:tabs>
        <w:rPr>
          <w:sz w:val="22"/>
          <w:szCs w:val="22"/>
          <w:u w:val="single"/>
          <w:lang w:val="sr-Latn-CS" w:eastAsia="sr-Latn-CS"/>
        </w:rPr>
      </w:pPr>
      <w:r w:rsidRPr="006B0439">
        <w:rPr>
          <w:sz w:val="22"/>
          <w:szCs w:val="22"/>
          <w:u w:val="single"/>
          <w:lang w:val="sr-Latn-CS" w:eastAsia="sr-Latn-CS"/>
        </w:rPr>
        <w:t xml:space="preserve">IRITEC, </w:t>
      </w:r>
      <w:r w:rsidRPr="006B0439">
        <w:rPr>
          <w:bCs/>
          <w:sz w:val="22"/>
          <w:szCs w:val="22"/>
          <w:u w:val="single"/>
          <w:lang w:val="sr-Latn-CS" w:eastAsia="sr-Latn-CS"/>
        </w:rPr>
        <w:t>40 mg/2 ml, koncentrat za rastvor za infuziju:</w:t>
      </w:r>
      <w:r w:rsidRPr="006B0439" w:rsidDel="005075D0">
        <w:rPr>
          <w:sz w:val="22"/>
          <w:szCs w:val="22"/>
          <w:u w:val="single"/>
          <w:lang w:val="sr-Latn-CS" w:eastAsia="sr-Latn-CS"/>
        </w:rPr>
        <w:t xml:space="preserve"> </w:t>
      </w:r>
    </w:p>
    <w:p w:rsidR="00CE50DB" w:rsidRPr="006B0439" w:rsidRDefault="00CD5681" w:rsidP="00CE50DB">
      <w:pPr>
        <w:tabs>
          <w:tab w:val="left" w:pos="540"/>
          <w:tab w:val="left" w:pos="569"/>
        </w:tabs>
        <w:rPr>
          <w:bCs/>
          <w:sz w:val="22"/>
          <w:szCs w:val="22"/>
          <w:lang w:val="sr-Latn-CS"/>
        </w:rPr>
      </w:pPr>
      <w:r w:rsidRPr="006B0439">
        <w:rPr>
          <w:bCs/>
          <w:sz w:val="22"/>
          <w:szCs w:val="22"/>
          <w:lang w:val="sr-Latn-CS"/>
        </w:rPr>
        <w:t>Unutrašnje pakovanje je b</w:t>
      </w:r>
      <w:r w:rsidR="00CE50DB" w:rsidRPr="006B0439">
        <w:rPr>
          <w:bCs/>
          <w:sz w:val="22"/>
          <w:szCs w:val="22"/>
          <w:lang w:val="sr-Latn-CS"/>
        </w:rPr>
        <w:t>očica od stakla tamne boje (2ml), zatvorena sa zatvaračem od halobutil gume, aluminijumskom</w:t>
      </w:r>
      <w:r w:rsidRPr="006B0439">
        <w:rPr>
          <w:bCs/>
          <w:sz w:val="22"/>
          <w:szCs w:val="22"/>
          <w:lang w:val="sr-Latn-CS"/>
        </w:rPr>
        <w:t xml:space="preserve"> </w:t>
      </w:r>
      <w:r w:rsidR="00CE50DB" w:rsidRPr="006B0439">
        <w:rPr>
          <w:bCs/>
          <w:sz w:val="22"/>
          <w:szCs w:val="22"/>
          <w:lang w:val="sr-Latn-CS"/>
        </w:rPr>
        <w:t>kapicom i zaštitnim plastičnim poklopcem (flip off).</w:t>
      </w:r>
    </w:p>
    <w:p w:rsidR="00CE50DB" w:rsidRPr="006B0439" w:rsidRDefault="00CD5681" w:rsidP="00CE50DB">
      <w:pPr>
        <w:tabs>
          <w:tab w:val="left" w:pos="540"/>
          <w:tab w:val="left" w:pos="569"/>
        </w:tabs>
        <w:rPr>
          <w:bCs/>
          <w:sz w:val="22"/>
          <w:szCs w:val="22"/>
          <w:lang w:val="sr-Latn-CS"/>
        </w:rPr>
      </w:pPr>
      <w:r w:rsidRPr="006B0439">
        <w:rPr>
          <w:bCs/>
          <w:sz w:val="22"/>
          <w:szCs w:val="22"/>
          <w:lang w:val="sr-Latn-CS"/>
        </w:rPr>
        <w:t>Spoljnje pakovanje je s</w:t>
      </w:r>
      <w:r w:rsidR="00CE50DB" w:rsidRPr="006B0439">
        <w:rPr>
          <w:bCs/>
          <w:sz w:val="22"/>
          <w:szCs w:val="22"/>
          <w:lang w:val="sr-Latn-CS"/>
        </w:rPr>
        <w:t xml:space="preserve">loživa kartonska kutija </w:t>
      </w:r>
      <w:r w:rsidRPr="006B0439">
        <w:rPr>
          <w:bCs/>
          <w:sz w:val="22"/>
          <w:szCs w:val="22"/>
          <w:lang w:val="sr-Latn-CS"/>
        </w:rPr>
        <w:t>u kojoj se nalazi jedna</w:t>
      </w:r>
      <w:r w:rsidR="00CE50DB" w:rsidRPr="006B0439">
        <w:rPr>
          <w:bCs/>
          <w:sz w:val="22"/>
          <w:szCs w:val="22"/>
          <w:lang w:val="sr-Latn-CS"/>
        </w:rPr>
        <w:t xml:space="preserve"> bočic</w:t>
      </w:r>
      <w:r w:rsidRPr="006B0439">
        <w:rPr>
          <w:bCs/>
          <w:sz w:val="22"/>
          <w:szCs w:val="22"/>
          <w:lang w:val="sr-Latn-CS"/>
        </w:rPr>
        <w:t>a</w:t>
      </w:r>
      <w:r w:rsidR="00CE50DB" w:rsidRPr="006B0439">
        <w:rPr>
          <w:bCs/>
          <w:sz w:val="22"/>
          <w:szCs w:val="22"/>
          <w:lang w:val="sr-Latn-CS"/>
        </w:rPr>
        <w:t xml:space="preserve"> i </w:t>
      </w:r>
      <w:r w:rsidRPr="006B0439">
        <w:rPr>
          <w:bCs/>
          <w:sz w:val="22"/>
          <w:szCs w:val="22"/>
          <w:lang w:val="sr-Latn-CS"/>
        </w:rPr>
        <w:t>U</w:t>
      </w:r>
      <w:r w:rsidR="00CE50DB" w:rsidRPr="006B0439">
        <w:rPr>
          <w:bCs/>
          <w:sz w:val="22"/>
          <w:szCs w:val="22"/>
          <w:lang w:val="sr-Latn-CS"/>
        </w:rPr>
        <w:t>putstvo</w:t>
      </w:r>
      <w:r w:rsidRPr="006B0439">
        <w:rPr>
          <w:bCs/>
          <w:sz w:val="22"/>
          <w:szCs w:val="22"/>
          <w:lang w:val="sr-Latn-CS"/>
        </w:rPr>
        <w:t xml:space="preserve"> za lijek</w:t>
      </w:r>
      <w:r w:rsidR="00CE50DB" w:rsidRPr="006B0439">
        <w:rPr>
          <w:bCs/>
          <w:sz w:val="22"/>
          <w:szCs w:val="22"/>
          <w:lang w:val="sr-Latn-CS"/>
        </w:rPr>
        <w:t>.</w:t>
      </w:r>
    </w:p>
    <w:p w:rsidR="00CE50DB" w:rsidRPr="006B0439" w:rsidRDefault="00CE50DB" w:rsidP="00CE50DB">
      <w:pPr>
        <w:tabs>
          <w:tab w:val="left" w:pos="540"/>
          <w:tab w:val="left" w:pos="569"/>
        </w:tabs>
        <w:rPr>
          <w:bCs/>
          <w:sz w:val="22"/>
          <w:szCs w:val="22"/>
          <w:lang w:val="sr-Latn-CS"/>
        </w:rPr>
      </w:pPr>
    </w:p>
    <w:p w:rsidR="00CD5681" w:rsidRPr="006B0439" w:rsidRDefault="00CD5681" w:rsidP="00CD5681">
      <w:pPr>
        <w:pStyle w:val="Header"/>
        <w:tabs>
          <w:tab w:val="left" w:pos="284"/>
        </w:tabs>
        <w:rPr>
          <w:bCs/>
          <w:sz w:val="22"/>
          <w:szCs w:val="22"/>
          <w:u w:val="single"/>
          <w:lang w:val="sr-Latn-CS" w:eastAsia="sr-Latn-CS"/>
        </w:rPr>
      </w:pPr>
      <w:r w:rsidRPr="006B0439">
        <w:rPr>
          <w:bCs/>
          <w:sz w:val="22"/>
          <w:szCs w:val="22"/>
          <w:u w:val="single"/>
          <w:lang w:val="sr-Latn-CS" w:eastAsia="sr-Latn-CS"/>
        </w:rPr>
        <w:t>IRITEC, 100 mg/5 ml, koncentrat za rastvor za infuziju:</w:t>
      </w:r>
    </w:p>
    <w:p w:rsidR="00CE50DB" w:rsidRPr="006B0439" w:rsidRDefault="00CD5681" w:rsidP="00CE50DB">
      <w:pPr>
        <w:tabs>
          <w:tab w:val="left" w:pos="540"/>
          <w:tab w:val="left" w:pos="569"/>
        </w:tabs>
        <w:rPr>
          <w:bCs/>
          <w:sz w:val="22"/>
          <w:szCs w:val="22"/>
          <w:lang w:val="sr-Latn-CS"/>
        </w:rPr>
      </w:pPr>
      <w:r w:rsidRPr="006B0439">
        <w:rPr>
          <w:bCs/>
          <w:sz w:val="22"/>
          <w:szCs w:val="22"/>
          <w:lang w:val="sr-Latn-CS"/>
        </w:rPr>
        <w:t>Unutrašnje pakovanje je b</w:t>
      </w:r>
      <w:r w:rsidR="00CE50DB" w:rsidRPr="006B0439">
        <w:rPr>
          <w:bCs/>
          <w:sz w:val="22"/>
          <w:szCs w:val="22"/>
          <w:lang w:val="sr-Latn-CS"/>
        </w:rPr>
        <w:t>očica od stakla tamne boje (5ml), zatvorena sa zatvaračem od halobutil gume, aluminijumskom</w:t>
      </w:r>
      <w:r w:rsidRPr="006B0439">
        <w:rPr>
          <w:bCs/>
          <w:sz w:val="22"/>
          <w:szCs w:val="22"/>
          <w:lang w:val="sr-Latn-CS"/>
        </w:rPr>
        <w:t xml:space="preserve"> </w:t>
      </w:r>
      <w:r w:rsidR="00CE50DB" w:rsidRPr="006B0439">
        <w:rPr>
          <w:bCs/>
          <w:sz w:val="22"/>
          <w:szCs w:val="22"/>
          <w:lang w:val="sr-Latn-CS"/>
        </w:rPr>
        <w:t>kapicom i zaštitnim plastičnim poklopcem (flip off).</w:t>
      </w:r>
    </w:p>
    <w:p w:rsidR="00CE50DB" w:rsidRPr="006B0439" w:rsidRDefault="00CD5681" w:rsidP="00CE50DB">
      <w:pPr>
        <w:tabs>
          <w:tab w:val="left" w:pos="540"/>
          <w:tab w:val="left" w:pos="569"/>
        </w:tabs>
        <w:rPr>
          <w:bCs/>
          <w:sz w:val="22"/>
          <w:szCs w:val="22"/>
          <w:lang w:val="sr-Latn-CS"/>
        </w:rPr>
      </w:pPr>
      <w:r w:rsidRPr="006B0439">
        <w:rPr>
          <w:bCs/>
          <w:sz w:val="22"/>
          <w:szCs w:val="22"/>
          <w:lang w:val="sr-Latn-CS"/>
        </w:rPr>
        <w:t>Spoljnje pakovanje je s</w:t>
      </w:r>
      <w:r w:rsidR="00CE50DB" w:rsidRPr="006B0439">
        <w:rPr>
          <w:bCs/>
          <w:sz w:val="22"/>
          <w:szCs w:val="22"/>
          <w:lang w:val="sr-Latn-CS"/>
        </w:rPr>
        <w:t xml:space="preserve">loživa kartonska kutija </w:t>
      </w:r>
      <w:r w:rsidRPr="006B0439">
        <w:rPr>
          <w:bCs/>
          <w:sz w:val="22"/>
          <w:szCs w:val="22"/>
          <w:lang w:val="sr-Latn-CS"/>
        </w:rPr>
        <w:t>u kojoj se nalazi jedna</w:t>
      </w:r>
      <w:r w:rsidR="00CE50DB" w:rsidRPr="006B0439">
        <w:rPr>
          <w:bCs/>
          <w:sz w:val="22"/>
          <w:szCs w:val="22"/>
          <w:lang w:val="sr-Latn-CS"/>
        </w:rPr>
        <w:t xml:space="preserve"> bočic</w:t>
      </w:r>
      <w:r w:rsidRPr="006B0439">
        <w:rPr>
          <w:bCs/>
          <w:sz w:val="22"/>
          <w:szCs w:val="22"/>
          <w:lang w:val="sr-Latn-CS"/>
        </w:rPr>
        <w:t>a</w:t>
      </w:r>
      <w:r w:rsidR="00CE50DB" w:rsidRPr="006B0439">
        <w:rPr>
          <w:bCs/>
          <w:sz w:val="22"/>
          <w:szCs w:val="22"/>
          <w:lang w:val="sr-Latn-CS"/>
        </w:rPr>
        <w:t xml:space="preserve"> i </w:t>
      </w:r>
      <w:r w:rsidRPr="006B0439">
        <w:rPr>
          <w:bCs/>
          <w:sz w:val="22"/>
          <w:szCs w:val="22"/>
          <w:lang w:val="sr-Latn-CS"/>
        </w:rPr>
        <w:t>U</w:t>
      </w:r>
      <w:r w:rsidR="00CE50DB" w:rsidRPr="006B0439">
        <w:rPr>
          <w:bCs/>
          <w:sz w:val="22"/>
          <w:szCs w:val="22"/>
          <w:lang w:val="sr-Latn-CS"/>
        </w:rPr>
        <w:t>putstvo</w:t>
      </w:r>
      <w:r w:rsidRPr="006B0439">
        <w:rPr>
          <w:bCs/>
          <w:sz w:val="22"/>
          <w:szCs w:val="22"/>
          <w:lang w:val="sr-Latn-CS"/>
        </w:rPr>
        <w:t xml:space="preserve"> za lijek</w:t>
      </w:r>
      <w:r w:rsidR="00CE50DB" w:rsidRPr="006B0439">
        <w:rPr>
          <w:bCs/>
          <w:sz w:val="22"/>
          <w:szCs w:val="22"/>
          <w:lang w:val="sr-Latn-CS"/>
        </w:rPr>
        <w:t>.</w:t>
      </w:r>
    </w:p>
    <w:p w:rsidR="00CE50DB" w:rsidRPr="006B0439" w:rsidRDefault="00CE50DB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CS"/>
        </w:rPr>
      </w:pPr>
    </w:p>
    <w:p w:rsidR="002846DB" w:rsidRPr="006B0439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CS"/>
        </w:rPr>
      </w:pPr>
      <w:r w:rsidRPr="006B0439">
        <w:rPr>
          <w:b/>
          <w:bCs/>
          <w:sz w:val="22"/>
          <w:szCs w:val="22"/>
          <w:lang w:val="sr-Latn-CS"/>
        </w:rPr>
        <w:t xml:space="preserve">6.6. </w:t>
      </w:r>
      <w:r w:rsidR="00480FB1" w:rsidRPr="006B0439">
        <w:rPr>
          <w:b/>
          <w:bCs/>
          <w:sz w:val="22"/>
          <w:szCs w:val="22"/>
          <w:lang w:val="sr-Latn-CS"/>
        </w:rPr>
        <w:tab/>
      </w:r>
      <w:r w:rsidRPr="006B0439">
        <w:rPr>
          <w:b/>
          <w:bCs/>
          <w:color w:val="000000"/>
          <w:sz w:val="22"/>
          <w:szCs w:val="22"/>
        </w:rPr>
        <w:t>Posebne</w:t>
      </w:r>
      <w:r w:rsidRPr="006B0439">
        <w:rPr>
          <w:b/>
          <w:bCs/>
          <w:color w:val="000000"/>
          <w:sz w:val="22"/>
          <w:szCs w:val="22"/>
          <w:lang w:val="sr-Latn-CS"/>
        </w:rPr>
        <w:t xml:space="preserve"> </w:t>
      </w:r>
      <w:r w:rsidRPr="006B0439">
        <w:rPr>
          <w:b/>
          <w:bCs/>
          <w:color w:val="000000"/>
          <w:sz w:val="22"/>
          <w:szCs w:val="22"/>
        </w:rPr>
        <w:t>mjere</w:t>
      </w:r>
      <w:r w:rsidRPr="006B0439">
        <w:rPr>
          <w:b/>
          <w:bCs/>
          <w:color w:val="000000"/>
          <w:sz w:val="22"/>
          <w:szCs w:val="22"/>
          <w:lang w:val="sr-Latn-CS"/>
        </w:rPr>
        <w:t xml:space="preserve"> </w:t>
      </w:r>
      <w:r w:rsidRPr="006B0439">
        <w:rPr>
          <w:b/>
          <w:bCs/>
          <w:color w:val="000000"/>
          <w:sz w:val="22"/>
          <w:szCs w:val="22"/>
        </w:rPr>
        <w:t>opreza</w:t>
      </w:r>
      <w:r w:rsidRPr="006B0439">
        <w:rPr>
          <w:b/>
          <w:bCs/>
          <w:color w:val="000000"/>
          <w:sz w:val="22"/>
          <w:szCs w:val="22"/>
          <w:lang w:val="sr-Latn-CS"/>
        </w:rPr>
        <w:t xml:space="preserve"> </w:t>
      </w:r>
      <w:r w:rsidRPr="006B0439">
        <w:rPr>
          <w:b/>
          <w:bCs/>
          <w:color w:val="000000"/>
          <w:sz w:val="22"/>
          <w:szCs w:val="22"/>
        </w:rPr>
        <w:t>pri</w:t>
      </w:r>
      <w:r w:rsidRPr="006B0439">
        <w:rPr>
          <w:b/>
          <w:bCs/>
          <w:color w:val="000000"/>
          <w:sz w:val="22"/>
          <w:szCs w:val="22"/>
          <w:lang w:val="sr-Latn-CS"/>
        </w:rPr>
        <w:t xml:space="preserve"> </w:t>
      </w:r>
      <w:r w:rsidRPr="006B0439">
        <w:rPr>
          <w:b/>
          <w:bCs/>
          <w:color w:val="000000"/>
          <w:sz w:val="22"/>
          <w:szCs w:val="22"/>
        </w:rPr>
        <w:t>odlaganju</w:t>
      </w:r>
      <w:r w:rsidRPr="006B0439">
        <w:rPr>
          <w:b/>
          <w:bCs/>
          <w:color w:val="000000"/>
          <w:sz w:val="22"/>
          <w:szCs w:val="22"/>
          <w:lang w:val="sr-Latn-CS"/>
        </w:rPr>
        <w:t xml:space="preserve"> </w:t>
      </w:r>
      <w:r w:rsidRPr="006B0439">
        <w:rPr>
          <w:b/>
          <w:bCs/>
          <w:color w:val="000000"/>
          <w:sz w:val="22"/>
          <w:szCs w:val="22"/>
        </w:rPr>
        <w:t>materijala</w:t>
      </w:r>
      <w:r w:rsidRPr="006B0439">
        <w:rPr>
          <w:b/>
          <w:bCs/>
          <w:color w:val="000000"/>
          <w:sz w:val="22"/>
          <w:szCs w:val="22"/>
          <w:lang w:val="sr-Latn-CS"/>
        </w:rPr>
        <w:t xml:space="preserve"> </w:t>
      </w:r>
      <w:r w:rsidRPr="006B0439">
        <w:rPr>
          <w:b/>
          <w:bCs/>
          <w:color w:val="000000"/>
          <w:sz w:val="22"/>
          <w:szCs w:val="22"/>
        </w:rPr>
        <w:t>koji</w:t>
      </w:r>
      <w:r w:rsidRPr="006B0439">
        <w:rPr>
          <w:b/>
          <w:bCs/>
          <w:color w:val="000000"/>
          <w:sz w:val="22"/>
          <w:szCs w:val="22"/>
          <w:lang w:val="sr-Latn-CS"/>
        </w:rPr>
        <w:t xml:space="preserve"> </w:t>
      </w:r>
      <w:r w:rsidRPr="006B0439">
        <w:rPr>
          <w:b/>
          <w:bCs/>
          <w:color w:val="000000"/>
          <w:sz w:val="22"/>
          <w:szCs w:val="22"/>
        </w:rPr>
        <w:t>treba</w:t>
      </w:r>
      <w:r w:rsidRPr="006B0439">
        <w:rPr>
          <w:b/>
          <w:bCs/>
          <w:color w:val="000000"/>
          <w:sz w:val="22"/>
          <w:szCs w:val="22"/>
          <w:lang w:val="sr-Latn-CS"/>
        </w:rPr>
        <w:t xml:space="preserve"> </w:t>
      </w:r>
      <w:r w:rsidRPr="006B0439">
        <w:rPr>
          <w:b/>
          <w:bCs/>
          <w:color w:val="000000"/>
          <w:sz w:val="22"/>
          <w:szCs w:val="22"/>
        </w:rPr>
        <w:t>odbaciti</w:t>
      </w:r>
      <w:r w:rsidRPr="006B0439">
        <w:rPr>
          <w:b/>
          <w:bCs/>
          <w:color w:val="000000"/>
          <w:sz w:val="22"/>
          <w:szCs w:val="22"/>
          <w:lang w:val="sr-Latn-CS"/>
        </w:rPr>
        <w:t xml:space="preserve"> </w:t>
      </w:r>
      <w:r w:rsidRPr="006B0439">
        <w:rPr>
          <w:b/>
          <w:bCs/>
          <w:color w:val="000000"/>
          <w:sz w:val="22"/>
          <w:szCs w:val="22"/>
        </w:rPr>
        <w:t>nakon</w:t>
      </w:r>
      <w:r w:rsidRPr="006B0439">
        <w:rPr>
          <w:b/>
          <w:bCs/>
          <w:color w:val="000000"/>
          <w:sz w:val="22"/>
          <w:szCs w:val="22"/>
          <w:lang w:val="sr-Latn-CS"/>
        </w:rPr>
        <w:t xml:space="preserve"> </w:t>
      </w:r>
      <w:r w:rsidRPr="006B0439">
        <w:rPr>
          <w:b/>
          <w:bCs/>
          <w:color w:val="000000"/>
          <w:sz w:val="22"/>
          <w:szCs w:val="22"/>
        </w:rPr>
        <w:t>primjene</w:t>
      </w:r>
      <w:r w:rsidRPr="006B0439">
        <w:rPr>
          <w:b/>
          <w:bCs/>
          <w:color w:val="000000"/>
          <w:sz w:val="22"/>
          <w:szCs w:val="22"/>
          <w:lang w:val="sr-Latn-CS"/>
        </w:rPr>
        <w:t xml:space="preserve"> </w:t>
      </w:r>
      <w:r w:rsidRPr="006B0439">
        <w:rPr>
          <w:b/>
          <w:bCs/>
          <w:color w:val="000000"/>
          <w:sz w:val="22"/>
          <w:szCs w:val="22"/>
        </w:rPr>
        <w:t>lijeka</w:t>
      </w:r>
      <w:r w:rsidRPr="006B0439">
        <w:rPr>
          <w:b/>
          <w:bCs/>
          <w:sz w:val="22"/>
          <w:szCs w:val="22"/>
          <w:lang w:val="sr-Latn-CS"/>
        </w:rPr>
        <w:t xml:space="preserve"> </w:t>
      </w:r>
      <w:r w:rsidR="00310F03" w:rsidRPr="006B0439">
        <w:rPr>
          <w:b/>
          <w:bCs/>
          <w:sz w:val="22"/>
          <w:szCs w:val="22"/>
          <w:lang w:val="sr-Latn-CS"/>
        </w:rPr>
        <w:t>(</w:t>
      </w:r>
      <w:r w:rsidR="00310F03" w:rsidRPr="006B0439">
        <w:rPr>
          <w:b/>
          <w:bCs/>
          <w:sz w:val="22"/>
          <w:szCs w:val="22"/>
        </w:rPr>
        <w:t>i</w:t>
      </w:r>
      <w:r w:rsidR="00310F03" w:rsidRPr="006B0439">
        <w:rPr>
          <w:b/>
          <w:bCs/>
          <w:sz w:val="22"/>
          <w:szCs w:val="22"/>
          <w:lang w:val="sr-Latn-CS"/>
        </w:rPr>
        <w:t xml:space="preserve"> </w:t>
      </w:r>
      <w:r w:rsidR="00310F03" w:rsidRPr="006B0439">
        <w:rPr>
          <w:b/>
          <w:bCs/>
          <w:sz w:val="22"/>
          <w:szCs w:val="22"/>
        </w:rPr>
        <w:t>druga</w:t>
      </w:r>
      <w:r w:rsidR="00310F03" w:rsidRPr="006B0439">
        <w:rPr>
          <w:b/>
          <w:bCs/>
          <w:sz w:val="22"/>
          <w:szCs w:val="22"/>
          <w:lang w:val="sr-Latn-CS"/>
        </w:rPr>
        <w:t xml:space="preserve"> </w:t>
      </w:r>
      <w:r w:rsidR="00310F03" w:rsidRPr="006B0439">
        <w:rPr>
          <w:b/>
          <w:bCs/>
          <w:sz w:val="22"/>
          <w:szCs w:val="22"/>
        </w:rPr>
        <w:t>uputs</w:t>
      </w:r>
      <w:r w:rsidR="004109FA" w:rsidRPr="006B0439">
        <w:rPr>
          <w:b/>
          <w:bCs/>
          <w:sz w:val="22"/>
          <w:szCs w:val="22"/>
        </w:rPr>
        <w:t>t</w:t>
      </w:r>
      <w:r w:rsidR="00310F03" w:rsidRPr="006B0439">
        <w:rPr>
          <w:b/>
          <w:bCs/>
          <w:sz w:val="22"/>
          <w:szCs w:val="22"/>
        </w:rPr>
        <w:t>va</w:t>
      </w:r>
      <w:r w:rsidR="00310F03" w:rsidRPr="006B0439">
        <w:rPr>
          <w:b/>
          <w:bCs/>
          <w:sz w:val="22"/>
          <w:szCs w:val="22"/>
          <w:lang w:val="sr-Latn-CS"/>
        </w:rPr>
        <w:t xml:space="preserve"> </w:t>
      </w:r>
      <w:r w:rsidR="00310F03" w:rsidRPr="006B0439">
        <w:rPr>
          <w:b/>
          <w:bCs/>
          <w:sz w:val="22"/>
          <w:szCs w:val="22"/>
        </w:rPr>
        <w:t>za</w:t>
      </w:r>
      <w:r w:rsidR="00310F03" w:rsidRPr="006B0439">
        <w:rPr>
          <w:b/>
          <w:bCs/>
          <w:sz w:val="22"/>
          <w:szCs w:val="22"/>
          <w:lang w:val="sr-Latn-CS"/>
        </w:rPr>
        <w:t xml:space="preserve"> </w:t>
      </w:r>
      <w:r w:rsidR="00310F03" w:rsidRPr="006B0439">
        <w:rPr>
          <w:b/>
          <w:bCs/>
          <w:sz w:val="22"/>
          <w:szCs w:val="22"/>
        </w:rPr>
        <w:t>rukovanje</w:t>
      </w:r>
      <w:r w:rsidR="00310F03" w:rsidRPr="006B0439">
        <w:rPr>
          <w:b/>
          <w:bCs/>
          <w:sz w:val="22"/>
          <w:szCs w:val="22"/>
          <w:lang w:val="sr-Latn-CS"/>
        </w:rPr>
        <w:t xml:space="preserve"> </w:t>
      </w:r>
      <w:r w:rsidR="00310F03" w:rsidRPr="006B0439">
        <w:rPr>
          <w:b/>
          <w:bCs/>
          <w:sz w:val="22"/>
          <w:szCs w:val="22"/>
        </w:rPr>
        <w:t>lijekom</w:t>
      </w:r>
      <w:r w:rsidR="00310F03" w:rsidRPr="006B0439">
        <w:rPr>
          <w:b/>
          <w:bCs/>
          <w:sz w:val="22"/>
          <w:szCs w:val="22"/>
          <w:lang w:val="sr-Latn-CS"/>
        </w:rPr>
        <w:t xml:space="preserve">) </w:t>
      </w:r>
    </w:p>
    <w:p w:rsidR="00B66A70" w:rsidRPr="006B0439" w:rsidRDefault="00B66A70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CS"/>
        </w:rPr>
      </w:pPr>
    </w:p>
    <w:p w:rsidR="00CE50DB" w:rsidRPr="006B0439" w:rsidRDefault="00CE50DB" w:rsidP="00CE50D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CS"/>
        </w:rPr>
      </w:pPr>
      <w:r w:rsidRPr="006B0439">
        <w:rPr>
          <w:bCs/>
          <w:sz w:val="22"/>
          <w:szCs w:val="22"/>
          <w:lang w:val="sr-Latn-CS"/>
        </w:rPr>
        <w:t>Obavezna je pažljiva priprema i rukovanje lijekom IRITEC, kao i sa drugim antineoplastičnim ljekovima.</w:t>
      </w:r>
      <w:r w:rsidR="00CD5681" w:rsidRPr="006B0439">
        <w:rPr>
          <w:bCs/>
          <w:sz w:val="22"/>
          <w:szCs w:val="22"/>
          <w:lang w:val="sr-Latn-CS"/>
        </w:rPr>
        <w:t xml:space="preserve"> Obavezno </w:t>
      </w:r>
      <w:r w:rsidRPr="006B0439">
        <w:rPr>
          <w:bCs/>
          <w:sz w:val="22"/>
          <w:szCs w:val="22"/>
          <w:lang w:val="sr-Latn-CS"/>
        </w:rPr>
        <w:t>je pri tome koristiti zaštitne naočare, masku i rukavice.</w:t>
      </w:r>
    </w:p>
    <w:p w:rsidR="00CE50DB" w:rsidRPr="006B0439" w:rsidRDefault="00CE50DB" w:rsidP="00CE50D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CS"/>
        </w:rPr>
      </w:pPr>
      <w:r w:rsidRPr="006B0439">
        <w:rPr>
          <w:bCs/>
          <w:sz w:val="22"/>
          <w:szCs w:val="22"/>
          <w:lang w:val="sr-Latn-CS"/>
        </w:rPr>
        <w:t>U slučaju da IRITEC rastvor ili rastvor za infuziju dođe u kontakta sa kožom, zahvaćenu površinu treba smjesta temeljno oprati sapunom i vodom. U slučaju da IRITEC rastvor ili rastvor za infuziju dođe u kontakt sa sluznicom, zahvaćenu površinu treba smjesta temeljno isprati vodom.</w:t>
      </w:r>
    </w:p>
    <w:p w:rsidR="00CE50DB" w:rsidRPr="006B0439" w:rsidRDefault="00CE50DB" w:rsidP="00CE50D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CS"/>
        </w:rPr>
      </w:pPr>
    </w:p>
    <w:p w:rsidR="00CE50DB" w:rsidRPr="006B0439" w:rsidRDefault="00CE50DB" w:rsidP="00CE50D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CS"/>
        </w:rPr>
      </w:pPr>
      <w:r w:rsidRPr="006B0439">
        <w:rPr>
          <w:b/>
          <w:bCs/>
          <w:sz w:val="22"/>
          <w:szCs w:val="22"/>
          <w:lang w:val="sr-Latn-CS"/>
        </w:rPr>
        <w:t>Priprema za primjenu intravenske infuzije:</w:t>
      </w:r>
    </w:p>
    <w:p w:rsidR="00CE50DB" w:rsidRPr="006B0439" w:rsidRDefault="00CE50DB" w:rsidP="00CE50D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CS"/>
        </w:rPr>
      </w:pPr>
      <w:r w:rsidRPr="006B0439">
        <w:rPr>
          <w:bCs/>
          <w:sz w:val="22"/>
          <w:szCs w:val="22"/>
          <w:lang w:val="sr-Latn-CS"/>
        </w:rPr>
        <w:t>Kao i kod drugih l</w:t>
      </w:r>
      <w:r w:rsidR="00CB6D6F" w:rsidRPr="006B0439">
        <w:rPr>
          <w:bCs/>
          <w:sz w:val="22"/>
          <w:szCs w:val="22"/>
          <w:lang w:val="sr-Latn-CS"/>
        </w:rPr>
        <w:t>jekova</w:t>
      </w:r>
      <w:r w:rsidRPr="006B0439">
        <w:rPr>
          <w:bCs/>
          <w:sz w:val="22"/>
          <w:szCs w:val="22"/>
          <w:lang w:val="sr-Latn-CS"/>
        </w:rPr>
        <w:t xml:space="preserve"> za injekcionu primjenu, IRITEC rastvor treba pripremiti pod aseptič</w:t>
      </w:r>
      <w:r w:rsidR="00CB6D6F" w:rsidRPr="006B0439">
        <w:rPr>
          <w:bCs/>
          <w:sz w:val="22"/>
          <w:szCs w:val="22"/>
          <w:lang w:val="sr-Latn-CS"/>
        </w:rPr>
        <w:t>n</w:t>
      </w:r>
      <w:r w:rsidRPr="006B0439">
        <w:rPr>
          <w:bCs/>
          <w:sz w:val="22"/>
          <w:szCs w:val="22"/>
          <w:lang w:val="sr-Latn-CS"/>
        </w:rPr>
        <w:t xml:space="preserve">im uslovima (vidjeti </w:t>
      </w:r>
      <w:r w:rsidR="00CB6D6F" w:rsidRPr="006B0439">
        <w:rPr>
          <w:bCs/>
          <w:sz w:val="22"/>
          <w:szCs w:val="22"/>
          <w:lang w:val="sr-Latn-CS"/>
        </w:rPr>
        <w:t>dio</w:t>
      </w:r>
      <w:r w:rsidRPr="006B0439">
        <w:rPr>
          <w:bCs/>
          <w:sz w:val="22"/>
          <w:szCs w:val="22"/>
          <w:lang w:val="sr-Latn-CS"/>
        </w:rPr>
        <w:t xml:space="preserve"> 6.3).</w:t>
      </w:r>
    </w:p>
    <w:p w:rsidR="00CB6D6F" w:rsidRPr="006B0439" w:rsidRDefault="00CB6D6F" w:rsidP="00CB6D6F">
      <w:pPr>
        <w:autoSpaceDE w:val="0"/>
        <w:autoSpaceDN w:val="0"/>
        <w:adjustRightInd w:val="0"/>
        <w:ind w:right="417"/>
        <w:jc w:val="both"/>
        <w:rPr>
          <w:sz w:val="22"/>
          <w:szCs w:val="22"/>
          <w:lang w:val="sr-Latn-CS" w:eastAsia="sr-Latn-CS"/>
        </w:rPr>
      </w:pPr>
      <w:r w:rsidRPr="006B0439">
        <w:rPr>
          <w:sz w:val="22"/>
          <w:szCs w:val="22"/>
          <w:lang w:val="sr-Latn-CS" w:eastAsia="sr-Latn-CS"/>
        </w:rPr>
        <w:t>Nakon rekonstitucije rastvor treba da bude bistar, svijetlo žute boje.</w:t>
      </w:r>
    </w:p>
    <w:p w:rsidR="00CE50DB" w:rsidRPr="006B0439" w:rsidRDefault="00CE50DB" w:rsidP="00CE50D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CS"/>
        </w:rPr>
      </w:pPr>
      <w:r w:rsidRPr="006B0439">
        <w:rPr>
          <w:bCs/>
          <w:sz w:val="22"/>
          <w:szCs w:val="22"/>
          <w:lang w:val="sr-Latn-CS"/>
        </w:rPr>
        <w:t>Ukoliko se prim</w:t>
      </w:r>
      <w:r w:rsidR="00CB6D6F" w:rsidRPr="006B0439">
        <w:rPr>
          <w:bCs/>
          <w:sz w:val="22"/>
          <w:szCs w:val="22"/>
          <w:lang w:val="sr-Latn-CS"/>
        </w:rPr>
        <w:t>i</w:t>
      </w:r>
      <w:r w:rsidRPr="006B0439">
        <w:rPr>
          <w:bCs/>
          <w:sz w:val="22"/>
          <w:szCs w:val="22"/>
          <w:lang w:val="sr-Latn-CS"/>
        </w:rPr>
        <w:t>jeti bilo kakav precipitat (talog) u bočici posl</w:t>
      </w:r>
      <w:r w:rsidR="00CB6D6F" w:rsidRPr="006B0439">
        <w:rPr>
          <w:bCs/>
          <w:sz w:val="22"/>
          <w:szCs w:val="22"/>
          <w:lang w:val="sr-Latn-CS"/>
        </w:rPr>
        <w:t>ij</w:t>
      </w:r>
      <w:r w:rsidRPr="006B0439">
        <w:rPr>
          <w:bCs/>
          <w:sz w:val="22"/>
          <w:szCs w:val="22"/>
          <w:lang w:val="sr-Latn-CS"/>
        </w:rPr>
        <w:t xml:space="preserve">e rekonstitucije (rastvaranja), proizvod treba ukloniti, shodno standardnim postupcima za citotoksična sredstva. </w:t>
      </w:r>
    </w:p>
    <w:p w:rsidR="00CE50DB" w:rsidRPr="006B0439" w:rsidRDefault="00CE50DB" w:rsidP="00CE50D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CS"/>
        </w:rPr>
      </w:pPr>
      <w:r w:rsidRPr="006B0439">
        <w:rPr>
          <w:bCs/>
          <w:sz w:val="22"/>
          <w:szCs w:val="22"/>
          <w:lang w:val="sr-Latn-CS"/>
        </w:rPr>
        <w:t>Potrebnu količinu IRITEC rastvora treba uzeti iz bočice pod aseptič</w:t>
      </w:r>
      <w:r w:rsidR="00CB6D6F" w:rsidRPr="006B0439">
        <w:rPr>
          <w:bCs/>
          <w:sz w:val="22"/>
          <w:szCs w:val="22"/>
          <w:lang w:val="sr-Latn-CS"/>
        </w:rPr>
        <w:t>n</w:t>
      </w:r>
      <w:r w:rsidRPr="006B0439">
        <w:rPr>
          <w:bCs/>
          <w:sz w:val="22"/>
          <w:szCs w:val="22"/>
          <w:lang w:val="sr-Latn-CS"/>
        </w:rPr>
        <w:t>im uslovima, koristeći graduisani špric, a zatim je ubrizgati u infuzionu kesu ili bocu od 250 ml koja sadrži 0,9% rastvor NaCl ili 5% rastvor glukoze. Infuzionu tečnost treba zatim dobro promućkati okrećući kesu ili bocu u rukama.</w:t>
      </w:r>
    </w:p>
    <w:p w:rsidR="00CE50DB" w:rsidRPr="006B0439" w:rsidRDefault="00CE50DB" w:rsidP="00CE50D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CS"/>
        </w:rPr>
      </w:pPr>
    </w:p>
    <w:p w:rsidR="00CE50DB" w:rsidRPr="006B0439" w:rsidRDefault="00CE50DB" w:rsidP="00CE50D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CS"/>
        </w:rPr>
      </w:pPr>
      <w:r w:rsidRPr="006B0439">
        <w:rPr>
          <w:bCs/>
          <w:sz w:val="22"/>
          <w:szCs w:val="22"/>
        </w:rPr>
        <w:t>Svu</w:t>
      </w:r>
      <w:r w:rsidRPr="006B0439">
        <w:rPr>
          <w:bCs/>
          <w:sz w:val="22"/>
          <w:szCs w:val="22"/>
          <w:lang w:val="sr-Latn-CS"/>
        </w:rPr>
        <w:t xml:space="preserve"> </w:t>
      </w:r>
      <w:r w:rsidRPr="006B0439">
        <w:rPr>
          <w:bCs/>
          <w:sz w:val="22"/>
          <w:szCs w:val="22"/>
        </w:rPr>
        <w:t>neiskori</w:t>
      </w:r>
      <w:r w:rsidRPr="006B0439">
        <w:rPr>
          <w:bCs/>
          <w:sz w:val="22"/>
          <w:szCs w:val="22"/>
          <w:lang w:val="sr-Latn-CS"/>
        </w:rPr>
        <w:t>šć</w:t>
      </w:r>
      <w:r w:rsidRPr="006B0439">
        <w:rPr>
          <w:bCs/>
          <w:sz w:val="22"/>
          <w:szCs w:val="22"/>
        </w:rPr>
        <w:t>enu</w:t>
      </w:r>
      <w:r w:rsidRPr="006B0439">
        <w:rPr>
          <w:bCs/>
          <w:sz w:val="22"/>
          <w:szCs w:val="22"/>
          <w:lang w:val="sr-Latn-CS"/>
        </w:rPr>
        <w:t xml:space="preserve"> </w:t>
      </w:r>
      <w:r w:rsidRPr="006B0439">
        <w:rPr>
          <w:bCs/>
          <w:sz w:val="22"/>
          <w:szCs w:val="22"/>
        </w:rPr>
        <w:t>koli</w:t>
      </w:r>
      <w:r w:rsidRPr="006B0439">
        <w:rPr>
          <w:bCs/>
          <w:sz w:val="22"/>
          <w:szCs w:val="22"/>
          <w:lang w:val="sr-Latn-CS"/>
        </w:rPr>
        <w:t>č</w:t>
      </w:r>
      <w:r w:rsidRPr="006B0439">
        <w:rPr>
          <w:bCs/>
          <w:sz w:val="22"/>
          <w:szCs w:val="22"/>
        </w:rPr>
        <w:t>inu</w:t>
      </w:r>
      <w:r w:rsidRPr="006B0439">
        <w:rPr>
          <w:bCs/>
          <w:sz w:val="22"/>
          <w:szCs w:val="22"/>
          <w:lang w:val="sr-Latn-CS"/>
        </w:rPr>
        <w:t xml:space="preserve"> </w:t>
      </w:r>
      <w:r w:rsidRPr="006B0439">
        <w:rPr>
          <w:bCs/>
          <w:sz w:val="22"/>
          <w:szCs w:val="22"/>
        </w:rPr>
        <w:t>lijeka</w:t>
      </w:r>
      <w:r w:rsidRPr="006B0439">
        <w:rPr>
          <w:bCs/>
          <w:sz w:val="22"/>
          <w:szCs w:val="22"/>
          <w:lang w:val="sr-Latn-CS"/>
        </w:rPr>
        <w:t xml:space="preserve"> </w:t>
      </w:r>
      <w:proofErr w:type="gramStart"/>
      <w:r w:rsidRPr="006B0439">
        <w:rPr>
          <w:bCs/>
          <w:sz w:val="22"/>
          <w:szCs w:val="22"/>
        </w:rPr>
        <w:t>ili</w:t>
      </w:r>
      <w:proofErr w:type="gramEnd"/>
      <w:r w:rsidRPr="006B0439">
        <w:rPr>
          <w:bCs/>
          <w:sz w:val="22"/>
          <w:szCs w:val="22"/>
          <w:lang w:val="sr-Latn-CS"/>
        </w:rPr>
        <w:t xml:space="preserve"> </w:t>
      </w:r>
      <w:r w:rsidRPr="006B0439">
        <w:rPr>
          <w:bCs/>
          <w:sz w:val="22"/>
          <w:szCs w:val="22"/>
        </w:rPr>
        <w:t>otpadnog</w:t>
      </w:r>
      <w:r w:rsidRPr="006B0439">
        <w:rPr>
          <w:bCs/>
          <w:sz w:val="22"/>
          <w:szCs w:val="22"/>
          <w:lang w:val="sr-Latn-CS"/>
        </w:rPr>
        <w:t xml:space="preserve"> </w:t>
      </w:r>
      <w:r w:rsidRPr="006B0439">
        <w:rPr>
          <w:bCs/>
          <w:sz w:val="22"/>
          <w:szCs w:val="22"/>
        </w:rPr>
        <w:t>materijala</w:t>
      </w:r>
      <w:r w:rsidRPr="006B0439">
        <w:rPr>
          <w:bCs/>
          <w:sz w:val="22"/>
          <w:szCs w:val="22"/>
          <w:lang w:val="sr-Latn-CS"/>
        </w:rPr>
        <w:t xml:space="preserve"> </w:t>
      </w:r>
      <w:r w:rsidRPr="006B0439">
        <w:rPr>
          <w:bCs/>
          <w:sz w:val="22"/>
          <w:szCs w:val="22"/>
        </w:rPr>
        <w:t>nakon</w:t>
      </w:r>
      <w:r w:rsidRPr="006B0439">
        <w:rPr>
          <w:bCs/>
          <w:sz w:val="22"/>
          <w:szCs w:val="22"/>
          <w:lang w:val="sr-Latn-CS"/>
        </w:rPr>
        <w:t xml:space="preserve"> </w:t>
      </w:r>
      <w:r w:rsidRPr="006B0439">
        <w:rPr>
          <w:bCs/>
          <w:sz w:val="22"/>
          <w:szCs w:val="22"/>
        </w:rPr>
        <w:t>njegove</w:t>
      </w:r>
      <w:r w:rsidRPr="006B0439">
        <w:rPr>
          <w:bCs/>
          <w:sz w:val="22"/>
          <w:szCs w:val="22"/>
          <w:lang w:val="sr-Latn-CS"/>
        </w:rPr>
        <w:t xml:space="preserve"> </w:t>
      </w:r>
      <w:r w:rsidRPr="006B0439">
        <w:rPr>
          <w:bCs/>
          <w:sz w:val="22"/>
          <w:szCs w:val="22"/>
        </w:rPr>
        <w:t>primjene</w:t>
      </w:r>
      <w:r w:rsidRPr="006B0439">
        <w:rPr>
          <w:bCs/>
          <w:sz w:val="22"/>
          <w:szCs w:val="22"/>
          <w:lang w:val="sr-Latn-CS"/>
        </w:rPr>
        <w:t xml:space="preserve"> </w:t>
      </w:r>
      <w:r w:rsidRPr="006B0439">
        <w:rPr>
          <w:bCs/>
          <w:sz w:val="22"/>
          <w:szCs w:val="22"/>
        </w:rPr>
        <w:t>treba</w:t>
      </w:r>
      <w:r w:rsidRPr="006B0439">
        <w:rPr>
          <w:bCs/>
          <w:sz w:val="22"/>
          <w:szCs w:val="22"/>
          <w:lang w:val="sr-Latn-CS"/>
        </w:rPr>
        <w:t xml:space="preserve"> </w:t>
      </w:r>
      <w:r w:rsidRPr="006B0439">
        <w:rPr>
          <w:bCs/>
          <w:sz w:val="22"/>
          <w:szCs w:val="22"/>
        </w:rPr>
        <w:t>uni</w:t>
      </w:r>
      <w:r w:rsidRPr="006B0439">
        <w:rPr>
          <w:bCs/>
          <w:sz w:val="22"/>
          <w:szCs w:val="22"/>
          <w:lang w:val="sr-Latn-CS"/>
        </w:rPr>
        <w:t>š</w:t>
      </w:r>
      <w:r w:rsidRPr="006B0439">
        <w:rPr>
          <w:bCs/>
          <w:sz w:val="22"/>
          <w:szCs w:val="22"/>
        </w:rPr>
        <w:t>titi</w:t>
      </w:r>
      <w:r w:rsidRPr="006B0439">
        <w:rPr>
          <w:bCs/>
          <w:sz w:val="22"/>
          <w:szCs w:val="22"/>
          <w:lang w:val="sr-Latn-CS"/>
        </w:rPr>
        <w:t xml:space="preserve"> </w:t>
      </w:r>
      <w:r w:rsidRPr="006B0439">
        <w:rPr>
          <w:bCs/>
          <w:sz w:val="22"/>
          <w:szCs w:val="22"/>
        </w:rPr>
        <w:t>u</w:t>
      </w:r>
      <w:r w:rsidRPr="006B0439">
        <w:rPr>
          <w:bCs/>
          <w:sz w:val="22"/>
          <w:szCs w:val="22"/>
          <w:lang w:val="sr-Latn-CS"/>
        </w:rPr>
        <w:t xml:space="preserve"> </w:t>
      </w:r>
      <w:r w:rsidRPr="006B0439">
        <w:rPr>
          <w:bCs/>
          <w:sz w:val="22"/>
          <w:szCs w:val="22"/>
        </w:rPr>
        <w:t>skladu</w:t>
      </w:r>
      <w:r w:rsidRPr="006B0439">
        <w:rPr>
          <w:bCs/>
          <w:sz w:val="22"/>
          <w:szCs w:val="22"/>
          <w:lang w:val="sr-Latn-CS"/>
        </w:rPr>
        <w:t xml:space="preserve"> </w:t>
      </w:r>
      <w:r w:rsidRPr="006B0439">
        <w:rPr>
          <w:bCs/>
          <w:sz w:val="22"/>
          <w:szCs w:val="22"/>
        </w:rPr>
        <w:t>sa</w:t>
      </w:r>
      <w:r w:rsidRPr="006B0439">
        <w:rPr>
          <w:bCs/>
          <w:sz w:val="22"/>
          <w:szCs w:val="22"/>
          <w:lang w:val="sr-Latn-CS"/>
        </w:rPr>
        <w:t xml:space="preserve"> važećim </w:t>
      </w:r>
      <w:r w:rsidR="00CB6D6F" w:rsidRPr="006B0439">
        <w:rPr>
          <w:bCs/>
          <w:sz w:val="22"/>
          <w:szCs w:val="22"/>
          <w:lang w:val="sr-Latn-CS"/>
        </w:rPr>
        <w:t>propisima</w:t>
      </w:r>
      <w:r w:rsidRPr="006B0439">
        <w:rPr>
          <w:bCs/>
          <w:sz w:val="22"/>
          <w:szCs w:val="22"/>
          <w:lang w:val="sr-Latn-CS"/>
        </w:rPr>
        <w:t>.</w:t>
      </w:r>
    </w:p>
    <w:p w:rsidR="0072020E" w:rsidRPr="006B0439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CS"/>
        </w:rPr>
      </w:pPr>
    </w:p>
    <w:p w:rsidR="00F8570A" w:rsidRPr="006B0439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6B0439">
        <w:rPr>
          <w:b/>
          <w:bCs/>
          <w:sz w:val="22"/>
          <w:szCs w:val="22"/>
        </w:rPr>
        <w:lastRenderedPageBreak/>
        <w:t xml:space="preserve">7. </w:t>
      </w:r>
      <w:r w:rsidR="00480FB1" w:rsidRPr="006B0439">
        <w:rPr>
          <w:b/>
          <w:bCs/>
          <w:sz w:val="22"/>
          <w:szCs w:val="22"/>
        </w:rPr>
        <w:tab/>
      </w:r>
      <w:r w:rsidRPr="006B0439">
        <w:rPr>
          <w:b/>
          <w:bCs/>
          <w:sz w:val="22"/>
          <w:szCs w:val="22"/>
        </w:rPr>
        <w:t>NOSILAC DOZVOLE</w:t>
      </w:r>
      <w:r w:rsidR="00483928" w:rsidRPr="006B0439">
        <w:rPr>
          <w:b/>
          <w:bCs/>
          <w:sz w:val="22"/>
          <w:szCs w:val="22"/>
        </w:rPr>
        <w:t xml:space="preserve"> </w:t>
      </w:r>
    </w:p>
    <w:p w:rsidR="00CE50DB" w:rsidRPr="006B0439" w:rsidRDefault="00CE50DB" w:rsidP="00CE50DB">
      <w:pPr>
        <w:tabs>
          <w:tab w:val="left" w:pos="540"/>
          <w:tab w:val="left" w:pos="569"/>
        </w:tabs>
        <w:rPr>
          <w:bCs/>
          <w:sz w:val="22"/>
          <w:szCs w:val="22"/>
          <w:lang w:val="sr-Latn-CS"/>
        </w:rPr>
      </w:pPr>
    </w:p>
    <w:p w:rsidR="00CE50DB" w:rsidRPr="006B0439" w:rsidRDefault="00CE50DB" w:rsidP="00CE50DB">
      <w:pPr>
        <w:tabs>
          <w:tab w:val="left" w:pos="540"/>
          <w:tab w:val="left" w:pos="569"/>
        </w:tabs>
        <w:rPr>
          <w:bCs/>
          <w:sz w:val="22"/>
          <w:szCs w:val="22"/>
          <w:lang w:val="sr-Latn-CS"/>
        </w:rPr>
      </w:pPr>
      <w:r w:rsidRPr="006B0439">
        <w:rPr>
          <w:bCs/>
          <w:sz w:val="22"/>
          <w:szCs w:val="22"/>
          <w:lang w:val="sr-Latn-CS"/>
        </w:rPr>
        <w:t>„OSMI RED-D“ d.o.o. Podgorica</w:t>
      </w:r>
    </w:p>
    <w:p w:rsidR="00C61BE0" w:rsidRPr="006B0439" w:rsidRDefault="00CE50DB" w:rsidP="00CE50DB">
      <w:pPr>
        <w:tabs>
          <w:tab w:val="left" w:pos="540"/>
          <w:tab w:val="left" w:pos="569"/>
        </w:tabs>
        <w:rPr>
          <w:bCs/>
          <w:sz w:val="22"/>
          <w:szCs w:val="22"/>
        </w:rPr>
      </w:pPr>
      <w:r w:rsidRPr="006B0439">
        <w:rPr>
          <w:bCs/>
          <w:sz w:val="22"/>
          <w:szCs w:val="22"/>
          <w:lang w:val="sr-Latn-CS"/>
        </w:rPr>
        <w:t>Bulevar Vojvode Stanka Radonjića bb, 81 000 Podgorica, Crna Gora</w:t>
      </w:r>
    </w:p>
    <w:p w:rsidR="00C37FD7" w:rsidRPr="006B0439" w:rsidRDefault="00C37FD7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:rsidR="00CB6D6F" w:rsidRPr="006B0439" w:rsidRDefault="00CB6D6F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:rsidR="0072020E" w:rsidRPr="006B0439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6B0439">
        <w:rPr>
          <w:b/>
          <w:bCs/>
          <w:sz w:val="22"/>
          <w:szCs w:val="22"/>
        </w:rPr>
        <w:t xml:space="preserve">8. </w:t>
      </w:r>
      <w:r w:rsidR="00480FB1" w:rsidRPr="006B0439">
        <w:rPr>
          <w:b/>
          <w:bCs/>
          <w:sz w:val="22"/>
          <w:szCs w:val="22"/>
        </w:rPr>
        <w:tab/>
      </w:r>
      <w:r w:rsidRPr="006B0439">
        <w:rPr>
          <w:b/>
          <w:bCs/>
          <w:sz w:val="22"/>
          <w:szCs w:val="22"/>
        </w:rPr>
        <w:t>BROJ DOZVOLE</w:t>
      </w:r>
      <w:r w:rsidR="008A6D43" w:rsidRPr="006B0439">
        <w:rPr>
          <w:b/>
          <w:bCs/>
          <w:sz w:val="22"/>
          <w:szCs w:val="22"/>
        </w:rPr>
        <w:t xml:space="preserve"> ZA STAVLJANJE LIJEKA U PROMET</w:t>
      </w:r>
    </w:p>
    <w:p w:rsidR="00CB6D6F" w:rsidRPr="006B0439" w:rsidRDefault="00CB6D6F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:rsidR="0072020E" w:rsidRPr="006B0439" w:rsidRDefault="00CE50DB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  <w:r w:rsidRPr="006B0439">
        <w:rPr>
          <w:bCs/>
          <w:sz w:val="22"/>
          <w:szCs w:val="22"/>
        </w:rPr>
        <w:t>Iritec, koncentrat za rastvor za infuziju, 40mg/2ml, bočica staklena, 1x2ml: 2030/16/364-3316</w:t>
      </w:r>
    </w:p>
    <w:p w:rsidR="00CE50DB" w:rsidRPr="006B0439" w:rsidRDefault="00CE50DB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  <w:r w:rsidRPr="006B0439">
        <w:rPr>
          <w:bCs/>
          <w:sz w:val="22"/>
          <w:szCs w:val="22"/>
        </w:rPr>
        <w:t>Iritec, koncentrat za rastvor za infuziju, 100mg/5ml, bočica staklena, 1x5ml: 2030/16/363-3317</w:t>
      </w:r>
    </w:p>
    <w:p w:rsidR="00F45F77" w:rsidRDefault="00F45F77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:rsidR="006B0439" w:rsidRPr="006B0439" w:rsidRDefault="006B0439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:rsidR="0072020E" w:rsidRPr="006B0439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6B0439">
        <w:rPr>
          <w:b/>
          <w:bCs/>
          <w:sz w:val="22"/>
          <w:szCs w:val="22"/>
        </w:rPr>
        <w:t xml:space="preserve">9. </w:t>
      </w:r>
      <w:r w:rsidR="00480FB1" w:rsidRPr="006B0439">
        <w:rPr>
          <w:b/>
          <w:bCs/>
          <w:sz w:val="22"/>
          <w:szCs w:val="22"/>
        </w:rPr>
        <w:tab/>
      </w:r>
      <w:r w:rsidRPr="006B0439">
        <w:rPr>
          <w:b/>
          <w:bCs/>
          <w:sz w:val="22"/>
          <w:szCs w:val="22"/>
        </w:rPr>
        <w:t xml:space="preserve">DATUM </w:t>
      </w:r>
      <w:r w:rsidR="00C05DF8" w:rsidRPr="006B0439">
        <w:rPr>
          <w:b/>
          <w:bCs/>
          <w:sz w:val="22"/>
          <w:szCs w:val="22"/>
        </w:rPr>
        <w:t xml:space="preserve">PRVE </w:t>
      </w:r>
      <w:r w:rsidR="008A6D43" w:rsidRPr="006B0439">
        <w:rPr>
          <w:b/>
          <w:bCs/>
          <w:sz w:val="22"/>
          <w:szCs w:val="22"/>
        </w:rPr>
        <w:t>DOZVOLE</w:t>
      </w:r>
      <w:r w:rsidR="00C05DF8" w:rsidRPr="006B0439">
        <w:rPr>
          <w:b/>
          <w:bCs/>
          <w:sz w:val="22"/>
          <w:szCs w:val="22"/>
        </w:rPr>
        <w:t>/OBNOVE DOZVOLE</w:t>
      </w:r>
      <w:r w:rsidR="008A6D43" w:rsidRPr="006B0439">
        <w:rPr>
          <w:b/>
          <w:bCs/>
          <w:sz w:val="22"/>
          <w:szCs w:val="22"/>
        </w:rPr>
        <w:t xml:space="preserve"> ZA STAVLJANJE LIJEKA U PROMET</w:t>
      </w:r>
    </w:p>
    <w:p w:rsidR="00CB6D6F" w:rsidRPr="006B0439" w:rsidRDefault="00CB6D6F" w:rsidP="00CE50DB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:rsidR="00CE50DB" w:rsidRPr="006B0439" w:rsidRDefault="00CE50DB" w:rsidP="00CE50DB">
      <w:pPr>
        <w:tabs>
          <w:tab w:val="left" w:pos="540"/>
          <w:tab w:val="left" w:pos="569"/>
        </w:tabs>
        <w:rPr>
          <w:bCs/>
          <w:sz w:val="22"/>
          <w:szCs w:val="22"/>
        </w:rPr>
      </w:pPr>
      <w:r w:rsidRPr="006B0439">
        <w:rPr>
          <w:bCs/>
          <w:sz w:val="22"/>
          <w:szCs w:val="22"/>
        </w:rPr>
        <w:t>16.11.2016.</w:t>
      </w:r>
      <w:r w:rsidR="00CB6D6F" w:rsidRPr="006B0439">
        <w:rPr>
          <w:bCs/>
          <w:sz w:val="22"/>
          <w:szCs w:val="22"/>
        </w:rPr>
        <w:t xml:space="preserve"> </w:t>
      </w:r>
      <w:proofErr w:type="gramStart"/>
      <w:r w:rsidR="00CB6D6F" w:rsidRPr="006B0439">
        <w:rPr>
          <w:bCs/>
          <w:sz w:val="22"/>
          <w:szCs w:val="22"/>
        </w:rPr>
        <w:t>godine</w:t>
      </w:r>
      <w:proofErr w:type="gramEnd"/>
    </w:p>
    <w:p w:rsidR="00CB6D6F" w:rsidRPr="006B0439" w:rsidRDefault="00CB6D6F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:rsidR="00836B35" w:rsidRPr="006B0439" w:rsidRDefault="00836B35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:rsidR="003F6A59" w:rsidRPr="006B0439" w:rsidRDefault="0072020E" w:rsidP="00C05DF8">
      <w:pPr>
        <w:tabs>
          <w:tab w:val="left" w:pos="540"/>
          <w:tab w:val="left" w:pos="569"/>
        </w:tabs>
        <w:ind w:left="540" w:hanging="540"/>
        <w:rPr>
          <w:bCs/>
          <w:sz w:val="22"/>
          <w:szCs w:val="22"/>
        </w:rPr>
      </w:pPr>
      <w:r w:rsidRPr="006B0439">
        <w:rPr>
          <w:b/>
          <w:bCs/>
          <w:sz w:val="22"/>
          <w:szCs w:val="22"/>
        </w:rPr>
        <w:t xml:space="preserve">10. </w:t>
      </w:r>
      <w:r w:rsidR="00480FB1" w:rsidRPr="006B0439">
        <w:rPr>
          <w:b/>
          <w:bCs/>
          <w:sz w:val="22"/>
          <w:szCs w:val="22"/>
        </w:rPr>
        <w:tab/>
      </w:r>
      <w:r w:rsidR="002846DB" w:rsidRPr="006B0439">
        <w:rPr>
          <w:b/>
          <w:bCs/>
          <w:sz w:val="22"/>
          <w:szCs w:val="22"/>
        </w:rPr>
        <w:t>D</w:t>
      </w:r>
      <w:r w:rsidR="00EC2532" w:rsidRPr="006B0439">
        <w:rPr>
          <w:b/>
          <w:bCs/>
          <w:sz w:val="22"/>
          <w:szCs w:val="22"/>
        </w:rPr>
        <w:t xml:space="preserve">ATUM REVIZIJE TEKSTA </w:t>
      </w:r>
    </w:p>
    <w:p w:rsidR="008A6D43" w:rsidRPr="006B0439" w:rsidRDefault="008A6D43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:rsidR="003F6A59" w:rsidRPr="006B0439" w:rsidRDefault="006B0439" w:rsidP="00DE3F5C">
      <w:pPr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Jul, 2024. godine</w:t>
      </w:r>
      <w:bookmarkStart w:id="0" w:name="_GoBack"/>
      <w:bookmarkEnd w:id="0"/>
    </w:p>
    <w:sectPr w:rsidR="003F6A59" w:rsidRPr="006B0439" w:rsidSect="006B5404">
      <w:headerReference w:type="default" r:id="rId12"/>
      <w:footerReference w:type="default" r:id="rId13"/>
      <w:pgSz w:w="11909" w:h="16834" w:code="9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5AC4" w:rsidRDefault="00635AC4">
      <w:r>
        <w:separator/>
      </w:r>
    </w:p>
  </w:endnote>
  <w:endnote w:type="continuationSeparator" w:id="0">
    <w:p w:rsidR="00635AC4" w:rsidRDefault="00635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EE"/>
    <w:family w:val="swiss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032" w:rsidRPr="00B23F69" w:rsidRDefault="00AA4032" w:rsidP="00B23F69">
    <w:pPr>
      <w:pStyle w:val="Footer"/>
      <w:jc w:val="center"/>
      <w:rPr>
        <w:sz w:val="22"/>
        <w:szCs w:val="22"/>
      </w:rPr>
    </w:pP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PAGE </w:instrText>
    </w:r>
    <w:r w:rsidRPr="00B23F69">
      <w:rPr>
        <w:sz w:val="22"/>
        <w:szCs w:val="22"/>
      </w:rPr>
      <w:fldChar w:fldCharType="separate"/>
    </w:r>
    <w:r w:rsidR="006B0439">
      <w:rPr>
        <w:noProof/>
        <w:sz w:val="22"/>
        <w:szCs w:val="22"/>
      </w:rPr>
      <w:t>24</w:t>
    </w:r>
    <w:r w:rsidRPr="00B23F69">
      <w:rPr>
        <w:sz w:val="22"/>
        <w:szCs w:val="22"/>
      </w:rPr>
      <w:fldChar w:fldCharType="end"/>
    </w:r>
    <w:r w:rsidRPr="00B23F69">
      <w:rPr>
        <w:sz w:val="22"/>
        <w:szCs w:val="22"/>
      </w:rPr>
      <w:t xml:space="preserve"> / </w:t>
    </w: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NUMPAGES </w:instrText>
    </w:r>
    <w:r w:rsidRPr="00B23F69">
      <w:rPr>
        <w:sz w:val="22"/>
        <w:szCs w:val="22"/>
      </w:rPr>
      <w:fldChar w:fldCharType="separate"/>
    </w:r>
    <w:r w:rsidR="006B0439">
      <w:rPr>
        <w:noProof/>
        <w:sz w:val="22"/>
        <w:szCs w:val="22"/>
      </w:rPr>
      <w:t>24</w:t>
    </w:r>
    <w:r w:rsidRPr="00B23F69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5AC4" w:rsidRDefault="00635AC4">
      <w:r>
        <w:separator/>
      </w:r>
    </w:p>
  </w:footnote>
  <w:footnote w:type="continuationSeparator" w:id="0">
    <w:p w:rsidR="00635AC4" w:rsidRDefault="00635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9E3" w:rsidRDefault="00AA4032">
    <w:r>
      <w:rPr>
        <w:sz w:val="22"/>
        <w:szCs w:val="22"/>
      </w:rPr>
      <w:t xml:space="preserve">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5.75pt;height:13.5pt;visibility:visible" o:bullet="t">
        <v:imagedata r:id="rId1" o:title="BT_1000x858px"/>
      </v:shape>
    </w:pict>
  </w:numPicBullet>
  <w:abstractNum w:abstractNumId="0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1B7A4CFD"/>
    <w:multiLevelType w:val="hybridMultilevel"/>
    <w:tmpl w:val="10A880A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125747"/>
    <w:multiLevelType w:val="hybridMultilevel"/>
    <w:tmpl w:val="FECEB370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18B70B8"/>
    <w:multiLevelType w:val="hybridMultilevel"/>
    <w:tmpl w:val="1A6E3E2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513B123E"/>
    <w:multiLevelType w:val="hybridMultilevel"/>
    <w:tmpl w:val="1EDEB4D8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697A35B3"/>
    <w:multiLevelType w:val="hybridMultilevel"/>
    <w:tmpl w:val="9B20970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F194EFE"/>
    <w:multiLevelType w:val="hybridMultilevel"/>
    <w:tmpl w:val="5274BC8A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FC61DD"/>
    <w:multiLevelType w:val="hybridMultilevel"/>
    <w:tmpl w:val="50AC4E0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0"/>
  </w:num>
  <w:num w:numId="4">
    <w:abstractNumId w:val="12"/>
  </w:num>
  <w:num w:numId="5">
    <w:abstractNumId w:val="5"/>
  </w:num>
  <w:num w:numId="6">
    <w:abstractNumId w:val="1"/>
  </w:num>
  <w:num w:numId="7">
    <w:abstractNumId w:val="10"/>
  </w:num>
  <w:num w:numId="8">
    <w:abstractNumId w:val="4"/>
  </w:num>
  <w:num w:numId="9">
    <w:abstractNumId w:val="8"/>
  </w:num>
  <w:num w:numId="10">
    <w:abstractNumId w:val="16"/>
  </w:num>
  <w:num w:numId="11">
    <w:abstractNumId w:val="6"/>
  </w:num>
  <w:num w:numId="12">
    <w:abstractNumId w:val="13"/>
  </w:num>
  <w:num w:numId="13">
    <w:abstractNumId w:val="7"/>
  </w:num>
  <w:num w:numId="14">
    <w:abstractNumId w:val="2"/>
  </w:num>
  <w:num w:numId="15">
    <w:abstractNumId w:val="17"/>
  </w:num>
  <w:num w:numId="16">
    <w:abstractNumId w:val="11"/>
  </w:num>
  <w:num w:numId="17">
    <w:abstractNumId w:val="15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176CA"/>
    <w:rsid w:val="0002772A"/>
    <w:rsid w:val="00036FA0"/>
    <w:rsid w:val="0003793F"/>
    <w:rsid w:val="00057E35"/>
    <w:rsid w:val="00060EB8"/>
    <w:rsid w:val="00076726"/>
    <w:rsid w:val="00080303"/>
    <w:rsid w:val="00080574"/>
    <w:rsid w:val="000A3F58"/>
    <w:rsid w:val="000A54DF"/>
    <w:rsid w:val="000D179E"/>
    <w:rsid w:val="000D2343"/>
    <w:rsid w:val="000D3449"/>
    <w:rsid w:val="000D425A"/>
    <w:rsid w:val="000D60CC"/>
    <w:rsid w:val="000E2084"/>
    <w:rsid w:val="000E6F55"/>
    <w:rsid w:val="000F489A"/>
    <w:rsid w:val="000F77FA"/>
    <w:rsid w:val="00107BF7"/>
    <w:rsid w:val="00114F37"/>
    <w:rsid w:val="00126F53"/>
    <w:rsid w:val="0014766D"/>
    <w:rsid w:val="001536CC"/>
    <w:rsid w:val="00165BBF"/>
    <w:rsid w:val="00172C9D"/>
    <w:rsid w:val="00195AFB"/>
    <w:rsid w:val="001A3FBA"/>
    <w:rsid w:val="001A5518"/>
    <w:rsid w:val="001B1C6A"/>
    <w:rsid w:val="001B55D9"/>
    <w:rsid w:val="001C1263"/>
    <w:rsid w:val="001C1417"/>
    <w:rsid w:val="001E390B"/>
    <w:rsid w:val="001E68B0"/>
    <w:rsid w:val="001F2522"/>
    <w:rsid w:val="001F42FB"/>
    <w:rsid w:val="001F719A"/>
    <w:rsid w:val="002031B3"/>
    <w:rsid w:val="00215931"/>
    <w:rsid w:val="00224C91"/>
    <w:rsid w:val="00227BDB"/>
    <w:rsid w:val="00234CB1"/>
    <w:rsid w:val="002352F8"/>
    <w:rsid w:val="002510A5"/>
    <w:rsid w:val="00251B3A"/>
    <w:rsid w:val="00254A0A"/>
    <w:rsid w:val="00254A4B"/>
    <w:rsid w:val="00254E4C"/>
    <w:rsid w:val="00266046"/>
    <w:rsid w:val="002750EB"/>
    <w:rsid w:val="002846DB"/>
    <w:rsid w:val="00284CCD"/>
    <w:rsid w:val="002877AF"/>
    <w:rsid w:val="002C6637"/>
    <w:rsid w:val="002E0135"/>
    <w:rsid w:val="002E37A5"/>
    <w:rsid w:val="002E4BC0"/>
    <w:rsid w:val="002F3E97"/>
    <w:rsid w:val="00310F03"/>
    <w:rsid w:val="003247D2"/>
    <w:rsid w:val="00332E8B"/>
    <w:rsid w:val="003445C1"/>
    <w:rsid w:val="00355B61"/>
    <w:rsid w:val="00362686"/>
    <w:rsid w:val="00363B1F"/>
    <w:rsid w:val="00371510"/>
    <w:rsid w:val="00396DFD"/>
    <w:rsid w:val="003A2EBB"/>
    <w:rsid w:val="003A7059"/>
    <w:rsid w:val="003B7A36"/>
    <w:rsid w:val="003B7E27"/>
    <w:rsid w:val="003C17AB"/>
    <w:rsid w:val="003C7823"/>
    <w:rsid w:val="003E1DCC"/>
    <w:rsid w:val="003F11A1"/>
    <w:rsid w:val="003F6A59"/>
    <w:rsid w:val="004065C8"/>
    <w:rsid w:val="004109FA"/>
    <w:rsid w:val="00411B4B"/>
    <w:rsid w:val="004128DB"/>
    <w:rsid w:val="00415BEE"/>
    <w:rsid w:val="00427F85"/>
    <w:rsid w:val="00436F42"/>
    <w:rsid w:val="004378B4"/>
    <w:rsid w:val="00451314"/>
    <w:rsid w:val="00452E9D"/>
    <w:rsid w:val="004534C7"/>
    <w:rsid w:val="00466AFA"/>
    <w:rsid w:val="004671AA"/>
    <w:rsid w:val="00480FB1"/>
    <w:rsid w:val="00483928"/>
    <w:rsid w:val="00492521"/>
    <w:rsid w:val="004C25AE"/>
    <w:rsid w:val="004C331F"/>
    <w:rsid w:val="004D6103"/>
    <w:rsid w:val="004E18F0"/>
    <w:rsid w:val="004E3BCE"/>
    <w:rsid w:val="004E70AD"/>
    <w:rsid w:val="004F0E97"/>
    <w:rsid w:val="00501DD1"/>
    <w:rsid w:val="005075D0"/>
    <w:rsid w:val="00512325"/>
    <w:rsid w:val="00515C21"/>
    <w:rsid w:val="005166B3"/>
    <w:rsid w:val="00520AF9"/>
    <w:rsid w:val="00530BD7"/>
    <w:rsid w:val="005445CE"/>
    <w:rsid w:val="00545CD2"/>
    <w:rsid w:val="005476F3"/>
    <w:rsid w:val="00563A7A"/>
    <w:rsid w:val="00563A7C"/>
    <w:rsid w:val="00572527"/>
    <w:rsid w:val="00573E40"/>
    <w:rsid w:val="00576348"/>
    <w:rsid w:val="0058589B"/>
    <w:rsid w:val="005A0B2E"/>
    <w:rsid w:val="005A23D2"/>
    <w:rsid w:val="005A36CB"/>
    <w:rsid w:val="005B49B8"/>
    <w:rsid w:val="005C0741"/>
    <w:rsid w:val="005C5EF4"/>
    <w:rsid w:val="005D1105"/>
    <w:rsid w:val="005D150F"/>
    <w:rsid w:val="005E2E0B"/>
    <w:rsid w:val="005E7A7D"/>
    <w:rsid w:val="005F3D9E"/>
    <w:rsid w:val="00602457"/>
    <w:rsid w:val="00616989"/>
    <w:rsid w:val="00621F29"/>
    <w:rsid w:val="00635AC4"/>
    <w:rsid w:val="00644FC3"/>
    <w:rsid w:val="00646BD1"/>
    <w:rsid w:val="006561C2"/>
    <w:rsid w:val="006653D8"/>
    <w:rsid w:val="00671CB3"/>
    <w:rsid w:val="00674BAF"/>
    <w:rsid w:val="00682200"/>
    <w:rsid w:val="00692BF6"/>
    <w:rsid w:val="006938F0"/>
    <w:rsid w:val="006A1497"/>
    <w:rsid w:val="006B0439"/>
    <w:rsid w:val="006B0BD1"/>
    <w:rsid w:val="006B5404"/>
    <w:rsid w:val="006D20A5"/>
    <w:rsid w:val="006D37BF"/>
    <w:rsid w:val="006D6226"/>
    <w:rsid w:val="006E3477"/>
    <w:rsid w:val="00702E22"/>
    <w:rsid w:val="0071182F"/>
    <w:rsid w:val="00711A2C"/>
    <w:rsid w:val="0072020E"/>
    <w:rsid w:val="00786071"/>
    <w:rsid w:val="00787BDB"/>
    <w:rsid w:val="007A3ECB"/>
    <w:rsid w:val="007C6AB1"/>
    <w:rsid w:val="007D7BB3"/>
    <w:rsid w:val="00801D18"/>
    <w:rsid w:val="00824AB9"/>
    <w:rsid w:val="00836AA7"/>
    <w:rsid w:val="00836B35"/>
    <w:rsid w:val="00841C6F"/>
    <w:rsid w:val="00843BDE"/>
    <w:rsid w:val="0087588C"/>
    <w:rsid w:val="00883071"/>
    <w:rsid w:val="0089705C"/>
    <w:rsid w:val="008A6D43"/>
    <w:rsid w:val="008B0F4D"/>
    <w:rsid w:val="008B491E"/>
    <w:rsid w:val="008C1A28"/>
    <w:rsid w:val="008C2E98"/>
    <w:rsid w:val="008C381C"/>
    <w:rsid w:val="008C49E6"/>
    <w:rsid w:val="008E49BD"/>
    <w:rsid w:val="008E53E9"/>
    <w:rsid w:val="008E5771"/>
    <w:rsid w:val="008F390D"/>
    <w:rsid w:val="008F4ACF"/>
    <w:rsid w:val="00924166"/>
    <w:rsid w:val="00940B9B"/>
    <w:rsid w:val="0095281F"/>
    <w:rsid w:val="00954F1D"/>
    <w:rsid w:val="0095676E"/>
    <w:rsid w:val="00956983"/>
    <w:rsid w:val="00963CF0"/>
    <w:rsid w:val="00964BB1"/>
    <w:rsid w:val="009775D9"/>
    <w:rsid w:val="00982DE4"/>
    <w:rsid w:val="00997175"/>
    <w:rsid w:val="009A0E30"/>
    <w:rsid w:val="009A1847"/>
    <w:rsid w:val="009B062A"/>
    <w:rsid w:val="009E652E"/>
    <w:rsid w:val="009E66F9"/>
    <w:rsid w:val="009E7C6F"/>
    <w:rsid w:val="009F1793"/>
    <w:rsid w:val="009F2D23"/>
    <w:rsid w:val="009F4EF0"/>
    <w:rsid w:val="00A01D69"/>
    <w:rsid w:val="00A02335"/>
    <w:rsid w:val="00A46C9A"/>
    <w:rsid w:val="00A619F3"/>
    <w:rsid w:val="00A62A73"/>
    <w:rsid w:val="00A67E43"/>
    <w:rsid w:val="00A777E1"/>
    <w:rsid w:val="00A87FF6"/>
    <w:rsid w:val="00AA0A3B"/>
    <w:rsid w:val="00AA2763"/>
    <w:rsid w:val="00AA33B6"/>
    <w:rsid w:val="00AA4032"/>
    <w:rsid w:val="00AB33AC"/>
    <w:rsid w:val="00AB50CA"/>
    <w:rsid w:val="00AB6D64"/>
    <w:rsid w:val="00AC53CE"/>
    <w:rsid w:val="00AD2193"/>
    <w:rsid w:val="00AE0A6E"/>
    <w:rsid w:val="00AE0D55"/>
    <w:rsid w:val="00AF2AC7"/>
    <w:rsid w:val="00AF74CE"/>
    <w:rsid w:val="00B036D9"/>
    <w:rsid w:val="00B208DB"/>
    <w:rsid w:val="00B23F69"/>
    <w:rsid w:val="00B26150"/>
    <w:rsid w:val="00B60619"/>
    <w:rsid w:val="00B630F0"/>
    <w:rsid w:val="00B66A70"/>
    <w:rsid w:val="00B67366"/>
    <w:rsid w:val="00B77C6B"/>
    <w:rsid w:val="00B80EE1"/>
    <w:rsid w:val="00B84135"/>
    <w:rsid w:val="00BB1D51"/>
    <w:rsid w:val="00BE5224"/>
    <w:rsid w:val="00C04D34"/>
    <w:rsid w:val="00C05DF8"/>
    <w:rsid w:val="00C06864"/>
    <w:rsid w:val="00C10F54"/>
    <w:rsid w:val="00C11409"/>
    <w:rsid w:val="00C23D8D"/>
    <w:rsid w:val="00C37AA3"/>
    <w:rsid w:val="00C37FD7"/>
    <w:rsid w:val="00C43419"/>
    <w:rsid w:val="00C44CF3"/>
    <w:rsid w:val="00C578CB"/>
    <w:rsid w:val="00C61BE0"/>
    <w:rsid w:val="00C6707E"/>
    <w:rsid w:val="00C70B0E"/>
    <w:rsid w:val="00C76881"/>
    <w:rsid w:val="00C773CA"/>
    <w:rsid w:val="00C83785"/>
    <w:rsid w:val="00C94C0D"/>
    <w:rsid w:val="00CA1FEB"/>
    <w:rsid w:val="00CB3E13"/>
    <w:rsid w:val="00CB6D6F"/>
    <w:rsid w:val="00CC7D68"/>
    <w:rsid w:val="00CD1BC8"/>
    <w:rsid w:val="00CD4F85"/>
    <w:rsid w:val="00CD5681"/>
    <w:rsid w:val="00CD6F02"/>
    <w:rsid w:val="00CE246D"/>
    <w:rsid w:val="00CE50DB"/>
    <w:rsid w:val="00CF07A0"/>
    <w:rsid w:val="00CF19E3"/>
    <w:rsid w:val="00CF3E03"/>
    <w:rsid w:val="00D0082A"/>
    <w:rsid w:val="00D16C27"/>
    <w:rsid w:val="00D21455"/>
    <w:rsid w:val="00D47634"/>
    <w:rsid w:val="00D709B3"/>
    <w:rsid w:val="00D82437"/>
    <w:rsid w:val="00D87BC6"/>
    <w:rsid w:val="00DA2ED6"/>
    <w:rsid w:val="00DB76B8"/>
    <w:rsid w:val="00DC049E"/>
    <w:rsid w:val="00DC2EA1"/>
    <w:rsid w:val="00DD159D"/>
    <w:rsid w:val="00DD6AAF"/>
    <w:rsid w:val="00DD6FCF"/>
    <w:rsid w:val="00DE0C8D"/>
    <w:rsid w:val="00DE3F5C"/>
    <w:rsid w:val="00DF115E"/>
    <w:rsid w:val="00DF1D20"/>
    <w:rsid w:val="00E07473"/>
    <w:rsid w:val="00E21324"/>
    <w:rsid w:val="00E246B9"/>
    <w:rsid w:val="00E31FEA"/>
    <w:rsid w:val="00E32712"/>
    <w:rsid w:val="00E32DBD"/>
    <w:rsid w:val="00E43B5D"/>
    <w:rsid w:val="00E45169"/>
    <w:rsid w:val="00E47787"/>
    <w:rsid w:val="00E5035E"/>
    <w:rsid w:val="00E51C30"/>
    <w:rsid w:val="00E55931"/>
    <w:rsid w:val="00E64180"/>
    <w:rsid w:val="00E74AEE"/>
    <w:rsid w:val="00E868E5"/>
    <w:rsid w:val="00E8736A"/>
    <w:rsid w:val="00E91420"/>
    <w:rsid w:val="00E9237A"/>
    <w:rsid w:val="00E939FA"/>
    <w:rsid w:val="00E96055"/>
    <w:rsid w:val="00EA5765"/>
    <w:rsid w:val="00EC2532"/>
    <w:rsid w:val="00ED7812"/>
    <w:rsid w:val="00EF3B86"/>
    <w:rsid w:val="00EF4C3B"/>
    <w:rsid w:val="00F21370"/>
    <w:rsid w:val="00F317E9"/>
    <w:rsid w:val="00F34554"/>
    <w:rsid w:val="00F45F77"/>
    <w:rsid w:val="00F5167F"/>
    <w:rsid w:val="00F52258"/>
    <w:rsid w:val="00F57006"/>
    <w:rsid w:val="00F84D70"/>
    <w:rsid w:val="00F8570A"/>
    <w:rsid w:val="00F91C7B"/>
    <w:rsid w:val="00F96487"/>
    <w:rsid w:val="00FA6A81"/>
    <w:rsid w:val="00FB664A"/>
    <w:rsid w:val="00FC1344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C04968"/>
  <w15:chartTrackingRefBased/>
  <w15:docId w15:val="{72686179-00AE-4FF5-9B6D-A3DA2EF3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C76881"/>
    <w:pPr>
      <w:keepNext/>
      <w:tabs>
        <w:tab w:val="left" w:pos="284"/>
      </w:tabs>
      <w:jc w:val="center"/>
      <w:outlineLvl w:val="0"/>
    </w:pPr>
    <w:rPr>
      <w:rFonts w:ascii="Arial (W1)" w:hAnsi="Arial (W1)" w:cs="Arial"/>
      <w:b/>
      <w:bCs/>
      <w:i/>
      <w:iCs/>
      <w:sz w:val="32"/>
      <w:u w:val="single"/>
      <w:lang w:val="sr-Latn-CS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link w:val="Heading3Char"/>
    <w:qFormat/>
    <w:rsid w:val="00C76881"/>
    <w:pPr>
      <w:keepNext/>
      <w:ind w:left="72" w:hanging="72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link w:val="Heading4Char"/>
    <w:qFormat/>
    <w:rsid w:val="00C76881"/>
    <w:pPr>
      <w:keepNext/>
      <w:tabs>
        <w:tab w:val="left" w:pos="284"/>
      </w:tabs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semiHidden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  <w:lang w:val="en-US" w:eastAsia="en-US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character" w:styleId="Hyperlink">
    <w:name w:val="Hyperlink"/>
    <w:basedOn w:val="DefaultParagraphFont"/>
    <w:rsid w:val="004E70AD"/>
    <w:rPr>
      <w:color w:val="0563C1" w:themeColor="hyperlink"/>
      <w:u w:val="single"/>
    </w:rPr>
  </w:style>
  <w:style w:type="character" w:customStyle="1" w:styleId="HeaderChar">
    <w:name w:val="Header Char"/>
    <w:link w:val="Header"/>
    <w:rsid w:val="00CC7D68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621F29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C76881"/>
    <w:rPr>
      <w:rFonts w:ascii="Arial (W1)" w:hAnsi="Arial (W1)" w:cs="Arial"/>
      <w:b/>
      <w:bCs/>
      <w:i/>
      <w:iCs/>
      <w:sz w:val="32"/>
      <w:szCs w:val="24"/>
      <w:u w:val="single"/>
      <w:lang w:val="sr-Latn-CS" w:eastAsia="en-US"/>
    </w:rPr>
  </w:style>
  <w:style w:type="character" w:customStyle="1" w:styleId="Heading3Char">
    <w:name w:val="Heading 3 Char"/>
    <w:basedOn w:val="DefaultParagraphFont"/>
    <w:link w:val="Heading3"/>
    <w:rsid w:val="00C76881"/>
    <w:rPr>
      <w:rFonts w:ascii="Arial" w:hAnsi="Arial" w:cs="Arial"/>
      <w:i/>
      <w:iCs/>
      <w:color w:val="999999"/>
      <w:sz w:val="18"/>
      <w:szCs w:val="24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C76881"/>
    <w:rPr>
      <w:rFonts w:ascii="Arial" w:hAnsi="Arial" w:cs="Arial"/>
      <w:i/>
      <w:iCs/>
      <w:color w:val="999999"/>
      <w:sz w:val="16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sid w:val="00C76881"/>
    <w:rPr>
      <w:sz w:val="24"/>
      <w:szCs w:val="24"/>
      <w:lang w:val="en-US" w:eastAsia="en-US"/>
    </w:rPr>
  </w:style>
  <w:style w:type="table" w:styleId="TableGrid">
    <w:name w:val="Table Grid"/>
    <w:basedOn w:val="TableNormal"/>
    <w:rsid w:val="00C76881"/>
    <w:rPr>
      <w:lang w:val="sr-Latn-RS" w:eastAsia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F489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rimaryreporting.who-umc.org/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B6D0E-0875-4206-A7E7-9FFFF3FDA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24</Pages>
  <Words>10174</Words>
  <Characters>57993</Characters>
  <Application>Microsoft Office Word</Application>
  <DocSecurity>0</DocSecurity>
  <Lines>483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SmPC</vt:lpstr>
    </vt:vector>
  </TitlesOfParts>
  <Company>CInMED</Company>
  <LinksUpToDate>false</LinksUpToDate>
  <CharactersWithSpaces>68031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SmPC</dc:title>
  <dc:subject/>
  <dc:creator>Tatjana Banković</dc:creator>
  <cp:keywords/>
  <dc:description>Sažetak karakteristika lijeka</dc:description>
  <cp:lastModifiedBy>Jovana Jovanovic</cp:lastModifiedBy>
  <cp:revision>3</cp:revision>
  <dcterms:created xsi:type="dcterms:W3CDTF">2024-07-11T07:01:00Z</dcterms:created>
  <dcterms:modified xsi:type="dcterms:W3CDTF">2024-07-11T07:24:00Z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