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756B" w14:textId="77777777" w:rsidR="002510A5" w:rsidRPr="002510A5" w:rsidRDefault="002510A5" w:rsidP="00B06F89">
      <w:pPr>
        <w:jc w:val="center"/>
        <w:rPr>
          <w:b/>
          <w:bCs/>
          <w:iCs/>
          <w:sz w:val="22"/>
          <w:szCs w:val="22"/>
          <w:u w:val="single"/>
        </w:rPr>
      </w:pPr>
      <w:r w:rsidRPr="002510A5">
        <w:rPr>
          <w:b/>
          <w:bCs/>
          <w:iCs/>
          <w:sz w:val="22"/>
          <w:szCs w:val="22"/>
          <w:u w:val="single"/>
        </w:rPr>
        <w:t>SAŽETAK KARAKTERISTIKA LIJEKA</w:t>
      </w:r>
    </w:p>
    <w:p w14:paraId="27D65F7A" w14:textId="77777777" w:rsidR="002510A5" w:rsidRPr="002510A5" w:rsidRDefault="002510A5" w:rsidP="00B06F89">
      <w:pPr>
        <w:rPr>
          <w:b/>
          <w:bCs/>
          <w:i/>
          <w:iCs/>
          <w:sz w:val="22"/>
          <w:szCs w:val="22"/>
          <w:u w:val="single"/>
        </w:rPr>
      </w:pPr>
    </w:p>
    <w:p w14:paraId="57EDAABC" w14:textId="77777777" w:rsidR="003C17AB" w:rsidRPr="00F81D44" w:rsidRDefault="003C17AB" w:rsidP="00B06F89">
      <w:pPr>
        <w:tabs>
          <w:tab w:val="left" w:pos="540"/>
          <w:tab w:val="left" w:pos="569"/>
        </w:tabs>
        <w:rPr>
          <w:noProof/>
          <w:sz w:val="22"/>
          <w:szCs w:val="22"/>
          <w:lang w:val="sr-Latn-CS"/>
        </w:rPr>
      </w:pPr>
    </w:p>
    <w:p w14:paraId="53BBD7DF" w14:textId="77777777" w:rsidR="00C37FD7" w:rsidRPr="00920E02" w:rsidRDefault="00C37FD7" w:rsidP="00B06F89">
      <w:pPr>
        <w:tabs>
          <w:tab w:val="left" w:pos="540"/>
          <w:tab w:val="left" w:pos="569"/>
        </w:tabs>
        <w:rPr>
          <w:bCs/>
          <w:sz w:val="22"/>
          <w:szCs w:val="22"/>
          <w:lang w:val="hr-HR"/>
        </w:rPr>
      </w:pPr>
    </w:p>
    <w:p w14:paraId="685568B1" w14:textId="77777777" w:rsidR="00411B4B" w:rsidRPr="00920E02" w:rsidRDefault="00411B4B" w:rsidP="00B06F89">
      <w:pPr>
        <w:tabs>
          <w:tab w:val="left" w:pos="540"/>
          <w:tab w:val="left" w:pos="569"/>
        </w:tabs>
        <w:rPr>
          <w:b/>
          <w:bCs/>
          <w:sz w:val="22"/>
          <w:szCs w:val="22"/>
          <w:lang w:val="hr-HR"/>
        </w:rPr>
      </w:pPr>
      <w:r w:rsidRPr="00920E02">
        <w:rPr>
          <w:b/>
          <w:bCs/>
          <w:sz w:val="22"/>
          <w:szCs w:val="22"/>
          <w:lang w:val="hr-HR"/>
        </w:rPr>
        <w:t>1.</w:t>
      </w:r>
      <w:r w:rsidR="00F5167F" w:rsidRPr="00920E02">
        <w:rPr>
          <w:b/>
          <w:bCs/>
          <w:sz w:val="22"/>
          <w:szCs w:val="22"/>
          <w:lang w:val="hr-HR"/>
        </w:rPr>
        <w:tab/>
      </w:r>
      <w:r w:rsidR="002846DB" w:rsidRPr="00920E02">
        <w:rPr>
          <w:b/>
          <w:bCs/>
          <w:sz w:val="22"/>
          <w:szCs w:val="22"/>
          <w:lang w:val="hr-HR"/>
        </w:rPr>
        <w:t xml:space="preserve">NAZIV </w:t>
      </w:r>
      <w:r w:rsidRPr="00920E02">
        <w:rPr>
          <w:b/>
          <w:bCs/>
          <w:sz w:val="22"/>
          <w:szCs w:val="22"/>
          <w:lang w:val="hr-HR"/>
        </w:rPr>
        <w:t>LIJEKA</w:t>
      </w:r>
    </w:p>
    <w:p w14:paraId="2F9E309C" w14:textId="77777777" w:rsidR="00EC2532" w:rsidRPr="00786071" w:rsidRDefault="00EC2532" w:rsidP="00B06F89">
      <w:pPr>
        <w:rPr>
          <w:sz w:val="22"/>
          <w:szCs w:val="22"/>
          <w:lang w:val="pl-PL"/>
        </w:rPr>
      </w:pPr>
    </w:p>
    <w:p w14:paraId="73787DB0" w14:textId="21989C7E" w:rsidR="00F81D44" w:rsidRPr="00CC39BA" w:rsidRDefault="00F81D44" w:rsidP="00B06F89">
      <w:pPr>
        <w:tabs>
          <w:tab w:val="left" w:pos="284"/>
        </w:tabs>
        <w:autoSpaceDE w:val="0"/>
        <w:autoSpaceDN w:val="0"/>
        <w:adjustRightInd w:val="0"/>
        <w:rPr>
          <w:iCs/>
          <w:color w:val="808080"/>
          <w:sz w:val="22"/>
          <w:szCs w:val="22"/>
          <w:lang w:val="sr-Latn-ME"/>
        </w:rPr>
      </w:pPr>
      <w:r w:rsidRPr="00CC39BA">
        <w:rPr>
          <w:iCs/>
          <w:sz w:val="22"/>
          <w:szCs w:val="22"/>
          <w:lang w:val="sr-Latn-ME"/>
        </w:rPr>
        <w:t>GlucaGen Hypo</w:t>
      </w:r>
      <w:r w:rsidR="009C1ED3" w:rsidRPr="00CC39BA">
        <w:rPr>
          <w:iCs/>
          <w:sz w:val="22"/>
          <w:szCs w:val="22"/>
          <w:lang w:val="sr-Latn-ME"/>
        </w:rPr>
        <w:t>K</w:t>
      </w:r>
      <w:r w:rsidR="00CC39BA">
        <w:rPr>
          <w:iCs/>
          <w:sz w:val="22"/>
          <w:szCs w:val="22"/>
          <w:lang w:val="sr-Latn-ME"/>
        </w:rPr>
        <w:t>it</w:t>
      </w:r>
      <w:r w:rsidRPr="00CC39BA">
        <w:rPr>
          <w:iCs/>
          <w:sz w:val="22"/>
          <w:szCs w:val="22"/>
          <w:lang w:val="sr-Latn-ME"/>
        </w:rPr>
        <w:t xml:space="preserve"> 1 mg</w:t>
      </w:r>
      <w:r w:rsidR="005F6AF7" w:rsidRPr="00CC39BA">
        <w:rPr>
          <w:iCs/>
          <w:sz w:val="22"/>
          <w:szCs w:val="22"/>
          <w:lang w:val="sr-Latn-ME"/>
        </w:rPr>
        <w:t>,</w:t>
      </w:r>
      <w:r w:rsidRPr="00CC39BA">
        <w:rPr>
          <w:iCs/>
          <w:sz w:val="22"/>
          <w:szCs w:val="22"/>
          <w:lang w:val="sr-Latn-ME"/>
        </w:rPr>
        <w:t xml:space="preserve"> prašak i rastvarač za rastvor za injekciju</w:t>
      </w:r>
    </w:p>
    <w:p w14:paraId="707ABD86" w14:textId="77777777" w:rsidR="00F81D44" w:rsidRPr="00BD27C0" w:rsidRDefault="00F81D44" w:rsidP="00B06F89">
      <w:pPr>
        <w:tabs>
          <w:tab w:val="left" w:pos="284"/>
        </w:tabs>
        <w:rPr>
          <w:i/>
          <w:iCs/>
          <w:color w:val="808080"/>
          <w:sz w:val="22"/>
          <w:szCs w:val="22"/>
          <w:lang w:val="sr-Latn-ME"/>
        </w:rPr>
      </w:pPr>
    </w:p>
    <w:p w14:paraId="0DFB8B38" w14:textId="4EB76B72" w:rsidR="006D20A5" w:rsidRPr="00786071" w:rsidRDefault="00F81D44" w:rsidP="00B06F89">
      <w:pPr>
        <w:rPr>
          <w:sz w:val="22"/>
          <w:szCs w:val="22"/>
          <w:lang w:val="sr-Latn-CS"/>
        </w:rPr>
      </w:pPr>
      <w:r w:rsidRPr="00F81D44">
        <w:rPr>
          <w:sz w:val="22"/>
          <w:szCs w:val="22"/>
          <w:lang w:val="sr-Latn-CS"/>
        </w:rPr>
        <w:t xml:space="preserve">INN: </w:t>
      </w:r>
      <w:r w:rsidR="005F6AF7">
        <w:rPr>
          <w:sz w:val="22"/>
          <w:szCs w:val="22"/>
          <w:lang w:val="sr-Latn-CS"/>
        </w:rPr>
        <w:t>G</w:t>
      </w:r>
      <w:r w:rsidRPr="00F81D44">
        <w:rPr>
          <w:sz w:val="22"/>
          <w:szCs w:val="22"/>
          <w:lang w:val="sr-Latn-CS"/>
        </w:rPr>
        <w:t xml:space="preserve">lukagon </w:t>
      </w:r>
    </w:p>
    <w:p w14:paraId="0618A0CA" w14:textId="77777777" w:rsidR="006D20A5" w:rsidRPr="00786071" w:rsidRDefault="006D20A5" w:rsidP="00B06F89">
      <w:pPr>
        <w:rPr>
          <w:bCs/>
          <w:sz w:val="22"/>
          <w:szCs w:val="22"/>
          <w:lang w:val="sv-SE"/>
        </w:rPr>
      </w:pPr>
    </w:p>
    <w:p w14:paraId="79DD16C2" w14:textId="77777777" w:rsidR="00530BD7" w:rsidRPr="00786071" w:rsidRDefault="00530BD7" w:rsidP="00B06F89">
      <w:pPr>
        <w:rPr>
          <w:bCs/>
          <w:sz w:val="22"/>
          <w:szCs w:val="22"/>
          <w:lang w:val="sv-SE"/>
        </w:rPr>
      </w:pPr>
    </w:p>
    <w:p w14:paraId="31BF0537" w14:textId="77777777" w:rsidR="00411B4B" w:rsidRPr="00F81D44" w:rsidRDefault="00411B4B" w:rsidP="00B06F89">
      <w:pPr>
        <w:tabs>
          <w:tab w:val="left" w:pos="540"/>
          <w:tab w:val="left" w:pos="569"/>
        </w:tabs>
        <w:rPr>
          <w:b/>
          <w:bCs/>
          <w:sz w:val="22"/>
          <w:szCs w:val="22"/>
          <w:lang w:val="sv-SE"/>
        </w:rPr>
      </w:pPr>
      <w:r w:rsidRPr="00F81D44">
        <w:rPr>
          <w:b/>
          <w:bCs/>
          <w:sz w:val="22"/>
          <w:szCs w:val="22"/>
          <w:lang w:val="sv-SE"/>
        </w:rPr>
        <w:t xml:space="preserve">2. </w:t>
      </w:r>
      <w:r w:rsidR="00F5167F" w:rsidRPr="00F81D44">
        <w:rPr>
          <w:b/>
          <w:bCs/>
          <w:sz w:val="22"/>
          <w:szCs w:val="22"/>
          <w:lang w:val="sv-SE"/>
        </w:rPr>
        <w:tab/>
      </w:r>
      <w:r w:rsidRPr="00F81D44">
        <w:rPr>
          <w:b/>
          <w:bCs/>
          <w:sz w:val="22"/>
          <w:szCs w:val="22"/>
          <w:lang w:val="sv-SE"/>
        </w:rPr>
        <w:t>KVALITATIVNI I KVANTITATIVNI SASTAV</w:t>
      </w:r>
    </w:p>
    <w:p w14:paraId="0837E8D3" w14:textId="77777777" w:rsidR="005A0B2E" w:rsidRPr="00786071" w:rsidRDefault="005A0B2E" w:rsidP="00B06F89">
      <w:pPr>
        <w:rPr>
          <w:sz w:val="22"/>
          <w:szCs w:val="22"/>
          <w:lang w:val="sr-Latn-CS"/>
        </w:rPr>
      </w:pPr>
    </w:p>
    <w:p w14:paraId="22336624" w14:textId="77777777" w:rsidR="00F81D44" w:rsidRPr="00F81D44" w:rsidRDefault="00F81D44" w:rsidP="00BD27C0">
      <w:pPr>
        <w:jc w:val="both"/>
        <w:rPr>
          <w:sz w:val="22"/>
          <w:szCs w:val="22"/>
          <w:lang w:val="sr-Latn-CS"/>
        </w:rPr>
      </w:pPr>
      <w:r w:rsidRPr="00F81D44">
        <w:rPr>
          <w:sz w:val="22"/>
          <w:szCs w:val="22"/>
          <w:lang w:val="sr-Latn-CS"/>
        </w:rPr>
        <w:t xml:space="preserve">Aktivna supstanca: Humani glukagon proizveden iz </w:t>
      </w:r>
      <w:r w:rsidRPr="00F81D44">
        <w:rPr>
          <w:i/>
          <w:sz w:val="22"/>
          <w:szCs w:val="22"/>
          <w:lang w:val="sr-Latn-CS"/>
        </w:rPr>
        <w:t>Saccharomyces cerevisiae</w:t>
      </w:r>
      <w:r w:rsidRPr="00F81D44">
        <w:rPr>
          <w:sz w:val="22"/>
          <w:szCs w:val="22"/>
          <w:lang w:val="sr-Latn-CS"/>
        </w:rPr>
        <w:t xml:space="preserve"> tehnologijom rekombinantne DNK.</w:t>
      </w:r>
    </w:p>
    <w:p w14:paraId="28E23025" w14:textId="77777777" w:rsidR="00F81D44" w:rsidRPr="00F81D44" w:rsidRDefault="00F81D44" w:rsidP="00BD27C0">
      <w:pPr>
        <w:jc w:val="both"/>
        <w:rPr>
          <w:sz w:val="22"/>
          <w:szCs w:val="22"/>
          <w:lang w:val="pl-PL"/>
        </w:rPr>
      </w:pPr>
    </w:p>
    <w:p w14:paraId="085DD6B5" w14:textId="6DA1CC74" w:rsidR="00F81D44" w:rsidRPr="00F81D44" w:rsidRDefault="00F81D44" w:rsidP="00BD27C0">
      <w:pPr>
        <w:jc w:val="both"/>
        <w:rPr>
          <w:sz w:val="22"/>
          <w:szCs w:val="22"/>
          <w:lang w:val="sr-Latn-CS"/>
        </w:rPr>
      </w:pPr>
      <w:r w:rsidRPr="00F81D44">
        <w:rPr>
          <w:sz w:val="22"/>
          <w:szCs w:val="22"/>
          <w:lang w:val="pl-PL"/>
        </w:rPr>
        <w:t>Jedna bočica sadr</w:t>
      </w:r>
      <w:r w:rsidRPr="00F81D44">
        <w:rPr>
          <w:sz w:val="22"/>
          <w:szCs w:val="22"/>
          <w:lang w:val="sr-Latn-CS"/>
        </w:rPr>
        <w:t xml:space="preserve">ži </w:t>
      </w:r>
      <w:r w:rsidRPr="00F81D44">
        <w:rPr>
          <w:sz w:val="22"/>
          <w:szCs w:val="22"/>
          <w:lang w:val="pl-PL"/>
        </w:rPr>
        <w:t>1 mg glukagona u obliku hidrohlorida što odgovara 1 mg (1 i.j.)/ml glukagona</w:t>
      </w:r>
      <w:r w:rsidRPr="00F81D44">
        <w:rPr>
          <w:sz w:val="22"/>
          <w:szCs w:val="22"/>
          <w:lang w:val="sr-Latn-CS"/>
        </w:rPr>
        <w:t xml:space="preserve"> poslije rekonstitucije.</w:t>
      </w:r>
    </w:p>
    <w:p w14:paraId="63EB91F6" w14:textId="30B42C54" w:rsidR="0003793F" w:rsidRPr="00786071" w:rsidRDefault="0003793F" w:rsidP="00BD27C0">
      <w:pPr>
        <w:jc w:val="both"/>
        <w:rPr>
          <w:sz w:val="22"/>
          <w:szCs w:val="22"/>
          <w:lang w:val="sr-Latn-CS"/>
        </w:rPr>
      </w:pPr>
      <w:r w:rsidRPr="00786071">
        <w:rPr>
          <w:sz w:val="22"/>
          <w:szCs w:val="22"/>
          <w:lang w:val="sr-Latn-CS"/>
        </w:rPr>
        <w:t>Za spisak svih ekscipijenasa, pogledati dio 6.1.</w:t>
      </w:r>
    </w:p>
    <w:p w14:paraId="5F4B63C1" w14:textId="77777777" w:rsidR="0003793F" w:rsidRDefault="0003793F" w:rsidP="00BD27C0">
      <w:pPr>
        <w:jc w:val="both"/>
        <w:rPr>
          <w:sz w:val="22"/>
          <w:szCs w:val="22"/>
          <w:lang w:val="sr-Latn-CS"/>
        </w:rPr>
      </w:pPr>
    </w:p>
    <w:p w14:paraId="6A3ED7B3" w14:textId="77777777" w:rsidR="00C37FD7" w:rsidRPr="00786071" w:rsidRDefault="00C37FD7" w:rsidP="00B06F89">
      <w:pPr>
        <w:rPr>
          <w:sz w:val="22"/>
          <w:szCs w:val="22"/>
          <w:lang w:val="sr-Latn-CS"/>
        </w:rPr>
      </w:pPr>
    </w:p>
    <w:p w14:paraId="07E5E026" w14:textId="77777777" w:rsidR="00411B4B" w:rsidRPr="00920E02" w:rsidRDefault="00411B4B" w:rsidP="00B06F89">
      <w:pPr>
        <w:tabs>
          <w:tab w:val="left" w:pos="540"/>
          <w:tab w:val="left" w:pos="569"/>
        </w:tabs>
        <w:rPr>
          <w:b/>
          <w:bCs/>
          <w:sz w:val="22"/>
          <w:szCs w:val="22"/>
          <w:lang w:val="sr-Latn-CS"/>
        </w:rPr>
      </w:pPr>
      <w:r w:rsidRPr="00920E02">
        <w:rPr>
          <w:b/>
          <w:bCs/>
          <w:sz w:val="22"/>
          <w:szCs w:val="22"/>
          <w:lang w:val="sr-Latn-CS"/>
        </w:rPr>
        <w:t xml:space="preserve">3. </w:t>
      </w:r>
      <w:r w:rsidR="00F5167F" w:rsidRPr="00920E02">
        <w:rPr>
          <w:b/>
          <w:bCs/>
          <w:sz w:val="22"/>
          <w:szCs w:val="22"/>
          <w:lang w:val="sr-Latn-CS"/>
        </w:rPr>
        <w:tab/>
      </w:r>
      <w:r w:rsidRPr="00786071">
        <w:rPr>
          <w:b/>
          <w:bCs/>
          <w:sz w:val="22"/>
          <w:szCs w:val="22"/>
        </w:rPr>
        <w:t>FARMACEUTSKI</w:t>
      </w:r>
      <w:r w:rsidRPr="00920E02">
        <w:rPr>
          <w:b/>
          <w:bCs/>
          <w:sz w:val="22"/>
          <w:szCs w:val="22"/>
          <w:lang w:val="sr-Latn-CS"/>
        </w:rPr>
        <w:t xml:space="preserve"> </w:t>
      </w:r>
      <w:r w:rsidRPr="00786071">
        <w:rPr>
          <w:b/>
          <w:bCs/>
          <w:sz w:val="22"/>
          <w:szCs w:val="22"/>
        </w:rPr>
        <w:t>OBLIK</w:t>
      </w:r>
      <w:r w:rsidR="009F2D23" w:rsidRPr="00920E02">
        <w:rPr>
          <w:b/>
          <w:bCs/>
          <w:sz w:val="22"/>
          <w:szCs w:val="22"/>
          <w:lang w:val="sr-Latn-CS"/>
        </w:rPr>
        <w:t xml:space="preserve"> </w:t>
      </w:r>
    </w:p>
    <w:p w14:paraId="18D4B76C" w14:textId="510E261A" w:rsidR="00411B4B" w:rsidRDefault="00411B4B" w:rsidP="00B06F89">
      <w:pPr>
        <w:rPr>
          <w:bCs/>
          <w:sz w:val="22"/>
          <w:szCs w:val="22"/>
          <w:lang w:val="sr-Latn-CS"/>
        </w:rPr>
      </w:pPr>
    </w:p>
    <w:p w14:paraId="75B3AFBF" w14:textId="77777777" w:rsidR="00F81D44" w:rsidRPr="00F81D44" w:rsidRDefault="00F81D44" w:rsidP="00BD27C0">
      <w:pPr>
        <w:jc w:val="both"/>
        <w:rPr>
          <w:bCs/>
          <w:sz w:val="22"/>
          <w:szCs w:val="22"/>
          <w:lang w:val="pl-PL"/>
        </w:rPr>
      </w:pPr>
      <w:r w:rsidRPr="00F81D44">
        <w:rPr>
          <w:bCs/>
          <w:sz w:val="22"/>
          <w:szCs w:val="22"/>
          <w:lang w:val="pl-PL"/>
        </w:rPr>
        <w:t>Prašak i rastvarač za rastvor za injekciju.</w:t>
      </w:r>
    </w:p>
    <w:p w14:paraId="096A2029" w14:textId="77777777" w:rsidR="00F81D44" w:rsidRPr="00F81D44" w:rsidRDefault="00F81D44" w:rsidP="00BD27C0">
      <w:pPr>
        <w:jc w:val="both"/>
        <w:rPr>
          <w:bCs/>
          <w:sz w:val="22"/>
          <w:szCs w:val="22"/>
          <w:lang w:val="pl-PL"/>
        </w:rPr>
      </w:pPr>
    </w:p>
    <w:p w14:paraId="26D8A6C3" w14:textId="697E3360" w:rsidR="00F81D44" w:rsidRPr="00786071" w:rsidRDefault="00F81D44" w:rsidP="00BD27C0">
      <w:pPr>
        <w:jc w:val="both"/>
        <w:rPr>
          <w:bCs/>
          <w:sz w:val="22"/>
          <w:szCs w:val="22"/>
          <w:lang w:val="sr-Latn-CS"/>
        </w:rPr>
      </w:pPr>
      <w:r w:rsidRPr="00F81D44">
        <w:rPr>
          <w:bCs/>
          <w:sz w:val="22"/>
          <w:szCs w:val="22"/>
          <w:lang w:val="pl-PL"/>
        </w:rPr>
        <w:t>Pr</w:t>
      </w:r>
      <w:r w:rsidR="00A20C29">
        <w:rPr>
          <w:bCs/>
          <w:sz w:val="22"/>
          <w:szCs w:val="22"/>
          <w:lang w:val="pl-PL"/>
        </w:rPr>
        <w:t>ij</w:t>
      </w:r>
      <w:r w:rsidRPr="00F81D44">
        <w:rPr>
          <w:bCs/>
          <w:sz w:val="22"/>
          <w:szCs w:val="22"/>
          <w:lang w:val="pl-PL"/>
        </w:rPr>
        <w:t>e rekonstitucije, kompaktan prašak bi trebalo da bude bijele ili skoro bijele boje. Rastvarač treba da bude bistar i bezbojan, bez prisustva čestica.</w:t>
      </w:r>
    </w:p>
    <w:p w14:paraId="338D64C1" w14:textId="08727752" w:rsidR="00EC2532" w:rsidRDefault="00EC2532" w:rsidP="00B06F89">
      <w:pPr>
        <w:rPr>
          <w:bCs/>
          <w:sz w:val="22"/>
          <w:szCs w:val="22"/>
          <w:lang w:val="sr-Latn-CS"/>
        </w:rPr>
      </w:pPr>
    </w:p>
    <w:p w14:paraId="2A58430E" w14:textId="77777777" w:rsidR="00F81D44" w:rsidRPr="00786071" w:rsidRDefault="00F81D44" w:rsidP="00B06F89">
      <w:pPr>
        <w:rPr>
          <w:bCs/>
          <w:sz w:val="22"/>
          <w:szCs w:val="22"/>
          <w:lang w:val="sr-Latn-CS"/>
        </w:rPr>
      </w:pPr>
    </w:p>
    <w:p w14:paraId="525F14A2" w14:textId="77777777" w:rsidR="00411B4B" w:rsidRPr="00920E02" w:rsidRDefault="00411B4B" w:rsidP="00BD27C0">
      <w:pPr>
        <w:tabs>
          <w:tab w:val="left" w:pos="540"/>
          <w:tab w:val="left" w:pos="569"/>
        </w:tabs>
        <w:jc w:val="both"/>
        <w:rPr>
          <w:b/>
          <w:bCs/>
          <w:sz w:val="22"/>
          <w:szCs w:val="22"/>
          <w:lang w:val="sr-Latn-CS"/>
        </w:rPr>
      </w:pPr>
      <w:r w:rsidRPr="00920E02">
        <w:rPr>
          <w:b/>
          <w:bCs/>
          <w:sz w:val="22"/>
          <w:szCs w:val="22"/>
          <w:lang w:val="sr-Latn-CS"/>
        </w:rPr>
        <w:t xml:space="preserve">4. </w:t>
      </w:r>
      <w:r w:rsidR="00480FB1" w:rsidRPr="00920E02">
        <w:rPr>
          <w:b/>
          <w:bCs/>
          <w:sz w:val="22"/>
          <w:szCs w:val="22"/>
          <w:lang w:val="sr-Latn-CS"/>
        </w:rPr>
        <w:tab/>
      </w:r>
      <w:r w:rsidRPr="007A58A2">
        <w:rPr>
          <w:b/>
          <w:bCs/>
          <w:sz w:val="22"/>
          <w:szCs w:val="22"/>
          <w:lang w:val="pl-PL"/>
        </w:rPr>
        <w:t>KLINI</w:t>
      </w:r>
      <w:r w:rsidRPr="00920E02">
        <w:rPr>
          <w:b/>
          <w:bCs/>
          <w:sz w:val="22"/>
          <w:szCs w:val="22"/>
          <w:lang w:val="sr-Latn-CS"/>
        </w:rPr>
        <w:t>Č</w:t>
      </w:r>
      <w:r w:rsidRPr="007A58A2">
        <w:rPr>
          <w:b/>
          <w:bCs/>
          <w:sz w:val="22"/>
          <w:szCs w:val="22"/>
          <w:lang w:val="pl-PL"/>
        </w:rPr>
        <w:t>KI</w:t>
      </w:r>
      <w:r w:rsidRPr="00920E02">
        <w:rPr>
          <w:b/>
          <w:bCs/>
          <w:sz w:val="22"/>
          <w:szCs w:val="22"/>
          <w:lang w:val="sr-Latn-CS"/>
        </w:rPr>
        <w:t xml:space="preserve"> </w:t>
      </w:r>
      <w:r w:rsidRPr="007A58A2">
        <w:rPr>
          <w:b/>
          <w:bCs/>
          <w:sz w:val="22"/>
          <w:szCs w:val="22"/>
          <w:lang w:val="pl-PL"/>
        </w:rPr>
        <w:t>PODACI</w:t>
      </w:r>
    </w:p>
    <w:p w14:paraId="24A7607F" w14:textId="77777777" w:rsidR="00CD6F02" w:rsidRPr="00920E02" w:rsidRDefault="00CD6F02" w:rsidP="00BD27C0">
      <w:pPr>
        <w:tabs>
          <w:tab w:val="left" w:pos="540"/>
          <w:tab w:val="left" w:pos="569"/>
        </w:tabs>
        <w:jc w:val="both"/>
        <w:rPr>
          <w:bCs/>
          <w:sz w:val="22"/>
          <w:szCs w:val="22"/>
          <w:lang w:val="sr-Latn-CS"/>
        </w:rPr>
      </w:pPr>
    </w:p>
    <w:p w14:paraId="442DB337" w14:textId="77777777" w:rsidR="00411B4B" w:rsidRPr="00920E02" w:rsidRDefault="00411B4B" w:rsidP="00BD27C0">
      <w:pPr>
        <w:tabs>
          <w:tab w:val="left" w:pos="540"/>
          <w:tab w:val="left" w:pos="569"/>
        </w:tabs>
        <w:jc w:val="both"/>
        <w:rPr>
          <w:b/>
          <w:bCs/>
          <w:sz w:val="22"/>
          <w:szCs w:val="22"/>
          <w:lang w:val="sr-Latn-CS"/>
        </w:rPr>
      </w:pPr>
      <w:r w:rsidRPr="00920E02">
        <w:rPr>
          <w:b/>
          <w:bCs/>
          <w:sz w:val="22"/>
          <w:szCs w:val="22"/>
          <w:lang w:val="sr-Latn-CS"/>
        </w:rPr>
        <w:t xml:space="preserve">4.1. </w:t>
      </w:r>
      <w:r w:rsidR="00480FB1" w:rsidRPr="00920E02">
        <w:rPr>
          <w:b/>
          <w:bCs/>
          <w:sz w:val="22"/>
          <w:szCs w:val="22"/>
          <w:lang w:val="sr-Latn-CS"/>
        </w:rPr>
        <w:tab/>
      </w:r>
      <w:r w:rsidRPr="007A58A2">
        <w:rPr>
          <w:b/>
          <w:bCs/>
          <w:sz w:val="22"/>
          <w:szCs w:val="22"/>
          <w:lang w:val="pl-PL"/>
        </w:rPr>
        <w:t>Terapijske</w:t>
      </w:r>
      <w:r w:rsidRPr="00920E02">
        <w:rPr>
          <w:b/>
          <w:bCs/>
          <w:sz w:val="22"/>
          <w:szCs w:val="22"/>
          <w:lang w:val="sr-Latn-CS"/>
        </w:rPr>
        <w:t xml:space="preserve"> </w:t>
      </w:r>
      <w:r w:rsidRPr="007A58A2">
        <w:rPr>
          <w:b/>
          <w:bCs/>
          <w:sz w:val="22"/>
          <w:szCs w:val="22"/>
          <w:lang w:val="pl-PL"/>
        </w:rPr>
        <w:t>indikacije</w:t>
      </w:r>
    </w:p>
    <w:p w14:paraId="28411EF9" w14:textId="20C2D374" w:rsidR="00411B4B" w:rsidRDefault="00411B4B" w:rsidP="00BD27C0">
      <w:pPr>
        <w:tabs>
          <w:tab w:val="left" w:pos="540"/>
          <w:tab w:val="left" w:pos="569"/>
        </w:tabs>
        <w:jc w:val="both"/>
        <w:rPr>
          <w:bCs/>
          <w:sz w:val="22"/>
          <w:szCs w:val="22"/>
          <w:lang w:val="sr-Latn-CS"/>
        </w:rPr>
      </w:pPr>
    </w:p>
    <w:p w14:paraId="7D2C8C99" w14:textId="77777777" w:rsidR="00F81D44" w:rsidRPr="00F81D44" w:rsidRDefault="00F81D44" w:rsidP="00BD27C0">
      <w:pPr>
        <w:tabs>
          <w:tab w:val="left" w:pos="540"/>
          <w:tab w:val="left" w:pos="569"/>
        </w:tabs>
        <w:jc w:val="both"/>
        <w:rPr>
          <w:bCs/>
          <w:sz w:val="22"/>
          <w:szCs w:val="22"/>
          <w:u w:val="single"/>
          <w:lang w:val="sr-Latn-CS"/>
        </w:rPr>
      </w:pPr>
      <w:r w:rsidRPr="00F81D44">
        <w:rPr>
          <w:bCs/>
          <w:sz w:val="22"/>
          <w:szCs w:val="22"/>
          <w:u w:val="single"/>
          <w:lang w:val="sr-Latn-CS"/>
        </w:rPr>
        <w:t xml:space="preserve">Terapijske indikacije </w:t>
      </w:r>
    </w:p>
    <w:p w14:paraId="311AC537" w14:textId="77777777" w:rsidR="00F81D44" w:rsidRPr="00F81D44" w:rsidRDefault="00F81D44" w:rsidP="00BD27C0">
      <w:pPr>
        <w:tabs>
          <w:tab w:val="left" w:pos="540"/>
          <w:tab w:val="left" w:pos="569"/>
        </w:tabs>
        <w:jc w:val="both"/>
        <w:rPr>
          <w:b/>
          <w:bCs/>
          <w:sz w:val="22"/>
          <w:szCs w:val="22"/>
          <w:u w:val="single"/>
          <w:lang w:val="sr-Latn-CS"/>
        </w:rPr>
      </w:pPr>
    </w:p>
    <w:p w14:paraId="6B0C9DBA" w14:textId="2E43E58B"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Lijek GlucaGen Hypo</w:t>
      </w:r>
      <w:r w:rsidR="009C1ED3">
        <w:rPr>
          <w:bCs/>
          <w:sz w:val="22"/>
          <w:szCs w:val="22"/>
          <w:lang w:val="sr-Latn-CS"/>
        </w:rPr>
        <w:t>K</w:t>
      </w:r>
      <w:r w:rsidRPr="00F81D44">
        <w:rPr>
          <w:bCs/>
          <w:sz w:val="22"/>
          <w:szCs w:val="22"/>
          <w:lang w:val="sr-Latn-CS"/>
        </w:rPr>
        <w:t>it je indikovan za liječenje ozbiljnih hipoglikemijskih reakcija koje mogu nastati kod djece i odraslih sa dijabetes melitusom</w:t>
      </w:r>
      <w:r w:rsidR="007174E5">
        <w:rPr>
          <w:bCs/>
          <w:sz w:val="22"/>
          <w:szCs w:val="22"/>
          <w:lang w:val="sr-Latn-CS"/>
        </w:rPr>
        <w:t xml:space="preserve"> koji se na terapiji insulinskim preparatima.</w:t>
      </w:r>
    </w:p>
    <w:p w14:paraId="5E0BE51A" w14:textId="77777777" w:rsidR="00F81D44" w:rsidRPr="00F81D44" w:rsidRDefault="00F81D44" w:rsidP="00BD27C0">
      <w:pPr>
        <w:tabs>
          <w:tab w:val="left" w:pos="540"/>
          <w:tab w:val="left" w:pos="569"/>
        </w:tabs>
        <w:jc w:val="both"/>
        <w:rPr>
          <w:bCs/>
          <w:sz w:val="22"/>
          <w:szCs w:val="22"/>
          <w:lang w:val="sr-Latn-CS"/>
        </w:rPr>
      </w:pPr>
    </w:p>
    <w:p w14:paraId="0960EC18" w14:textId="77777777" w:rsidR="00F81D44" w:rsidRPr="00F81D44" w:rsidRDefault="00F81D44" w:rsidP="00BD27C0">
      <w:pPr>
        <w:tabs>
          <w:tab w:val="left" w:pos="540"/>
          <w:tab w:val="left" w:pos="569"/>
        </w:tabs>
        <w:jc w:val="both"/>
        <w:rPr>
          <w:bCs/>
          <w:sz w:val="22"/>
          <w:szCs w:val="22"/>
          <w:u w:val="single"/>
          <w:lang w:val="sr-Latn-CS"/>
        </w:rPr>
      </w:pPr>
      <w:r w:rsidRPr="00F81D44">
        <w:rPr>
          <w:bCs/>
          <w:sz w:val="22"/>
          <w:szCs w:val="22"/>
          <w:u w:val="single"/>
          <w:lang w:val="sr-Latn-CS"/>
        </w:rPr>
        <w:t>Dijagnostičke indikacije</w:t>
      </w:r>
    </w:p>
    <w:p w14:paraId="664DF96E" w14:textId="77777777" w:rsidR="00F81D44" w:rsidRPr="00F81D44" w:rsidRDefault="00F81D44" w:rsidP="00BD27C0">
      <w:pPr>
        <w:tabs>
          <w:tab w:val="left" w:pos="540"/>
          <w:tab w:val="left" w:pos="569"/>
        </w:tabs>
        <w:jc w:val="both"/>
        <w:rPr>
          <w:bCs/>
          <w:sz w:val="22"/>
          <w:szCs w:val="22"/>
          <w:lang w:val="sr-Latn-CS"/>
        </w:rPr>
      </w:pPr>
      <w:r w:rsidRPr="00F81D44">
        <w:rPr>
          <w:bCs/>
          <w:sz w:val="22"/>
          <w:szCs w:val="22"/>
          <w:u w:val="single"/>
          <w:lang w:val="sr-Latn-CS"/>
        </w:rPr>
        <w:t xml:space="preserve"> </w:t>
      </w:r>
    </w:p>
    <w:p w14:paraId="6D36D08B" w14:textId="47BEE19F" w:rsidR="00F81D44" w:rsidRDefault="00F81D44" w:rsidP="00BD27C0">
      <w:pPr>
        <w:tabs>
          <w:tab w:val="left" w:pos="540"/>
          <w:tab w:val="left" w:pos="569"/>
        </w:tabs>
        <w:jc w:val="both"/>
        <w:rPr>
          <w:bCs/>
          <w:sz w:val="22"/>
          <w:szCs w:val="22"/>
          <w:lang w:val="sr-Latn-CS"/>
        </w:rPr>
      </w:pPr>
      <w:r w:rsidRPr="00F81D44">
        <w:rPr>
          <w:bCs/>
          <w:sz w:val="22"/>
          <w:szCs w:val="22"/>
          <w:lang w:val="sr-Latn-CS"/>
        </w:rPr>
        <w:t>Lijek GlucaGen Hypo</w:t>
      </w:r>
      <w:r w:rsidR="009C1ED3">
        <w:rPr>
          <w:bCs/>
          <w:sz w:val="22"/>
          <w:szCs w:val="22"/>
          <w:lang w:val="sr-Latn-CS"/>
        </w:rPr>
        <w:t>K</w:t>
      </w:r>
      <w:r w:rsidRPr="00F81D44">
        <w:rPr>
          <w:bCs/>
          <w:sz w:val="22"/>
          <w:szCs w:val="22"/>
          <w:lang w:val="sr-Latn-CS"/>
        </w:rPr>
        <w:t>it je indikovan za inhibiciju motiliteta u ispitivanjima gastrointestinalnog trakta kod odraslih.</w:t>
      </w:r>
    </w:p>
    <w:p w14:paraId="641B51D8" w14:textId="77777777" w:rsidR="00F81D44" w:rsidRPr="00920E02" w:rsidRDefault="00F81D44" w:rsidP="00BD27C0">
      <w:pPr>
        <w:tabs>
          <w:tab w:val="left" w:pos="540"/>
          <w:tab w:val="left" w:pos="569"/>
        </w:tabs>
        <w:jc w:val="both"/>
        <w:rPr>
          <w:bCs/>
          <w:sz w:val="22"/>
          <w:szCs w:val="22"/>
          <w:lang w:val="sr-Latn-CS"/>
        </w:rPr>
      </w:pPr>
    </w:p>
    <w:p w14:paraId="654DEFB3" w14:textId="77777777" w:rsidR="00411B4B" w:rsidRPr="00920E02" w:rsidRDefault="00411B4B" w:rsidP="00BD27C0">
      <w:pPr>
        <w:tabs>
          <w:tab w:val="left" w:pos="540"/>
          <w:tab w:val="left" w:pos="569"/>
        </w:tabs>
        <w:jc w:val="both"/>
        <w:rPr>
          <w:b/>
          <w:bCs/>
          <w:sz w:val="22"/>
          <w:szCs w:val="22"/>
          <w:lang w:val="sr-Latn-CS"/>
        </w:rPr>
      </w:pPr>
      <w:r w:rsidRPr="00920E02">
        <w:rPr>
          <w:b/>
          <w:bCs/>
          <w:sz w:val="22"/>
          <w:szCs w:val="22"/>
          <w:lang w:val="sr-Latn-CS"/>
        </w:rPr>
        <w:t xml:space="preserve">4.2. </w:t>
      </w:r>
      <w:r w:rsidR="00480FB1" w:rsidRPr="00920E02">
        <w:rPr>
          <w:b/>
          <w:bCs/>
          <w:sz w:val="22"/>
          <w:szCs w:val="22"/>
          <w:lang w:val="sr-Latn-CS"/>
        </w:rPr>
        <w:tab/>
      </w:r>
      <w:proofErr w:type="spellStart"/>
      <w:r w:rsidRPr="00786071">
        <w:rPr>
          <w:b/>
          <w:bCs/>
          <w:sz w:val="22"/>
          <w:szCs w:val="22"/>
        </w:rPr>
        <w:t>Doziranje</w:t>
      </w:r>
      <w:proofErr w:type="spellEnd"/>
      <w:r w:rsidRPr="00920E02">
        <w:rPr>
          <w:b/>
          <w:bCs/>
          <w:sz w:val="22"/>
          <w:szCs w:val="22"/>
          <w:lang w:val="sr-Latn-CS"/>
        </w:rPr>
        <w:t xml:space="preserve"> </w:t>
      </w:r>
      <w:proofErr w:type="spellStart"/>
      <w:r w:rsidRPr="00786071">
        <w:rPr>
          <w:b/>
          <w:bCs/>
          <w:sz w:val="22"/>
          <w:szCs w:val="22"/>
        </w:rPr>
        <w:t>i</w:t>
      </w:r>
      <w:proofErr w:type="spellEnd"/>
      <w:r w:rsidRPr="00920E02">
        <w:rPr>
          <w:b/>
          <w:bCs/>
          <w:sz w:val="22"/>
          <w:szCs w:val="22"/>
          <w:lang w:val="sr-Latn-CS"/>
        </w:rPr>
        <w:t xml:space="preserve"> </w:t>
      </w:r>
      <w:proofErr w:type="spellStart"/>
      <w:r w:rsidRPr="00786071">
        <w:rPr>
          <w:b/>
          <w:bCs/>
          <w:sz w:val="22"/>
          <w:szCs w:val="22"/>
        </w:rPr>
        <w:t>na</w:t>
      </w:r>
      <w:proofErr w:type="spellEnd"/>
      <w:r w:rsidRPr="00920E02">
        <w:rPr>
          <w:b/>
          <w:bCs/>
          <w:sz w:val="22"/>
          <w:szCs w:val="22"/>
          <w:lang w:val="sr-Latn-CS"/>
        </w:rPr>
        <w:t>č</w:t>
      </w:r>
      <w:r w:rsidRPr="00786071">
        <w:rPr>
          <w:b/>
          <w:bCs/>
          <w:sz w:val="22"/>
          <w:szCs w:val="22"/>
        </w:rPr>
        <w:t>in</w:t>
      </w:r>
      <w:r w:rsidRPr="00920E02">
        <w:rPr>
          <w:b/>
          <w:bCs/>
          <w:sz w:val="22"/>
          <w:szCs w:val="22"/>
          <w:lang w:val="sr-Latn-CS"/>
        </w:rPr>
        <w:t xml:space="preserve"> </w:t>
      </w:r>
      <w:proofErr w:type="spellStart"/>
      <w:r w:rsidRPr="00786071">
        <w:rPr>
          <w:b/>
          <w:bCs/>
          <w:sz w:val="22"/>
          <w:szCs w:val="22"/>
        </w:rPr>
        <w:t>primjene</w:t>
      </w:r>
      <w:proofErr w:type="spellEnd"/>
    </w:p>
    <w:p w14:paraId="13FDD0D5" w14:textId="426A8220" w:rsidR="0072020E" w:rsidRDefault="0072020E" w:rsidP="00BD27C0">
      <w:pPr>
        <w:tabs>
          <w:tab w:val="left" w:pos="540"/>
          <w:tab w:val="left" w:pos="569"/>
        </w:tabs>
        <w:jc w:val="both"/>
        <w:rPr>
          <w:bCs/>
          <w:sz w:val="22"/>
          <w:szCs w:val="22"/>
          <w:lang w:val="sr-Latn-CS"/>
        </w:rPr>
      </w:pPr>
    </w:p>
    <w:p w14:paraId="2ACA305A" w14:textId="77777777" w:rsidR="00F81D44" w:rsidRPr="007C7949" w:rsidRDefault="00F81D44" w:rsidP="00BD27C0">
      <w:pPr>
        <w:tabs>
          <w:tab w:val="left" w:pos="540"/>
          <w:tab w:val="left" w:pos="569"/>
        </w:tabs>
        <w:jc w:val="both"/>
        <w:rPr>
          <w:sz w:val="22"/>
          <w:szCs w:val="22"/>
          <w:lang w:val="pl-PL"/>
        </w:rPr>
      </w:pPr>
      <w:r w:rsidRPr="007C7949">
        <w:rPr>
          <w:sz w:val="22"/>
          <w:szCs w:val="22"/>
          <w:u w:val="single"/>
          <w:lang w:val="pl-PL"/>
        </w:rPr>
        <w:t>Doziranje</w:t>
      </w:r>
    </w:p>
    <w:p w14:paraId="29ADAF3C" w14:textId="77777777" w:rsidR="00F81D44" w:rsidRPr="00F81D44" w:rsidRDefault="00F81D44" w:rsidP="00BD27C0">
      <w:pPr>
        <w:tabs>
          <w:tab w:val="left" w:pos="540"/>
          <w:tab w:val="left" w:pos="569"/>
        </w:tabs>
        <w:jc w:val="both"/>
        <w:rPr>
          <w:bCs/>
          <w:sz w:val="22"/>
          <w:szCs w:val="22"/>
          <w:lang w:val="pl-PL"/>
        </w:rPr>
      </w:pPr>
    </w:p>
    <w:p w14:paraId="07284FAA" w14:textId="1FEA45D2" w:rsidR="00F81D44" w:rsidRPr="00F81D44" w:rsidRDefault="00F81D44" w:rsidP="00BD27C0">
      <w:pPr>
        <w:numPr>
          <w:ilvl w:val="0"/>
          <w:numId w:val="12"/>
        </w:numPr>
        <w:tabs>
          <w:tab w:val="left" w:pos="540"/>
          <w:tab w:val="left" w:pos="567"/>
        </w:tabs>
        <w:jc w:val="both"/>
        <w:rPr>
          <w:bCs/>
          <w:i/>
          <w:sz w:val="22"/>
          <w:szCs w:val="22"/>
          <w:lang w:val="pl-PL"/>
        </w:rPr>
      </w:pPr>
      <w:r w:rsidRPr="00F81D44">
        <w:rPr>
          <w:bCs/>
          <w:i/>
          <w:sz w:val="22"/>
          <w:szCs w:val="22"/>
          <w:lang w:val="pl-PL"/>
        </w:rPr>
        <w:t>Terapijske indikacije (Ozbiljn</w:t>
      </w:r>
      <w:r w:rsidR="005F6AF7">
        <w:rPr>
          <w:bCs/>
          <w:i/>
          <w:sz w:val="22"/>
          <w:szCs w:val="22"/>
          <w:lang w:val="pl-PL"/>
        </w:rPr>
        <w:t>a</w:t>
      </w:r>
      <w:r w:rsidRPr="00F81D44">
        <w:rPr>
          <w:bCs/>
          <w:i/>
          <w:sz w:val="22"/>
          <w:szCs w:val="22"/>
          <w:lang w:val="pl-PL"/>
        </w:rPr>
        <w:t xml:space="preserve"> hipoglikemij</w:t>
      </w:r>
      <w:r w:rsidR="005F6AF7">
        <w:rPr>
          <w:bCs/>
          <w:i/>
          <w:sz w:val="22"/>
          <w:szCs w:val="22"/>
          <w:lang w:val="pl-PL"/>
        </w:rPr>
        <w:t>a</w:t>
      </w:r>
      <w:r w:rsidRPr="00F81D44">
        <w:rPr>
          <w:bCs/>
          <w:i/>
          <w:sz w:val="22"/>
          <w:szCs w:val="22"/>
          <w:lang w:val="pl-PL"/>
        </w:rPr>
        <w:t>)</w:t>
      </w:r>
    </w:p>
    <w:p w14:paraId="3084EF72" w14:textId="77777777" w:rsidR="00F81D44" w:rsidRPr="00F81D44" w:rsidRDefault="00F81D44" w:rsidP="00BD27C0">
      <w:pPr>
        <w:tabs>
          <w:tab w:val="left" w:pos="540"/>
          <w:tab w:val="left" w:pos="569"/>
        </w:tabs>
        <w:jc w:val="both"/>
        <w:rPr>
          <w:bCs/>
          <w:sz w:val="22"/>
          <w:szCs w:val="22"/>
          <w:lang w:val="pl-PL"/>
        </w:rPr>
      </w:pPr>
    </w:p>
    <w:p w14:paraId="724EDFC9" w14:textId="79855B8F" w:rsidR="00F81D44" w:rsidRPr="00F81D44" w:rsidRDefault="00F81D44" w:rsidP="00BD27C0">
      <w:pPr>
        <w:tabs>
          <w:tab w:val="left" w:pos="540"/>
          <w:tab w:val="left" w:pos="569"/>
        </w:tabs>
        <w:jc w:val="both"/>
        <w:rPr>
          <w:bCs/>
          <w:sz w:val="22"/>
          <w:szCs w:val="22"/>
          <w:lang w:val="pl-PL"/>
        </w:rPr>
      </w:pPr>
      <w:r w:rsidRPr="00F81D44">
        <w:rPr>
          <w:bCs/>
          <w:sz w:val="22"/>
          <w:szCs w:val="22"/>
          <w:lang w:val="pl-PL"/>
        </w:rPr>
        <w:t>Doza za odrasle pacijente:</w:t>
      </w:r>
      <w:r w:rsidR="00E53A08">
        <w:rPr>
          <w:bCs/>
          <w:sz w:val="22"/>
          <w:szCs w:val="22"/>
          <w:lang w:val="pl-PL"/>
        </w:rPr>
        <w:t xml:space="preserve"> </w:t>
      </w:r>
      <w:r w:rsidRPr="00F81D44">
        <w:rPr>
          <w:bCs/>
          <w:sz w:val="22"/>
          <w:szCs w:val="22"/>
          <w:lang w:val="pl-PL"/>
        </w:rPr>
        <w:t>Ubrizgati 1 mg supkutanom ili intramuskularnom injekcijom.</w:t>
      </w:r>
    </w:p>
    <w:p w14:paraId="56EC15EF" w14:textId="77777777" w:rsidR="00F81D44" w:rsidRPr="00F81D44" w:rsidRDefault="00F81D44" w:rsidP="00BD27C0">
      <w:pPr>
        <w:tabs>
          <w:tab w:val="left" w:pos="540"/>
          <w:tab w:val="left" w:pos="569"/>
        </w:tabs>
        <w:jc w:val="both"/>
        <w:rPr>
          <w:bCs/>
          <w:sz w:val="22"/>
          <w:szCs w:val="22"/>
          <w:lang w:val="pl-PL"/>
        </w:rPr>
      </w:pPr>
    </w:p>
    <w:p w14:paraId="3A124BAA" w14:textId="77777777" w:rsidR="00F81D44" w:rsidRPr="00F81D44" w:rsidRDefault="00F81D44" w:rsidP="00BD27C0">
      <w:pPr>
        <w:tabs>
          <w:tab w:val="left" w:pos="540"/>
          <w:tab w:val="left" w:pos="569"/>
        </w:tabs>
        <w:jc w:val="both"/>
        <w:rPr>
          <w:bCs/>
          <w:sz w:val="22"/>
          <w:szCs w:val="22"/>
          <w:u w:val="single"/>
          <w:lang w:val="pl-PL"/>
        </w:rPr>
      </w:pPr>
      <w:r w:rsidRPr="00F81D44">
        <w:rPr>
          <w:bCs/>
          <w:sz w:val="22"/>
          <w:szCs w:val="22"/>
          <w:u w:val="single"/>
          <w:lang w:val="pl-PL"/>
        </w:rPr>
        <w:t>Posebne populacije</w:t>
      </w:r>
    </w:p>
    <w:p w14:paraId="6AED8A6D" w14:textId="77777777" w:rsidR="00F81D44" w:rsidRPr="00F81D44" w:rsidRDefault="00F81D44" w:rsidP="00BD27C0">
      <w:pPr>
        <w:tabs>
          <w:tab w:val="left" w:pos="540"/>
          <w:tab w:val="left" w:pos="569"/>
        </w:tabs>
        <w:jc w:val="both"/>
        <w:rPr>
          <w:bCs/>
          <w:sz w:val="22"/>
          <w:szCs w:val="22"/>
          <w:lang w:val="pl-PL"/>
        </w:rPr>
      </w:pPr>
    </w:p>
    <w:p w14:paraId="35E4775A" w14:textId="463073E7" w:rsidR="00F81D44" w:rsidRPr="00F81D44" w:rsidRDefault="00F81D44" w:rsidP="00BD27C0">
      <w:pPr>
        <w:tabs>
          <w:tab w:val="left" w:pos="540"/>
          <w:tab w:val="left" w:pos="569"/>
        </w:tabs>
        <w:jc w:val="both"/>
        <w:rPr>
          <w:bCs/>
          <w:sz w:val="22"/>
          <w:szCs w:val="22"/>
          <w:lang w:val="pl-PL"/>
        </w:rPr>
      </w:pPr>
      <w:r w:rsidRPr="00F81D44">
        <w:rPr>
          <w:bCs/>
          <w:i/>
          <w:sz w:val="22"/>
          <w:szCs w:val="22"/>
          <w:lang w:val="pl-PL"/>
        </w:rPr>
        <w:t>Pedijatrijska populacija (&lt;18 godina):</w:t>
      </w:r>
      <w:r w:rsidRPr="00F81D44">
        <w:rPr>
          <w:bCs/>
          <w:sz w:val="22"/>
          <w:szCs w:val="22"/>
          <w:lang w:val="pl-PL"/>
        </w:rPr>
        <w:t xml:space="preserve"> Lijek </w:t>
      </w:r>
      <w:r w:rsidRPr="00F81D44">
        <w:rPr>
          <w:bCs/>
          <w:sz w:val="22"/>
          <w:szCs w:val="22"/>
          <w:lang w:val="sr-Latn-CS"/>
        </w:rPr>
        <w:t>GlucaGen Hypo</w:t>
      </w:r>
      <w:r w:rsidR="009C1ED3">
        <w:rPr>
          <w:bCs/>
          <w:sz w:val="22"/>
          <w:szCs w:val="22"/>
          <w:lang w:val="sr-Latn-CS"/>
        </w:rPr>
        <w:t>K</w:t>
      </w:r>
      <w:r w:rsidRPr="00F81D44">
        <w:rPr>
          <w:bCs/>
          <w:sz w:val="22"/>
          <w:szCs w:val="22"/>
          <w:lang w:val="sr-Latn-CS"/>
        </w:rPr>
        <w:t>it</w:t>
      </w:r>
      <w:r w:rsidRPr="00F81D44">
        <w:rPr>
          <w:bCs/>
          <w:sz w:val="22"/>
          <w:szCs w:val="22"/>
          <w:lang w:val="pl-PL"/>
        </w:rPr>
        <w:t xml:space="preserve"> se može koristiti za liječenje ozbiljne hipoglikemije kod djece i adolescenata.</w:t>
      </w:r>
    </w:p>
    <w:p w14:paraId="18C38600" w14:textId="77777777" w:rsidR="00F81D44" w:rsidRPr="00F81D44" w:rsidRDefault="00F81D44" w:rsidP="00BD27C0">
      <w:pPr>
        <w:tabs>
          <w:tab w:val="left" w:pos="540"/>
          <w:tab w:val="left" w:pos="569"/>
        </w:tabs>
        <w:jc w:val="both"/>
        <w:rPr>
          <w:bCs/>
          <w:sz w:val="22"/>
          <w:szCs w:val="22"/>
          <w:lang w:val="pl-PL"/>
        </w:rPr>
      </w:pPr>
    </w:p>
    <w:p w14:paraId="1ABCB1F6" w14:textId="54F77004" w:rsidR="00562872" w:rsidRPr="00F81D44" w:rsidRDefault="00F81D44" w:rsidP="00BD27C0">
      <w:pPr>
        <w:tabs>
          <w:tab w:val="left" w:pos="540"/>
          <w:tab w:val="left" w:pos="569"/>
        </w:tabs>
        <w:jc w:val="both"/>
        <w:rPr>
          <w:bCs/>
          <w:sz w:val="22"/>
          <w:szCs w:val="22"/>
          <w:lang w:val="pl-PL"/>
        </w:rPr>
      </w:pPr>
      <w:r w:rsidRPr="00F81D44">
        <w:rPr>
          <w:bCs/>
          <w:sz w:val="22"/>
          <w:szCs w:val="22"/>
          <w:lang w:val="pl-PL"/>
        </w:rPr>
        <w:lastRenderedPageBreak/>
        <w:t>Doze za pedijatrijske pacijente:</w:t>
      </w:r>
      <w:r w:rsidR="00562872">
        <w:rPr>
          <w:bCs/>
          <w:sz w:val="22"/>
          <w:szCs w:val="22"/>
          <w:lang w:val="pl-PL"/>
        </w:rPr>
        <w:t xml:space="preserve"> </w:t>
      </w:r>
      <w:r w:rsidR="00562872" w:rsidRPr="00F81D44">
        <w:rPr>
          <w:bCs/>
          <w:sz w:val="22"/>
          <w:szCs w:val="22"/>
          <w:lang w:val="pl-PL"/>
        </w:rPr>
        <w:t>Ubrizgati 0,5 mg (djeci ispod 25 kg ili djeci mlađoj od 6-8 godina) ili 1 mg (djeci preko 25 kg ili djeci starijoj od 6-8 godina).</w:t>
      </w:r>
    </w:p>
    <w:p w14:paraId="7FB4DC0C" w14:textId="77777777" w:rsidR="00F81D44" w:rsidRPr="00F81D44" w:rsidRDefault="00F81D44" w:rsidP="00BD27C0">
      <w:pPr>
        <w:tabs>
          <w:tab w:val="left" w:pos="540"/>
          <w:tab w:val="left" w:pos="569"/>
        </w:tabs>
        <w:jc w:val="both"/>
        <w:rPr>
          <w:bCs/>
          <w:sz w:val="22"/>
          <w:szCs w:val="22"/>
          <w:lang w:val="pl-PL"/>
        </w:rPr>
      </w:pPr>
    </w:p>
    <w:p w14:paraId="586AAFB8" w14:textId="586A867D" w:rsidR="00F81D44" w:rsidRPr="00F81D44" w:rsidRDefault="00F81D44" w:rsidP="00BD27C0">
      <w:pPr>
        <w:tabs>
          <w:tab w:val="left" w:pos="540"/>
          <w:tab w:val="left" w:pos="569"/>
        </w:tabs>
        <w:jc w:val="both"/>
        <w:rPr>
          <w:bCs/>
          <w:sz w:val="22"/>
          <w:szCs w:val="22"/>
          <w:lang w:val="pl-PL"/>
        </w:rPr>
      </w:pPr>
      <w:r w:rsidRPr="00F81D44">
        <w:rPr>
          <w:bCs/>
          <w:i/>
          <w:sz w:val="22"/>
          <w:szCs w:val="22"/>
          <w:lang w:val="pl-PL"/>
        </w:rPr>
        <w:t>Stariji pacijenti (</w:t>
      </w:r>
      <w:r w:rsidRPr="00F81D44">
        <w:rPr>
          <w:bCs/>
          <w:i/>
          <w:sz w:val="22"/>
          <w:szCs w:val="22"/>
          <w:lang w:val="sr-Latn-CS"/>
        </w:rPr>
        <w:t>≥</w:t>
      </w:r>
      <w:r w:rsidR="00CA754D">
        <w:rPr>
          <w:bCs/>
          <w:i/>
          <w:sz w:val="22"/>
          <w:szCs w:val="22"/>
          <w:lang w:val="sr-Latn-CS"/>
        </w:rPr>
        <w:t xml:space="preserve"> </w:t>
      </w:r>
      <w:r w:rsidRPr="00F81D44">
        <w:rPr>
          <w:bCs/>
          <w:i/>
          <w:sz w:val="22"/>
          <w:szCs w:val="22"/>
          <w:lang w:val="pl-PL"/>
        </w:rPr>
        <w:t>65 godina):</w:t>
      </w:r>
      <w:r w:rsidRPr="00F81D44">
        <w:rPr>
          <w:bCs/>
          <w:sz w:val="22"/>
          <w:szCs w:val="22"/>
          <w:lang w:val="pl-PL"/>
        </w:rPr>
        <w:t xml:space="preserve"> </w:t>
      </w:r>
      <w:r w:rsidR="00CA754D">
        <w:rPr>
          <w:bCs/>
          <w:sz w:val="22"/>
          <w:szCs w:val="22"/>
          <w:lang w:val="pl-PL"/>
        </w:rPr>
        <w:t xml:space="preserve">Lijek </w:t>
      </w:r>
      <w:r w:rsidRPr="00F81D44">
        <w:rPr>
          <w:bCs/>
          <w:sz w:val="22"/>
          <w:szCs w:val="22"/>
          <w:lang w:val="sr-Latn-CS"/>
        </w:rPr>
        <w:t>GlucaGen Hypo</w:t>
      </w:r>
      <w:r w:rsidR="009C1ED3">
        <w:rPr>
          <w:bCs/>
          <w:sz w:val="22"/>
          <w:szCs w:val="22"/>
          <w:lang w:val="sr-Latn-CS"/>
        </w:rPr>
        <w:t>K</w:t>
      </w:r>
      <w:r w:rsidRPr="00F81D44">
        <w:rPr>
          <w:bCs/>
          <w:sz w:val="22"/>
          <w:szCs w:val="22"/>
          <w:lang w:val="sr-Latn-CS"/>
        </w:rPr>
        <w:t>it</w:t>
      </w:r>
      <w:r w:rsidRPr="00F81D44">
        <w:rPr>
          <w:bCs/>
          <w:sz w:val="22"/>
          <w:szCs w:val="22"/>
          <w:lang w:val="pl-PL"/>
        </w:rPr>
        <w:t xml:space="preserve"> se može koristiti kod starijih pacijenata.</w:t>
      </w:r>
    </w:p>
    <w:p w14:paraId="0FE40D53" w14:textId="77777777" w:rsidR="00F81D44" w:rsidRPr="00F81D44" w:rsidRDefault="00F81D44" w:rsidP="00BD27C0">
      <w:pPr>
        <w:tabs>
          <w:tab w:val="left" w:pos="540"/>
          <w:tab w:val="left" w:pos="569"/>
        </w:tabs>
        <w:jc w:val="both"/>
        <w:rPr>
          <w:bCs/>
          <w:sz w:val="22"/>
          <w:szCs w:val="22"/>
          <w:lang w:val="pl-PL"/>
        </w:rPr>
      </w:pPr>
    </w:p>
    <w:p w14:paraId="3ADFD6B6" w14:textId="71E80543" w:rsidR="00F81D44" w:rsidRPr="00F81D44" w:rsidRDefault="00F81D44" w:rsidP="00BD27C0">
      <w:pPr>
        <w:tabs>
          <w:tab w:val="left" w:pos="540"/>
          <w:tab w:val="left" w:pos="569"/>
        </w:tabs>
        <w:jc w:val="both"/>
        <w:rPr>
          <w:bCs/>
          <w:sz w:val="22"/>
          <w:szCs w:val="22"/>
          <w:lang w:val="pl-PL"/>
        </w:rPr>
      </w:pPr>
      <w:r w:rsidRPr="00F81D44">
        <w:rPr>
          <w:bCs/>
          <w:i/>
          <w:sz w:val="22"/>
          <w:szCs w:val="22"/>
          <w:lang w:val="pl-PL"/>
        </w:rPr>
        <w:t>Oštećenje funkcije bubrega i jetre:</w:t>
      </w:r>
      <w:r w:rsidRPr="00F81D44">
        <w:rPr>
          <w:bCs/>
          <w:sz w:val="22"/>
          <w:szCs w:val="22"/>
          <w:lang w:val="pl-PL"/>
        </w:rPr>
        <w:t xml:space="preserve"> </w:t>
      </w:r>
      <w:r w:rsidR="00CA754D">
        <w:rPr>
          <w:bCs/>
          <w:sz w:val="22"/>
          <w:szCs w:val="22"/>
          <w:lang w:val="pl-PL"/>
        </w:rPr>
        <w:t xml:space="preserve">Lijek </w:t>
      </w:r>
      <w:r w:rsidRPr="00F81D44">
        <w:rPr>
          <w:bCs/>
          <w:sz w:val="22"/>
          <w:szCs w:val="22"/>
          <w:lang w:val="sr-Latn-CS"/>
        </w:rPr>
        <w:t>GlucaGen Hypo</w:t>
      </w:r>
      <w:r w:rsidR="009C1ED3">
        <w:rPr>
          <w:bCs/>
          <w:sz w:val="22"/>
          <w:szCs w:val="22"/>
          <w:lang w:val="sr-Latn-CS"/>
        </w:rPr>
        <w:t>K</w:t>
      </w:r>
      <w:r w:rsidRPr="00F81D44">
        <w:rPr>
          <w:bCs/>
          <w:sz w:val="22"/>
          <w:szCs w:val="22"/>
          <w:lang w:val="sr-Latn-CS"/>
        </w:rPr>
        <w:t>it</w:t>
      </w:r>
      <w:r w:rsidRPr="00F81D44">
        <w:rPr>
          <w:bCs/>
          <w:sz w:val="22"/>
          <w:szCs w:val="22"/>
          <w:lang w:val="pl-PL"/>
        </w:rPr>
        <w:t xml:space="preserve"> se može koristiti kod pacijenata sa oštećenjem funkcije bubrega i jetre.</w:t>
      </w:r>
    </w:p>
    <w:p w14:paraId="383CC861" w14:textId="77777777" w:rsidR="00F81D44" w:rsidRPr="00F81D44" w:rsidRDefault="00F81D44" w:rsidP="00BD27C0">
      <w:pPr>
        <w:tabs>
          <w:tab w:val="left" w:pos="540"/>
          <w:tab w:val="left" w:pos="569"/>
        </w:tabs>
        <w:jc w:val="both"/>
        <w:rPr>
          <w:bCs/>
          <w:sz w:val="22"/>
          <w:szCs w:val="22"/>
          <w:lang w:val="pl-PL"/>
        </w:rPr>
      </w:pPr>
    </w:p>
    <w:p w14:paraId="0EDFF6ED" w14:textId="77777777" w:rsidR="00F81D44" w:rsidRPr="00F81D44" w:rsidRDefault="00F81D44" w:rsidP="00BD27C0">
      <w:pPr>
        <w:numPr>
          <w:ilvl w:val="0"/>
          <w:numId w:val="12"/>
        </w:numPr>
        <w:tabs>
          <w:tab w:val="left" w:pos="540"/>
          <w:tab w:val="left" w:pos="567"/>
        </w:tabs>
        <w:jc w:val="both"/>
        <w:rPr>
          <w:bCs/>
          <w:i/>
          <w:sz w:val="22"/>
          <w:szCs w:val="22"/>
          <w:lang w:val="sr-Latn-CS"/>
        </w:rPr>
      </w:pPr>
      <w:r w:rsidRPr="00F81D44">
        <w:rPr>
          <w:bCs/>
          <w:i/>
          <w:sz w:val="22"/>
          <w:szCs w:val="22"/>
          <w:lang w:val="pl-PL"/>
        </w:rPr>
        <w:t>Dijagnostičke indikacije (</w:t>
      </w:r>
      <w:r w:rsidRPr="00F81D44">
        <w:rPr>
          <w:bCs/>
          <w:i/>
          <w:sz w:val="22"/>
          <w:szCs w:val="22"/>
          <w:lang w:val="sr-Latn-CS"/>
        </w:rPr>
        <w:t>inhibicija motiliteta gastrointestinalnog trakta)</w:t>
      </w:r>
    </w:p>
    <w:p w14:paraId="411092BA" w14:textId="77777777" w:rsidR="00F81D44" w:rsidRPr="00F81D44" w:rsidRDefault="00F81D44" w:rsidP="00BD27C0">
      <w:pPr>
        <w:tabs>
          <w:tab w:val="left" w:pos="540"/>
          <w:tab w:val="left" w:pos="569"/>
        </w:tabs>
        <w:jc w:val="both"/>
        <w:rPr>
          <w:bCs/>
          <w:sz w:val="22"/>
          <w:szCs w:val="22"/>
          <w:lang w:val="sr-Latn-CS"/>
        </w:rPr>
      </w:pPr>
    </w:p>
    <w:p w14:paraId="0B0EE59D" w14:textId="706C42E7" w:rsidR="00F81D44" w:rsidRDefault="00F81D44" w:rsidP="00BD27C0">
      <w:pPr>
        <w:tabs>
          <w:tab w:val="left" w:pos="540"/>
          <w:tab w:val="left" w:pos="569"/>
        </w:tabs>
        <w:jc w:val="both"/>
        <w:rPr>
          <w:bCs/>
          <w:sz w:val="22"/>
          <w:szCs w:val="22"/>
          <w:lang w:val="sr-Latn-CS"/>
        </w:rPr>
      </w:pPr>
      <w:r w:rsidRPr="00F81D44">
        <w:rPr>
          <w:bCs/>
          <w:sz w:val="22"/>
          <w:szCs w:val="22"/>
          <w:lang w:val="sr-Latn-CS"/>
        </w:rPr>
        <w:t xml:space="preserve">Doziranje za odrasle pacijente: </w:t>
      </w:r>
      <w:r w:rsidR="00562872">
        <w:rPr>
          <w:bCs/>
          <w:sz w:val="22"/>
          <w:szCs w:val="22"/>
          <w:lang w:val="sr-Latn-CS"/>
        </w:rPr>
        <w:t>D</w:t>
      </w:r>
      <w:r w:rsidRPr="00F81D44">
        <w:rPr>
          <w:bCs/>
          <w:sz w:val="22"/>
          <w:szCs w:val="22"/>
          <w:lang w:val="sr-Latn-CS"/>
        </w:rPr>
        <w:t>ijagnostička doza za relaksaciju želuca, bulbusa duodenuma, dvanaestopalačnog i tankog crijeva je 0,2-0,5 mg prim</w:t>
      </w:r>
      <w:r w:rsidR="00CA754D">
        <w:rPr>
          <w:bCs/>
          <w:sz w:val="22"/>
          <w:szCs w:val="22"/>
          <w:lang w:val="sr-Latn-CS"/>
        </w:rPr>
        <w:t>i</w:t>
      </w:r>
      <w:r w:rsidRPr="00F81D44">
        <w:rPr>
          <w:bCs/>
          <w:sz w:val="22"/>
          <w:szCs w:val="22"/>
          <w:lang w:val="sr-Latn-CS"/>
        </w:rPr>
        <w:t>jenjeno intravenskom injekcijom ili 1 mg prim</w:t>
      </w:r>
      <w:r w:rsidR="00CA754D">
        <w:rPr>
          <w:bCs/>
          <w:sz w:val="22"/>
          <w:szCs w:val="22"/>
          <w:lang w:val="sr-Latn-CS"/>
        </w:rPr>
        <w:t>i</w:t>
      </w:r>
      <w:r w:rsidRPr="00F81D44">
        <w:rPr>
          <w:bCs/>
          <w:sz w:val="22"/>
          <w:szCs w:val="22"/>
          <w:lang w:val="sr-Latn-CS"/>
        </w:rPr>
        <w:t>jenjen intramuskularno</w:t>
      </w:r>
      <w:r w:rsidR="005F6AF7">
        <w:rPr>
          <w:bCs/>
          <w:sz w:val="22"/>
          <w:szCs w:val="22"/>
          <w:lang w:val="sr-Latn-CS"/>
        </w:rPr>
        <w:t>;</w:t>
      </w:r>
      <w:r w:rsidRPr="00F81D44">
        <w:rPr>
          <w:bCs/>
          <w:sz w:val="22"/>
          <w:szCs w:val="22"/>
          <w:lang w:val="sr-Latn-CS"/>
        </w:rPr>
        <w:t xml:space="preserve"> </w:t>
      </w:r>
      <w:r w:rsidR="005F6AF7">
        <w:rPr>
          <w:bCs/>
          <w:sz w:val="22"/>
          <w:szCs w:val="22"/>
          <w:lang w:val="sr-Latn-CS"/>
        </w:rPr>
        <w:t>d</w:t>
      </w:r>
      <w:r w:rsidRPr="00F81D44">
        <w:rPr>
          <w:bCs/>
          <w:sz w:val="22"/>
          <w:szCs w:val="22"/>
          <w:lang w:val="sr-Latn-CS"/>
        </w:rPr>
        <w:t>oza za relaksaciju kolona je 0,5-0,75 mg intravenski ili 1-2 mg intramuskularno.</w:t>
      </w:r>
    </w:p>
    <w:p w14:paraId="6D9F8A14" w14:textId="77777777" w:rsidR="00F81D44" w:rsidRPr="00F81D44" w:rsidRDefault="00F81D44" w:rsidP="00BD27C0">
      <w:pPr>
        <w:tabs>
          <w:tab w:val="left" w:pos="540"/>
          <w:tab w:val="left" w:pos="569"/>
        </w:tabs>
        <w:jc w:val="both"/>
        <w:rPr>
          <w:bCs/>
          <w:sz w:val="22"/>
          <w:szCs w:val="22"/>
          <w:lang w:val="sr-Latn-CS"/>
        </w:rPr>
      </w:pPr>
    </w:p>
    <w:p w14:paraId="1C811016" w14:textId="77777777" w:rsidR="00F81D44" w:rsidRPr="00F81D44" w:rsidRDefault="00F81D44" w:rsidP="00BD27C0">
      <w:pPr>
        <w:tabs>
          <w:tab w:val="left" w:pos="540"/>
          <w:tab w:val="left" w:pos="569"/>
        </w:tabs>
        <w:jc w:val="both"/>
        <w:rPr>
          <w:bCs/>
          <w:sz w:val="22"/>
          <w:szCs w:val="22"/>
          <w:u w:val="single"/>
          <w:lang w:val="sr-Latn-CS"/>
        </w:rPr>
      </w:pPr>
      <w:r w:rsidRPr="00F81D44">
        <w:rPr>
          <w:bCs/>
          <w:sz w:val="22"/>
          <w:szCs w:val="22"/>
          <w:u w:val="single"/>
          <w:lang w:val="sr-Latn-CS"/>
        </w:rPr>
        <w:t>Posebne populacije</w:t>
      </w:r>
    </w:p>
    <w:p w14:paraId="1E52E859" w14:textId="77777777" w:rsidR="00F81D44" w:rsidRPr="00F81D44" w:rsidRDefault="00F81D44" w:rsidP="00BD27C0">
      <w:pPr>
        <w:tabs>
          <w:tab w:val="left" w:pos="540"/>
          <w:tab w:val="left" w:pos="569"/>
        </w:tabs>
        <w:jc w:val="both"/>
        <w:rPr>
          <w:bCs/>
          <w:sz w:val="22"/>
          <w:szCs w:val="22"/>
          <w:lang w:val="sr-Latn-CS"/>
        </w:rPr>
      </w:pPr>
    </w:p>
    <w:p w14:paraId="6DA85554" w14:textId="4950B5AB" w:rsidR="00F81D44" w:rsidRPr="00F81D44" w:rsidRDefault="00F81D44" w:rsidP="00BD27C0">
      <w:pPr>
        <w:tabs>
          <w:tab w:val="left" w:pos="540"/>
          <w:tab w:val="left" w:pos="569"/>
        </w:tabs>
        <w:jc w:val="both"/>
        <w:rPr>
          <w:bCs/>
          <w:sz w:val="22"/>
          <w:szCs w:val="22"/>
          <w:lang w:val="sr-Latn-CS"/>
        </w:rPr>
      </w:pPr>
      <w:r w:rsidRPr="00F81D44">
        <w:rPr>
          <w:bCs/>
          <w:i/>
          <w:sz w:val="22"/>
          <w:szCs w:val="22"/>
          <w:lang w:val="pl-PL"/>
        </w:rPr>
        <w:t>Pedijatrijska populacija (&lt;18 godina):</w:t>
      </w:r>
      <w:r w:rsidRPr="00F81D44">
        <w:rPr>
          <w:bCs/>
          <w:sz w:val="22"/>
          <w:szCs w:val="22"/>
          <w:lang w:val="pl-PL"/>
        </w:rPr>
        <w:t xml:space="preserve"> Bezb</w:t>
      </w:r>
      <w:r w:rsidR="00562872">
        <w:rPr>
          <w:bCs/>
          <w:sz w:val="22"/>
          <w:szCs w:val="22"/>
          <w:lang w:val="pl-PL"/>
        </w:rPr>
        <w:t>j</w:t>
      </w:r>
      <w:r w:rsidRPr="00F81D44">
        <w:rPr>
          <w:bCs/>
          <w:sz w:val="22"/>
          <w:szCs w:val="22"/>
          <w:lang w:val="pl-PL"/>
        </w:rPr>
        <w:t xml:space="preserve">ednost i efikasnost primjene lijeka </w:t>
      </w:r>
      <w:r w:rsidRPr="00F81D44">
        <w:rPr>
          <w:bCs/>
          <w:sz w:val="22"/>
          <w:szCs w:val="22"/>
          <w:lang w:val="sr-Latn-CS"/>
        </w:rPr>
        <w:t>GlucaGen Hypo</w:t>
      </w:r>
      <w:r w:rsidR="009C1ED3">
        <w:rPr>
          <w:bCs/>
          <w:sz w:val="22"/>
          <w:szCs w:val="22"/>
          <w:lang w:val="sr-Latn-CS"/>
        </w:rPr>
        <w:t>K</w:t>
      </w:r>
      <w:r w:rsidRPr="00F81D44">
        <w:rPr>
          <w:bCs/>
          <w:sz w:val="22"/>
          <w:szCs w:val="22"/>
          <w:lang w:val="sr-Latn-CS"/>
        </w:rPr>
        <w:t>it</w:t>
      </w:r>
      <w:r w:rsidRPr="00F81D44">
        <w:rPr>
          <w:bCs/>
          <w:sz w:val="22"/>
          <w:szCs w:val="22"/>
          <w:lang w:val="pl-PL"/>
        </w:rPr>
        <w:t xml:space="preserve"> za </w:t>
      </w:r>
      <w:r w:rsidRPr="00F81D44">
        <w:rPr>
          <w:bCs/>
          <w:sz w:val="22"/>
          <w:szCs w:val="22"/>
          <w:lang w:val="sr-Latn-CS"/>
        </w:rPr>
        <w:t>inhibiciju motiliteta gastrointestinalnog trakta kod djece i adolescenata nijesu ustanovljene. Nema dostupnih podataka.</w:t>
      </w:r>
    </w:p>
    <w:p w14:paraId="6DDE5DCA" w14:textId="77777777" w:rsidR="00F81D44" w:rsidRPr="00F81D44" w:rsidRDefault="00F81D44" w:rsidP="00BD27C0">
      <w:pPr>
        <w:tabs>
          <w:tab w:val="left" w:pos="540"/>
          <w:tab w:val="left" w:pos="569"/>
        </w:tabs>
        <w:jc w:val="both"/>
        <w:rPr>
          <w:bCs/>
          <w:sz w:val="22"/>
          <w:szCs w:val="22"/>
          <w:lang w:val="sr-Latn-CS"/>
        </w:rPr>
      </w:pPr>
    </w:p>
    <w:p w14:paraId="06C10C57" w14:textId="0FFC859A" w:rsidR="00F81D44" w:rsidRPr="00F81D44" w:rsidRDefault="00F81D44" w:rsidP="00BD27C0">
      <w:pPr>
        <w:tabs>
          <w:tab w:val="left" w:pos="540"/>
          <w:tab w:val="left" w:pos="569"/>
        </w:tabs>
        <w:jc w:val="both"/>
        <w:rPr>
          <w:bCs/>
          <w:sz w:val="22"/>
          <w:szCs w:val="22"/>
          <w:lang w:val="sr-Latn-CS"/>
        </w:rPr>
      </w:pPr>
      <w:r w:rsidRPr="00F81D44">
        <w:rPr>
          <w:bCs/>
          <w:i/>
          <w:sz w:val="22"/>
          <w:szCs w:val="22"/>
          <w:lang w:val="sr-Latn-CS"/>
        </w:rPr>
        <w:t>Stariji pacijenti (≥</w:t>
      </w:r>
      <w:r w:rsidR="00CA754D">
        <w:rPr>
          <w:bCs/>
          <w:i/>
          <w:sz w:val="22"/>
          <w:szCs w:val="22"/>
          <w:lang w:val="sr-Latn-CS"/>
        </w:rPr>
        <w:t xml:space="preserve"> </w:t>
      </w:r>
      <w:r w:rsidRPr="00F81D44">
        <w:rPr>
          <w:bCs/>
          <w:i/>
          <w:sz w:val="22"/>
          <w:szCs w:val="22"/>
          <w:lang w:val="sr-Latn-CS"/>
        </w:rPr>
        <w:t>65 godina):</w:t>
      </w:r>
      <w:r w:rsidRPr="00F81D44">
        <w:rPr>
          <w:bCs/>
          <w:sz w:val="22"/>
          <w:szCs w:val="22"/>
          <w:lang w:val="sr-Latn-CS"/>
        </w:rPr>
        <w:t xml:space="preserve"> Lijek GlucaGen Hypo</w:t>
      </w:r>
      <w:r w:rsidR="009C1ED3">
        <w:rPr>
          <w:bCs/>
          <w:sz w:val="22"/>
          <w:szCs w:val="22"/>
          <w:lang w:val="sr-Latn-CS"/>
        </w:rPr>
        <w:t>K</w:t>
      </w:r>
      <w:r w:rsidRPr="00F81D44">
        <w:rPr>
          <w:bCs/>
          <w:sz w:val="22"/>
          <w:szCs w:val="22"/>
          <w:lang w:val="sr-Latn-CS"/>
        </w:rPr>
        <w:t>it može se koristiti kod starijih pacijenata.</w:t>
      </w:r>
    </w:p>
    <w:p w14:paraId="3703261F" w14:textId="77777777" w:rsidR="00F81D44" w:rsidRPr="00F81D44" w:rsidRDefault="00F81D44" w:rsidP="00BD27C0">
      <w:pPr>
        <w:tabs>
          <w:tab w:val="left" w:pos="540"/>
          <w:tab w:val="left" w:pos="569"/>
        </w:tabs>
        <w:jc w:val="both"/>
        <w:rPr>
          <w:bCs/>
          <w:sz w:val="22"/>
          <w:szCs w:val="22"/>
          <w:lang w:val="sr-Latn-CS"/>
        </w:rPr>
      </w:pPr>
    </w:p>
    <w:p w14:paraId="0EDA35CD" w14:textId="6B973B79" w:rsidR="00F81D44" w:rsidRPr="00F81D44" w:rsidRDefault="00F81D44" w:rsidP="00BD27C0">
      <w:pPr>
        <w:tabs>
          <w:tab w:val="left" w:pos="540"/>
          <w:tab w:val="left" w:pos="569"/>
        </w:tabs>
        <w:jc w:val="both"/>
        <w:rPr>
          <w:bCs/>
          <w:sz w:val="22"/>
          <w:szCs w:val="22"/>
          <w:lang w:val="pl-PL"/>
        </w:rPr>
      </w:pPr>
      <w:r w:rsidRPr="00F81D44">
        <w:rPr>
          <w:bCs/>
          <w:i/>
          <w:sz w:val="22"/>
          <w:szCs w:val="22"/>
          <w:lang w:val="pl-PL"/>
        </w:rPr>
        <w:t>Oštećenje funkcije bubrega i jetre:</w:t>
      </w:r>
      <w:r w:rsidRPr="00F81D44">
        <w:rPr>
          <w:bCs/>
          <w:sz w:val="22"/>
          <w:szCs w:val="22"/>
          <w:lang w:val="pl-PL"/>
        </w:rPr>
        <w:t xml:space="preserve"> </w:t>
      </w:r>
      <w:r w:rsidR="00CA754D">
        <w:rPr>
          <w:bCs/>
          <w:sz w:val="22"/>
          <w:szCs w:val="22"/>
          <w:lang w:val="pl-PL"/>
        </w:rPr>
        <w:t xml:space="preserve">Lijek </w:t>
      </w:r>
      <w:r w:rsidRPr="00F81D44">
        <w:rPr>
          <w:bCs/>
          <w:sz w:val="22"/>
          <w:szCs w:val="22"/>
          <w:lang w:val="sr-Latn-CS"/>
        </w:rPr>
        <w:t>GlucaGen Hypo</w:t>
      </w:r>
      <w:r w:rsidR="009C1ED3">
        <w:rPr>
          <w:bCs/>
          <w:sz w:val="22"/>
          <w:szCs w:val="22"/>
          <w:lang w:val="sr-Latn-CS"/>
        </w:rPr>
        <w:t>Ki</w:t>
      </w:r>
      <w:r w:rsidRPr="00F81D44">
        <w:rPr>
          <w:bCs/>
          <w:sz w:val="22"/>
          <w:szCs w:val="22"/>
          <w:lang w:val="sr-Latn-CS"/>
        </w:rPr>
        <w:t>t</w:t>
      </w:r>
      <w:r w:rsidRPr="00F81D44">
        <w:rPr>
          <w:bCs/>
          <w:sz w:val="22"/>
          <w:szCs w:val="22"/>
          <w:lang w:val="pl-PL"/>
        </w:rPr>
        <w:t xml:space="preserve"> se može koristiti kod pacijenata sa oštećenjem funkcije bubrega i jetre.</w:t>
      </w:r>
    </w:p>
    <w:p w14:paraId="644EB856" w14:textId="77777777" w:rsidR="00F81D44" w:rsidRPr="00F81D44" w:rsidRDefault="00F81D44" w:rsidP="00BD27C0">
      <w:pPr>
        <w:tabs>
          <w:tab w:val="left" w:pos="540"/>
          <w:tab w:val="left" w:pos="569"/>
        </w:tabs>
        <w:jc w:val="both"/>
        <w:rPr>
          <w:bCs/>
          <w:sz w:val="22"/>
          <w:szCs w:val="22"/>
          <w:lang w:val="pl-PL"/>
        </w:rPr>
      </w:pPr>
    </w:p>
    <w:p w14:paraId="3B02A44B" w14:textId="77777777" w:rsidR="00F81D44" w:rsidRPr="007C7949" w:rsidRDefault="00F81D44" w:rsidP="00BD27C0">
      <w:pPr>
        <w:tabs>
          <w:tab w:val="left" w:pos="540"/>
          <w:tab w:val="left" w:pos="569"/>
        </w:tabs>
        <w:jc w:val="both"/>
        <w:rPr>
          <w:sz w:val="22"/>
          <w:szCs w:val="22"/>
          <w:u w:val="single"/>
          <w:lang w:val="pl-PL"/>
        </w:rPr>
      </w:pPr>
      <w:r w:rsidRPr="007C7949">
        <w:rPr>
          <w:sz w:val="22"/>
          <w:szCs w:val="22"/>
          <w:u w:val="single"/>
          <w:lang w:val="pl-PL"/>
        </w:rPr>
        <w:t>Način primjene</w:t>
      </w:r>
    </w:p>
    <w:p w14:paraId="6F659E0C" w14:textId="77777777" w:rsidR="00F81D44" w:rsidRPr="00F81D44" w:rsidRDefault="00F81D44" w:rsidP="00BD27C0">
      <w:pPr>
        <w:tabs>
          <w:tab w:val="left" w:pos="540"/>
          <w:tab w:val="left" w:pos="569"/>
        </w:tabs>
        <w:jc w:val="both"/>
        <w:rPr>
          <w:bCs/>
          <w:sz w:val="22"/>
          <w:szCs w:val="22"/>
          <w:lang w:val="pl-PL"/>
        </w:rPr>
      </w:pPr>
    </w:p>
    <w:p w14:paraId="286D132B" w14:textId="0ADA8979" w:rsidR="00F81D44" w:rsidRPr="00F81D44" w:rsidRDefault="00F81D44" w:rsidP="00BD27C0">
      <w:pPr>
        <w:tabs>
          <w:tab w:val="left" w:pos="540"/>
          <w:tab w:val="left" w:pos="569"/>
        </w:tabs>
        <w:jc w:val="both"/>
        <w:rPr>
          <w:bCs/>
          <w:sz w:val="22"/>
          <w:szCs w:val="22"/>
          <w:lang w:val="pl-PL"/>
        </w:rPr>
      </w:pPr>
      <w:r w:rsidRPr="00F81D44">
        <w:rPr>
          <w:bCs/>
          <w:sz w:val="22"/>
          <w:szCs w:val="22"/>
          <w:lang w:val="pl-PL"/>
        </w:rPr>
        <w:t xml:space="preserve">Kompaktan prašak rekonstituišite priloženim rastvaračem na način opisan </w:t>
      </w:r>
      <w:r w:rsidR="00C545A2">
        <w:rPr>
          <w:bCs/>
          <w:sz w:val="22"/>
          <w:szCs w:val="22"/>
          <w:lang w:val="pl-PL"/>
        </w:rPr>
        <w:t>u dijelu</w:t>
      </w:r>
      <w:r w:rsidR="00C545A2" w:rsidRPr="00F81D44">
        <w:rPr>
          <w:bCs/>
          <w:sz w:val="22"/>
          <w:szCs w:val="22"/>
          <w:lang w:val="pl-PL"/>
        </w:rPr>
        <w:t xml:space="preserve"> </w:t>
      </w:r>
      <w:r w:rsidRPr="00F81D44">
        <w:rPr>
          <w:bCs/>
          <w:sz w:val="22"/>
          <w:szCs w:val="22"/>
          <w:lang w:val="pl-PL"/>
        </w:rPr>
        <w:t>6.6.</w:t>
      </w:r>
    </w:p>
    <w:p w14:paraId="7B85262B" w14:textId="77777777" w:rsidR="00F81D44" w:rsidRPr="00F81D44" w:rsidRDefault="00F81D44" w:rsidP="00BD27C0">
      <w:pPr>
        <w:tabs>
          <w:tab w:val="left" w:pos="540"/>
          <w:tab w:val="left" w:pos="569"/>
        </w:tabs>
        <w:jc w:val="both"/>
        <w:rPr>
          <w:bCs/>
          <w:sz w:val="22"/>
          <w:szCs w:val="22"/>
          <w:lang w:val="pl-PL"/>
        </w:rPr>
      </w:pPr>
    </w:p>
    <w:p w14:paraId="3E163FC0" w14:textId="77777777" w:rsidR="00F81D44" w:rsidRPr="00F81D44" w:rsidRDefault="00F81D44" w:rsidP="00BD27C0">
      <w:pPr>
        <w:tabs>
          <w:tab w:val="left" w:pos="540"/>
          <w:tab w:val="left" w:pos="569"/>
        </w:tabs>
        <w:jc w:val="both"/>
        <w:rPr>
          <w:bCs/>
          <w:i/>
          <w:sz w:val="22"/>
          <w:szCs w:val="22"/>
          <w:lang w:val="pl-PL"/>
        </w:rPr>
      </w:pPr>
      <w:r w:rsidRPr="00F81D44">
        <w:rPr>
          <w:bCs/>
          <w:i/>
          <w:sz w:val="22"/>
          <w:szCs w:val="22"/>
          <w:lang w:val="pl-PL"/>
        </w:rPr>
        <w:t>Terapijske indikacije (Ozbiljne hipoglikemije):</w:t>
      </w:r>
    </w:p>
    <w:p w14:paraId="7698739A" w14:textId="77777777" w:rsidR="00F81D44" w:rsidRPr="00F81D44" w:rsidRDefault="00F81D44" w:rsidP="00BD27C0">
      <w:pPr>
        <w:tabs>
          <w:tab w:val="left" w:pos="540"/>
          <w:tab w:val="left" w:pos="569"/>
        </w:tabs>
        <w:jc w:val="both"/>
        <w:rPr>
          <w:bCs/>
          <w:sz w:val="22"/>
          <w:szCs w:val="22"/>
          <w:lang w:val="pl-PL"/>
        </w:rPr>
      </w:pPr>
    </w:p>
    <w:p w14:paraId="2D836061" w14:textId="0706E136" w:rsidR="00F81D44" w:rsidRPr="00F81D44" w:rsidRDefault="00F81D44" w:rsidP="00BD27C0">
      <w:pPr>
        <w:tabs>
          <w:tab w:val="left" w:pos="540"/>
          <w:tab w:val="left" w:pos="569"/>
        </w:tabs>
        <w:jc w:val="both"/>
        <w:rPr>
          <w:bCs/>
          <w:sz w:val="22"/>
          <w:szCs w:val="22"/>
          <w:lang w:val="pl-PL"/>
        </w:rPr>
      </w:pPr>
      <w:r w:rsidRPr="00F81D44">
        <w:rPr>
          <w:bCs/>
          <w:sz w:val="22"/>
          <w:szCs w:val="22"/>
          <w:lang w:val="pl-PL"/>
        </w:rPr>
        <w:t>Primjeniti</w:t>
      </w:r>
      <w:r w:rsidR="00280822">
        <w:rPr>
          <w:bCs/>
          <w:sz w:val="22"/>
          <w:szCs w:val="22"/>
          <w:lang w:val="pl-PL"/>
        </w:rPr>
        <w:t xml:space="preserve"> kao</w:t>
      </w:r>
      <w:r w:rsidRPr="00F81D44">
        <w:rPr>
          <w:bCs/>
          <w:sz w:val="22"/>
          <w:szCs w:val="22"/>
          <w:lang w:val="pl-PL"/>
        </w:rPr>
        <w:t xml:space="preserve"> </w:t>
      </w:r>
      <w:r w:rsidR="00280822" w:rsidRPr="00F81D44">
        <w:rPr>
          <w:bCs/>
          <w:sz w:val="22"/>
          <w:szCs w:val="22"/>
          <w:lang w:val="pl-PL"/>
        </w:rPr>
        <w:t>supkutan</w:t>
      </w:r>
      <w:r w:rsidR="00280822">
        <w:rPr>
          <w:bCs/>
          <w:sz w:val="22"/>
          <w:szCs w:val="22"/>
          <w:lang w:val="pl-PL"/>
        </w:rPr>
        <w:t>u</w:t>
      </w:r>
      <w:r w:rsidR="00280822" w:rsidRPr="00F81D44">
        <w:rPr>
          <w:bCs/>
          <w:sz w:val="22"/>
          <w:szCs w:val="22"/>
          <w:lang w:val="pl-PL"/>
        </w:rPr>
        <w:t xml:space="preserve"> </w:t>
      </w:r>
      <w:r w:rsidRPr="00F81D44">
        <w:rPr>
          <w:bCs/>
          <w:sz w:val="22"/>
          <w:szCs w:val="22"/>
          <w:lang w:val="pl-PL"/>
        </w:rPr>
        <w:t>ili intramuskularn</w:t>
      </w:r>
      <w:r w:rsidR="00280822">
        <w:rPr>
          <w:bCs/>
          <w:sz w:val="22"/>
          <w:szCs w:val="22"/>
          <w:lang w:val="pl-PL"/>
        </w:rPr>
        <w:t>u</w:t>
      </w:r>
      <w:r w:rsidRPr="00F81D44">
        <w:rPr>
          <w:bCs/>
          <w:sz w:val="22"/>
          <w:szCs w:val="22"/>
          <w:lang w:val="pl-PL"/>
        </w:rPr>
        <w:t xml:space="preserve"> </w:t>
      </w:r>
      <w:r w:rsidR="00280822" w:rsidRPr="00F81D44">
        <w:rPr>
          <w:bCs/>
          <w:sz w:val="22"/>
          <w:szCs w:val="22"/>
          <w:lang w:val="pl-PL"/>
        </w:rPr>
        <w:t>injekcij</w:t>
      </w:r>
      <w:r w:rsidR="00280822">
        <w:rPr>
          <w:bCs/>
          <w:sz w:val="22"/>
          <w:szCs w:val="22"/>
          <w:lang w:val="pl-PL"/>
        </w:rPr>
        <w:t>u</w:t>
      </w:r>
      <w:r w:rsidRPr="00F81D44">
        <w:rPr>
          <w:bCs/>
          <w:sz w:val="22"/>
          <w:szCs w:val="22"/>
          <w:lang w:val="pl-PL"/>
        </w:rPr>
        <w:t>. Pacijent bi trebalo da odreaguje u roku od 10 minuta. Kada se pacijent povrati nakon prim</w:t>
      </w:r>
      <w:r w:rsidR="00280822">
        <w:rPr>
          <w:bCs/>
          <w:sz w:val="22"/>
          <w:szCs w:val="22"/>
          <w:lang w:val="pl-PL"/>
        </w:rPr>
        <w:t>j</w:t>
      </w:r>
      <w:r w:rsidRPr="00F81D44">
        <w:rPr>
          <w:bCs/>
          <w:sz w:val="22"/>
          <w:szCs w:val="22"/>
          <w:lang w:val="pl-PL"/>
        </w:rPr>
        <w:t>ene l</w:t>
      </w:r>
      <w:r w:rsidR="00280822">
        <w:rPr>
          <w:bCs/>
          <w:sz w:val="22"/>
          <w:szCs w:val="22"/>
          <w:lang w:val="pl-PL"/>
        </w:rPr>
        <w:t>ij</w:t>
      </w:r>
      <w:r w:rsidRPr="00F81D44">
        <w:rPr>
          <w:bCs/>
          <w:sz w:val="22"/>
          <w:szCs w:val="22"/>
          <w:lang w:val="pl-PL"/>
        </w:rPr>
        <w:t>eka, neophodno je oralno dati ugljene hidrate da se glikogen u jetri obnovi i na taj način spriječi ponovni nastanak hipoglikemije. Ako pacijent ne odreaguje u roku od 10 minuta, glukozu treba primjeniti intravenski.</w:t>
      </w:r>
    </w:p>
    <w:p w14:paraId="2415385D" w14:textId="77777777" w:rsidR="00F81D44" w:rsidRPr="00F81D44" w:rsidRDefault="00F81D44" w:rsidP="00BD27C0">
      <w:pPr>
        <w:tabs>
          <w:tab w:val="left" w:pos="540"/>
          <w:tab w:val="left" w:pos="569"/>
        </w:tabs>
        <w:jc w:val="both"/>
        <w:rPr>
          <w:bCs/>
          <w:sz w:val="22"/>
          <w:szCs w:val="22"/>
          <w:lang w:val="pl-PL"/>
        </w:rPr>
      </w:pPr>
    </w:p>
    <w:p w14:paraId="5D201A6E" w14:textId="77777777" w:rsidR="00F81D44" w:rsidRPr="00F81D44" w:rsidRDefault="00F81D44" w:rsidP="00BD27C0">
      <w:pPr>
        <w:tabs>
          <w:tab w:val="left" w:pos="540"/>
          <w:tab w:val="left" w:pos="569"/>
        </w:tabs>
        <w:jc w:val="both"/>
        <w:rPr>
          <w:bCs/>
          <w:i/>
          <w:sz w:val="22"/>
          <w:szCs w:val="22"/>
          <w:u w:val="single"/>
          <w:lang w:val="pl-PL"/>
        </w:rPr>
      </w:pPr>
      <w:r w:rsidRPr="001A1E21">
        <w:rPr>
          <w:bCs/>
          <w:i/>
          <w:sz w:val="22"/>
          <w:szCs w:val="22"/>
          <w:u w:val="single"/>
          <w:lang w:val="pl-PL"/>
        </w:rPr>
        <w:t>Dijagnostičke indikacije</w:t>
      </w:r>
      <w:r w:rsidRPr="00F81D44">
        <w:rPr>
          <w:bCs/>
          <w:i/>
          <w:sz w:val="22"/>
          <w:szCs w:val="22"/>
          <w:lang w:val="pl-PL"/>
        </w:rPr>
        <w:t xml:space="preserve"> (Inhibicija motiliteta </w:t>
      </w:r>
      <w:r w:rsidRPr="00F81D44">
        <w:rPr>
          <w:bCs/>
          <w:i/>
          <w:sz w:val="22"/>
          <w:szCs w:val="22"/>
          <w:lang w:val="sr-Latn-CS"/>
        </w:rPr>
        <w:t>gastrointestinalnog trakta</w:t>
      </w:r>
      <w:r w:rsidRPr="00F81D44">
        <w:rPr>
          <w:bCs/>
          <w:i/>
          <w:sz w:val="22"/>
          <w:szCs w:val="22"/>
          <w:lang w:val="pl-PL"/>
        </w:rPr>
        <w:t>):</w:t>
      </w:r>
    </w:p>
    <w:p w14:paraId="33A2D537" w14:textId="77777777" w:rsidR="00F81D44" w:rsidRPr="00F81D44" w:rsidRDefault="00F81D44" w:rsidP="00BD27C0">
      <w:pPr>
        <w:tabs>
          <w:tab w:val="left" w:pos="540"/>
          <w:tab w:val="left" w:pos="569"/>
        </w:tabs>
        <w:jc w:val="both"/>
        <w:rPr>
          <w:bCs/>
          <w:sz w:val="22"/>
          <w:szCs w:val="22"/>
          <w:lang w:val="pl-PL"/>
        </w:rPr>
      </w:pPr>
    </w:p>
    <w:p w14:paraId="08DA5E00" w14:textId="769573E9" w:rsidR="00F81D44" w:rsidRPr="00F81D44" w:rsidRDefault="00CA754D" w:rsidP="00BD27C0">
      <w:pPr>
        <w:tabs>
          <w:tab w:val="left" w:pos="540"/>
          <w:tab w:val="left" w:pos="569"/>
        </w:tabs>
        <w:jc w:val="both"/>
        <w:rPr>
          <w:bCs/>
          <w:sz w:val="22"/>
          <w:szCs w:val="22"/>
          <w:lang w:val="pl-PL"/>
        </w:rPr>
      </w:pPr>
      <w:r>
        <w:rPr>
          <w:bCs/>
          <w:sz w:val="22"/>
          <w:szCs w:val="22"/>
          <w:lang w:val="pl-PL"/>
        </w:rPr>
        <w:t xml:space="preserve">Lijek </w:t>
      </w:r>
      <w:r w:rsidR="00F81D44" w:rsidRPr="00F81D44">
        <w:rPr>
          <w:bCs/>
          <w:sz w:val="22"/>
          <w:szCs w:val="22"/>
          <w:lang w:val="pl-PL"/>
        </w:rPr>
        <w:t>GlucaGen Hypo</w:t>
      </w:r>
      <w:r w:rsidR="009C1ED3">
        <w:rPr>
          <w:bCs/>
          <w:sz w:val="22"/>
          <w:szCs w:val="22"/>
          <w:lang w:val="pl-PL"/>
        </w:rPr>
        <w:t>K</w:t>
      </w:r>
      <w:r w:rsidR="00F81D44" w:rsidRPr="00F81D44">
        <w:rPr>
          <w:bCs/>
          <w:sz w:val="22"/>
          <w:szCs w:val="22"/>
          <w:lang w:val="pl-PL"/>
        </w:rPr>
        <w:t xml:space="preserve">it mora biti dat od strane medicinskog osoblja. Početak dejstva nakon intravenskog ubrizgavanja 0,2-0,5 mg nastupa za 1 minut, a efekat traje između 5 i 20 minuta. Početak dejstva nakon intramuskularnog ubrizgavanja 1-2 mg nastupa nakon 5-15 minuta, a traje približno 10-40 minuta.  </w:t>
      </w:r>
    </w:p>
    <w:p w14:paraId="3C54D043" w14:textId="77777777" w:rsidR="00F81D44" w:rsidRPr="00F81D44" w:rsidRDefault="00F81D44" w:rsidP="00BD27C0">
      <w:pPr>
        <w:tabs>
          <w:tab w:val="left" w:pos="540"/>
          <w:tab w:val="left" w:pos="569"/>
        </w:tabs>
        <w:jc w:val="both"/>
        <w:rPr>
          <w:bCs/>
          <w:sz w:val="22"/>
          <w:szCs w:val="22"/>
          <w:lang w:val="pl-PL"/>
        </w:rPr>
      </w:pPr>
      <w:r w:rsidRPr="00F81D44">
        <w:rPr>
          <w:bCs/>
          <w:sz w:val="22"/>
          <w:szCs w:val="22"/>
          <w:lang w:val="pl-PL"/>
        </w:rPr>
        <w:t xml:space="preserve">  </w:t>
      </w:r>
    </w:p>
    <w:p w14:paraId="1C764D3B" w14:textId="0E4B5B2B" w:rsidR="00F81D44" w:rsidRDefault="00F81D44" w:rsidP="00BD27C0">
      <w:pPr>
        <w:tabs>
          <w:tab w:val="left" w:pos="540"/>
          <w:tab w:val="left" w:pos="569"/>
        </w:tabs>
        <w:jc w:val="both"/>
        <w:rPr>
          <w:bCs/>
          <w:sz w:val="22"/>
          <w:szCs w:val="22"/>
          <w:lang w:val="sr-Latn-CS"/>
        </w:rPr>
      </w:pPr>
      <w:r w:rsidRPr="00F81D44">
        <w:rPr>
          <w:bCs/>
          <w:sz w:val="22"/>
          <w:szCs w:val="22"/>
          <w:lang w:val="pl-PL"/>
        </w:rPr>
        <w:t>Kada se završi dijagnostička procedura treba oralno dati ugljene hidrate, ako je to u skladu sa prim</w:t>
      </w:r>
      <w:r w:rsidR="00CA754D">
        <w:rPr>
          <w:bCs/>
          <w:sz w:val="22"/>
          <w:szCs w:val="22"/>
          <w:lang w:val="pl-PL"/>
        </w:rPr>
        <w:t>i</w:t>
      </w:r>
      <w:r w:rsidRPr="00F81D44">
        <w:rPr>
          <w:bCs/>
          <w:sz w:val="22"/>
          <w:szCs w:val="22"/>
          <w:lang w:val="pl-PL"/>
        </w:rPr>
        <w:t>jenjenom dijagnostičkom procedurom.</w:t>
      </w:r>
    </w:p>
    <w:p w14:paraId="5ED3C757" w14:textId="42158DA7" w:rsidR="00F81D44" w:rsidRDefault="00F81D44" w:rsidP="00BD27C0">
      <w:pPr>
        <w:tabs>
          <w:tab w:val="left" w:pos="540"/>
          <w:tab w:val="left" w:pos="569"/>
        </w:tabs>
        <w:jc w:val="both"/>
        <w:rPr>
          <w:bCs/>
          <w:sz w:val="22"/>
          <w:szCs w:val="22"/>
          <w:lang w:val="sr-Latn-CS"/>
        </w:rPr>
      </w:pPr>
    </w:p>
    <w:p w14:paraId="4FE82259" w14:textId="5CF64310" w:rsidR="00F81D44" w:rsidRDefault="00F81D44" w:rsidP="00BD27C0">
      <w:pPr>
        <w:tabs>
          <w:tab w:val="left" w:pos="540"/>
          <w:tab w:val="left" w:pos="569"/>
        </w:tabs>
        <w:jc w:val="both"/>
        <w:rPr>
          <w:bCs/>
          <w:sz w:val="22"/>
          <w:szCs w:val="22"/>
          <w:lang w:val="sr-Latn-CS"/>
        </w:rPr>
      </w:pPr>
      <w:r w:rsidRPr="00920E02">
        <w:rPr>
          <w:b/>
          <w:bCs/>
          <w:sz w:val="22"/>
          <w:szCs w:val="22"/>
          <w:lang w:val="sr-Latn-CS"/>
        </w:rPr>
        <w:t xml:space="preserve">4.3. </w:t>
      </w:r>
      <w:r w:rsidRPr="00920E02">
        <w:rPr>
          <w:b/>
          <w:bCs/>
          <w:sz w:val="22"/>
          <w:szCs w:val="22"/>
          <w:lang w:val="sr-Latn-CS"/>
        </w:rPr>
        <w:tab/>
      </w:r>
      <w:proofErr w:type="spellStart"/>
      <w:r w:rsidRPr="00786071">
        <w:rPr>
          <w:b/>
          <w:bCs/>
          <w:sz w:val="22"/>
          <w:szCs w:val="22"/>
        </w:rPr>
        <w:t>Kontraindikacije</w:t>
      </w:r>
      <w:proofErr w:type="spellEnd"/>
    </w:p>
    <w:p w14:paraId="54585D0B" w14:textId="5B8C76D3" w:rsidR="00F81D44" w:rsidRDefault="00F81D44" w:rsidP="00BD27C0">
      <w:pPr>
        <w:tabs>
          <w:tab w:val="left" w:pos="540"/>
          <w:tab w:val="left" w:pos="569"/>
        </w:tabs>
        <w:jc w:val="both"/>
        <w:rPr>
          <w:bCs/>
          <w:sz w:val="22"/>
          <w:szCs w:val="22"/>
          <w:lang w:val="sr-Latn-CS"/>
        </w:rPr>
      </w:pPr>
    </w:p>
    <w:p w14:paraId="0D67948E" w14:textId="77777777" w:rsidR="00F81D44" w:rsidRPr="00F81D44" w:rsidRDefault="00F81D44" w:rsidP="00BD27C0">
      <w:pPr>
        <w:tabs>
          <w:tab w:val="left" w:pos="540"/>
          <w:tab w:val="left" w:pos="569"/>
        </w:tabs>
        <w:jc w:val="both"/>
        <w:rPr>
          <w:bCs/>
          <w:sz w:val="22"/>
          <w:szCs w:val="22"/>
          <w:lang w:val="pl-PL"/>
        </w:rPr>
      </w:pPr>
      <w:r w:rsidRPr="00F81D44">
        <w:rPr>
          <w:bCs/>
          <w:sz w:val="22"/>
          <w:szCs w:val="22"/>
          <w:lang w:val="pl-PL"/>
        </w:rPr>
        <w:t>Preosjetljivost na aktivnu supstancu ili bilo koji od ekscipijenasa navedenih u djelu 6.1.</w:t>
      </w:r>
    </w:p>
    <w:p w14:paraId="59BAB76B" w14:textId="77777777" w:rsidR="00F81D44" w:rsidRPr="00F81D44" w:rsidRDefault="00F81D44" w:rsidP="00BD27C0">
      <w:pPr>
        <w:tabs>
          <w:tab w:val="left" w:pos="540"/>
          <w:tab w:val="left" w:pos="569"/>
        </w:tabs>
        <w:jc w:val="both"/>
        <w:rPr>
          <w:bCs/>
          <w:sz w:val="22"/>
          <w:szCs w:val="22"/>
          <w:lang w:val="pl-PL"/>
        </w:rPr>
      </w:pPr>
    </w:p>
    <w:p w14:paraId="36B77566" w14:textId="6B1B67AC" w:rsidR="00F81D44" w:rsidRDefault="00F81D44" w:rsidP="00BD27C0">
      <w:pPr>
        <w:tabs>
          <w:tab w:val="left" w:pos="540"/>
          <w:tab w:val="left" w:pos="569"/>
        </w:tabs>
        <w:jc w:val="both"/>
        <w:rPr>
          <w:bCs/>
          <w:sz w:val="22"/>
          <w:szCs w:val="22"/>
          <w:lang w:val="sr-Latn-CS"/>
        </w:rPr>
      </w:pPr>
      <w:r w:rsidRPr="007A58A2">
        <w:rPr>
          <w:bCs/>
          <w:sz w:val="22"/>
          <w:szCs w:val="22"/>
          <w:lang w:val="pl-PL"/>
        </w:rPr>
        <w:t>Feohromocitom.</w:t>
      </w:r>
    </w:p>
    <w:p w14:paraId="5518ABC4" w14:textId="77777777" w:rsidR="00F81D44" w:rsidRPr="00920E02" w:rsidRDefault="00F81D44" w:rsidP="00B06F89">
      <w:pPr>
        <w:tabs>
          <w:tab w:val="left" w:pos="540"/>
          <w:tab w:val="left" w:pos="569"/>
        </w:tabs>
        <w:rPr>
          <w:bCs/>
          <w:sz w:val="22"/>
          <w:szCs w:val="22"/>
          <w:lang w:val="sr-Latn-CS"/>
        </w:rPr>
      </w:pPr>
    </w:p>
    <w:p w14:paraId="0B412FFB" w14:textId="77777777" w:rsidR="00411B4B" w:rsidRPr="00920E02" w:rsidRDefault="00411B4B" w:rsidP="00BD27C0">
      <w:pPr>
        <w:tabs>
          <w:tab w:val="left" w:pos="540"/>
          <w:tab w:val="left" w:pos="569"/>
        </w:tabs>
        <w:jc w:val="both"/>
        <w:rPr>
          <w:b/>
          <w:bCs/>
          <w:sz w:val="22"/>
          <w:szCs w:val="22"/>
          <w:lang w:val="sr-Latn-CS"/>
        </w:rPr>
      </w:pPr>
      <w:r w:rsidRPr="00920E02">
        <w:rPr>
          <w:b/>
          <w:bCs/>
          <w:sz w:val="22"/>
          <w:szCs w:val="22"/>
          <w:lang w:val="sr-Latn-CS"/>
        </w:rPr>
        <w:t xml:space="preserve">4.4. </w:t>
      </w:r>
      <w:r w:rsidR="00480FB1" w:rsidRPr="00920E02">
        <w:rPr>
          <w:b/>
          <w:bCs/>
          <w:sz w:val="22"/>
          <w:szCs w:val="22"/>
          <w:lang w:val="sr-Latn-CS"/>
        </w:rPr>
        <w:tab/>
      </w:r>
      <w:r w:rsidRPr="007A58A2">
        <w:rPr>
          <w:b/>
          <w:bCs/>
          <w:sz w:val="22"/>
          <w:szCs w:val="22"/>
          <w:lang w:val="pl-PL"/>
        </w:rPr>
        <w:t>Posebna</w:t>
      </w:r>
      <w:r w:rsidRPr="00920E02">
        <w:rPr>
          <w:b/>
          <w:bCs/>
          <w:sz w:val="22"/>
          <w:szCs w:val="22"/>
          <w:lang w:val="sr-Latn-CS"/>
        </w:rPr>
        <w:t xml:space="preserve"> </w:t>
      </w:r>
      <w:r w:rsidRPr="007A58A2">
        <w:rPr>
          <w:b/>
          <w:bCs/>
          <w:sz w:val="22"/>
          <w:szCs w:val="22"/>
          <w:lang w:val="pl-PL"/>
        </w:rPr>
        <w:t>upozorenja</w:t>
      </w:r>
      <w:r w:rsidRPr="00920E02">
        <w:rPr>
          <w:b/>
          <w:bCs/>
          <w:sz w:val="22"/>
          <w:szCs w:val="22"/>
          <w:lang w:val="sr-Latn-CS"/>
        </w:rPr>
        <w:t xml:space="preserve"> </w:t>
      </w:r>
      <w:r w:rsidRPr="007A58A2">
        <w:rPr>
          <w:b/>
          <w:bCs/>
          <w:sz w:val="22"/>
          <w:szCs w:val="22"/>
          <w:lang w:val="pl-PL"/>
        </w:rPr>
        <w:t>i</w:t>
      </w:r>
      <w:r w:rsidRPr="00920E02">
        <w:rPr>
          <w:b/>
          <w:bCs/>
          <w:sz w:val="22"/>
          <w:szCs w:val="22"/>
          <w:lang w:val="sr-Latn-CS"/>
        </w:rPr>
        <w:t xml:space="preserve"> </w:t>
      </w:r>
      <w:r w:rsidRPr="007A58A2">
        <w:rPr>
          <w:b/>
          <w:bCs/>
          <w:sz w:val="22"/>
          <w:szCs w:val="22"/>
          <w:lang w:val="pl-PL"/>
        </w:rPr>
        <w:t>mjere</w:t>
      </w:r>
      <w:r w:rsidRPr="00920E02">
        <w:rPr>
          <w:b/>
          <w:bCs/>
          <w:sz w:val="22"/>
          <w:szCs w:val="22"/>
          <w:lang w:val="sr-Latn-CS"/>
        </w:rPr>
        <w:t xml:space="preserve"> </w:t>
      </w:r>
      <w:r w:rsidRPr="007A58A2">
        <w:rPr>
          <w:b/>
          <w:bCs/>
          <w:sz w:val="22"/>
          <w:szCs w:val="22"/>
          <w:lang w:val="pl-PL"/>
        </w:rPr>
        <w:t>opreza</w:t>
      </w:r>
      <w:r w:rsidRPr="00920E02">
        <w:rPr>
          <w:b/>
          <w:bCs/>
          <w:sz w:val="22"/>
          <w:szCs w:val="22"/>
          <w:lang w:val="sr-Latn-CS"/>
        </w:rPr>
        <w:t xml:space="preserve"> </w:t>
      </w:r>
      <w:r w:rsidRPr="007A58A2">
        <w:rPr>
          <w:b/>
          <w:bCs/>
          <w:sz w:val="22"/>
          <w:szCs w:val="22"/>
          <w:lang w:val="pl-PL"/>
        </w:rPr>
        <w:t>pri</w:t>
      </w:r>
      <w:r w:rsidRPr="00920E02">
        <w:rPr>
          <w:b/>
          <w:bCs/>
          <w:sz w:val="22"/>
          <w:szCs w:val="22"/>
          <w:lang w:val="sr-Latn-CS"/>
        </w:rPr>
        <w:t xml:space="preserve"> </w:t>
      </w:r>
      <w:r w:rsidRPr="007A58A2">
        <w:rPr>
          <w:b/>
          <w:bCs/>
          <w:sz w:val="22"/>
          <w:szCs w:val="22"/>
          <w:lang w:val="pl-PL"/>
        </w:rPr>
        <w:t>upotrebi</w:t>
      </w:r>
      <w:r w:rsidRPr="00920E02">
        <w:rPr>
          <w:b/>
          <w:bCs/>
          <w:sz w:val="22"/>
          <w:szCs w:val="22"/>
          <w:lang w:val="sr-Latn-CS"/>
        </w:rPr>
        <w:t xml:space="preserve"> </w:t>
      </w:r>
      <w:r w:rsidRPr="007A58A2">
        <w:rPr>
          <w:b/>
          <w:bCs/>
          <w:sz w:val="22"/>
          <w:szCs w:val="22"/>
          <w:lang w:val="pl-PL"/>
        </w:rPr>
        <w:t>lijeka</w:t>
      </w:r>
    </w:p>
    <w:p w14:paraId="5EDA774A" w14:textId="5C0CCC67" w:rsidR="0072020E" w:rsidRDefault="0072020E" w:rsidP="00BD27C0">
      <w:pPr>
        <w:tabs>
          <w:tab w:val="left" w:pos="540"/>
          <w:tab w:val="left" w:pos="569"/>
        </w:tabs>
        <w:jc w:val="both"/>
        <w:rPr>
          <w:bCs/>
          <w:sz w:val="22"/>
          <w:szCs w:val="22"/>
          <w:lang w:val="sr-Latn-CS"/>
        </w:rPr>
      </w:pPr>
    </w:p>
    <w:p w14:paraId="0555F42F" w14:textId="77777777" w:rsidR="00C82873" w:rsidRPr="00C82873" w:rsidRDefault="00C82873" w:rsidP="00BD27C0">
      <w:pPr>
        <w:tabs>
          <w:tab w:val="left" w:pos="540"/>
          <w:tab w:val="left" w:pos="569"/>
        </w:tabs>
        <w:jc w:val="both"/>
        <w:rPr>
          <w:bCs/>
          <w:sz w:val="22"/>
          <w:szCs w:val="22"/>
          <w:u w:val="single"/>
          <w:lang w:val="sr-Latn-CS"/>
        </w:rPr>
      </w:pPr>
      <w:r w:rsidRPr="00C82873">
        <w:rPr>
          <w:bCs/>
          <w:sz w:val="22"/>
          <w:szCs w:val="22"/>
          <w:u w:val="single"/>
          <w:lang w:val="sr-Latn-CS"/>
        </w:rPr>
        <w:t>Praćenje</w:t>
      </w:r>
    </w:p>
    <w:p w14:paraId="1BC8566A" w14:textId="77777777" w:rsidR="00C82873" w:rsidRDefault="00C82873" w:rsidP="00BD27C0">
      <w:pPr>
        <w:tabs>
          <w:tab w:val="left" w:pos="540"/>
          <w:tab w:val="left" w:pos="569"/>
        </w:tabs>
        <w:jc w:val="both"/>
        <w:rPr>
          <w:bCs/>
          <w:sz w:val="22"/>
          <w:szCs w:val="22"/>
          <w:lang w:val="sr-Latn-CS"/>
        </w:rPr>
      </w:pPr>
      <w:r w:rsidRPr="00C82873">
        <w:rPr>
          <w:bCs/>
          <w:sz w:val="22"/>
          <w:szCs w:val="22"/>
          <w:lang w:val="sr-Latn-CS"/>
        </w:rPr>
        <w:lastRenderedPageBreak/>
        <w:t>Kako bi se olakšalo praćenje bioloških medicinskih proizvoda, treba jasno zabilježiti ime i serijski broj primjenjenog proizvoda.</w:t>
      </w:r>
    </w:p>
    <w:p w14:paraId="3E5C39CA" w14:textId="77777777" w:rsidR="00C82873" w:rsidRDefault="00C82873" w:rsidP="00BD27C0">
      <w:pPr>
        <w:tabs>
          <w:tab w:val="left" w:pos="540"/>
          <w:tab w:val="left" w:pos="569"/>
        </w:tabs>
        <w:jc w:val="both"/>
        <w:rPr>
          <w:bCs/>
          <w:sz w:val="22"/>
          <w:szCs w:val="22"/>
          <w:lang w:val="sr-Latn-CS"/>
        </w:rPr>
      </w:pPr>
    </w:p>
    <w:p w14:paraId="4EA71580" w14:textId="675DDE7F"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Zbog nestabilnosti lijeka GlucaGen</w:t>
      </w:r>
      <w:r w:rsidR="00CC39BA">
        <w:rPr>
          <w:bCs/>
          <w:sz w:val="22"/>
          <w:szCs w:val="22"/>
          <w:lang w:val="sr-Latn-CS"/>
        </w:rPr>
        <w:t xml:space="preserve"> </w:t>
      </w:r>
      <w:r w:rsidRPr="00F81D44">
        <w:rPr>
          <w:bCs/>
          <w:sz w:val="22"/>
          <w:szCs w:val="22"/>
          <w:lang w:val="sr-Latn-CS"/>
        </w:rPr>
        <w:t>Hypo</w:t>
      </w:r>
      <w:r w:rsidR="009C1ED3">
        <w:rPr>
          <w:bCs/>
          <w:sz w:val="22"/>
          <w:szCs w:val="22"/>
          <w:lang w:val="sr-Latn-CS"/>
        </w:rPr>
        <w:t>K</w:t>
      </w:r>
      <w:r w:rsidRPr="00F81D44">
        <w:rPr>
          <w:bCs/>
          <w:sz w:val="22"/>
          <w:szCs w:val="22"/>
          <w:lang w:val="sr-Latn-CS"/>
        </w:rPr>
        <w:t>it u rastvoru, lijek treba primjeniti odmah nakon rekonstitucije i ne smije se primjenjivati putem intravenske infuzije.</w:t>
      </w:r>
    </w:p>
    <w:p w14:paraId="7AF0C090" w14:textId="77777777" w:rsidR="00F81D44" w:rsidRPr="00F81D44" w:rsidRDefault="00F81D44" w:rsidP="00BD27C0">
      <w:pPr>
        <w:tabs>
          <w:tab w:val="left" w:pos="540"/>
          <w:tab w:val="left" w:pos="569"/>
        </w:tabs>
        <w:jc w:val="both"/>
        <w:rPr>
          <w:bCs/>
          <w:sz w:val="22"/>
          <w:szCs w:val="22"/>
          <w:lang w:val="sr-Latn-CS"/>
        </w:rPr>
      </w:pPr>
    </w:p>
    <w:p w14:paraId="01185831" w14:textId="77777777" w:rsidR="00F81D44" w:rsidRPr="00F81D44" w:rsidRDefault="00F81D44" w:rsidP="00BD27C0">
      <w:pPr>
        <w:tabs>
          <w:tab w:val="left" w:pos="540"/>
          <w:tab w:val="left" w:pos="569"/>
        </w:tabs>
        <w:jc w:val="both"/>
        <w:rPr>
          <w:bCs/>
          <w:sz w:val="22"/>
          <w:szCs w:val="22"/>
          <w:u w:val="single"/>
          <w:lang w:val="sr-Latn-CS"/>
        </w:rPr>
      </w:pPr>
      <w:r w:rsidRPr="00F81D44">
        <w:rPr>
          <w:bCs/>
          <w:sz w:val="22"/>
          <w:szCs w:val="22"/>
          <w:u w:val="single"/>
          <w:lang w:val="sr-Latn-CS"/>
        </w:rPr>
        <w:t>Terapijske indikacije</w:t>
      </w:r>
    </w:p>
    <w:p w14:paraId="1DFBF74A" w14:textId="77777777" w:rsidR="00F81D44" w:rsidRPr="00F81D44" w:rsidRDefault="00F81D44" w:rsidP="00BD27C0">
      <w:pPr>
        <w:tabs>
          <w:tab w:val="left" w:pos="540"/>
          <w:tab w:val="left" w:pos="569"/>
        </w:tabs>
        <w:jc w:val="both"/>
        <w:rPr>
          <w:bCs/>
          <w:sz w:val="22"/>
          <w:szCs w:val="22"/>
          <w:u w:val="single"/>
          <w:lang w:val="sr-Latn-CS"/>
        </w:rPr>
      </w:pPr>
    </w:p>
    <w:p w14:paraId="664AA128" w14:textId="1B5ED062"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 xml:space="preserve">U cilju sprečavanja ponovne pojave hipoglikemije, kada se pacijent povrati nakon primjene lijeka </w:t>
      </w:r>
      <w:r w:rsidRPr="00F81D44">
        <w:rPr>
          <w:bCs/>
          <w:sz w:val="22"/>
          <w:szCs w:val="22"/>
          <w:lang w:val="pl-PL"/>
        </w:rPr>
        <w:t>GlucaGen</w:t>
      </w:r>
      <w:r w:rsidRPr="00F81D44">
        <w:rPr>
          <w:bCs/>
          <w:sz w:val="22"/>
          <w:szCs w:val="22"/>
          <w:lang w:val="sr-Latn-CS"/>
        </w:rPr>
        <w:t>, treba mu oralno dati ugljene hidrate da bi se obnovile zalihe glikogena u jetri.</w:t>
      </w:r>
    </w:p>
    <w:p w14:paraId="5815679D" w14:textId="77777777" w:rsidR="00F81D44" w:rsidRPr="00F81D44" w:rsidRDefault="00F81D44" w:rsidP="00BD27C0">
      <w:pPr>
        <w:tabs>
          <w:tab w:val="left" w:pos="540"/>
          <w:tab w:val="left" w:pos="569"/>
        </w:tabs>
        <w:jc w:val="both"/>
        <w:rPr>
          <w:bCs/>
          <w:sz w:val="22"/>
          <w:szCs w:val="22"/>
          <w:lang w:val="sr-Latn-CS"/>
        </w:rPr>
      </w:pPr>
    </w:p>
    <w:p w14:paraId="4834DFBB" w14:textId="04FEE5E3"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Glukagon neće biti efikasan kod pacijenata čije zalihe glikogena u jetri su iscrpljene. Iz tog razloga, glukagon ima malo ili nema efekta ukoliko je pacijent duži vr</w:t>
      </w:r>
      <w:r w:rsidR="00562872">
        <w:rPr>
          <w:bCs/>
          <w:sz w:val="22"/>
          <w:szCs w:val="22"/>
          <w:lang w:val="sr-Latn-CS"/>
        </w:rPr>
        <w:t>ij</w:t>
      </w:r>
      <w:r w:rsidRPr="00F81D44">
        <w:rPr>
          <w:bCs/>
          <w:sz w:val="22"/>
          <w:szCs w:val="22"/>
          <w:lang w:val="sr-Latn-CS"/>
        </w:rPr>
        <w:t>emenski period gladovao ili ukoliko pacijent pati od adrenalne insuficijencije, hronične hipoglikemije ili hipoglikemije indukovane alkoholom.</w:t>
      </w:r>
    </w:p>
    <w:p w14:paraId="2F77DFC7" w14:textId="77777777" w:rsidR="00F81D44" w:rsidRPr="00F81D44" w:rsidRDefault="00F81D44" w:rsidP="00BD27C0">
      <w:pPr>
        <w:tabs>
          <w:tab w:val="left" w:pos="540"/>
          <w:tab w:val="left" w:pos="569"/>
        </w:tabs>
        <w:jc w:val="both"/>
        <w:rPr>
          <w:bCs/>
          <w:sz w:val="22"/>
          <w:szCs w:val="22"/>
          <w:lang w:val="sr-Latn-CS"/>
        </w:rPr>
      </w:pPr>
    </w:p>
    <w:p w14:paraId="24D09CC7" w14:textId="1FBFE26F"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Glukagon, za razliku od adrenalina, nema efekta na mišićnu fosforilazu i zbog toga ne može da potpomogne u prenosu ugljenih hidrata iz mnogo većih rezervi glikogena koje se nalaze u skeletnim mišićima.</w:t>
      </w:r>
    </w:p>
    <w:p w14:paraId="721B3CB5" w14:textId="77777777" w:rsidR="00F81D44" w:rsidRPr="00F81D44" w:rsidRDefault="00F81D44" w:rsidP="00BD27C0">
      <w:pPr>
        <w:tabs>
          <w:tab w:val="left" w:pos="540"/>
          <w:tab w:val="left" w:pos="569"/>
        </w:tabs>
        <w:jc w:val="both"/>
        <w:rPr>
          <w:bCs/>
          <w:sz w:val="22"/>
          <w:szCs w:val="22"/>
          <w:u w:val="single"/>
          <w:lang w:val="sr-Latn-CS"/>
        </w:rPr>
      </w:pPr>
    </w:p>
    <w:p w14:paraId="19F4D15C" w14:textId="77777777" w:rsidR="00F81D44" w:rsidRPr="00F81D44" w:rsidRDefault="00F81D44" w:rsidP="00BD27C0">
      <w:pPr>
        <w:tabs>
          <w:tab w:val="left" w:pos="540"/>
          <w:tab w:val="left" w:pos="569"/>
        </w:tabs>
        <w:jc w:val="both"/>
        <w:rPr>
          <w:bCs/>
          <w:sz w:val="22"/>
          <w:szCs w:val="22"/>
          <w:u w:val="single"/>
          <w:lang w:val="sr-Latn-CS"/>
        </w:rPr>
      </w:pPr>
      <w:r w:rsidRPr="00F81D44">
        <w:rPr>
          <w:bCs/>
          <w:sz w:val="22"/>
          <w:szCs w:val="22"/>
          <w:u w:val="single"/>
          <w:lang w:val="sr-Latn-CS"/>
        </w:rPr>
        <w:t>Dijagnostičke indikacije</w:t>
      </w:r>
    </w:p>
    <w:p w14:paraId="60107596" w14:textId="77777777" w:rsidR="00F81D44" w:rsidRPr="00F81D44" w:rsidRDefault="00F81D44" w:rsidP="00BD27C0">
      <w:pPr>
        <w:tabs>
          <w:tab w:val="left" w:pos="540"/>
          <w:tab w:val="left" w:pos="569"/>
        </w:tabs>
        <w:jc w:val="both"/>
        <w:rPr>
          <w:bCs/>
          <w:sz w:val="22"/>
          <w:szCs w:val="22"/>
          <w:u w:val="single"/>
          <w:lang w:val="sr-Latn-CS"/>
        </w:rPr>
      </w:pPr>
      <w:r w:rsidRPr="00F81D44">
        <w:rPr>
          <w:bCs/>
          <w:sz w:val="22"/>
          <w:szCs w:val="22"/>
          <w:u w:val="single"/>
          <w:lang w:val="sr-Latn-CS"/>
        </w:rPr>
        <w:t xml:space="preserve">  </w:t>
      </w:r>
    </w:p>
    <w:p w14:paraId="727BDA0D" w14:textId="64E7D5F9" w:rsidR="00F81D44" w:rsidRPr="00F81D44" w:rsidRDefault="00F81D44" w:rsidP="00BD27C0">
      <w:pPr>
        <w:tabs>
          <w:tab w:val="left" w:pos="540"/>
          <w:tab w:val="left" w:pos="569"/>
        </w:tabs>
        <w:jc w:val="both"/>
        <w:rPr>
          <w:bCs/>
          <w:sz w:val="22"/>
          <w:szCs w:val="22"/>
          <w:lang w:val="pl-PL"/>
        </w:rPr>
      </w:pPr>
      <w:r w:rsidRPr="00F81D44">
        <w:rPr>
          <w:bCs/>
          <w:sz w:val="22"/>
          <w:szCs w:val="22"/>
          <w:lang w:val="sr-Latn-CS"/>
        </w:rPr>
        <w:t xml:space="preserve">Pacijenti kojima je dat </w:t>
      </w:r>
      <w:r w:rsidR="00BC2283">
        <w:rPr>
          <w:bCs/>
          <w:sz w:val="22"/>
          <w:szCs w:val="22"/>
          <w:lang w:val="sr-Latn-CS"/>
        </w:rPr>
        <w:t>glukagon</w:t>
      </w:r>
      <w:r w:rsidRPr="00F81D44">
        <w:rPr>
          <w:bCs/>
          <w:sz w:val="22"/>
          <w:szCs w:val="22"/>
          <w:lang w:val="sr-Latn-CS"/>
        </w:rPr>
        <w:t xml:space="preserve"> zbog dijagnostičke procedure mogu se osjećati nelagodno, posebno ako su prethodno gladovali. </w:t>
      </w:r>
      <w:r w:rsidRPr="00F81D44">
        <w:rPr>
          <w:bCs/>
          <w:sz w:val="22"/>
          <w:szCs w:val="22"/>
          <w:lang w:val="pl-PL"/>
        </w:rPr>
        <w:t>U ovim situacijama prijavljivani su: mučnina, hipoglikemija i prom</w:t>
      </w:r>
      <w:r w:rsidR="00BC2283">
        <w:rPr>
          <w:bCs/>
          <w:sz w:val="22"/>
          <w:szCs w:val="22"/>
          <w:lang w:val="pl-PL"/>
        </w:rPr>
        <w:t>j</w:t>
      </w:r>
      <w:r w:rsidRPr="00F81D44">
        <w:rPr>
          <w:bCs/>
          <w:sz w:val="22"/>
          <w:szCs w:val="22"/>
          <w:lang w:val="pl-PL"/>
        </w:rPr>
        <w:t>ene krvnog pritiska. Ako je to u skladu sa primjenjenom dijagnostičkom procedurom, pacijentu koji je gladovao po završetku dijagnostičke procedure treba dati oralne ugljene hidrate. Ako je nakon ispitivanja potrebno gladovati ili ukoliko dođe do ozbiljne hipoglikemije može biti neophodno prim</w:t>
      </w:r>
      <w:r w:rsidR="00CA754D">
        <w:rPr>
          <w:bCs/>
          <w:sz w:val="22"/>
          <w:szCs w:val="22"/>
          <w:lang w:val="pl-PL"/>
        </w:rPr>
        <w:t>i</w:t>
      </w:r>
      <w:r w:rsidRPr="00F81D44">
        <w:rPr>
          <w:bCs/>
          <w:sz w:val="22"/>
          <w:szCs w:val="22"/>
          <w:lang w:val="pl-PL"/>
        </w:rPr>
        <w:t>jeniti glukozu intravenski.</w:t>
      </w:r>
    </w:p>
    <w:p w14:paraId="14690768" w14:textId="77777777" w:rsidR="00F81D44" w:rsidRPr="00F81D44" w:rsidRDefault="00F81D44" w:rsidP="00BD27C0">
      <w:pPr>
        <w:tabs>
          <w:tab w:val="left" w:pos="540"/>
          <w:tab w:val="left" w:pos="569"/>
        </w:tabs>
        <w:jc w:val="both"/>
        <w:rPr>
          <w:b/>
          <w:bCs/>
          <w:sz w:val="22"/>
          <w:szCs w:val="22"/>
          <w:lang w:val="sr-Latn-CS"/>
        </w:rPr>
      </w:pPr>
    </w:p>
    <w:p w14:paraId="77CA931A" w14:textId="5309EDF1" w:rsidR="00C82873" w:rsidRPr="00C82873" w:rsidRDefault="00CA754D" w:rsidP="00BD27C0">
      <w:pPr>
        <w:tabs>
          <w:tab w:val="left" w:pos="540"/>
          <w:tab w:val="left" w:pos="569"/>
        </w:tabs>
        <w:jc w:val="both"/>
        <w:rPr>
          <w:bCs/>
          <w:sz w:val="22"/>
          <w:szCs w:val="22"/>
          <w:lang w:val="sr-Latn-CS"/>
        </w:rPr>
      </w:pPr>
      <w:r>
        <w:rPr>
          <w:bCs/>
          <w:sz w:val="22"/>
          <w:szCs w:val="22"/>
          <w:lang w:val="sr-Latn-CS"/>
        </w:rPr>
        <w:t xml:space="preserve">Lijek </w:t>
      </w:r>
      <w:r w:rsidR="00C82873" w:rsidRPr="00C82873">
        <w:rPr>
          <w:bCs/>
          <w:sz w:val="22"/>
          <w:szCs w:val="22"/>
          <w:lang w:val="sr-Latn-CS"/>
        </w:rPr>
        <w:t xml:space="preserve">GlucaGen Hypokit može povećati potrebu miokarda za kiseonikom, krvni pritisak i puls. Pratiti pacijente sa srčanim oboljenjima tokom upotrebe </w:t>
      </w:r>
      <w:r>
        <w:rPr>
          <w:bCs/>
          <w:sz w:val="22"/>
          <w:szCs w:val="22"/>
          <w:lang w:val="sr-Latn-CS"/>
        </w:rPr>
        <w:t xml:space="preserve">lijeka </w:t>
      </w:r>
      <w:r w:rsidR="00C82873" w:rsidRPr="00C82873">
        <w:rPr>
          <w:bCs/>
          <w:sz w:val="22"/>
          <w:szCs w:val="22"/>
          <w:lang w:val="sr-Latn-CS"/>
        </w:rPr>
        <w:t>GlucaGen Hypokit kao dijagnostičkog sredstva i liječiti ako je indikovano.</w:t>
      </w:r>
    </w:p>
    <w:p w14:paraId="317A32CD" w14:textId="77777777" w:rsidR="00C82873" w:rsidRPr="00C82873" w:rsidRDefault="00C82873" w:rsidP="00BD27C0">
      <w:pPr>
        <w:tabs>
          <w:tab w:val="left" w:pos="540"/>
          <w:tab w:val="left" w:pos="569"/>
        </w:tabs>
        <w:jc w:val="both"/>
        <w:rPr>
          <w:bCs/>
          <w:sz w:val="22"/>
          <w:szCs w:val="22"/>
          <w:lang w:val="sr-Latn-CS"/>
        </w:rPr>
      </w:pPr>
    </w:p>
    <w:p w14:paraId="37FBA622" w14:textId="1642426A" w:rsidR="00C82873" w:rsidRPr="00C82873" w:rsidRDefault="00CA754D" w:rsidP="00BD27C0">
      <w:pPr>
        <w:tabs>
          <w:tab w:val="left" w:pos="540"/>
          <w:tab w:val="left" w:pos="569"/>
        </w:tabs>
        <w:jc w:val="both"/>
        <w:rPr>
          <w:bCs/>
          <w:sz w:val="22"/>
          <w:szCs w:val="22"/>
          <w:lang w:val="sr-Latn-CS"/>
        </w:rPr>
      </w:pPr>
      <w:r>
        <w:rPr>
          <w:bCs/>
          <w:sz w:val="22"/>
          <w:szCs w:val="22"/>
          <w:lang w:val="sr-Latn-CS"/>
        </w:rPr>
        <w:t xml:space="preserve">Lijek </w:t>
      </w:r>
      <w:r w:rsidR="00C82873" w:rsidRPr="00C82873">
        <w:rPr>
          <w:bCs/>
          <w:sz w:val="22"/>
          <w:szCs w:val="22"/>
          <w:lang w:val="sr-Latn-CS"/>
        </w:rPr>
        <w:t>GlucaGen Hypokit može izazvati kratkotrajnu hiperglikemiju kod pacijenata sa dijabetes melitusom kada se koristi kao dijagnostičko sredstvo. Pratiti promjene nivoa glukoze u krvi pacijenta sa dijabetesom tokom upotrebe lijeka i tretirati ako je indikovano.</w:t>
      </w:r>
    </w:p>
    <w:p w14:paraId="4C214104" w14:textId="77777777" w:rsidR="00C82873" w:rsidRPr="00C82873" w:rsidRDefault="00C82873" w:rsidP="00BD27C0">
      <w:pPr>
        <w:tabs>
          <w:tab w:val="left" w:pos="540"/>
          <w:tab w:val="left" w:pos="569"/>
        </w:tabs>
        <w:jc w:val="both"/>
        <w:rPr>
          <w:bCs/>
          <w:sz w:val="22"/>
          <w:szCs w:val="22"/>
          <w:lang w:val="sr-Latn-CS"/>
        </w:rPr>
      </w:pPr>
    </w:p>
    <w:p w14:paraId="32C8080D" w14:textId="15CB2A6C" w:rsidR="00C82873" w:rsidRPr="00C82873" w:rsidRDefault="00C82873" w:rsidP="00BD27C0">
      <w:pPr>
        <w:tabs>
          <w:tab w:val="left" w:pos="540"/>
          <w:tab w:val="left" w:pos="569"/>
        </w:tabs>
        <w:jc w:val="both"/>
        <w:rPr>
          <w:bCs/>
          <w:sz w:val="22"/>
          <w:szCs w:val="22"/>
          <w:lang w:val="sr-Latn-CS"/>
        </w:rPr>
      </w:pPr>
      <w:r w:rsidRPr="00C82873">
        <w:rPr>
          <w:bCs/>
          <w:sz w:val="22"/>
          <w:szCs w:val="22"/>
          <w:lang w:val="sr-Latn-CS"/>
        </w:rPr>
        <w:t xml:space="preserve">Posebnu pažnju treba obratiti kod pacijenata sa glukagonomom kada se </w:t>
      </w:r>
      <w:r w:rsidR="00CA754D">
        <w:rPr>
          <w:bCs/>
          <w:sz w:val="22"/>
          <w:szCs w:val="22"/>
          <w:lang w:val="sr-Latn-CS"/>
        </w:rPr>
        <w:t xml:space="preserve">lijek </w:t>
      </w:r>
      <w:r w:rsidRPr="00C82873">
        <w:rPr>
          <w:bCs/>
          <w:sz w:val="22"/>
          <w:szCs w:val="22"/>
          <w:lang w:val="sr-Latn-CS"/>
        </w:rPr>
        <w:t>GlucaGen Hypokit koristi kao dijagnostičko sredstvo.</w:t>
      </w:r>
    </w:p>
    <w:p w14:paraId="3EE9AD25" w14:textId="77777777" w:rsidR="00C82873" w:rsidRPr="00C82873" w:rsidRDefault="00C82873" w:rsidP="00BD27C0">
      <w:pPr>
        <w:tabs>
          <w:tab w:val="left" w:pos="540"/>
          <w:tab w:val="left" w:pos="569"/>
        </w:tabs>
        <w:jc w:val="both"/>
        <w:rPr>
          <w:bCs/>
          <w:sz w:val="22"/>
          <w:szCs w:val="22"/>
          <w:lang w:val="sr-Latn-CS"/>
        </w:rPr>
      </w:pPr>
    </w:p>
    <w:p w14:paraId="25A436CA" w14:textId="3B3BB43C" w:rsidR="00C82873" w:rsidRDefault="00C82873" w:rsidP="00BD27C0">
      <w:pPr>
        <w:tabs>
          <w:tab w:val="left" w:pos="540"/>
          <w:tab w:val="left" w:pos="569"/>
        </w:tabs>
        <w:jc w:val="both"/>
        <w:rPr>
          <w:bCs/>
          <w:sz w:val="22"/>
          <w:szCs w:val="22"/>
          <w:u w:val="single"/>
          <w:lang w:val="sr-Latn-CS"/>
        </w:rPr>
      </w:pPr>
      <w:r w:rsidRPr="00C82873">
        <w:rPr>
          <w:bCs/>
          <w:sz w:val="22"/>
          <w:szCs w:val="22"/>
          <w:u w:val="single"/>
          <w:lang w:val="sr-Latn-CS"/>
        </w:rPr>
        <w:t>Terapijske i dijagnostičke indikacije</w:t>
      </w:r>
    </w:p>
    <w:p w14:paraId="7C7E2DD9" w14:textId="77777777" w:rsidR="00C82873" w:rsidRPr="00C82873" w:rsidRDefault="00C82873" w:rsidP="00BD27C0">
      <w:pPr>
        <w:tabs>
          <w:tab w:val="left" w:pos="540"/>
          <w:tab w:val="left" w:pos="569"/>
        </w:tabs>
        <w:jc w:val="both"/>
        <w:rPr>
          <w:bCs/>
          <w:sz w:val="22"/>
          <w:szCs w:val="22"/>
          <w:u w:val="single"/>
          <w:lang w:val="sr-Latn-CS"/>
        </w:rPr>
      </w:pPr>
    </w:p>
    <w:p w14:paraId="553116F8" w14:textId="3C9DFA69" w:rsidR="00F81D44" w:rsidRDefault="00F81D44" w:rsidP="00BD27C0">
      <w:pPr>
        <w:tabs>
          <w:tab w:val="left" w:pos="540"/>
          <w:tab w:val="left" w:pos="569"/>
        </w:tabs>
        <w:jc w:val="both"/>
        <w:rPr>
          <w:bCs/>
          <w:sz w:val="22"/>
          <w:szCs w:val="22"/>
          <w:lang w:val="sr-Latn-CS"/>
        </w:rPr>
      </w:pPr>
      <w:r w:rsidRPr="00F81D44">
        <w:rPr>
          <w:bCs/>
          <w:sz w:val="22"/>
          <w:szCs w:val="22"/>
          <w:lang w:val="sr-Latn-CS"/>
        </w:rPr>
        <w:t>Gl</w:t>
      </w:r>
      <w:r w:rsidR="00BC2283">
        <w:rPr>
          <w:bCs/>
          <w:sz w:val="22"/>
          <w:szCs w:val="22"/>
          <w:lang w:val="sr-Latn-CS"/>
        </w:rPr>
        <w:t>ukagon</w:t>
      </w:r>
      <w:r w:rsidRPr="00F81D44">
        <w:rPr>
          <w:bCs/>
          <w:sz w:val="22"/>
          <w:szCs w:val="22"/>
          <w:lang w:val="sr-Latn-CS"/>
        </w:rPr>
        <w:t xml:space="preserve"> ispoljava dejstvo suprotno insulinu pa se mora obratiti posebna pažnja ako se </w:t>
      </w:r>
      <w:r w:rsidR="00CA754D">
        <w:rPr>
          <w:bCs/>
          <w:sz w:val="22"/>
          <w:szCs w:val="22"/>
          <w:lang w:val="sr-Latn-CS"/>
        </w:rPr>
        <w:t xml:space="preserve">lijek </w:t>
      </w:r>
      <w:r w:rsidRPr="00F81D44">
        <w:rPr>
          <w:bCs/>
          <w:sz w:val="22"/>
          <w:szCs w:val="22"/>
          <w:lang w:val="sr-Latn-CS"/>
        </w:rPr>
        <w:t xml:space="preserve">GlucaGen koristi kod pacijenata sa insulinomom. </w:t>
      </w:r>
    </w:p>
    <w:p w14:paraId="2A5533C7" w14:textId="6E4080BE" w:rsidR="00562872" w:rsidRDefault="00562872" w:rsidP="00BD27C0">
      <w:pPr>
        <w:tabs>
          <w:tab w:val="left" w:pos="540"/>
          <w:tab w:val="left" w:pos="569"/>
        </w:tabs>
        <w:jc w:val="both"/>
        <w:rPr>
          <w:bCs/>
          <w:sz w:val="22"/>
          <w:szCs w:val="22"/>
          <w:lang w:val="sr-Latn-CS"/>
        </w:rPr>
      </w:pPr>
    </w:p>
    <w:p w14:paraId="3E4FDAB1" w14:textId="7E4EE168" w:rsidR="00562872" w:rsidRPr="00F81D44" w:rsidRDefault="00562872" w:rsidP="00CA754D">
      <w:pPr>
        <w:tabs>
          <w:tab w:val="left" w:pos="284"/>
        </w:tabs>
        <w:autoSpaceDE w:val="0"/>
        <w:autoSpaceDN w:val="0"/>
        <w:adjustRightInd w:val="0"/>
        <w:jc w:val="both"/>
        <w:rPr>
          <w:sz w:val="22"/>
          <w:szCs w:val="22"/>
          <w:lang w:val="sr-Latn-CS"/>
        </w:rPr>
      </w:pPr>
      <w:r w:rsidRPr="00F81D44">
        <w:rPr>
          <w:sz w:val="22"/>
          <w:szCs w:val="22"/>
          <w:lang w:val="sr-Latn-CS"/>
        </w:rPr>
        <w:t>Glukag</w:t>
      </w:r>
      <w:r>
        <w:rPr>
          <w:sz w:val="22"/>
          <w:szCs w:val="22"/>
          <w:lang w:val="sr-Latn-CS"/>
        </w:rPr>
        <w:t>o</w:t>
      </w:r>
      <w:r w:rsidRPr="00F81D44">
        <w:rPr>
          <w:sz w:val="22"/>
          <w:szCs w:val="22"/>
          <w:lang w:val="sr-Latn-CS"/>
        </w:rPr>
        <w:t xml:space="preserve">n stimuliše oslobađanje kateholamina. Kod pacijenata sa feohromocitomom glukagon može da prouzrokuje oslobađanje velike količine kateholamina iz tumora, što će prouzrokovati akutnu </w:t>
      </w:r>
      <w:r>
        <w:rPr>
          <w:sz w:val="22"/>
          <w:szCs w:val="22"/>
          <w:lang w:val="sr-Latn-CS"/>
        </w:rPr>
        <w:t>hipetenzivnu reakciju</w:t>
      </w:r>
      <w:r w:rsidRPr="00F81D44">
        <w:rPr>
          <w:sz w:val="22"/>
          <w:szCs w:val="22"/>
          <w:lang w:val="sr-Latn-CS"/>
        </w:rPr>
        <w:t>. Primjena glukagona je kontraindikovana kod pacijenata sa feohromocitomom (vid</w:t>
      </w:r>
      <w:r>
        <w:rPr>
          <w:sz w:val="22"/>
          <w:szCs w:val="22"/>
          <w:lang w:val="sr-Latn-CS"/>
        </w:rPr>
        <w:t>j</w:t>
      </w:r>
      <w:r w:rsidRPr="00F81D44">
        <w:rPr>
          <w:sz w:val="22"/>
          <w:szCs w:val="22"/>
          <w:lang w:val="sr-Latn-CS"/>
        </w:rPr>
        <w:t>eti dio 4.3).</w:t>
      </w:r>
    </w:p>
    <w:p w14:paraId="740D91BA" w14:textId="77777777" w:rsidR="00F81D44" w:rsidRPr="00F81D44" w:rsidRDefault="00F81D44">
      <w:pPr>
        <w:tabs>
          <w:tab w:val="left" w:pos="284"/>
        </w:tabs>
        <w:autoSpaceDE w:val="0"/>
        <w:autoSpaceDN w:val="0"/>
        <w:adjustRightInd w:val="0"/>
        <w:jc w:val="both"/>
        <w:rPr>
          <w:sz w:val="22"/>
          <w:szCs w:val="22"/>
          <w:lang w:val="sr-Latn-CS"/>
        </w:rPr>
      </w:pPr>
    </w:p>
    <w:p w14:paraId="479C7339" w14:textId="77777777" w:rsidR="00F81D44" w:rsidRPr="00F81D44" w:rsidRDefault="00F81D44">
      <w:pPr>
        <w:tabs>
          <w:tab w:val="left" w:pos="284"/>
        </w:tabs>
        <w:autoSpaceDE w:val="0"/>
        <w:autoSpaceDN w:val="0"/>
        <w:adjustRightInd w:val="0"/>
        <w:jc w:val="both"/>
        <w:rPr>
          <w:sz w:val="22"/>
          <w:szCs w:val="22"/>
          <w:u w:val="single"/>
          <w:lang w:val="sr-Latn-CS"/>
        </w:rPr>
      </w:pPr>
      <w:r w:rsidRPr="00F81D44">
        <w:rPr>
          <w:sz w:val="22"/>
          <w:szCs w:val="22"/>
          <w:u w:val="single"/>
          <w:lang w:val="sr-Latn-CS"/>
        </w:rPr>
        <w:t>Pomoćne supstance</w:t>
      </w:r>
    </w:p>
    <w:p w14:paraId="57FD25DA" w14:textId="77777777" w:rsidR="00F81D44" w:rsidRPr="00F81D44" w:rsidRDefault="00F81D44">
      <w:pPr>
        <w:tabs>
          <w:tab w:val="left" w:pos="284"/>
        </w:tabs>
        <w:autoSpaceDE w:val="0"/>
        <w:autoSpaceDN w:val="0"/>
        <w:adjustRightInd w:val="0"/>
        <w:jc w:val="both"/>
        <w:rPr>
          <w:sz w:val="22"/>
          <w:szCs w:val="22"/>
          <w:lang w:val="sr-Latn-CS"/>
        </w:rPr>
      </w:pPr>
    </w:p>
    <w:p w14:paraId="7E1F3A2E" w14:textId="570687B7" w:rsidR="00057E35" w:rsidRPr="00920E02" w:rsidRDefault="00F81D44" w:rsidP="00BD27C0">
      <w:pPr>
        <w:tabs>
          <w:tab w:val="left" w:pos="540"/>
          <w:tab w:val="left" w:pos="569"/>
        </w:tabs>
        <w:jc w:val="both"/>
        <w:rPr>
          <w:sz w:val="22"/>
          <w:szCs w:val="22"/>
          <w:u w:val="single"/>
          <w:lang w:val="sr-Latn-CS"/>
        </w:rPr>
      </w:pPr>
      <w:r w:rsidRPr="00F81D44">
        <w:rPr>
          <w:sz w:val="22"/>
          <w:szCs w:val="22"/>
          <w:lang w:val="sl-SI"/>
        </w:rPr>
        <w:t xml:space="preserve">Lijek GlucaGen sadrži manje od 1 mmol natrijuma (23 mg) po </w:t>
      </w:r>
      <w:r w:rsidR="00BC2283">
        <w:rPr>
          <w:sz w:val="22"/>
          <w:szCs w:val="22"/>
          <w:lang w:val="sl-SI"/>
        </w:rPr>
        <w:t xml:space="preserve">maksimalnoj </w:t>
      </w:r>
      <w:r w:rsidRPr="00F81D44">
        <w:rPr>
          <w:sz w:val="22"/>
          <w:szCs w:val="22"/>
          <w:lang w:val="sl-SI"/>
        </w:rPr>
        <w:t>dozi</w:t>
      </w:r>
      <w:r w:rsidR="00BC2283">
        <w:rPr>
          <w:sz w:val="22"/>
          <w:szCs w:val="22"/>
          <w:lang w:val="sl-SI"/>
        </w:rPr>
        <w:t xml:space="preserve"> (2 ml)</w:t>
      </w:r>
      <w:r w:rsidRPr="00F81D44">
        <w:rPr>
          <w:sz w:val="22"/>
          <w:szCs w:val="22"/>
          <w:lang w:val="sr-Latn-RS"/>
        </w:rPr>
        <w:t xml:space="preserve">, tj. suštinski </w:t>
      </w:r>
      <w:r w:rsidR="00BC2283">
        <w:rPr>
          <w:sz w:val="22"/>
          <w:szCs w:val="22"/>
          <w:lang w:val="sr-Latn-RS"/>
        </w:rPr>
        <w:t xml:space="preserve">je </w:t>
      </w:r>
      <w:r w:rsidRPr="00F81D44">
        <w:rPr>
          <w:sz w:val="22"/>
          <w:szCs w:val="22"/>
          <w:lang w:val="sr-Latn-RS"/>
        </w:rPr>
        <w:t>„bez natrijuma“.</w:t>
      </w:r>
    </w:p>
    <w:p w14:paraId="5A4E3BAA" w14:textId="77777777" w:rsidR="00F81D44" w:rsidRPr="00920E02" w:rsidRDefault="00F81D44" w:rsidP="00BD27C0">
      <w:pPr>
        <w:tabs>
          <w:tab w:val="left" w:pos="540"/>
          <w:tab w:val="left" w:pos="569"/>
        </w:tabs>
        <w:jc w:val="both"/>
        <w:rPr>
          <w:bCs/>
          <w:sz w:val="22"/>
          <w:szCs w:val="22"/>
          <w:lang w:val="sr-Latn-CS"/>
        </w:rPr>
      </w:pPr>
    </w:p>
    <w:p w14:paraId="3EB24B1A" w14:textId="77777777" w:rsidR="00411B4B" w:rsidRPr="00920E02" w:rsidRDefault="00411B4B" w:rsidP="00BD27C0">
      <w:pPr>
        <w:tabs>
          <w:tab w:val="left" w:pos="540"/>
          <w:tab w:val="left" w:pos="569"/>
        </w:tabs>
        <w:jc w:val="both"/>
        <w:rPr>
          <w:b/>
          <w:bCs/>
          <w:sz w:val="22"/>
          <w:szCs w:val="22"/>
          <w:lang w:val="sr-Latn-CS"/>
        </w:rPr>
      </w:pPr>
      <w:r w:rsidRPr="00920E02">
        <w:rPr>
          <w:b/>
          <w:bCs/>
          <w:sz w:val="22"/>
          <w:szCs w:val="22"/>
          <w:lang w:val="sr-Latn-CS"/>
        </w:rPr>
        <w:t>4.5.</w:t>
      </w:r>
      <w:r w:rsidR="000D60CC" w:rsidRPr="00920E02">
        <w:rPr>
          <w:b/>
          <w:bCs/>
          <w:sz w:val="22"/>
          <w:szCs w:val="22"/>
          <w:lang w:val="sr-Latn-CS"/>
        </w:rPr>
        <w:tab/>
      </w:r>
      <w:r w:rsidRPr="001A1E21">
        <w:rPr>
          <w:b/>
          <w:bCs/>
          <w:sz w:val="22"/>
          <w:szCs w:val="22"/>
          <w:lang w:val="sr-Latn-RS"/>
        </w:rPr>
        <w:t>Interakcije</w:t>
      </w:r>
      <w:r w:rsidRPr="00920E02">
        <w:rPr>
          <w:b/>
          <w:bCs/>
          <w:sz w:val="22"/>
          <w:szCs w:val="22"/>
          <w:lang w:val="sr-Latn-CS"/>
        </w:rPr>
        <w:t xml:space="preserve"> </w:t>
      </w:r>
      <w:r w:rsidRPr="001A1E21">
        <w:rPr>
          <w:b/>
          <w:bCs/>
          <w:sz w:val="22"/>
          <w:szCs w:val="22"/>
          <w:lang w:val="sr-Latn-RS"/>
        </w:rPr>
        <w:t>sa</w:t>
      </w:r>
      <w:r w:rsidRPr="00920E02">
        <w:rPr>
          <w:b/>
          <w:bCs/>
          <w:sz w:val="22"/>
          <w:szCs w:val="22"/>
          <w:lang w:val="sr-Latn-CS"/>
        </w:rPr>
        <w:t xml:space="preserve"> </w:t>
      </w:r>
      <w:r w:rsidRPr="001A1E21">
        <w:rPr>
          <w:b/>
          <w:bCs/>
          <w:sz w:val="22"/>
          <w:szCs w:val="22"/>
          <w:lang w:val="sr-Latn-RS"/>
        </w:rPr>
        <w:t>drugim</w:t>
      </w:r>
      <w:r w:rsidRPr="00920E02">
        <w:rPr>
          <w:b/>
          <w:bCs/>
          <w:sz w:val="22"/>
          <w:szCs w:val="22"/>
          <w:lang w:val="sr-Latn-CS"/>
        </w:rPr>
        <w:t xml:space="preserve"> </w:t>
      </w:r>
      <w:r w:rsidRPr="001A1E21">
        <w:rPr>
          <w:b/>
          <w:bCs/>
          <w:sz w:val="22"/>
          <w:szCs w:val="22"/>
          <w:lang w:val="sr-Latn-RS"/>
        </w:rPr>
        <w:t>ljekovima</w:t>
      </w:r>
      <w:r w:rsidRPr="00920E02">
        <w:rPr>
          <w:b/>
          <w:bCs/>
          <w:sz w:val="22"/>
          <w:szCs w:val="22"/>
          <w:lang w:val="sr-Latn-CS"/>
        </w:rPr>
        <w:t xml:space="preserve"> </w:t>
      </w:r>
      <w:r w:rsidRPr="001A1E21">
        <w:rPr>
          <w:b/>
          <w:bCs/>
          <w:sz w:val="22"/>
          <w:szCs w:val="22"/>
          <w:lang w:val="sr-Latn-RS"/>
        </w:rPr>
        <w:t>i</w:t>
      </w:r>
      <w:r w:rsidRPr="00920E02">
        <w:rPr>
          <w:b/>
          <w:bCs/>
          <w:sz w:val="22"/>
          <w:szCs w:val="22"/>
          <w:lang w:val="sr-Latn-CS"/>
        </w:rPr>
        <w:t xml:space="preserve"> </w:t>
      </w:r>
      <w:r w:rsidRPr="001A1E21">
        <w:rPr>
          <w:b/>
          <w:bCs/>
          <w:sz w:val="22"/>
          <w:szCs w:val="22"/>
          <w:lang w:val="sr-Latn-RS"/>
        </w:rPr>
        <w:t>druge</w:t>
      </w:r>
      <w:r w:rsidRPr="00920E02">
        <w:rPr>
          <w:b/>
          <w:bCs/>
          <w:sz w:val="22"/>
          <w:szCs w:val="22"/>
          <w:lang w:val="sr-Latn-CS"/>
        </w:rPr>
        <w:t xml:space="preserve"> </w:t>
      </w:r>
      <w:r w:rsidRPr="001A1E21">
        <w:rPr>
          <w:b/>
          <w:bCs/>
          <w:sz w:val="22"/>
          <w:szCs w:val="22"/>
          <w:lang w:val="sr-Latn-RS"/>
        </w:rPr>
        <w:t>vrste</w:t>
      </w:r>
      <w:r w:rsidRPr="00920E02">
        <w:rPr>
          <w:b/>
          <w:bCs/>
          <w:sz w:val="22"/>
          <w:szCs w:val="22"/>
          <w:lang w:val="sr-Latn-CS"/>
        </w:rPr>
        <w:t xml:space="preserve"> </w:t>
      </w:r>
      <w:r w:rsidRPr="001A1E21">
        <w:rPr>
          <w:b/>
          <w:bCs/>
          <w:sz w:val="22"/>
          <w:szCs w:val="22"/>
          <w:lang w:val="sr-Latn-RS"/>
        </w:rPr>
        <w:t>interakcija</w:t>
      </w:r>
    </w:p>
    <w:p w14:paraId="58F7F538" w14:textId="68C50B82" w:rsidR="0072020E" w:rsidRDefault="0072020E" w:rsidP="00BD27C0">
      <w:pPr>
        <w:tabs>
          <w:tab w:val="left" w:pos="540"/>
          <w:tab w:val="left" w:pos="569"/>
        </w:tabs>
        <w:jc w:val="both"/>
        <w:rPr>
          <w:bCs/>
          <w:sz w:val="22"/>
          <w:szCs w:val="22"/>
          <w:lang w:val="sr-Latn-CS"/>
        </w:rPr>
      </w:pPr>
    </w:p>
    <w:p w14:paraId="71F98D3F" w14:textId="1F5E8109"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lastRenderedPageBreak/>
        <w:t xml:space="preserve">Insulin: </w:t>
      </w:r>
      <w:r w:rsidR="00C545A2">
        <w:rPr>
          <w:bCs/>
          <w:sz w:val="22"/>
          <w:szCs w:val="22"/>
          <w:lang w:val="sr-Latn-CS"/>
        </w:rPr>
        <w:t>i</w:t>
      </w:r>
      <w:r w:rsidRPr="00F81D44">
        <w:rPr>
          <w:bCs/>
          <w:sz w:val="22"/>
          <w:szCs w:val="22"/>
          <w:lang w:val="sr-Latn-CS"/>
        </w:rPr>
        <w:t>spoljava suprotno dejstvo glukagonu.</w:t>
      </w:r>
    </w:p>
    <w:p w14:paraId="0DACA8BE" w14:textId="77777777" w:rsidR="00F81D44" w:rsidRPr="00F81D44" w:rsidRDefault="00F81D44" w:rsidP="00BD27C0">
      <w:pPr>
        <w:tabs>
          <w:tab w:val="left" w:pos="540"/>
          <w:tab w:val="left" w:pos="569"/>
        </w:tabs>
        <w:jc w:val="both"/>
        <w:rPr>
          <w:bCs/>
          <w:sz w:val="22"/>
          <w:szCs w:val="22"/>
          <w:lang w:val="sr-Latn-CS"/>
        </w:rPr>
      </w:pPr>
    </w:p>
    <w:p w14:paraId="33D2486E" w14:textId="480A8EEE"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 xml:space="preserve">Indometacin: </w:t>
      </w:r>
      <w:r w:rsidR="00C545A2">
        <w:rPr>
          <w:bCs/>
          <w:sz w:val="22"/>
          <w:szCs w:val="22"/>
          <w:lang w:val="sr-Latn-CS"/>
        </w:rPr>
        <w:t>g</w:t>
      </w:r>
      <w:r w:rsidRPr="00F81D44">
        <w:rPr>
          <w:bCs/>
          <w:sz w:val="22"/>
          <w:szCs w:val="22"/>
          <w:lang w:val="sr-Latn-CS"/>
        </w:rPr>
        <w:t xml:space="preserve">lukagon može izgubiti sposobnost </w:t>
      </w:r>
      <w:r w:rsidR="00C545A2">
        <w:rPr>
          <w:bCs/>
          <w:sz w:val="22"/>
          <w:szCs w:val="22"/>
          <w:lang w:val="sr-Latn-CS"/>
        </w:rPr>
        <w:t>podizanja nivoa glukoze u krvi</w:t>
      </w:r>
      <w:r w:rsidRPr="00F81D44">
        <w:rPr>
          <w:bCs/>
          <w:sz w:val="22"/>
          <w:szCs w:val="22"/>
          <w:lang w:val="sr-Latn-CS"/>
        </w:rPr>
        <w:t xml:space="preserve"> ili paradoksalno može čak proizvesti hipoglikemiju.</w:t>
      </w:r>
    </w:p>
    <w:p w14:paraId="253181C6" w14:textId="77777777" w:rsidR="00F81D44" w:rsidRPr="00F81D44" w:rsidRDefault="00F81D44" w:rsidP="00BD27C0">
      <w:pPr>
        <w:tabs>
          <w:tab w:val="left" w:pos="540"/>
          <w:tab w:val="left" w:pos="569"/>
        </w:tabs>
        <w:jc w:val="both"/>
        <w:rPr>
          <w:bCs/>
          <w:sz w:val="22"/>
          <w:szCs w:val="22"/>
          <w:lang w:val="sr-Latn-CS"/>
        </w:rPr>
      </w:pPr>
    </w:p>
    <w:p w14:paraId="774C4C4A" w14:textId="581A1E58"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 xml:space="preserve">Varfarin: </w:t>
      </w:r>
      <w:r w:rsidR="00C545A2">
        <w:rPr>
          <w:bCs/>
          <w:sz w:val="22"/>
          <w:szCs w:val="22"/>
          <w:lang w:val="sr-Latn-CS"/>
        </w:rPr>
        <w:t>g</w:t>
      </w:r>
      <w:r w:rsidRPr="00F81D44">
        <w:rPr>
          <w:bCs/>
          <w:sz w:val="22"/>
          <w:szCs w:val="22"/>
          <w:lang w:val="sr-Latn-CS"/>
        </w:rPr>
        <w:t>lukagon može povećati antikoagulantni efekat varfarina.</w:t>
      </w:r>
    </w:p>
    <w:p w14:paraId="45179809" w14:textId="77777777" w:rsidR="00F81D44" w:rsidRPr="00F81D44" w:rsidRDefault="00F81D44" w:rsidP="00BD27C0">
      <w:pPr>
        <w:tabs>
          <w:tab w:val="left" w:pos="540"/>
          <w:tab w:val="left" w:pos="569"/>
        </w:tabs>
        <w:jc w:val="both"/>
        <w:rPr>
          <w:bCs/>
          <w:sz w:val="22"/>
          <w:szCs w:val="22"/>
          <w:lang w:val="sr-Latn-CS"/>
        </w:rPr>
      </w:pPr>
    </w:p>
    <w:p w14:paraId="35307380" w14:textId="7D0B06A8"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 xml:space="preserve">Beta-blokatori: Kod pacijenata koji uzimaju beta-blokatore može se očekivati da imaju veće povećanje pulsa i krvnog pritiska, koje će biti privremeno zbog kratkog </w:t>
      </w:r>
      <w:r w:rsidR="00D23E73" w:rsidRPr="00F81D44">
        <w:rPr>
          <w:bCs/>
          <w:sz w:val="22"/>
          <w:szCs w:val="22"/>
          <w:lang w:val="sr-Latn-CS"/>
        </w:rPr>
        <w:t>polu</w:t>
      </w:r>
      <w:r w:rsidR="00D23E73">
        <w:rPr>
          <w:bCs/>
          <w:sz w:val="22"/>
          <w:szCs w:val="22"/>
          <w:lang w:val="sr-Latn-CS"/>
        </w:rPr>
        <w:t xml:space="preserve">vremena eliminacije </w:t>
      </w:r>
      <w:r w:rsidRPr="00F81D44">
        <w:rPr>
          <w:bCs/>
          <w:sz w:val="22"/>
          <w:szCs w:val="22"/>
          <w:lang w:val="sr-Latn-CS"/>
        </w:rPr>
        <w:t>glukagona. Povećanje krvnog pritiska i brzine pulsa može zahtijevati liječenje kod pacijenata sa koronarnom arterijskom bolešću.</w:t>
      </w:r>
    </w:p>
    <w:p w14:paraId="1ECBD45D" w14:textId="77777777" w:rsidR="00F81D44" w:rsidRPr="00F81D44" w:rsidRDefault="00F81D44" w:rsidP="00BD27C0">
      <w:pPr>
        <w:tabs>
          <w:tab w:val="left" w:pos="540"/>
          <w:tab w:val="left" w:pos="569"/>
        </w:tabs>
        <w:jc w:val="both"/>
        <w:rPr>
          <w:bCs/>
          <w:sz w:val="22"/>
          <w:szCs w:val="22"/>
          <w:lang w:val="sr-Latn-CS"/>
        </w:rPr>
      </w:pPr>
    </w:p>
    <w:p w14:paraId="6A5759D5" w14:textId="5B5C5146" w:rsidR="00F81D44" w:rsidRDefault="00F81D44" w:rsidP="00BD27C0">
      <w:pPr>
        <w:tabs>
          <w:tab w:val="left" w:pos="540"/>
          <w:tab w:val="left" w:pos="569"/>
        </w:tabs>
        <w:jc w:val="both"/>
        <w:rPr>
          <w:bCs/>
          <w:sz w:val="22"/>
          <w:szCs w:val="22"/>
          <w:lang w:val="sr-Latn-CS"/>
        </w:rPr>
      </w:pPr>
      <w:r w:rsidRPr="00F81D44">
        <w:rPr>
          <w:bCs/>
          <w:sz w:val="22"/>
          <w:szCs w:val="22"/>
          <w:lang w:val="sr-Latn-CS"/>
        </w:rPr>
        <w:t xml:space="preserve">Interakcije između lijeka GlucaGen i drugih ljekova nijesu poznate, ukoliko se </w:t>
      </w:r>
      <w:r w:rsidR="00D23E73">
        <w:rPr>
          <w:bCs/>
          <w:sz w:val="22"/>
          <w:szCs w:val="22"/>
          <w:lang w:val="sr-Latn-CS"/>
        </w:rPr>
        <w:t xml:space="preserve">lijek </w:t>
      </w:r>
      <w:r w:rsidRPr="00F81D44">
        <w:rPr>
          <w:bCs/>
          <w:sz w:val="22"/>
          <w:szCs w:val="22"/>
          <w:lang w:val="sr-Latn-CS"/>
        </w:rPr>
        <w:t>GlucaGen primjenjuje u okviru odobrenih indikacija.</w:t>
      </w:r>
    </w:p>
    <w:p w14:paraId="0652F4CE" w14:textId="77777777" w:rsidR="00F81D44" w:rsidRPr="00920E02" w:rsidRDefault="00F81D44" w:rsidP="00BD27C0">
      <w:pPr>
        <w:tabs>
          <w:tab w:val="left" w:pos="540"/>
          <w:tab w:val="left" w:pos="569"/>
        </w:tabs>
        <w:jc w:val="both"/>
        <w:rPr>
          <w:bCs/>
          <w:sz w:val="22"/>
          <w:szCs w:val="22"/>
          <w:lang w:val="sr-Latn-CS"/>
        </w:rPr>
      </w:pPr>
    </w:p>
    <w:p w14:paraId="3B8737D7" w14:textId="77777777" w:rsidR="0072020E" w:rsidRDefault="0072020E" w:rsidP="00BD27C0">
      <w:pPr>
        <w:tabs>
          <w:tab w:val="left" w:pos="540"/>
          <w:tab w:val="left" w:pos="569"/>
        </w:tabs>
        <w:jc w:val="both"/>
        <w:rPr>
          <w:b/>
          <w:sz w:val="22"/>
          <w:szCs w:val="22"/>
          <w:lang w:val="sr-Latn-CS"/>
        </w:rPr>
      </w:pPr>
      <w:r w:rsidRPr="007A58A2">
        <w:rPr>
          <w:b/>
          <w:bCs/>
          <w:sz w:val="22"/>
          <w:szCs w:val="22"/>
          <w:lang w:val="sr-Latn-CS"/>
        </w:rPr>
        <w:t xml:space="preserve">4.6. </w:t>
      </w:r>
      <w:r w:rsidR="00480FB1" w:rsidRPr="007A58A2">
        <w:rPr>
          <w:b/>
          <w:bCs/>
          <w:sz w:val="22"/>
          <w:szCs w:val="22"/>
          <w:lang w:val="sr-Latn-CS"/>
        </w:rPr>
        <w:tab/>
      </w:r>
      <w:r w:rsidR="006D20A5">
        <w:rPr>
          <w:b/>
          <w:sz w:val="22"/>
          <w:szCs w:val="22"/>
          <w:lang w:val="sr-Latn-CS"/>
        </w:rPr>
        <w:t>Plodnost, trudnoća i dojenje</w:t>
      </w:r>
    </w:p>
    <w:p w14:paraId="4D760C6B" w14:textId="77777777" w:rsidR="002031B3" w:rsidRPr="007A58A2" w:rsidRDefault="002031B3" w:rsidP="00BD27C0">
      <w:pPr>
        <w:tabs>
          <w:tab w:val="left" w:pos="540"/>
          <w:tab w:val="left" w:pos="569"/>
        </w:tabs>
        <w:jc w:val="both"/>
        <w:rPr>
          <w:sz w:val="22"/>
          <w:szCs w:val="22"/>
          <w:u w:val="single"/>
          <w:lang w:val="sr-Latn-CS"/>
        </w:rPr>
      </w:pPr>
    </w:p>
    <w:p w14:paraId="56E2FD79" w14:textId="77777777" w:rsidR="00F81D44" w:rsidRPr="00F81D44" w:rsidRDefault="00F81D44" w:rsidP="00CA754D">
      <w:pPr>
        <w:tabs>
          <w:tab w:val="left" w:pos="284"/>
        </w:tabs>
        <w:jc w:val="both"/>
        <w:rPr>
          <w:sz w:val="22"/>
          <w:szCs w:val="22"/>
          <w:u w:val="single"/>
          <w:lang w:val="sr-Latn-CS"/>
        </w:rPr>
      </w:pPr>
      <w:r w:rsidRPr="00F81D44">
        <w:rPr>
          <w:sz w:val="22"/>
          <w:szCs w:val="22"/>
          <w:u w:val="single"/>
          <w:lang w:val="sr-Latn-CS"/>
        </w:rPr>
        <w:t>Trudnoća</w:t>
      </w:r>
    </w:p>
    <w:p w14:paraId="5D22E877" w14:textId="77777777" w:rsidR="00F81D44" w:rsidRPr="00F81D44" w:rsidRDefault="00F81D44">
      <w:pPr>
        <w:tabs>
          <w:tab w:val="left" w:pos="284"/>
        </w:tabs>
        <w:jc w:val="both"/>
        <w:rPr>
          <w:sz w:val="22"/>
          <w:szCs w:val="22"/>
          <w:lang w:val="sr-Latn-CS"/>
        </w:rPr>
      </w:pPr>
    </w:p>
    <w:p w14:paraId="1F3D1172" w14:textId="6A8DE257" w:rsidR="00F81D44" w:rsidRPr="00F81D44" w:rsidRDefault="000D2058">
      <w:pPr>
        <w:tabs>
          <w:tab w:val="left" w:pos="284"/>
        </w:tabs>
        <w:autoSpaceDE w:val="0"/>
        <w:autoSpaceDN w:val="0"/>
        <w:adjustRightInd w:val="0"/>
        <w:jc w:val="both"/>
        <w:rPr>
          <w:sz w:val="22"/>
          <w:szCs w:val="22"/>
          <w:lang w:val="pl-PL"/>
        </w:rPr>
      </w:pPr>
      <w:r>
        <w:rPr>
          <w:sz w:val="22"/>
          <w:szCs w:val="22"/>
          <w:lang w:val="pl-PL"/>
        </w:rPr>
        <w:t>Glukagon</w:t>
      </w:r>
      <w:r w:rsidR="00F81D44" w:rsidRPr="00F81D44">
        <w:rPr>
          <w:sz w:val="22"/>
          <w:szCs w:val="22"/>
          <w:lang w:val="pl-PL"/>
        </w:rPr>
        <w:t xml:space="preserve"> ne prolazi kroz humanu placentarnu barijeru. Prijavljena je upotreba </w:t>
      </w:r>
      <w:r w:rsidRPr="005210D5">
        <w:rPr>
          <w:sz w:val="22"/>
          <w:szCs w:val="22"/>
          <w:lang w:val="pl-PL"/>
        </w:rPr>
        <w:t>glukagona</w:t>
      </w:r>
      <w:r w:rsidR="00F81D44" w:rsidRPr="00F81D44">
        <w:rPr>
          <w:sz w:val="22"/>
          <w:szCs w:val="22"/>
          <w:lang w:val="pl-PL"/>
        </w:rPr>
        <w:t xml:space="preserve"> kod trudnica sa dijabetesom</w:t>
      </w:r>
      <w:r>
        <w:rPr>
          <w:sz w:val="22"/>
          <w:szCs w:val="22"/>
          <w:lang w:val="pl-PL"/>
        </w:rPr>
        <w:t>;</w:t>
      </w:r>
      <w:r w:rsidR="00F81D44" w:rsidRPr="00F81D44">
        <w:rPr>
          <w:sz w:val="22"/>
          <w:szCs w:val="22"/>
          <w:lang w:val="pl-PL"/>
        </w:rPr>
        <w:t xml:space="preserve"> nije zapažen štetni uticaj na tok trudnoće, niti na zdravstveno stanje ploda ili novorođenčeta. Lijek </w:t>
      </w:r>
      <w:r w:rsidR="00F81D44" w:rsidRPr="00F81D44">
        <w:rPr>
          <w:sz w:val="22"/>
          <w:szCs w:val="22"/>
          <w:lang w:val="sr-Latn-CS"/>
        </w:rPr>
        <w:t>GlucaGen Hypo</w:t>
      </w:r>
      <w:r w:rsidR="009C1ED3">
        <w:rPr>
          <w:sz w:val="22"/>
          <w:szCs w:val="22"/>
          <w:lang w:val="sr-Latn-CS"/>
        </w:rPr>
        <w:t>K</w:t>
      </w:r>
      <w:r w:rsidR="00F81D44" w:rsidRPr="00F81D44">
        <w:rPr>
          <w:sz w:val="22"/>
          <w:szCs w:val="22"/>
          <w:lang w:val="sr-Latn-CS"/>
        </w:rPr>
        <w:t>it</w:t>
      </w:r>
      <w:r w:rsidR="00F81D44" w:rsidRPr="00F81D44">
        <w:rPr>
          <w:sz w:val="22"/>
          <w:szCs w:val="22"/>
          <w:lang w:val="pl-PL"/>
        </w:rPr>
        <w:t xml:space="preserve"> se može koristiti u toku trudnoće.</w:t>
      </w:r>
    </w:p>
    <w:p w14:paraId="04D311B1" w14:textId="77777777" w:rsidR="00F81D44" w:rsidRPr="00F81D44" w:rsidRDefault="00F81D44">
      <w:pPr>
        <w:tabs>
          <w:tab w:val="left" w:pos="284"/>
        </w:tabs>
        <w:autoSpaceDE w:val="0"/>
        <w:autoSpaceDN w:val="0"/>
        <w:adjustRightInd w:val="0"/>
        <w:jc w:val="both"/>
        <w:rPr>
          <w:sz w:val="22"/>
          <w:szCs w:val="22"/>
          <w:lang w:val="pl-PL"/>
        </w:rPr>
      </w:pPr>
    </w:p>
    <w:p w14:paraId="305A6D85" w14:textId="77777777" w:rsidR="00F81D44" w:rsidRPr="00F81D44" w:rsidRDefault="00F81D44">
      <w:pPr>
        <w:tabs>
          <w:tab w:val="left" w:pos="284"/>
        </w:tabs>
        <w:autoSpaceDE w:val="0"/>
        <w:autoSpaceDN w:val="0"/>
        <w:adjustRightInd w:val="0"/>
        <w:jc w:val="both"/>
        <w:rPr>
          <w:sz w:val="22"/>
          <w:szCs w:val="22"/>
          <w:u w:val="single"/>
          <w:lang w:val="pl-PL"/>
        </w:rPr>
      </w:pPr>
      <w:r w:rsidRPr="00F81D44">
        <w:rPr>
          <w:sz w:val="22"/>
          <w:szCs w:val="22"/>
          <w:u w:val="single"/>
          <w:lang w:val="pl-PL"/>
        </w:rPr>
        <w:t>Dojenje</w:t>
      </w:r>
    </w:p>
    <w:p w14:paraId="18286654" w14:textId="77777777" w:rsidR="00F81D44" w:rsidRPr="00F81D44" w:rsidRDefault="00F81D44">
      <w:pPr>
        <w:tabs>
          <w:tab w:val="left" w:pos="284"/>
        </w:tabs>
        <w:autoSpaceDE w:val="0"/>
        <w:autoSpaceDN w:val="0"/>
        <w:adjustRightInd w:val="0"/>
        <w:jc w:val="both"/>
        <w:rPr>
          <w:sz w:val="22"/>
          <w:szCs w:val="22"/>
          <w:lang w:val="pl-PL"/>
        </w:rPr>
      </w:pPr>
    </w:p>
    <w:p w14:paraId="60EA6447" w14:textId="0FAA44D6" w:rsidR="00F81D44" w:rsidRPr="00F81D44" w:rsidRDefault="00F81D44">
      <w:pPr>
        <w:tabs>
          <w:tab w:val="left" w:pos="284"/>
        </w:tabs>
        <w:autoSpaceDE w:val="0"/>
        <w:autoSpaceDN w:val="0"/>
        <w:adjustRightInd w:val="0"/>
        <w:jc w:val="both"/>
        <w:rPr>
          <w:sz w:val="22"/>
          <w:szCs w:val="22"/>
          <w:lang w:val="pl-PL"/>
        </w:rPr>
      </w:pPr>
      <w:r w:rsidRPr="00F81D44">
        <w:rPr>
          <w:sz w:val="22"/>
          <w:szCs w:val="22"/>
          <w:lang w:val="pl-PL"/>
        </w:rPr>
        <w:t>Glukagon se ekskretuje iz krvotoka veoma brzo (uglavnom preko jetre) (t</w:t>
      </w:r>
      <w:r w:rsidRPr="00F81D44">
        <w:rPr>
          <w:sz w:val="22"/>
          <w:szCs w:val="22"/>
          <w:vertAlign w:val="subscript"/>
          <w:lang w:val="pl-PL"/>
        </w:rPr>
        <w:t>1/2</w:t>
      </w:r>
      <w:r w:rsidRPr="00F81D44">
        <w:rPr>
          <w:sz w:val="22"/>
          <w:szCs w:val="22"/>
          <w:lang w:val="pl-PL"/>
        </w:rPr>
        <w:t>= 3-6 min); stoga se očekuje da će koli</w:t>
      </w:r>
      <w:r w:rsidRPr="00F81D44">
        <w:rPr>
          <w:sz w:val="22"/>
          <w:szCs w:val="22"/>
          <w:lang w:val="sr-Latn-CS"/>
        </w:rPr>
        <w:t xml:space="preserve">čina lijeka ekskretovana u mlijeko dojilja nakon terapije ozbiljne hipoglikemije biti ekstremno mala. Pošto se glukagon razgrađuje u digestivnom traktu i ne može se resorbovati u intaktnom obliku, neće se ispoljiti bilo kakav metabolički </w:t>
      </w:r>
      <w:r w:rsidR="0093154C">
        <w:rPr>
          <w:sz w:val="22"/>
          <w:szCs w:val="22"/>
          <w:lang w:val="sr-Latn-CS"/>
        </w:rPr>
        <w:t>efekat</w:t>
      </w:r>
      <w:r w:rsidRPr="00F81D44">
        <w:rPr>
          <w:sz w:val="22"/>
          <w:szCs w:val="22"/>
          <w:lang w:val="sr-Latn-CS"/>
        </w:rPr>
        <w:t xml:space="preserve"> kod dijeteta. </w:t>
      </w:r>
      <w:r w:rsidRPr="00F81D44">
        <w:rPr>
          <w:sz w:val="22"/>
          <w:szCs w:val="22"/>
          <w:lang w:val="pl-PL"/>
        </w:rPr>
        <w:t xml:space="preserve">Lijek </w:t>
      </w:r>
      <w:r w:rsidRPr="00F81D44">
        <w:rPr>
          <w:sz w:val="22"/>
          <w:szCs w:val="22"/>
          <w:lang w:val="sr-Latn-CS"/>
        </w:rPr>
        <w:t>GlucaGen Hypo</w:t>
      </w:r>
      <w:r w:rsidR="009C1ED3">
        <w:rPr>
          <w:sz w:val="22"/>
          <w:szCs w:val="22"/>
          <w:lang w:val="sr-Latn-CS"/>
        </w:rPr>
        <w:t>K</w:t>
      </w:r>
      <w:r w:rsidRPr="00F81D44">
        <w:rPr>
          <w:sz w:val="22"/>
          <w:szCs w:val="22"/>
          <w:lang w:val="sr-Latn-CS"/>
        </w:rPr>
        <w:t>it</w:t>
      </w:r>
      <w:r w:rsidRPr="00F81D44">
        <w:rPr>
          <w:sz w:val="22"/>
          <w:szCs w:val="22"/>
          <w:lang w:val="pl-PL"/>
        </w:rPr>
        <w:t xml:space="preserve"> se može koristiti u toku dojenja.</w:t>
      </w:r>
    </w:p>
    <w:p w14:paraId="1B15E7BD" w14:textId="77777777" w:rsidR="00F81D44" w:rsidRPr="00F81D44" w:rsidRDefault="00F81D44">
      <w:pPr>
        <w:tabs>
          <w:tab w:val="left" w:pos="284"/>
        </w:tabs>
        <w:autoSpaceDE w:val="0"/>
        <w:autoSpaceDN w:val="0"/>
        <w:adjustRightInd w:val="0"/>
        <w:jc w:val="both"/>
        <w:rPr>
          <w:sz w:val="22"/>
          <w:szCs w:val="22"/>
          <w:lang w:val="pl-PL"/>
        </w:rPr>
      </w:pPr>
    </w:p>
    <w:p w14:paraId="3267FF60" w14:textId="77777777" w:rsidR="00F81D44" w:rsidRPr="00F81D44" w:rsidRDefault="00F81D44">
      <w:pPr>
        <w:tabs>
          <w:tab w:val="left" w:pos="284"/>
        </w:tabs>
        <w:autoSpaceDE w:val="0"/>
        <w:autoSpaceDN w:val="0"/>
        <w:adjustRightInd w:val="0"/>
        <w:jc w:val="both"/>
        <w:rPr>
          <w:sz w:val="22"/>
          <w:szCs w:val="22"/>
          <w:u w:val="single"/>
          <w:lang w:val="pl-PL"/>
        </w:rPr>
      </w:pPr>
      <w:r w:rsidRPr="00F81D44">
        <w:rPr>
          <w:sz w:val="22"/>
          <w:szCs w:val="22"/>
          <w:u w:val="single"/>
          <w:lang w:val="pl-PL"/>
        </w:rPr>
        <w:t>Plodnost</w:t>
      </w:r>
    </w:p>
    <w:p w14:paraId="5ABCC4D0" w14:textId="77777777" w:rsidR="00F81D44" w:rsidRPr="00F81D44" w:rsidRDefault="00F81D44">
      <w:pPr>
        <w:tabs>
          <w:tab w:val="left" w:pos="284"/>
        </w:tabs>
        <w:autoSpaceDE w:val="0"/>
        <w:autoSpaceDN w:val="0"/>
        <w:adjustRightInd w:val="0"/>
        <w:jc w:val="both"/>
        <w:rPr>
          <w:sz w:val="22"/>
          <w:szCs w:val="22"/>
          <w:lang w:val="pl-PL"/>
        </w:rPr>
      </w:pPr>
    </w:p>
    <w:p w14:paraId="08D7D4B4" w14:textId="16D74F95" w:rsidR="0072020E" w:rsidRPr="00F81D44" w:rsidRDefault="00F81D44" w:rsidP="00BD27C0">
      <w:pPr>
        <w:tabs>
          <w:tab w:val="left" w:pos="540"/>
          <w:tab w:val="left" w:pos="569"/>
        </w:tabs>
        <w:jc w:val="both"/>
        <w:rPr>
          <w:b/>
          <w:bCs/>
          <w:sz w:val="22"/>
          <w:szCs w:val="22"/>
          <w:lang w:val="it-IT"/>
        </w:rPr>
      </w:pPr>
      <w:r w:rsidRPr="00F81D44">
        <w:rPr>
          <w:sz w:val="22"/>
          <w:szCs w:val="22"/>
          <w:lang w:val="pl-PL"/>
        </w:rPr>
        <w:t>Reproduktivne studije na životinjama nijesu izvršene. Studije na pacovima pokazale su da glukagon ne uzrokuje poremećaj fertiliteta.</w:t>
      </w:r>
    </w:p>
    <w:p w14:paraId="5B07AADF" w14:textId="77777777" w:rsidR="00227BDB" w:rsidRPr="00F81D44" w:rsidRDefault="00227BDB" w:rsidP="00BD27C0">
      <w:pPr>
        <w:tabs>
          <w:tab w:val="left" w:pos="540"/>
          <w:tab w:val="left" w:pos="569"/>
        </w:tabs>
        <w:ind w:left="540" w:hanging="540"/>
        <w:jc w:val="both"/>
        <w:rPr>
          <w:b/>
          <w:bCs/>
          <w:sz w:val="22"/>
          <w:szCs w:val="22"/>
          <w:lang w:val="it-IT"/>
        </w:rPr>
      </w:pPr>
    </w:p>
    <w:p w14:paraId="503310AA" w14:textId="77777777" w:rsidR="0072020E" w:rsidRPr="007A58A2" w:rsidRDefault="0072020E" w:rsidP="00BD27C0">
      <w:pPr>
        <w:tabs>
          <w:tab w:val="left" w:pos="540"/>
          <w:tab w:val="left" w:pos="569"/>
        </w:tabs>
        <w:ind w:left="540" w:hanging="540"/>
        <w:jc w:val="both"/>
        <w:rPr>
          <w:b/>
          <w:bCs/>
          <w:sz w:val="22"/>
          <w:szCs w:val="22"/>
          <w:lang w:val="it-IT"/>
        </w:rPr>
      </w:pPr>
      <w:r w:rsidRPr="007A58A2">
        <w:rPr>
          <w:b/>
          <w:bCs/>
          <w:sz w:val="22"/>
          <w:szCs w:val="22"/>
          <w:lang w:val="it-IT"/>
        </w:rPr>
        <w:t xml:space="preserve">4.7. </w:t>
      </w:r>
      <w:r w:rsidR="00480FB1" w:rsidRPr="007A58A2">
        <w:rPr>
          <w:b/>
          <w:bCs/>
          <w:sz w:val="22"/>
          <w:szCs w:val="22"/>
          <w:lang w:val="it-IT"/>
        </w:rPr>
        <w:tab/>
      </w:r>
      <w:r w:rsidRPr="007A58A2">
        <w:rPr>
          <w:b/>
          <w:bCs/>
          <w:sz w:val="22"/>
          <w:szCs w:val="22"/>
          <w:lang w:val="it-IT"/>
        </w:rPr>
        <w:t xml:space="preserve">Uticaj na </w:t>
      </w:r>
      <w:r w:rsidR="002031B3" w:rsidRPr="007A58A2">
        <w:rPr>
          <w:b/>
          <w:bCs/>
          <w:sz w:val="22"/>
          <w:szCs w:val="22"/>
          <w:lang w:val="it-IT"/>
        </w:rPr>
        <w:t xml:space="preserve">sposobnost </w:t>
      </w:r>
      <w:r w:rsidR="00F34554" w:rsidRPr="007A58A2">
        <w:rPr>
          <w:b/>
          <w:bCs/>
          <w:sz w:val="22"/>
          <w:szCs w:val="22"/>
          <w:lang w:val="it-IT"/>
        </w:rPr>
        <w:t>upravljanja vozili</w:t>
      </w:r>
      <w:r w:rsidRPr="007A58A2">
        <w:rPr>
          <w:b/>
          <w:bCs/>
          <w:sz w:val="22"/>
          <w:szCs w:val="22"/>
          <w:lang w:val="it-IT"/>
        </w:rPr>
        <w:t>m</w:t>
      </w:r>
      <w:r w:rsidR="00F34554" w:rsidRPr="007A58A2">
        <w:rPr>
          <w:b/>
          <w:bCs/>
          <w:sz w:val="22"/>
          <w:szCs w:val="22"/>
          <w:lang w:val="it-IT"/>
        </w:rPr>
        <w:t>a</w:t>
      </w:r>
      <w:r w:rsidRPr="007A58A2">
        <w:rPr>
          <w:b/>
          <w:bCs/>
          <w:sz w:val="22"/>
          <w:szCs w:val="22"/>
          <w:lang w:val="it-IT"/>
        </w:rPr>
        <w:t xml:space="preserve"> i </w:t>
      </w:r>
      <w:r w:rsidR="000D3449" w:rsidRPr="007A58A2">
        <w:rPr>
          <w:b/>
          <w:bCs/>
          <w:sz w:val="22"/>
          <w:szCs w:val="22"/>
          <w:lang w:val="it-IT"/>
        </w:rPr>
        <w:t xml:space="preserve">rukovanje </w:t>
      </w:r>
      <w:r w:rsidRPr="007A58A2">
        <w:rPr>
          <w:b/>
          <w:bCs/>
          <w:sz w:val="22"/>
          <w:szCs w:val="22"/>
          <w:lang w:val="it-IT"/>
        </w:rPr>
        <w:t>mašinama</w:t>
      </w:r>
    </w:p>
    <w:p w14:paraId="521339ED" w14:textId="435C2BF4" w:rsidR="0072020E" w:rsidRPr="007A58A2" w:rsidRDefault="0072020E" w:rsidP="00BD27C0">
      <w:pPr>
        <w:tabs>
          <w:tab w:val="left" w:pos="540"/>
          <w:tab w:val="left" w:pos="569"/>
        </w:tabs>
        <w:jc w:val="both"/>
        <w:rPr>
          <w:b/>
          <w:bCs/>
          <w:sz w:val="22"/>
          <w:szCs w:val="22"/>
          <w:lang w:val="it-IT"/>
        </w:rPr>
      </w:pPr>
    </w:p>
    <w:p w14:paraId="7D4A1909" w14:textId="77777777" w:rsidR="00F81D44" w:rsidRPr="00F81D44" w:rsidRDefault="00F81D44" w:rsidP="00CA754D">
      <w:pPr>
        <w:tabs>
          <w:tab w:val="left" w:pos="284"/>
        </w:tabs>
        <w:autoSpaceDE w:val="0"/>
        <w:autoSpaceDN w:val="0"/>
        <w:adjustRightInd w:val="0"/>
        <w:jc w:val="both"/>
        <w:rPr>
          <w:sz w:val="22"/>
          <w:szCs w:val="22"/>
          <w:lang w:val="pl-PL"/>
        </w:rPr>
      </w:pPr>
      <w:r w:rsidRPr="00F81D44">
        <w:rPr>
          <w:sz w:val="22"/>
          <w:szCs w:val="22"/>
          <w:lang w:val="pl-PL"/>
        </w:rPr>
        <w:t>Nakon ozbiljnih hipoglikemijskih događaja, sposobnost koncentracije i reagovanja može biti oslabljena. Zbog toga pacijenti ne bi trebalo da upravljaju motornim vozilima ili rukuju mašinama nakon ozbiljnih hipoglikemijskih događaja, dok im se stanje ne stabilizuje.</w:t>
      </w:r>
    </w:p>
    <w:p w14:paraId="1EAF58E5" w14:textId="77777777" w:rsidR="00F81D44" w:rsidRPr="00F81D44" w:rsidRDefault="00F81D44">
      <w:pPr>
        <w:tabs>
          <w:tab w:val="left" w:pos="284"/>
        </w:tabs>
        <w:autoSpaceDE w:val="0"/>
        <w:autoSpaceDN w:val="0"/>
        <w:adjustRightInd w:val="0"/>
        <w:jc w:val="both"/>
        <w:rPr>
          <w:sz w:val="22"/>
          <w:szCs w:val="22"/>
          <w:lang w:val="pl-PL"/>
        </w:rPr>
      </w:pPr>
    </w:p>
    <w:p w14:paraId="420F0F06" w14:textId="47F20EF3" w:rsidR="00F81D44" w:rsidRPr="00F81D44" w:rsidRDefault="00F81D44" w:rsidP="00BD27C0">
      <w:pPr>
        <w:tabs>
          <w:tab w:val="left" w:pos="540"/>
          <w:tab w:val="left" w:pos="569"/>
        </w:tabs>
        <w:jc w:val="both"/>
        <w:rPr>
          <w:b/>
          <w:bCs/>
          <w:sz w:val="22"/>
          <w:szCs w:val="22"/>
          <w:lang w:val="pl-PL"/>
        </w:rPr>
      </w:pPr>
      <w:r w:rsidRPr="00F81D44">
        <w:rPr>
          <w:sz w:val="22"/>
          <w:szCs w:val="22"/>
          <w:lang w:val="pl-PL"/>
        </w:rPr>
        <w:t xml:space="preserve">Nakon dijagnostičke procedure hipoglikemija je prijavljivana u rijetkim slučajevima. Zbog toga bi upravljanje vozilom i rukovanje mašinama trebalo izbjegavati dok pacijent ne pojede obrok bogat ugljenim hidratima.  </w:t>
      </w:r>
    </w:p>
    <w:p w14:paraId="27C2695C" w14:textId="77777777" w:rsidR="00F81D44" w:rsidRPr="00F81D44" w:rsidRDefault="00F81D44" w:rsidP="00BD27C0">
      <w:pPr>
        <w:tabs>
          <w:tab w:val="left" w:pos="540"/>
          <w:tab w:val="left" w:pos="569"/>
        </w:tabs>
        <w:jc w:val="both"/>
        <w:rPr>
          <w:b/>
          <w:bCs/>
          <w:sz w:val="22"/>
          <w:szCs w:val="22"/>
          <w:lang w:val="pl-PL"/>
        </w:rPr>
      </w:pPr>
    </w:p>
    <w:p w14:paraId="46A20FB7" w14:textId="77777777" w:rsidR="0072020E" w:rsidRPr="007A58A2" w:rsidRDefault="0072020E" w:rsidP="00BD27C0">
      <w:pPr>
        <w:tabs>
          <w:tab w:val="left" w:pos="540"/>
          <w:tab w:val="left" w:pos="569"/>
        </w:tabs>
        <w:jc w:val="both"/>
        <w:rPr>
          <w:b/>
          <w:bCs/>
          <w:sz w:val="22"/>
          <w:szCs w:val="22"/>
          <w:lang w:val="pl-PL"/>
        </w:rPr>
      </w:pPr>
      <w:r w:rsidRPr="007A58A2">
        <w:rPr>
          <w:b/>
          <w:bCs/>
          <w:sz w:val="22"/>
          <w:szCs w:val="22"/>
          <w:lang w:val="pl-PL"/>
        </w:rPr>
        <w:t xml:space="preserve">4.8. </w:t>
      </w:r>
      <w:r w:rsidR="00480FB1" w:rsidRPr="007A58A2">
        <w:rPr>
          <w:b/>
          <w:bCs/>
          <w:sz w:val="22"/>
          <w:szCs w:val="22"/>
          <w:lang w:val="pl-PL"/>
        </w:rPr>
        <w:tab/>
      </w:r>
      <w:r w:rsidRPr="007A58A2">
        <w:rPr>
          <w:b/>
          <w:bCs/>
          <w:sz w:val="22"/>
          <w:szCs w:val="22"/>
          <w:lang w:val="pl-PL"/>
        </w:rPr>
        <w:t>Neželjena dejstva</w:t>
      </w:r>
    </w:p>
    <w:p w14:paraId="5241B86B" w14:textId="7BF5CE6A" w:rsidR="004E70AD" w:rsidRPr="007A58A2" w:rsidRDefault="004E70AD" w:rsidP="00BD27C0">
      <w:pPr>
        <w:tabs>
          <w:tab w:val="left" w:pos="540"/>
          <w:tab w:val="left" w:pos="569"/>
        </w:tabs>
        <w:jc w:val="both"/>
        <w:rPr>
          <w:b/>
          <w:bCs/>
          <w:sz w:val="22"/>
          <w:szCs w:val="22"/>
          <w:lang w:val="pl-PL"/>
        </w:rPr>
      </w:pPr>
    </w:p>
    <w:p w14:paraId="36FA006E" w14:textId="77777777" w:rsidR="00F81D44" w:rsidRPr="00F81D44" w:rsidRDefault="00F81D44" w:rsidP="00CA754D">
      <w:pPr>
        <w:tabs>
          <w:tab w:val="left" w:pos="284"/>
          <w:tab w:val="left" w:pos="7075"/>
        </w:tabs>
        <w:jc w:val="both"/>
        <w:rPr>
          <w:i/>
          <w:sz w:val="22"/>
          <w:szCs w:val="22"/>
          <w:lang w:val="sr-Latn-CS"/>
        </w:rPr>
      </w:pPr>
      <w:r w:rsidRPr="00F81D44">
        <w:rPr>
          <w:i/>
          <w:sz w:val="22"/>
          <w:szCs w:val="22"/>
          <w:lang w:val="sr-Latn-CS"/>
        </w:rPr>
        <w:t>Sažetak bezbjednosnog profila</w:t>
      </w:r>
    </w:p>
    <w:p w14:paraId="2FEF3EF3" w14:textId="77777777" w:rsidR="00F81D44" w:rsidRPr="00F81D44" w:rsidRDefault="00F81D44">
      <w:pPr>
        <w:tabs>
          <w:tab w:val="left" w:pos="284"/>
          <w:tab w:val="left" w:pos="7075"/>
        </w:tabs>
        <w:jc w:val="both"/>
        <w:rPr>
          <w:sz w:val="22"/>
          <w:szCs w:val="22"/>
          <w:lang w:val="sr-Latn-CS"/>
        </w:rPr>
      </w:pPr>
    </w:p>
    <w:p w14:paraId="084EB298" w14:textId="43A8DCAF" w:rsidR="00F81D44" w:rsidRPr="00F81D44" w:rsidRDefault="00F81D44">
      <w:pPr>
        <w:tabs>
          <w:tab w:val="left" w:pos="284"/>
          <w:tab w:val="left" w:pos="7075"/>
        </w:tabs>
        <w:jc w:val="both"/>
        <w:rPr>
          <w:sz w:val="22"/>
          <w:szCs w:val="22"/>
          <w:lang w:val="sr-Latn-CS"/>
        </w:rPr>
      </w:pPr>
      <w:r w:rsidRPr="00F81D44">
        <w:rPr>
          <w:sz w:val="22"/>
          <w:szCs w:val="22"/>
          <w:lang w:val="sr-Latn-CS"/>
        </w:rPr>
        <w:t>Ozbiljne neželjene reakcije su veoma rijetke, iako se povremeno mogu javiti mučnina, povraćanje i abdominalni bol. Reakcije preosjetljivosti, uključujući anafilaktičke reakcije, prijavljivane su kao „veoma rijetke“ (manje od 1 slučaja na 10 000 pacijenata). Kada je lijek primjenjivan u dijagnostičkoj indikaciji, prijavljivana je hipoglikemija/hipoglikemijska koma, posebno kod pacijenata koji su gladovali. Kardiovaskularne neželjene reakcije, kao što su tahikardija i promjene krvnog pritiska, prijavljivane su samo kada je lijek GlucaGen Hypo</w:t>
      </w:r>
      <w:r w:rsidR="009C1ED3">
        <w:rPr>
          <w:sz w:val="22"/>
          <w:szCs w:val="22"/>
          <w:lang w:val="sr-Latn-CS"/>
        </w:rPr>
        <w:t>K</w:t>
      </w:r>
      <w:r w:rsidRPr="00F81D44">
        <w:rPr>
          <w:sz w:val="22"/>
          <w:szCs w:val="22"/>
          <w:lang w:val="sr-Latn-CS"/>
        </w:rPr>
        <w:t>it primjenjivan kao dopuna u endoskopskim ili radiografskim procedurama.</w:t>
      </w:r>
    </w:p>
    <w:p w14:paraId="4E261B2E" w14:textId="77777777" w:rsidR="00F81D44" w:rsidRPr="00F81D44" w:rsidRDefault="00F81D44">
      <w:pPr>
        <w:tabs>
          <w:tab w:val="left" w:pos="284"/>
          <w:tab w:val="left" w:pos="7075"/>
        </w:tabs>
        <w:jc w:val="both"/>
        <w:rPr>
          <w:sz w:val="22"/>
          <w:szCs w:val="22"/>
          <w:lang w:val="sr-Latn-CS"/>
        </w:rPr>
      </w:pPr>
    </w:p>
    <w:p w14:paraId="26ED82C3" w14:textId="77777777" w:rsidR="00F81D44" w:rsidRPr="00F81D44" w:rsidRDefault="00F81D44">
      <w:pPr>
        <w:tabs>
          <w:tab w:val="left" w:pos="284"/>
          <w:tab w:val="left" w:pos="7075"/>
        </w:tabs>
        <w:jc w:val="both"/>
        <w:rPr>
          <w:i/>
          <w:sz w:val="22"/>
          <w:szCs w:val="22"/>
          <w:u w:val="single"/>
          <w:lang w:val="sr-Latn-CS"/>
        </w:rPr>
      </w:pPr>
      <w:r w:rsidRPr="00F81D44">
        <w:rPr>
          <w:i/>
          <w:sz w:val="22"/>
          <w:szCs w:val="22"/>
          <w:lang w:val="sr-Latn-CS"/>
        </w:rPr>
        <w:t>Tabelarni sažetak neželjenih reakcija</w:t>
      </w:r>
    </w:p>
    <w:p w14:paraId="00BE3E86" w14:textId="77777777" w:rsidR="00F81D44" w:rsidRPr="00F81D44" w:rsidRDefault="00F81D44">
      <w:pPr>
        <w:tabs>
          <w:tab w:val="left" w:pos="284"/>
          <w:tab w:val="left" w:pos="7075"/>
        </w:tabs>
        <w:jc w:val="both"/>
        <w:rPr>
          <w:sz w:val="22"/>
          <w:szCs w:val="22"/>
          <w:lang w:val="sr-Latn-CS"/>
        </w:rPr>
      </w:pPr>
    </w:p>
    <w:p w14:paraId="1D713954" w14:textId="570D7D91" w:rsidR="00F81D44" w:rsidRPr="00F81D44" w:rsidRDefault="00F81D44">
      <w:pPr>
        <w:tabs>
          <w:tab w:val="left" w:pos="284"/>
        </w:tabs>
        <w:autoSpaceDE w:val="0"/>
        <w:autoSpaceDN w:val="0"/>
        <w:adjustRightInd w:val="0"/>
        <w:jc w:val="both"/>
        <w:rPr>
          <w:sz w:val="22"/>
          <w:szCs w:val="22"/>
          <w:lang w:val="pl-PL"/>
        </w:rPr>
      </w:pPr>
      <w:r w:rsidRPr="00F81D44">
        <w:rPr>
          <w:sz w:val="22"/>
          <w:szCs w:val="22"/>
          <w:lang w:val="sr-Latn-CS"/>
        </w:rPr>
        <w:t>Učestalost pojave neželjenih dejstava za koja se smatra da se mogu pripisati terapiji lijekom GlucaGen Hypo</w:t>
      </w:r>
      <w:r w:rsidR="009C1ED3">
        <w:rPr>
          <w:sz w:val="22"/>
          <w:szCs w:val="22"/>
          <w:lang w:val="sr-Latn-CS"/>
        </w:rPr>
        <w:t>K</w:t>
      </w:r>
      <w:r w:rsidRPr="00F81D44">
        <w:rPr>
          <w:sz w:val="22"/>
          <w:szCs w:val="22"/>
          <w:lang w:val="sr-Latn-CS"/>
        </w:rPr>
        <w:t xml:space="preserve">it tokom kliničkih ispitivanja i/ili u postmarketinškim studijama navedena je u tabeli. Neželjena dejstva koja nijesu zapažena tokom kliničkih ispitivanja, a prijavljivana su spontano klasifikovana su kao "veoma rijetka". Nakon stavljanja lijeka u promet prijavljivanje neželjenih dejstava je veoma rijetko (&lt;1/10 000). Međutim, postmarketinška iskustva ukazuju na nedovoljno prijavljivanje neželjenih dejstava, što se mora imati u vidu pri interpretaciji navedenih podataka o učestalosti. </w:t>
      </w:r>
    </w:p>
    <w:p w14:paraId="1BB10A29" w14:textId="77777777" w:rsidR="00F81D44" w:rsidRPr="00F81D44" w:rsidRDefault="00F81D44" w:rsidP="00BD27C0">
      <w:pPr>
        <w:tabs>
          <w:tab w:val="left" w:pos="284"/>
        </w:tabs>
        <w:jc w:val="both"/>
        <w:rPr>
          <w:rFonts w:ascii="Arial" w:hAnsi="Arial" w:cs="Arial"/>
          <w:lang w:val="pl-PL"/>
        </w:rPr>
      </w:pPr>
    </w:p>
    <w:p w14:paraId="71DF802D" w14:textId="77777777" w:rsidR="00F81D44" w:rsidRPr="00F81D44" w:rsidRDefault="00F81D44" w:rsidP="00BD27C0">
      <w:pPr>
        <w:tabs>
          <w:tab w:val="left" w:pos="284"/>
        </w:tabs>
        <w:jc w:val="both"/>
        <w:rPr>
          <w:sz w:val="22"/>
          <w:szCs w:val="22"/>
          <w:u w:val="single"/>
        </w:rPr>
      </w:pPr>
      <w:proofErr w:type="spellStart"/>
      <w:r w:rsidRPr="00F81D44">
        <w:rPr>
          <w:sz w:val="22"/>
          <w:szCs w:val="22"/>
          <w:u w:val="single"/>
        </w:rPr>
        <w:t>Terapijske</w:t>
      </w:r>
      <w:proofErr w:type="spellEnd"/>
      <w:r w:rsidRPr="00F81D44">
        <w:rPr>
          <w:sz w:val="22"/>
          <w:szCs w:val="22"/>
          <w:u w:val="single"/>
        </w:rPr>
        <w:t xml:space="preserve"> </w:t>
      </w:r>
      <w:proofErr w:type="spellStart"/>
      <w:r w:rsidRPr="00F81D44">
        <w:rPr>
          <w:sz w:val="22"/>
          <w:szCs w:val="22"/>
          <w:u w:val="single"/>
        </w:rPr>
        <w:t>indikacije</w:t>
      </w:r>
      <w:proofErr w:type="spellEnd"/>
    </w:p>
    <w:p w14:paraId="7EA7C647" w14:textId="77777777" w:rsidR="00F81D44" w:rsidRPr="00F81D44" w:rsidRDefault="00F81D44" w:rsidP="00B06F89">
      <w:pPr>
        <w:tabs>
          <w:tab w:val="left" w:pos="284"/>
        </w:tabs>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3720"/>
        <w:gridCol w:w="2388"/>
      </w:tblGrid>
      <w:tr w:rsidR="00F81D44" w:rsidRPr="00F81D44" w14:paraId="421E9A7F" w14:textId="77777777" w:rsidTr="00BB2104">
        <w:tc>
          <w:tcPr>
            <w:tcW w:w="2748" w:type="dxa"/>
            <w:shd w:val="clear" w:color="auto" w:fill="auto"/>
          </w:tcPr>
          <w:p w14:paraId="056E9EE3" w14:textId="394E6EDA" w:rsidR="00F81D44" w:rsidRPr="00F81D44" w:rsidRDefault="000D2058" w:rsidP="00BD27C0">
            <w:pPr>
              <w:tabs>
                <w:tab w:val="left" w:pos="284"/>
              </w:tabs>
              <w:autoSpaceDE w:val="0"/>
              <w:autoSpaceDN w:val="0"/>
              <w:adjustRightInd w:val="0"/>
              <w:rPr>
                <w:b/>
                <w:sz w:val="22"/>
                <w:szCs w:val="22"/>
              </w:rPr>
            </w:pPr>
            <w:proofErr w:type="spellStart"/>
            <w:r>
              <w:rPr>
                <w:b/>
                <w:sz w:val="22"/>
                <w:szCs w:val="22"/>
              </w:rPr>
              <w:t>Klasa</w:t>
            </w:r>
            <w:proofErr w:type="spellEnd"/>
            <w:r>
              <w:rPr>
                <w:b/>
                <w:sz w:val="22"/>
                <w:szCs w:val="22"/>
              </w:rPr>
              <w:t xml:space="preserve"> </w:t>
            </w:r>
            <w:proofErr w:type="spellStart"/>
            <w:r>
              <w:rPr>
                <w:b/>
                <w:sz w:val="22"/>
                <w:szCs w:val="22"/>
              </w:rPr>
              <w:t>s</w:t>
            </w:r>
            <w:r w:rsidR="00F81D44" w:rsidRPr="00F81D44">
              <w:rPr>
                <w:b/>
                <w:sz w:val="22"/>
                <w:szCs w:val="22"/>
              </w:rPr>
              <w:t>istem</w:t>
            </w:r>
            <w:r>
              <w:rPr>
                <w:b/>
                <w:sz w:val="22"/>
                <w:szCs w:val="22"/>
              </w:rPr>
              <w:t>a</w:t>
            </w:r>
            <w:proofErr w:type="spellEnd"/>
            <w:r w:rsidR="00F81D44" w:rsidRPr="00F81D44">
              <w:rPr>
                <w:b/>
                <w:sz w:val="22"/>
                <w:szCs w:val="22"/>
              </w:rPr>
              <w:t xml:space="preserve"> </w:t>
            </w:r>
            <w:proofErr w:type="spellStart"/>
            <w:r w:rsidR="00F81D44" w:rsidRPr="00F81D44">
              <w:rPr>
                <w:b/>
                <w:sz w:val="22"/>
                <w:szCs w:val="22"/>
              </w:rPr>
              <w:t>organa</w:t>
            </w:r>
            <w:proofErr w:type="spellEnd"/>
          </w:p>
        </w:tc>
        <w:tc>
          <w:tcPr>
            <w:tcW w:w="3720" w:type="dxa"/>
            <w:shd w:val="clear" w:color="auto" w:fill="auto"/>
          </w:tcPr>
          <w:p w14:paraId="7FD21F23" w14:textId="77777777" w:rsidR="00F81D44" w:rsidRPr="00F81D44" w:rsidRDefault="00F81D44" w:rsidP="00B06F89">
            <w:pPr>
              <w:tabs>
                <w:tab w:val="left" w:pos="284"/>
              </w:tabs>
              <w:autoSpaceDE w:val="0"/>
              <w:autoSpaceDN w:val="0"/>
              <w:adjustRightInd w:val="0"/>
              <w:jc w:val="both"/>
              <w:rPr>
                <w:b/>
                <w:sz w:val="22"/>
                <w:szCs w:val="22"/>
              </w:rPr>
            </w:pPr>
            <w:proofErr w:type="spellStart"/>
            <w:r w:rsidRPr="00F81D44">
              <w:rPr>
                <w:b/>
                <w:sz w:val="22"/>
                <w:szCs w:val="22"/>
              </w:rPr>
              <w:t>Učestalost</w:t>
            </w:r>
            <w:proofErr w:type="spellEnd"/>
            <w:r w:rsidRPr="00F81D44">
              <w:rPr>
                <w:b/>
                <w:sz w:val="22"/>
                <w:szCs w:val="22"/>
              </w:rPr>
              <w:t xml:space="preserve"> </w:t>
            </w:r>
            <w:proofErr w:type="spellStart"/>
            <w:r w:rsidRPr="00F81D44">
              <w:rPr>
                <w:b/>
                <w:sz w:val="22"/>
                <w:szCs w:val="22"/>
              </w:rPr>
              <w:t>pojave</w:t>
            </w:r>
            <w:proofErr w:type="spellEnd"/>
          </w:p>
        </w:tc>
        <w:tc>
          <w:tcPr>
            <w:tcW w:w="2388" w:type="dxa"/>
            <w:shd w:val="clear" w:color="auto" w:fill="auto"/>
          </w:tcPr>
          <w:p w14:paraId="3B017627" w14:textId="77777777" w:rsidR="00F81D44" w:rsidRPr="00F81D44" w:rsidRDefault="00F81D44" w:rsidP="00B06F89">
            <w:pPr>
              <w:tabs>
                <w:tab w:val="left" w:pos="284"/>
              </w:tabs>
              <w:autoSpaceDE w:val="0"/>
              <w:autoSpaceDN w:val="0"/>
              <w:adjustRightInd w:val="0"/>
              <w:jc w:val="both"/>
              <w:rPr>
                <w:b/>
                <w:sz w:val="22"/>
                <w:szCs w:val="22"/>
              </w:rPr>
            </w:pPr>
            <w:proofErr w:type="spellStart"/>
            <w:r w:rsidRPr="00F81D44">
              <w:rPr>
                <w:b/>
                <w:sz w:val="22"/>
                <w:szCs w:val="22"/>
              </w:rPr>
              <w:t>Neželjeno</w:t>
            </w:r>
            <w:proofErr w:type="spellEnd"/>
            <w:r w:rsidRPr="00F81D44">
              <w:rPr>
                <w:b/>
                <w:sz w:val="22"/>
                <w:szCs w:val="22"/>
              </w:rPr>
              <w:t xml:space="preserve"> </w:t>
            </w:r>
            <w:proofErr w:type="spellStart"/>
            <w:r w:rsidRPr="00F81D44">
              <w:rPr>
                <w:b/>
                <w:sz w:val="22"/>
                <w:szCs w:val="22"/>
              </w:rPr>
              <w:t>dejstvo</w:t>
            </w:r>
            <w:proofErr w:type="spellEnd"/>
          </w:p>
        </w:tc>
      </w:tr>
      <w:tr w:rsidR="00F81D44" w:rsidRPr="00F81D44" w14:paraId="386E75FE" w14:textId="77777777" w:rsidTr="00BB2104">
        <w:tc>
          <w:tcPr>
            <w:tcW w:w="2748" w:type="dxa"/>
            <w:shd w:val="clear" w:color="auto" w:fill="auto"/>
          </w:tcPr>
          <w:p w14:paraId="2B19DC4B"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Poremećaji</w:t>
            </w:r>
            <w:proofErr w:type="spellEnd"/>
            <w:r w:rsidRPr="00F81D44">
              <w:rPr>
                <w:sz w:val="22"/>
                <w:szCs w:val="22"/>
              </w:rPr>
              <w:t xml:space="preserve"> </w:t>
            </w:r>
            <w:proofErr w:type="spellStart"/>
            <w:r w:rsidRPr="00F81D44">
              <w:rPr>
                <w:sz w:val="22"/>
                <w:szCs w:val="22"/>
              </w:rPr>
              <w:t>imunog</w:t>
            </w:r>
            <w:proofErr w:type="spellEnd"/>
            <w:r w:rsidRPr="00F81D44">
              <w:rPr>
                <w:sz w:val="22"/>
                <w:szCs w:val="22"/>
              </w:rPr>
              <w:t xml:space="preserve"> </w:t>
            </w:r>
            <w:proofErr w:type="spellStart"/>
            <w:r w:rsidRPr="00F81D44">
              <w:rPr>
                <w:sz w:val="22"/>
                <w:szCs w:val="22"/>
              </w:rPr>
              <w:t>sistema</w:t>
            </w:r>
            <w:proofErr w:type="spellEnd"/>
          </w:p>
        </w:tc>
        <w:tc>
          <w:tcPr>
            <w:tcW w:w="3720" w:type="dxa"/>
            <w:shd w:val="clear" w:color="auto" w:fill="auto"/>
          </w:tcPr>
          <w:p w14:paraId="1A250124" w14:textId="4F4AE9B5"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Veoma</w:t>
            </w:r>
            <w:proofErr w:type="spellEnd"/>
            <w:r w:rsidRPr="00F81D44">
              <w:rPr>
                <w:sz w:val="22"/>
                <w:szCs w:val="22"/>
              </w:rPr>
              <w:t xml:space="preserve"> </w:t>
            </w:r>
            <w:proofErr w:type="spellStart"/>
            <w:r w:rsidRPr="00F81D44">
              <w:rPr>
                <w:sz w:val="22"/>
                <w:szCs w:val="22"/>
              </w:rPr>
              <w:t>rijetka</w:t>
            </w:r>
            <w:proofErr w:type="spellEnd"/>
            <w:r w:rsidRPr="00F81D44">
              <w:rPr>
                <w:sz w:val="22"/>
                <w:szCs w:val="22"/>
              </w:rPr>
              <w:t xml:space="preserve"> &lt;</w:t>
            </w:r>
            <w:r w:rsidR="00D23E73">
              <w:rPr>
                <w:sz w:val="22"/>
                <w:szCs w:val="22"/>
              </w:rPr>
              <w:t xml:space="preserve"> </w:t>
            </w:r>
            <w:r w:rsidRPr="00F81D44">
              <w:rPr>
                <w:sz w:val="22"/>
                <w:szCs w:val="22"/>
              </w:rPr>
              <w:t>1/10 000</w:t>
            </w:r>
          </w:p>
        </w:tc>
        <w:tc>
          <w:tcPr>
            <w:tcW w:w="2388" w:type="dxa"/>
            <w:shd w:val="clear" w:color="auto" w:fill="auto"/>
          </w:tcPr>
          <w:p w14:paraId="18A97807"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Reakcije</w:t>
            </w:r>
            <w:proofErr w:type="spellEnd"/>
            <w:r w:rsidRPr="00F81D44">
              <w:rPr>
                <w:sz w:val="22"/>
                <w:szCs w:val="22"/>
              </w:rPr>
              <w:t xml:space="preserve"> </w:t>
            </w:r>
            <w:proofErr w:type="spellStart"/>
            <w:r w:rsidRPr="00F81D44">
              <w:rPr>
                <w:sz w:val="22"/>
                <w:szCs w:val="22"/>
              </w:rPr>
              <w:t>preosjetljivosti</w:t>
            </w:r>
            <w:proofErr w:type="spellEnd"/>
            <w:r w:rsidRPr="00F81D44">
              <w:rPr>
                <w:sz w:val="22"/>
                <w:szCs w:val="22"/>
              </w:rPr>
              <w:t xml:space="preserve"> </w:t>
            </w:r>
            <w:proofErr w:type="spellStart"/>
            <w:r w:rsidRPr="00F81D44">
              <w:rPr>
                <w:sz w:val="22"/>
                <w:szCs w:val="22"/>
              </w:rPr>
              <w:t>uključujući</w:t>
            </w:r>
            <w:proofErr w:type="spellEnd"/>
            <w:r w:rsidRPr="00F81D44">
              <w:rPr>
                <w:sz w:val="22"/>
                <w:szCs w:val="22"/>
              </w:rPr>
              <w:t xml:space="preserve"> </w:t>
            </w:r>
            <w:proofErr w:type="spellStart"/>
            <w:r w:rsidRPr="00F81D44">
              <w:rPr>
                <w:sz w:val="22"/>
                <w:szCs w:val="22"/>
              </w:rPr>
              <w:t>anafilaktičku</w:t>
            </w:r>
            <w:proofErr w:type="spellEnd"/>
            <w:r w:rsidRPr="00F81D44">
              <w:rPr>
                <w:sz w:val="22"/>
                <w:szCs w:val="22"/>
              </w:rPr>
              <w:t xml:space="preserve"> </w:t>
            </w:r>
            <w:proofErr w:type="spellStart"/>
            <w:r w:rsidRPr="00F81D44">
              <w:rPr>
                <w:sz w:val="22"/>
                <w:szCs w:val="22"/>
              </w:rPr>
              <w:t>reakciju</w:t>
            </w:r>
            <w:proofErr w:type="spellEnd"/>
            <w:r w:rsidRPr="00F81D44">
              <w:rPr>
                <w:sz w:val="22"/>
                <w:szCs w:val="22"/>
              </w:rPr>
              <w:t>/</w:t>
            </w:r>
            <w:proofErr w:type="spellStart"/>
            <w:r w:rsidRPr="00F81D44">
              <w:rPr>
                <w:sz w:val="22"/>
                <w:szCs w:val="22"/>
              </w:rPr>
              <w:t>šok</w:t>
            </w:r>
            <w:proofErr w:type="spellEnd"/>
          </w:p>
        </w:tc>
      </w:tr>
      <w:tr w:rsidR="00F81D44" w:rsidRPr="00F81D44" w14:paraId="7C2CBEEF" w14:textId="77777777" w:rsidTr="00BB2104">
        <w:tc>
          <w:tcPr>
            <w:tcW w:w="2748" w:type="dxa"/>
            <w:shd w:val="clear" w:color="auto" w:fill="auto"/>
          </w:tcPr>
          <w:p w14:paraId="00B155C3"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Gastrointestinalni</w:t>
            </w:r>
            <w:proofErr w:type="spellEnd"/>
            <w:r w:rsidRPr="00F81D44">
              <w:rPr>
                <w:sz w:val="22"/>
                <w:szCs w:val="22"/>
              </w:rPr>
              <w:t xml:space="preserve"> </w:t>
            </w:r>
            <w:proofErr w:type="spellStart"/>
            <w:r w:rsidRPr="00F81D44">
              <w:rPr>
                <w:sz w:val="22"/>
                <w:szCs w:val="22"/>
              </w:rPr>
              <w:t>poremećaji</w:t>
            </w:r>
            <w:proofErr w:type="spellEnd"/>
          </w:p>
        </w:tc>
        <w:tc>
          <w:tcPr>
            <w:tcW w:w="3720" w:type="dxa"/>
            <w:shd w:val="clear" w:color="auto" w:fill="auto"/>
          </w:tcPr>
          <w:p w14:paraId="2E33CE11" w14:textId="4BA693B3"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Česta ≥</w:t>
            </w:r>
            <w:r w:rsidR="00D23E73">
              <w:rPr>
                <w:sz w:val="22"/>
                <w:szCs w:val="22"/>
                <w:lang w:val="pl-PL"/>
              </w:rPr>
              <w:t xml:space="preserve"> </w:t>
            </w:r>
            <w:r w:rsidRPr="00F81D44">
              <w:rPr>
                <w:sz w:val="22"/>
                <w:szCs w:val="22"/>
                <w:lang w:val="pl-PL"/>
              </w:rPr>
              <w:t>1/100 do &lt;</w:t>
            </w:r>
            <w:r w:rsidR="00D23E73">
              <w:rPr>
                <w:sz w:val="22"/>
                <w:szCs w:val="22"/>
                <w:lang w:val="pl-PL"/>
              </w:rPr>
              <w:t xml:space="preserve"> </w:t>
            </w:r>
            <w:r w:rsidRPr="00F81D44">
              <w:rPr>
                <w:sz w:val="22"/>
                <w:szCs w:val="22"/>
                <w:lang w:val="pl-PL"/>
              </w:rPr>
              <w:t>1/10</w:t>
            </w:r>
          </w:p>
          <w:p w14:paraId="14752CCF" w14:textId="06AAB34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Povremena ≥</w:t>
            </w:r>
            <w:r w:rsidR="00D23E73">
              <w:rPr>
                <w:sz w:val="22"/>
                <w:szCs w:val="22"/>
                <w:lang w:val="pl-PL"/>
              </w:rPr>
              <w:t xml:space="preserve"> </w:t>
            </w:r>
            <w:r w:rsidRPr="00F81D44">
              <w:rPr>
                <w:sz w:val="22"/>
                <w:szCs w:val="22"/>
                <w:lang w:val="pl-PL"/>
              </w:rPr>
              <w:t>1/1 000 do &lt;</w:t>
            </w:r>
            <w:r w:rsidR="00D23E73">
              <w:rPr>
                <w:sz w:val="22"/>
                <w:szCs w:val="22"/>
                <w:lang w:val="pl-PL"/>
              </w:rPr>
              <w:t xml:space="preserve"> </w:t>
            </w:r>
            <w:r w:rsidRPr="00F81D44">
              <w:rPr>
                <w:sz w:val="22"/>
                <w:szCs w:val="22"/>
                <w:lang w:val="pl-PL"/>
              </w:rPr>
              <w:t>1/100</w:t>
            </w:r>
          </w:p>
          <w:p w14:paraId="6E44BCE1" w14:textId="081E001E"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Rijetka  ≥</w:t>
            </w:r>
            <w:r w:rsidR="00D23E73">
              <w:rPr>
                <w:sz w:val="22"/>
                <w:szCs w:val="22"/>
                <w:lang w:val="pl-PL"/>
              </w:rPr>
              <w:t xml:space="preserve"> </w:t>
            </w:r>
            <w:r w:rsidRPr="00F81D44">
              <w:rPr>
                <w:sz w:val="22"/>
                <w:szCs w:val="22"/>
                <w:lang w:val="pl-PL"/>
              </w:rPr>
              <w:t>1/10 000 do &lt;</w:t>
            </w:r>
            <w:r w:rsidR="00D23E73">
              <w:rPr>
                <w:sz w:val="22"/>
                <w:szCs w:val="22"/>
                <w:lang w:val="pl-PL"/>
              </w:rPr>
              <w:t xml:space="preserve"> </w:t>
            </w:r>
            <w:r w:rsidRPr="00F81D44">
              <w:rPr>
                <w:sz w:val="22"/>
                <w:szCs w:val="22"/>
                <w:lang w:val="pl-PL"/>
              </w:rPr>
              <w:t>1/1 000</w:t>
            </w:r>
          </w:p>
        </w:tc>
        <w:tc>
          <w:tcPr>
            <w:tcW w:w="2388" w:type="dxa"/>
            <w:shd w:val="clear" w:color="auto" w:fill="auto"/>
          </w:tcPr>
          <w:p w14:paraId="5E0EE45B" w14:textId="7777777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Mučnina</w:t>
            </w:r>
          </w:p>
          <w:p w14:paraId="7C5B6CC5" w14:textId="7777777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Povraćanje</w:t>
            </w:r>
          </w:p>
          <w:p w14:paraId="5A68A91E" w14:textId="7777777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Abdominalni bol</w:t>
            </w:r>
          </w:p>
        </w:tc>
      </w:tr>
      <w:tr w:rsidR="00C82873" w:rsidRPr="00C82873" w14:paraId="2C3A2389" w14:textId="77777777" w:rsidTr="0070572D">
        <w:tc>
          <w:tcPr>
            <w:tcW w:w="2748" w:type="dxa"/>
            <w:shd w:val="clear" w:color="auto" w:fill="auto"/>
          </w:tcPr>
          <w:p w14:paraId="15680613" w14:textId="77777777" w:rsidR="00C82873" w:rsidRPr="00C82873" w:rsidRDefault="00C82873" w:rsidP="00BD27C0">
            <w:pPr>
              <w:tabs>
                <w:tab w:val="left" w:pos="284"/>
              </w:tabs>
              <w:autoSpaceDE w:val="0"/>
              <w:autoSpaceDN w:val="0"/>
              <w:adjustRightInd w:val="0"/>
              <w:rPr>
                <w:sz w:val="22"/>
                <w:szCs w:val="22"/>
              </w:rPr>
            </w:pPr>
            <w:proofErr w:type="spellStart"/>
            <w:r w:rsidRPr="00C82873">
              <w:rPr>
                <w:sz w:val="22"/>
                <w:szCs w:val="22"/>
              </w:rPr>
              <w:t>Opšti</w:t>
            </w:r>
            <w:proofErr w:type="spellEnd"/>
            <w:r w:rsidRPr="00C82873">
              <w:rPr>
                <w:sz w:val="22"/>
                <w:szCs w:val="22"/>
              </w:rPr>
              <w:t xml:space="preserve"> </w:t>
            </w:r>
            <w:proofErr w:type="spellStart"/>
            <w:r w:rsidRPr="00C82873">
              <w:rPr>
                <w:sz w:val="22"/>
                <w:szCs w:val="22"/>
              </w:rPr>
              <w:t>poremećaji</w:t>
            </w:r>
            <w:proofErr w:type="spellEnd"/>
            <w:r w:rsidRPr="00C82873">
              <w:rPr>
                <w:sz w:val="22"/>
                <w:szCs w:val="22"/>
              </w:rPr>
              <w:t xml:space="preserve"> </w:t>
            </w:r>
            <w:proofErr w:type="spellStart"/>
            <w:r w:rsidRPr="00C82873">
              <w:rPr>
                <w:sz w:val="22"/>
                <w:szCs w:val="22"/>
              </w:rPr>
              <w:t>i</w:t>
            </w:r>
            <w:proofErr w:type="spellEnd"/>
            <w:r w:rsidRPr="00C82873">
              <w:rPr>
                <w:sz w:val="22"/>
                <w:szCs w:val="22"/>
              </w:rPr>
              <w:t xml:space="preserve"> </w:t>
            </w:r>
            <w:proofErr w:type="spellStart"/>
            <w:r w:rsidRPr="00C82873">
              <w:rPr>
                <w:sz w:val="22"/>
                <w:szCs w:val="22"/>
              </w:rPr>
              <w:t>stanja</w:t>
            </w:r>
            <w:proofErr w:type="spellEnd"/>
            <w:r w:rsidRPr="00C82873">
              <w:rPr>
                <w:sz w:val="22"/>
                <w:szCs w:val="22"/>
              </w:rPr>
              <w:t xml:space="preserve"> </w:t>
            </w:r>
            <w:proofErr w:type="spellStart"/>
            <w:r w:rsidRPr="00C82873">
              <w:rPr>
                <w:sz w:val="22"/>
                <w:szCs w:val="22"/>
              </w:rPr>
              <w:t>na</w:t>
            </w:r>
            <w:proofErr w:type="spellEnd"/>
            <w:r w:rsidRPr="00C82873">
              <w:rPr>
                <w:sz w:val="22"/>
                <w:szCs w:val="22"/>
              </w:rPr>
              <w:t xml:space="preserve"> </w:t>
            </w:r>
            <w:proofErr w:type="spellStart"/>
            <w:r w:rsidRPr="00C82873">
              <w:rPr>
                <w:sz w:val="22"/>
                <w:szCs w:val="22"/>
              </w:rPr>
              <w:t>mjestu</w:t>
            </w:r>
            <w:proofErr w:type="spellEnd"/>
            <w:r w:rsidRPr="00C82873">
              <w:rPr>
                <w:sz w:val="22"/>
                <w:szCs w:val="22"/>
              </w:rPr>
              <w:t xml:space="preserve"> </w:t>
            </w:r>
            <w:proofErr w:type="spellStart"/>
            <w:r w:rsidRPr="00C82873">
              <w:rPr>
                <w:sz w:val="22"/>
                <w:szCs w:val="22"/>
              </w:rPr>
              <w:t>primjene</w:t>
            </w:r>
            <w:proofErr w:type="spellEnd"/>
          </w:p>
        </w:tc>
        <w:tc>
          <w:tcPr>
            <w:tcW w:w="3720" w:type="dxa"/>
            <w:shd w:val="clear" w:color="auto" w:fill="auto"/>
          </w:tcPr>
          <w:p w14:paraId="52BDD67A" w14:textId="77777777" w:rsidR="00C82873" w:rsidRPr="00C82873" w:rsidRDefault="00C82873" w:rsidP="00BD27C0">
            <w:pPr>
              <w:tabs>
                <w:tab w:val="left" w:pos="284"/>
              </w:tabs>
              <w:autoSpaceDE w:val="0"/>
              <w:autoSpaceDN w:val="0"/>
              <w:adjustRightInd w:val="0"/>
              <w:rPr>
                <w:sz w:val="22"/>
                <w:szCs w:val="22"/>
                <w:lang w:val="pl-PL"/>
              </w:rPr>
            </w:pPr>
            <w:r w:rsidRPr="00C82873">
              <w:rPr>
                <w:sz w:val="22"/>
                <w:szCs w:val="22"/>
                <w:lang w:val="pl-PL"/>
              </w:rPr>
              <w:t>Nepoznata (ne može se procijeniti iz</w:t>
            </w:r>
          </w:p>
          <w:p w14:paraId="57D9DC69" w14:textId="77777777" w:rsidR="00C82873" w:rsidRPr="00C82873" w:rsidRDefault="00C82873" w:rsidP="00BD27C0">
            <w:pPr>
              <w:tabs>
                <w:tab w:val="left" w:pos="284"/>
              </w:tabs>
              <w:autoSpaceDE w:val="0"/>
              <w:autoSpaceDN w:val="0"/>
              <w:adjustRightInd w:val="0"/>
              <w:rPr>
                <w:sz w:val="22"/>
                <w:szCs w:val="22"/>
                <w:lang w:val="pl-PL"/>
              </w:rPr>
            </w:pPr>
            <w:r w:rsidRPr="00C82873">
              <w:rPr>
                <w:sz w:val="22"/>
                <w:szCs w:val="22"/>
                <w:lang w:val="pl-PL"/>
              </w:rPr>
              <w:t>dostupnih podataka)</w:t>
            </w:r>
          </w:p>
        </w:tc>
        <w:tc>
          <w:tcPr>
            <w:tcW w:w="2388" w:type="dxa"/>
            <w:shd w:val="clear" w:color="auto" w:fill="auto"/>
          </w:tcPr>
          <w:p w14:paraId="5BE99D08" w14:textId="77777777" w:rsidR="00C82873" w:rsidRPr="00C82873" w:rsidRDefault="00C82873" w:rsidP="00BD27C0">
            <w:pPr>
              <w:tabs>
                <w:tab w:val="left" w:pos="284"/>
              </w:tabs>
              <w:autoSpaceDE w:val="0"/>
              <w:autoSpaceDN w:val="0"/>
              <w:adjustRightInd w:val="0"/>
              <w:rPr>
                <w:sz w:val="22"/>
                <w:szCs w:val="22"/>
                <w:lang w:val="pl-PL"/>
              </w:rPr>
            </w:pPr>
            <w:r w:rsidRPr="00C82873">
              <w:rPr>
                <w:sz w:val="22"/>
                <w:szCs w:val="22"/>
                <w:lang w:val="pl-PL"/>
              </w:rPr>
              <w:t>Reakcije na mjestu primjene</w:t>
            </w:r>
          </w:p>
        </w:tc>
      </w:tr>
    </w:tbl>
    <w:p w14:paraId="5BA5CB43" w14:textId="77777777" w:rsidR="00F81D44" w:rsidRPr="00F81D44" w:rsidRDefault="00F81D44" w:rsidP="00B06F89">
      <w:pPr>
        <w:tabs>
          <w:tab w:val="left" w:pos="284"/>
        </w:tabs>
        <w:autoSpaceDE w:val="0"/>
        <w:autoSpaceDN w:val="0"/>
        <w:adjustRightInd w:val="0"/>
        <w:jc w:val="both"/>
        <w:rPr>
          <w:noProof/>
          <w:sz w:val="22"/>
          <w:szCs w:val="22"/>
          <w:lang w:val="hr-HR"/>
        </w:rPr>
      </w:pPr>
    </w:p>
    <w:p w14:paraId="0273ADAC" w14:textId="77777777" w:rsidR="00F81D44" w:rsidRPr="00F81D44" w:rsidRDefault="00F81D44" w:rsidP="00CA754D">
      <w:pPr>
        <w:tabs>
          <w:tab w:val="left" w:pos="284"/>
        </w:tabs>
        <w:autoSpaceDE w:val="0"/>
        <w:autoSpaceDN w:val="0"/>
        <w:adjustRightInd w:val="0"/>
        <w:jc w:val="both"/>
        <w:rPr>
          <w:i/>
          <w:noProof/>
          <w:sz w:val="22"/>
          <w:szCs w:val="22"/>
          <w:lang w:val="hr-HR"/>
        </w:rPr>
      </w:pPr>
      <w:r w:rsidRPr="00F81D44">
        <w:rPr>
          <w:i/>
          <w:noProof/>
          <w:sz w:val="22"/>
          <w:szCs w:val="22"/>
          <w:lang w:val="hr-HR"/>
        </w:rPr>
        <w:t>Pedijatrijska populacija</w:t>
      </w:r>
    </w:p>
    <w:p w14:paraId="2ADA5B47" w14:textId="77777777" w:rsidR="00F81D44" w:rsidRPr="00F81D44" w:rsidRDefault="00F81D44">
      <w:pPr>
        <w:tabs>
          <w:tab w:val="left" w:pos="284"/>
        </w:tabs>
        <w:autoSpaceDE w:val="0"/>
        <w:autoSpaceDN w:val="0"/>
        <w:adjustRightInd w:val="0"/>
        <w:jc w:val="both"/>
        <w:rPr>
          <w:noProof/>
          <w:sz w:val="22"/>
          <w:szCs w:val="22"/>
          <w:lang w:val="hr-HR"/>
        </w:rPr>
      </w:pPr>
    </w:p>
    <w:p w14:paraId="15EC8AB0" w14:textId="332A5ADA" w:rsidR="00F81D44" w:rsidRPr="00F81D44" w:rsidRDefault="00F81D44">
      <w:pPr>
        <w:tabs>
          <w:tab w:val="left" w:pos="284"/>
        </w:tabs>
        <w:autoSpaceDE w:val="0"/>
        <w:autoSpaceDN w:val="0"/>
        <w:adjustRightInd w:val="0"/>
        <w:jc w:val="both"/>
        <w:rPr>
          <w:noProof/>
          <w:sz w:val="22"/>
          <w:szCs w:val="22"/>
          <w:lang w:val="hr-HR"/>
        </w:rPr>
      </w:pPr>
      <w:r w:rsidRPr="00F81D44">
        <w:rPr>
          <w:noProof/>
          <w:sz w:val="22"/>
          <w:szCs w:val="22"/>
          <w:lang w:val="hr-HR"/>
        </w:rPr>
        <w:t xml:space="preserve">Na osnovu podataka iz kliničkih studija i postmarketinškog iskustva, očekuje se da će učestalost, tip i ozbiljnost neželjenih reakcija koje su </w:t>
      </w:r>
      <w:bookmarkStart w:id="0" w:name="_Hlk141857572"/>
      <w:r w:rsidRPr="00F81D44">
        <w:rPr>
          <w:noProof/>
          <w:sz w:val="22"/>
          <w:szCs w:val="22"/>
          <w:lang w:val="hr-HR"/>
        </w:rPr>
        <w:t>zab</w:t>
      </w:r>
      <w:r w:rsidR="00E239DD">
        <w:rPr>
          <w:noProof/>
          <w:sz w:val="22"/>
          <w:szCs w:val="22"/>
          <w:lang w:val="hr-HR"/>
        </w:rPr>
        <w:t>i</w:t>
      </w:r>
      <w:r w:rsidRPr="00F81D44">
        <w:rPr>
          <w:noProof/>
          <w:sz w:val="22"/>
          <w:szCs w:val="22"/>
          <w:lang w:val="hr-HR"/>
        </w:rPr>
        <w:t>l</w:t>
      </w:r>
      <w:r w:rsidR="00E239DD">
        <w:rPr>
          <w:noProof/>
          <w:sz w:val="22"/>
          <w:szCs w:val="22"/>
          <w:lang w:val="hr-HR"/>
        </w:rPr>
        <w:t>j</w:t>
      </w:r>
      <w:r w:rsidRPr="00F81D44">
        <w:rPr>
          <w:noProof/>
          <w:sz w:val="22"/>
          <w:szCs w:val="22"/>
          <w:lang w:val="hr-HR"/>
        </w:rPr>
        <w:t xml:space="preserve">ežene </w:t>
      </w:r>
      <w:bookmarkEnd w:id="0"/>
      <w:r w:rsidRPr="00F81D44">
        <w:rPr>
          <w:noProof/>
          <w:sz w:val="22"/>
          <w:szCs w:val="22"/>
          <w:lang w:val="hr-HR"/>
        </w:rPr>
        <w:t>kod djece biti iste kao kod odraslih.</w:t>
      </w:r>
    </w:p>
    <w:p w14:paraId="2E914EE4" w14:textId="77777777" w:rsidR="00F81D44" w:rsidRPr="00F81D44" w:rsidRDefault="00F81D44">
      <w:pPr>
        <w:tabs>
          <w:tab w:val="left" w:pos="284"/>
        </w:tabs>
        <w:autoSpaceDE w:val="0"/>
        <w:autoSpaceDN w:val="0"/>
        <w:adjustRightInd w:val="0"/>
        <w:jc w:val="both"/>
        <w:rPr>
          <w:noProof/>
          <w:sz w:val="22"/>
          <w:szCs w:val="22"/>
          <w:lang w:val="hr-HR"/>
        </w:rPr>
      </w:pPr>
    </w:p>
    <w:p w14:paraId="178C4936" w14:textId="77777777" w:rsidR="00F81D44" w:rsidRPr="00F81D44" w:rsidRDefault="00F81D44">
      <w:pPr>
        <w:tabs>
          <w:tab w:val="left" w:pos="284"/>
        </w:tabs>
        <w:autoSpaceDE w:val="0"/>
        <w:autoSpaceDN w:val="0"/>
        <w:adjustRightInd w:val="0"/>
        <w:jc w:val="both"/>
        <w:rPr>
          <w:i/>
          <w:noProof/>
          <w:sz w:val="22"/>
          <w:szCs w:val="22"/>
          <w:lang w:val="hr-HR"/>
        </w:rPr>
      </w:pPr>
      <w:r w:rsidRPr="00F81D44">
        <w:rPr>
          <w:i/>
          <w:noProof/>
          <w:sz w:val="22"/>
          <w:szCs w:val="22"/>
          <w:lang w:val="hr-HR"/>
        </w:rPr>
        <w:t>Druge posebne populacije</w:t>
      </w:r>
    </w:p>
    <w:p w14:paraId="7BE161EC" w14:textId="77777777" w:rsidR="00F81D44" w:rsidRPr="00F81D44" w:rsidRDefault="00F81D44">
      <w:pPr>
        <w:tabs>
          <w:tab w:val="left" w:pos="284"/>
        </w:tabs>
        <w:autoSpaceDE w:val="0"/>
        <w:autoSpaceDN w:val="0"/>
        <w:adjustRightInd w:val="0"/>
        <w:jc w:val="both"/>
        <w:rPr>
          <w:noProof/>
          <w:sz w:val="22"/>
          <w:szCs w:val="22"/>
          <w:lang w:val="hr-HR"/>
        </w:rPr>
      </w:pPr>
    </w:p>
    <w:p w14:paraId="10769B9D" w14:textId="42421D69" w:rsidR="00F81D44" w:rsidRPr="00F81D44" w:rsidRDefault="00F81D44">
      <w:pPr>
        <w:tabs>
          <w:tab w:val="left" w:pos="284"/>
        </w:tabs>
        <w:autoSpaceDE w:val="0"/>
        <w:autoSpaceDN w:val="0"/>
        <w:adjustRightInd w:val="0"/>
        <w:jc w:val="both"/>
        <w:rPr>
          <w:noProof/>
          <w:sz w:val="22"/>
          <w:szCs w:val="22"/>
          <w:lang w:val="hr-HR"/>
        </w:rPr>
      </w:pPr>
      <w:r w:rsidRPr="00F81D44">
        <w:rPr>
          <w:noProof/>
          <w:sz w:val="22"/>
          <w:szCs w:val="22"/>
          <w:lang w:val="hr-HR"/>
        </w:rPr>
        <w:t xml:space="preserve">Na osnovu podataka iz kliničkih studija i postmarketinškog iskustva, očekuje se da će učestalost, tip i ozbiljnost neželjenih reakcija koje su </w:t>
      </w:r>
      <w:r w:rsidR="0093154C" w:rsidRPr="0093154C">
        <w:rPr>
          <w:noProof/>
          <w:sz w:val="22"/>
          <w:szCs w:val="22"/>
          <w:lang w:val="hr-HR"/>
        </w:rPr>
        <w:t xml:space="preserve">zabilježene </w:t>
      </w:r>
      <w:r w:rsidRPr="00F81D44">
        <w:rPr>
          <w:noProof/>
          <w:sz w:val="22"/>
          <w:szCs w:val="22"/>
          <w:lang w:val="hr-HR"/>
        </w:rPr>
        <w:t>kod starijih pacijenata i kod pacijenata sa oštećenjem funkcije bubrega ili jetre biti iste kao kod opšte populacije.</w:t>
      </w:r>
    </w:p>
    <w:p w14:paraId="1FFCC094" w14:textId="3E74C236" w:rsidR="00F81D44" w:rsidRPr="00F81D44" w:rsidRDefault="00F81D44" w:rsidP="00BD27C0">
      <w:pPr>
        <w:tabs>
          <w:tab w:val="left" w:pos="540"/>
          <w:tab w:val="left" w:pos="569"/>
        </w:tabs>
        <w:jc w:val="both"/>
        <w:rPr>
          <w:b/>
          <w:bCs/>
          <w:sz w:val="22"/>
          <w:szCs w:val="22"/>
          <w:lang w:val="hr-HR"/>
        </w:rPr>
      </w:pPr>
    </w:p>
    <w:p w14:paraId="3C6F0924" w14:textId="77777777" w:rsidR="00F81D44" w:rsidRPr="007C7949" w:rsidRDefault="00F81D44" w:rsidP="00BD27C0">
      <w:pPr>
        <w:tabs>
          <w:tab w:val="left" w:pos="284"/>
        </w:tabs>
        <w:jc w:val="both"/>
        <w:rPr>
          <w:bCs/>
          <w:sz w:val="22"/>
          <w:szCs w:val="22"/>
          <w:u w:val="single"/>
          <w:lang w:val="pl-PL"/>
        </w:rPr>
      </w:pPr>
      <w:r w:rsidRPr="007C7949">
        <w:rPr>
          <w:bCs/>
          <w:sz w:val="22"/>
          <w:szCs w:val="22"/>
          <w:u w:val="single"/>
          <w:lang w:val="pl-PL"/>
        </w:rPr>
        <w:t>Dijagnostičke indikacije</w:t>
      </w:r>
    </w:p>
    <w:p w14:paraId="0ABE7C94" w14:textId="77777777" w:rsidR="00F81D44" w:rsidRPr="00F81D44" w:rsidRDefault="00F81D44" w:rsidP="00B06F89">
      <w:pPr>
        <w:tabs>
          <w:tab w:val="left" w:pos="284"/>
        </w:tabs>
        <w:autoSpaceDE w:val="0"/>
        <w:autoSpaceDN w:val="0"/>
        <w:adjustRightInd w:val="0"/>
        <w:jc w:val="both"/>
        <w:rPr>
          <w:rFonts w:ascii="Arial" w:hAnsi="Arial" w:cs="Arial"/>
          <w:sz w:val="22"/>
          <w:szCs w:val="22"/>
          <w:vertAlign w:val="superscript"/>
          <w:lang w:val="pl-PL"/>
        </w:rPr>
      </w:pP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3699"/>
        <w:gridCol w:w="2476"/>
      </w:tblGrid>
      <w:tr w:rsidR="00F81D44" w:rsidRPr="00F81D44" w14:paraId="7E3F1C63" w14:textId="77777777" w:rsidTr="00A20C29">
        <w:trPr>
          <w:trHeight w:val="269"/>
        </w:trPr>
        <w:tc>
          <w:tcPr>
            <w:tcW w:w="2638" w:type="dxa"/>
            <w:shd w:val="clear" w:color="auto" w:fill="auto"/>
          </w:tcPr>
          <w:p w14:paraId="48BDECB7" w14:textId="10FF6216" w:rsidR="00F81D44" w:rsidRPr="00F81D44" w:rsidRDefault="000E024B" w:rsidP="00BD27C0">
            <w:pPr>
              <w:tabs>
                <w:tab w:val="left" w:pos="284"/>
              </w:tabs>
              <w:autoSpaceDE w:val="0"/>
              <w:autoSpaceDN w:val="0"/>
              <w:adjustRightInd w:val="0"/>
              <w:jc w:val="center"/>
              <w:rPr>
                <w:b/>
                <w:sz w:val="22"/>
                <w:szCs w:val="22"/>
                <w:vertAlign w:val="superscript"/>
              </w:rPr>
            </w:pPr>
            <w:proofErr w:type="spellStart"/>
            <w:r>
              <w:rPr>
                <w:b/>
                <w:sz w:val="22"/>
                <w:szCs w:val="22"/>
              </w:rPr>
              <w:t>Klasa</w:t>
            </w:r>
            <w:proofErr w:type="spellEnd"/>
            <w:r>
              <w:rPr>
                <w:b/>
                <w:sz w:val="22"/>
                <w:szCs w:val="22"/>
              </w:rPr>
              <w:t xml:space="preserve"> </w:t>
            </w:r>
            <w:proofErr w:type="spellStart"/>
            <w:r>
              <w:rPr>
                <w:b/>
                <w:sz w:val="22"/>
                <w:szCs w:val="22"/>
              </w:rPr>
              <w:t>s</w:t>
            </w:r>
            <w:r w:rsidR="00F81D44" w:rsidRPr="00F81D44">
              <w:rPr>
                <w:b/>
                <w:sz w:val="22"/>
                <w:szCs w:val="22"/>
              </w:rPr>
              <w:t>istem</w:t>
            </w:r>
            <w:r>
              <w:rPr>
                <w:b/>
                <w:sz w:val="22"/>
                <w:szCs w:val="22"/>
              </w:rPr>
              <w:t>a</w:t>
            </w:r>
            <w:proofErr w:type="spellEnd"/>
            <w:r w:rsidR="00F81D44" w:rsidRPr="00F81D44">
              <w:rPr>
                <w:b/>
                <w:sz w:val="22"/>
                <w:szCs w:val="22"/>
              </w:rPr>
              <w:t xml:space="preserve"> </w:t>
            </w:r>
            <w:proofErr w:type="spellStart"/>
            <w:r w:rsidR="00F81D44" w:rsidRPr="00F81D44">
              <w:rPr>
                <w:b/>
                <w:sz w:val="22"/>
                <w:szCs w:val="22"/>
              </w:rPr>
              <w:t>organa</w:t>
            </w:r>
            <w:proofErr w:type="spellEnd"/>
          </w:p>
        </w:tc>
        <w:tc>
          <w:tcPr>
            <w:tcW w:w="3699" w:type="dxa"/>
            <w:shd w:val="clear" w:color="auto" w:fill="auto"/>
          </w:tcPr>
          <w:p w14:paraId="392F161A" w14:textId="77777777" w:rsidR="00F81D44" w:rsidRPr="00F81D44" w:rsidRDefault="00F81D44" w:rsidP="00BD27C0">
            <w:pPr>
              <w:tabs>
                <w:tab w:val="left" w:pos="284"/>
              </w:tabs>
              <w:autoSpaceDE w:val="0"/>
              <w:autoSpaceDN w:val="0"/>
              <w:adjustRightInd w:val="0"/>
              <w:jc w:val="center"/>
              <w:rPr>
                <w:b/>
                <w:sz w:val="22"/>
                <w:szCs w:val="22"/>
                <w:vertAlign w:val="superscript"/>
              </w:rPr>
            </w:pPr>
            <w:proofErr w:type="spellStart"/>
            <w:r w:rsidRPr="00F81D44">
              <w:rPr>
                <w:b/>
                <w:sz w:val="22"/>
                <w:szCs w:val="22"/>
              </w:rPr>
              <w:t>Učestalost</w:t>
            </w:r>
            <w:proofErr w:type="spellEnd"/>
            <w:r w:rsidRPr="00F81D44">
              <w:rPr>
                <w:b/>
                <w:sz w:val="22"/>
                <w:szCs w:val="22"/>
              </w:rPr>
              <w:t xml:space="preserve"> </w:t>
            </w:r>
            <w:proofErr w:type="spellStart"/>
            <w:r w:rsidRPr="00F81D44">
              <w:rPr>
                <w:b/>
                <w:sz w:val="22"/>
                <w:szCs w:val="22"/>
              </w:rPr>
              <w:t>pojave</w:t>
            </w:r>
            <w:proofErr w:type="spellEnd"/>
          </w:p>
        </w:tc>
        <w:tc>
          <w:tcPr>
            <w:tcW w:w="2476" w:type="dxa"/>
            <w:shd w:val="clear" w:color="auto" w:fill="auto"/>
          </w:tcPr>
          <w:p w14:paraId="5E6FB351" w14:textId="77777777" w:rsidR="00F81D44" w:rsidRPr="00F81D44" w:rsidRDefault="00F81D44" w:rsidP="00BD27C0">
            <w:pPr>
              <w:tabs>
                <w:tab w:val="left" w:pos="284"/>
              </w:tabs>
              <w:autoSpaceDE w:val="0"/>
              <w:autoSpaceDN w:val="0"/>
              <w:adjustRightInd w:val="0"/>
              <w:jc w:val="center"/>
              <w:rPr>
                <w:b/>
                <w:sz w:val="22"/>
                <w:szCs w:val="22"/>
                <w:vertAlign w:val="superscript"/>
              </w:rPr>
            </w:pPr>
            <w:proofErr w:type="spellStart"/>
            <w:r w:rsidRPr="00F81D44">
              <w:rPr>
                <w:b/>
                <w:sz w:val="22"/>
                <w:szCs w:val="22"/>
              </w:rPr>
              <w:t>Neželjeno</w:t>
            </w:r>
            <w:proofErr w:type="spellEnd"/>
            <w:r w:rsidRPr="00F81D44">
              <w:rPr>
                <w:b/>
                <w:sz w:val="22"/>
                <w:szCs w:val="22"/>
              </w:rPr>
              <w:t xml:space="preserve"> </w:t>
            </w:r>
            <w:proofErr w:type="spellStart"/>
            <w:r w:rsidRPr="00F81D44">
              <w:rPr>
                <w:b/>
                <w:sz w:val="22"/>
                <w:szCs w:val="22"/>
              </w:rPr>
              <w:t>dejstvo</w:t>
            </w:r>
            <w:proofErr w:type="spellEnd"/>
          </w:p>
        </w:tc>
      </w:tr>
      <w:tr w:rsidR="00F81D44" w:rsidRPr="00F81D44" w14:paraId="6ADF649E" w14:textId="77777777" w:rsidTr="00A20C29">
        <w:trPr>
          <w:trHeight w:val="269"/>
        </w:trPr>
        <w:tc>
          <w:tcPr>
            <w:tcW w:w="2638" w:type="dxa"/>
            <w:shd w:val="clear" w:color="auto" w:fill="auto"/>
          </w:tcPr>
          <w:p w14:paraId="56310CBB"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Poremećaji</w:t>
            </w:r>
            <w:proofErr w:type="spellEnd"/>
            <w:r w:rsidRPr="00F81D44">
              <w:rPr>
                <w:sz w:val="22"/>
                <w:szCs w:val="22"/>
              </w:rPr>
              <w:t xml:space="preserve"> </w:t>
            </w:r>
            <w:proofErr w:type="spellStart"/>
            <w:r w:rsidRPr="00F81D44">
              <w:rPr>
                <w:sz w:val="22"/>
                <w:szCs w:val="22"/>
              </w:rPr>
              <w:t>imunog</w:t>
            </w:r>
            <w:proofErr w:type="spellEnd"/>
            <w:r w:rsidRPr="00F81D44">
              <w:rPr>
                <w:sz w:val="22"/>
                <w:szCs w:val="22"/>
              </w:rPr>
              <w:t xml:space="preserve"> </w:t>
            </w:r>
            <w:proofErr w:type="spellStart"/>
            <w:r w:rsidRPr="00F81D44">
              <w:rPr>
                <w:sz w:val="22"/>
                <w:szCs w:val="22"/>
              </w:rPr>
              <w:t>sistema</w:t>
            </w:r>
            <w:proofErr w:type="spellEnd"/>
            <w:r w:rsidRPr="00F81D44">
              <w:rPr>
                <w:sz w:val="22"/>
                <w:szCs w:val="22"/>
              </w:rPr>
              <w:t xml:space="preserve"> </w:t>
            </w:r>
          </w:p>
          <w:p w14:paraId="32C24B0F" w14:textId="77777777" w:rsidR="00F81D44" w:rsidRPr="00F81D44" w:rsidRDefault="00F81D44" w:rsidP="00BD27C0">
            <w:pPr>
              <w:tabs>
                <w:tab w:val="left" w:pos="284"/>
              </w:tabs>
              <w:autoSpaceDE w:val="0"/>
              <w:autoSpaceDN w:val="0"/>
              <w:adjustRightInd w:val="0"/>
              <w:rPr>
                <w:sz w:val="22"/>
                <w:szCs w:val="22"/>
              </w:rPr>
            </w:pPr>
          </w:p>
          <w:p w14:paraId="62C65238" w14:textId="77777777" w:rsidR="00F81D44" w:rsidRPr="00F81D44" w:rsidRDefault="00F81D44" w:rsidP="00BD27C0">
            <w:pPr>
              <w:tabs>
                <w:tab w:val="left" w:pos="284"/>
              </w:tabs>
              <w:autoSpaceDE w:val="0"/>
              <w:autoSpaceDN w:val="0"/>
              <w:adjustRightInd w:val="0"/>
              <w:rPr>
                <w:sz w:val="22"/>
                <w:szCs w:val="22"/>
                <w:vertAlign w:val="superscript"/>
              </w:rPr>
            </w:pPr>
          </w:p>
        </w:tc>
        <w:tc>
          <w:tcPr>
            <w:tcW w:w="3699" w:type="dxa"/>
            <w:shd w:val="clear" w:color="auto" w:fill="auto"/>
          </w:tcPr>
          <w:p w14:paraId="6D4D0B07" w14:textId="77777777"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Veoma</w:t>
            </w:r>
            <w:proofErr w:type="spellEnd"/>
            <w:r w:rsidRPr="00F81D44">
              <w:rPr>
                <w:sz w:val="22"/>
                <w:szCs w:val="22"/>
              </w:rPr>
              <w:t xml:space="preserve"> </w:t>
            </w:r>
            <w:proofErr w:type="spellStart"/>
            <w:r w:rsidRPr="00F81D44">
              <w:rPr>
                <w:sz w:val="22"/>
                <w:szCs w:val="22"/>
              </w:rPr>
              <w:t>rijetka</w:t>
            </w:r>
            <w:proofErr w:type="spellEnd"/>
            <w:r w:rsidRPr="00F81D44">
              <w:rPr>
                <w:sz w:val="22"/>
                <w:szCs w:val="22"/>
              </w:rPr>
              <w:t xml:space="preserve"> &lt; 1/10 000</w:t>
            </w:r>
          </w:p>
        </w:tc>
        <w:tc>
          <w:tcPr>
            <w:tcW w:w="2476" w:type="dxa"/>
            <w:shd w:val="clear" w:color="auto" w:fill="auto"/>
          </w:tcPr>
          <w:p w14:paraId="3FACFFD5" w14:textId="77777777"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Reakcije</w:t>
            </w:r>
            <w:proofErr w:type="spellEnd"/>
            <w:r w:rsidRPr="00F81D44">
              <w:rPr>
                <w:sz w:val="22"/>
                <w:szCs w:val="22"/>
              </w:rPr>
              <w:t xml:space="preserve"> </w:t>
            </w:r>
            <w:proofErr w:type="spellStart"/>
            <w:r w:rsidRPr="00F81D44">
              <w:rPr>
                <w:sz w:val="22"/>
                <w:szCs w:val="22"/>
              </w:rPr>
              <w:t>preosjetljivosti</w:t>
            </w:r>
            <w:proofErr w:type="spellEnd"/>
            <w:r w:rsidRPr="00F81D44">
              <w:rPr>
                <w:sz w:val="22"/>
                <w:szCs w:val="22"/>
              </w:rPr>
              <w:t xml:space="preserve"> </w:t>
            </w:r>
            <w:proofErr w:type="spellStart"/>
            <w:r w:rsidRPr="00F81D44">
              <w:rPr>
                <w:sz w:val="22"/>
                <w:szCs w:val="22"/>
              </w:rPr>
              <w:t>uključujući</w:t>
            </w:r>
            <w:proofErr w:type="spellEnd"/>
            <w:r w:rsidRPr="00F81D44">
              <w:rPr>
                <w:sz w:val="22"/>
                <w:szCs w:val="22"/>
              </w:rPr>
              <w:t xml:space="preserve"> </w:t>
            </w:r>
            <w:proofErr w:type="spellStart"/>
            <w:r w:rsidRPr="00F81D44">
              <w:rPr>
                <w:sz w:val="22"/>
                <w:szCs w:val="22"/>
              </w:rPr>
              <w:t>anafilaktičku</w:t>
            </w:r>
            <w:proofErr w:type="spellEnd"/>
            <w:r w:rsidRPr="00F81D44">
              <w:rPr>
                <w:sz w:val="22"/>
                <w:szCs w:val="22"/>
              </w:rPr>
              <w:t xml:space="preserve"> </w:t>
            </w:r>
            <w:proofErr w:type="spellStart"/>
            <w:r w:rsidRPr="00F81D44">
              <w:rPr>
                <w:sz w:val="22"/>
                <w:szCs w:val="22"/>
              </w:rPr>
              <w:t>reakciju</w:t>
            </w:r>
            <w:proofErr w:type="spellEnd"/>
            <w:r w:rsidRPr="00F81D44">
              <w:rPr>
                <w:sz w:val="22"/>
                <w:szCs w:val="22"/>
              </w:rPr>
              <w:t>/</w:t>
            </w:r>
            <w:proofErr w:type="spellStart"/>
            <w:r w:rsidRPr="00F81D44">
              <w:rPr>
                <w:sz w:val="22"/>
                <w:szCs w:val="22"/>
              </w:rPr>
              <w:t>šok</w:t>
            </w:r>
            <w:proofErr w:type="spellEnd"/>
          </w:p>
        </w:tc>
      </w:tr>
      <w:tr w:rsidR="00F81D44" w:rsidRPr="00F81D44" w14:paraId="21491B81" w14:textId="77777777" w:rsidTr="00A20C29">
        <w:trPr>
          <w:trHeight w:val="269"/>
        </w:trPr>
        <w:tc>
          <w:tcPr>
            <w:tcW w:w="2638" w:type="dxa"/>
            <w:shd w:val="clear" w:color="auto" w:fill="auto"/>
          </w:tcPr>
          <w:p w14:paraId="1724043A" w14:textId="3062A502"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Metabolizam</w:t>
            </w:r>
            <w:proofErr w:type="spellEnd"/>
            <w:r w:rsidRPr="00F81D44">
              <w:rPr>
                <w:sz w:val="22"/>
                <w:szCs w:val="22"/>
              </w:rPr>
              <w:t xml:space="preserve"> </w:t>
            </w:r>
            <w:proofErr w:type="spellStart"/>
            <w:r w:rsidRPr="00F81D44">
              <w:rPr>
                <w:sz w:val="22"/>
                <w:szCs w:val="22"/>
              </w:rPr>
              <w:t>i</w:t>
            </w:r>
            <w:proofErr w:type="spellEnd"/>
            <w:r w:rsidRPr="00F81D44">
              <w:rPr>
                <w:sz w:val="22"/>
                <w:szCs w:val="22"/>
              </w:rPr>
              <w:t xml:space="preserve"> </w:t>
            </w:r>
            <w:proofErr w:type="spellStart"/>
            <w:r w:rsidRPr="00F81D44">
              <w:rPr>
                <w:sz w:val="22"/>
                <w:szCs w:val="22"/>
              </w:rPr>
              <w:t>poremećaji</w:t>
            </w:r>
            <w:proofErr w:type="spellEnd"/>
            <w:r w:rsidR="000E024B">
              <w:rPr>
                <w:sz w:val="22"/>
                <w:szCs w:val="22"/>
              </w:rPr>
              <w:t xml:space="preserve"> </w:t>
            </w:r>
            <w:proofErr w:type="spellStart"/>
            <w:r w:rsidR="000E024B">
              <w:rPr>
                <w:sz w:val="22"/>
                <w:szCs w:val="22"/>
              </w:rPr>
              <w:t>ishrane</w:t>
            </w:r>
            <w:proofErr w:type="spellEnd"/>
          </w:p>
          <w:p w14:paraId="5BC2DE3D" w14:textId="77777777" w:rsidR="00F81D44" w:rsidRPr="00F81D44" w:rsidRDefault="00F81D44" w:rsidP="00BD27C0">
            <w:pPr>
              <w:tabs>
                <w:tab w:val="left" w:pos="284"/>
              </w:tabs>
              <w:autoSpaceDE w:val="0"/>
              <w:autoSpaceDN w:val="0"/>
              <w:adjustRightInd w:val="0"/>
              <w:rPr>
                <w:sz w:val="22"/>
                <w:szCs w:val="22"/>
                <w:vertAlign w:val="superscript"/>
              </w:rPr>
            </w:pPr>
          </w:p>
        </w:tc>
        <w:tc>
          <w:tcPr>
            <w:tcW w:w="3699" w:type="dxa"/>
            <w:shd w:val="clear" w:color="auto" w:fill="auto"/>
          </w:tcPr>
          <w:p w14:paraId="5DD4BAB3" w14:textId="73553F24"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Povremena</w:t>
            </w:r>
            <w:proofErr w:type="spellEnd"/>
            <w:r w:rsidRPr="00F81D44">
              <w:rPr>
                <w:sz w:val="22"/>
                <w:szCs w:val="22"/>
              </w:rPr>
              <w:t xml:space="preserve"> ≥</w:t>
            </w:r>
            <w:r w:rsidR="002F16D1">
              <w:rPr>
                <w:sz w:val="22"/>
                <w:szCs w:val="22"/>
              </w:rPr>
              <w:t xml:space="preserve"> </w:t>
            </w:r>
            <w:r w:rsidRPr="00F81D44">
              <w:rPr>
                <w:sz w:val="22"/>
                <w:szCs w:val="22"/>
              </w:rPr>
              <w:t>1/1 000 do &lt;</w:t>
            </w:r>
            <w:r w:rsidR="002F16D1">
              <w:rPr>
                <w:sz w:val="22"/>
                <w:szCs w:val="22"/>
              </w:rPr>
              <w:t xml:space="preserve"> </w:t>
            </w:r>
            <w:r w:rsidRPr="00F81D44">
              <w:rPr>
                <w:sz w:val="22"/>
                <w:szCs w:val="22"/>
              </w:rPr>
              <w:t>1/100</w:t>
            </w:r>
          </w:p>
          <w:p w14:paraId="450B5E7C" w14:textId="70947144"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Veoma</w:t>
            </w:r>
            <w:proofErr w:type="spellEnd"/>
            <w:r w:rsidRPr="00F81D44">
              <w:rPr>
                <w:sz w:val="22"/>
                <w:szCs w:val="22"/>
              </w:rPr>
              <w:t xml:space="preserve"> </w:t>
            </w:r>
            <w:proofErr w:type="spellStart"/>
            <w:r w:rsidRPr="00F81D44">
              <w:rPr>
                <w:sz w:val="22"/>
                <w:szCs w:val="22"/>
              </w:rPr>
              <w:t>rijetka</w:t>
            </w:r>
            <w:proofErr w:type="spellEnd"/>
            <w:r w:rsidRPr="00F81D44">
              <w:rPr>
                <w:sz w:val="22"/>
                <w:szCs w:val="22"/>
              </w:rPr>
              <w:t xml:space="preserve"> &lt;</w:t>
            </w:r>
            <w:r w:rsidR="002F16D1">
              <w:rPr>
                <w:sz w:val="22"/>
                <w:szCs w:val="22"/>
              </w:rPr>
              <w:t xml:space="preserve"> </w:t>
            </w:r>
            <w:r w:rsidRPr="00F81D44">
              <w:rPr>
                <w:sz w:val="22"/>
                <w:szCs w:val="22"/>
              </w:rPr>
              <w:t>1/10 000</w:t>
            </w:r>
          </w:p>
        </w:tc>
        <w:tc>
          <w:tcPr>
            <w:tcW w:w="2476" w:type="dxa"/>
            <w:shd w:val="clear" w:color="auto" w:fill="auto"/>
          </w:tcPr>
          <w:p w14:paraId="6034A5BE" w14:textId="77777777"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Hipoglikemija</w:t>
            </w:r>
            <w:proofErr w:type="spellEnd"/>
            <w:r w:rsidRPr="00F81D44">
              <w:rPr>
                <w:sz w:val="22"/>
                <w:szCs w:val="22"/>
                <w:vertAlign w:val="superscript"/>
              </w:rPr>
              <w:t>*1</w:t>
            </w:r>
          </w:p>
          <w:p w14:paraId="5EC75D09" w14:textId="77777777"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Hipoglikemijska</w:t>
            </w:r>
            <w:proofErr w:type="spellEnd"/>
            <w:r w:rsidRPr="00F81D44">
              <w:rPr>
                <w:sz w:val="22"/>
                <w:szCs w:val="22"/>
              </w:rPr>
              <w:t xml:space="preserve"> </w:t>
            </w:r>
            <w:proofErr w:type="spellStart"/>
            <w:r w:rsidRPr="00F81D44">
              <w:rPr>
                <w:sz w:val="22"/>
                <w:szCs w:val="22"/>
              </w:rPr>
              <w:t>koma</w:t>
            </w:r>
            <w:proofErr w:type="spellEnd"/>
          </w:p>
        </w:tc>
      </w:tr>
      <w:tr w:rsidR="00F81D44" w:rsidRPr="00F81D44" w14:paraId="06204EFD" w14:textId="77777777" w:rsidTr="00A20C29">
        <w:trPr>
          <w:trHeight w:val="269"/>
        </w:trPr>
        <w:tc>
          <w:tcPr>
            <w:tcW w:w="2638" w:type="dxa"/>
            <w:shd w:val="clear" w:color="auto" w:fill="auto"/>
          </w:tcPr>
          <w:p w14:paraId="0CB0F9A9" w14:textId="77777777"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Kardiološki</w:t>
            </w:r>
            <w:proofErr w:type="spellEnd"/>
            <w:r w:rsidRPr="00F81D44">
              <w:rPr>
                <w:sz w:val="22"/>
                <w:szCs w:val="22"/>
              </w:rPr>
              <w:t xml:space="preserve"> </w:t>
            </w:r>
            <w:proofErr w:type="spellStart"/>
            <w:r w:rsidRPr="00F81D44">
              <w:rPr>
                <w:sz w:val="22"/>
                <w:szCs w:val="22"/>
              </w:rPr>
              <w:t>poremećaji</w:t>
            </w:r>
            <w:proofErr w:type="spellEnd"/>
          </w:p>
          <w:p w14:paraId="7C667B0B" w14:textId="77777777" w:rsidR="00F81D44" w:rsidRPr="00F81D44" w:rsidRDefault="00F81D44" w:rsidP="00BD27C0">
            <w:pPr>
              <w:tabs>
                <w:tab w:val="left" w:pos="284"/>
              </w:tabs>
              <w:autoSpaceDE w:val="0"/>
              <w:autoSpaceDN w:val="0"/>
              <w:adjustRightInd w:val="0"/>
              <w:rPr>
                <w:sz w:val="22"/>
                <w:szCs w:val="22"/>
                <w:vertAlign w:val="superscript"/>
              </w:rPr>
            </w:pPr>
          </w:p>
          <w:p w14:paraId="028B4D1C" w14:textId="77777777" w:rsidR="00F81D44" w:rsidRPr="00F81D44" w:rsidRDefault="00F81D44" w:rsidP="00BD27C0">
            <w:pPr>
              <w:tabs>
                <w:tab w:val="left" w:pos="284"/>
              </w:tabs>
              <w:autoSpaceDE w:val="0"/>
              <w:autoSpaceDN w:val="0"/>
              <w:adjustRightInd w:val="0"/>
              <w:rPr>
                <w:sz w:val="22"/>
                <w:szCs w:val="22"/>
                <w:vertAlign w:val="superscript"/>
              </w:rPr>
            </w:pPr>
          </w:p>
        </w:tc>
        <w:tc>
          <w:tcPr>
            <w:tcW w:w="3699" w:type="dxa"/>
            <w:shd w:val="clear" w:color="auto" w:fill="auto"/>
          </w:tcPr>
          <w:p w14:paraId="3519E53E" w14:textId="61CBC14E"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Veoma</w:t>
            </w:r>
            <w:proofErr w:type="spellEnd"/>
            <w:r w:rsidRPr="00F81D44">
              <w:rPr>
                <w:sz w:val="22"/>
                <w:szCs w:val="22"/>
              </w:rPr>
              <w:t xml:space="preserve"> </w:t>
            </w:r>
            <w:proofErr w:type="spellStart"/>
            <w:r w:rsidRPr="00F81D44">
              <w:rPr>
                <w:sz w:val="22"/>
                <w:szCs w:val="22"/>
              </w:rPr>
              <w:t>rijetka</w:t>
            </w:r>
            <w:proofErr w:type="spellEnd"/>
            <w:r w:rsidRPr="00F81D44">
              <w:rPr>
                <w:sz w:val="22"/>
                <w:szCs w:val="22"/>
              </w:rPr>
              <w:t xml:space="preserve"> &lt;</w:t>
            </w:r>
            <w:r w:rsidR="002F16D1">
              <w:rPr>
                <w:sz w:val="22"/>
                <w:szCs w:val="22"/>
              </w:rPr>
              <w:t xml:space="preserve"> </w:t>
            </w:r>
            <w:r w:rsidRPr="00F81D44">
              <w:rPr>
                <w:sz w:val="22"/>
                <w:szCs w:val="22"/>
              </w:rPr>
              <w:t>1/10 000</w:t>
            </w:r>
          </w:p>
          <w:p w14:paraId="3D7C4C99" w14:textId="77777777" w:rsidR="00F81D44" w:rsidRPr="00F81D44" w:rsidRDefault="00F81D44" w:rsidP="00BD27C0">
            <w:pPr>
              <w:tabs>
                <w:tab w:val="left" w:pos="284"/>
              </w:tabs>
              <w:autoSpaceDE w:val="0"/>
              <w:autoSpaceDN w:val="0"/>
              <w:adjustRightInd w:val="0"/>
              <w:rPr>
                <w:sz w:val="22"/>
                <w:szCs w:val="22"/>
                <w:vertAlign w:val="superscript"/>
              </w:rPr>
            </w:pPr>
          </w:p>
        </w:tc>
        <w:tc>
          <w:tcPr>
            <w:tcW w:w="2476" w:type="dxa"/>
            <w:shd w:val="clear" w:color="auto" w:fill="auto"/>
          </w:tcPr>
          <w:p w14:paraId="64936897"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Tahikardija</w:t>
            </w:r>
            <w:proofErr w:type="spellEnd"/>
            <w:r w:rsidRPr="00F81D44">
              <w:rPr>
                <w:sz w:val="22"/>
                <w:szCs w:val="22"/>
                <w:vertAlign w:val="superscript"/>
              </w:rPr>
              <w:t>*2</w:t>
            </w:r>
          </w:p>
        </w:tc>
      </w:tr>
      <w:tr w:rsidR="00F81D44" w:rsidRPr="00F81D44" w14:paraId="40355B66" w14:textId="77777777" w:rsidTr="00A20C29">
        <w:trPr>
          <w:trHeight w:val="269"/>
        </w:trPr>
        <w:tc>
          <w:tcPr>
            <w:tcW w:w="2638" w:type="dxa"/>
            <w:shd w:val="clear" w:color="auto" w:fill="auto"/>
          </w:tcPr>
          <w:p w14:paraId="2082E321"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Vaskularni</w:t>
            </w:r>
            <w:proofErr w:type="spellEnd"/>
            <w:r w:rsidRPr="00F81D44">
              <w:rPr>
                <w:sz w:val="22"/>
                <w:szCs w:val="22"/>
              </w:rPr>
              <w:t xml:space="preserve"> </w:t>
            </w:r>
            <w:proofErr w:type="spellStart"/>
            <w:r w:rsidRPr="00F81D44">
              <w:rPr>
                <w:sz w:val="22"/>
                <w:szCs w:val="22"/>
              </w:rPr>
              <w:t>poremećaji</w:t>
            </w:r>
            <w:proofErr w:type="spellEnd"/>
          </w:p>
        </w:tc>
        <w:tc>
          <w:tcPr>
            <w:tcW w:w="3699" w:type="dxa"/>
            <w:shd w:val="clear" w:color="auto" w:fill="auto"/>
          </w:tcPr>
          <w:p w14:paraId="58502AB3" w14:textId="6777AEBF"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Veoma</w:t>
            </w:r>
            <w:proofErr w:type="spellEnd"/>
            <w:r w:rsidRPr="00F81D44">
              <w:rPr>
                <w:sz w:val="22"/>
                <w:szCs w:val="22"/>
              </w:rPr>
              <w:t xml:space="preserve"> </w:t>
            </w:r>
            <w:proofErr w:type="spellStart"/>
            <w:r w:rsidRPr="00F81D44">
              <w:rPr>
                <w:sz w:val="22"/>
                <w:szCs w:val="22"/>
              </w:rPr>
              <w:t>rijetka</w:t>
            </w:r>
            <w:proofErr w:type="spellEnd"/>
            <w:r w:rsidRPr="00F81D44">
              <w:rPr>
                <w:sz w:val="22"/>
                <w:szCs w:val="22"/>
              </w:rPr>
              <w:t xml:space="preserve"> &lt;</w:t>
            </w:r>
            <w:r w:rsidR="002F16D1">
              <w:rPr>
                <w:sz w:val="22"/>
                <w:szCs w:val="22"/>
              </w:rPr>
              <w:t xml:space="preserve"> </w:t>
            </w:r>
            <w:r w:rsidRPr="00F81D44">
              <w:rPr>
                <w:sz w:val="22"/>
                <w:szCs w:val="22"/>
              </w:rPr>
              <w:t>1/10 000</w:t>
            </w:r>
          </w:p>
          <w:p w14:paraId="1682FA55" w14:textId="5D8C2F94" w:rsidR="00F81D44" w:rsidRPr="00F81D44" w:rsidRDefault="00F81D44" w:rsidP="00BD27C0">
            <w:pPr>
              <w:tabs>
                <w:tab w:val="left" w:pos="284"/>
              </w:tabs>
              <w:autoSpaceDE w:val="0"/>
              <w:autoSpaceDN w:val="0"/>
              <w:adjustRightInd w:val="0"/>
              <w:rPr>
                <w:sz w:val="22"/>
                <w:szCs w:val="22"/>
                <w:vertAlign w:val="superscript"/>
              </w:rPr>
            </w:pPr>
            <w:proofErr w:type="spellStart"/>
            <w:r w:rsidRPr="00F81D44">
              <w:rPr>
                <w:sz w:val="22"/>
                <w:szCs w:val="22"/>
              </w:rPr>
              <w:t>Veoma</w:t>
            </w:r>
            <w:proofErr w:type="spellEnd"/>
            <w:r w:rsidRPr="00F81D44">
              <w:rPr>
                <w:sz w:val="22"/>
                <w:szCs w:val="22"/>
              </w:rPr>
              <w:t xml:space="preserve"> </w:t>
            </w:r>
            <w:proofErr w:type="spellStart"/>
            <w:r w:rsidRPr="00F81D44">
              <w:rPr>
                <w:sz w:val="22"/>
                <w:szCs w:val="22"/>
              </w:rPr>
              <w:t>rijetka</w:t>
            </w:r>
            <w:proofErr w:type="spellEnd"/>
            <w:r w:rsidRPr="00F81D44">
              <w:rPr>
                <w:sz w:val="22"/>
                <w:szCs w:val="22"/>
              </w:rPr>
              <w:t xml:space="preserve"> &lt;</w:t>
            </w:r>
            <w:r w:rsidR="002F16D1">
              <w:rPr>
                <w:sz w:val="22"/>
                <w:szCs w:val="22"/>
              </w:rPr>
              <w:t xml:space="preserve"> </w:t>
            </w:r>
            <w:r w:rsidRPr="00F81D44">
              <w:rPr>
                <w:sz w:val="22"/>
                <w:szCs w:val="22"/>
              </w:rPr>
              <w:t>1/10 000</w:t>
            </w:r>
          </w:p>
        </w:tc>
        <w:tc>
          <w:tcPr>
            <w:tcW w:w="2476" w:type="dxa"/>
            <w:shd w:val="clear" w:color="auto" w:fill="auto"/>
          </w:tcPr>
          <w:p w14:paraId="39CA5889"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Hipotenzija</w:t>
            </w:r>
            <w:proofErr w:type="spellEnd"/>
            <w:r w:rsidRPr="00F81D44">
              <w:rPr>
                <w:sz w:val="22"/>
                <w:szCs w:val="22"/>
                <w:vertAlign w:val="superscript"/>
              </w:rPr>
              <w:t>*2</w:t>
            </w:r>
          </w:p>
          <w:p w14:paraId="22B34874"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Hipertenzija</w:t>
            </w:r>
            <w:proofErr w:type="spellEnd"/>
            <w:r w:rsidRPr="00F81D44">
              <w:rPr>
                <w:sz w:val="22"/>
                <w:szCs w:val="22"/>
                <w:vertAlign w:val="superscript"/>
              </w:rPr>
              <w:t>*2</w:t>
            </w:r>
          </w:p>
          <w:p w14:paraId="52EF44F5" w14:textId="77777777" w:rsidR="00F81D44" w:rsidRPr="00F81D44" w:rsidRDefault="00F81D44" w:rsidP="00BD27C0">
            <w:pPr>
              <w:tabs>
                <w:tab w:val="left" w:pos="284"/>
              </w:tabs>
              <w:autoSpaceDE w:val="0"/>
              <w:autoSpaceDN w:val="0"/>
              <w:adjustRightInd w:val="0"/>
              <w:rPr>
                <w:sz w:val="22"/>
                <w:szCs w:val="22"/>
              </w:rPr>
            </w:pPr>
          </w:p>
        </w:tc>
      </w:tr>
      <w:tr w:rsidR="00F81D44" w:rsidRPr="00F81D44" w14:paraId="7DF38169" w14:textId="77777777" w:rsidTr="00A20C29">
        <w:trPr>
          <w:trHeight w:val="284"/>
        </w:trPr>
        <w:tc>
          <w:tcPr>
            <w:tcW w:w="2638" w:type="dxa"/>
            <w:shd w:val="clear" w:color="auto" w:fill="auto"/>
          </w:tcPr>
          <w:p w14:paraId="5A001D36" w14:textId="77777777" w:rsidR="00F81D44" w:rsidRPr="00F81D44" w:rsidRDefault="00F81D44" w:rsidP="00BD27C0">
            <w:pPr>
              <w:tabs>
                <w:tab w:val="left" w:pos="284"/>
              </w:tabs>
              <w:autoSpaceDE w:val="0"/>
              <w:autoSpaceDN w:val="0"/>
              <w:adjustRightInd w:val="0"/>
              <w:rPr>
                <w:sz w:val="22"/>
                <w:szCs w:val="22"/>
              </w:rPr>
            </w:pPr>
            <w:proofErr w:type="spellStart"/>
            <w:r w:rsidRPr="00F81D44">
              <w:rPr>
                <w:sz w:val="22"/>
                <w:szCs w:val="22"/>
              </w:rPr>
              <w:t>Gastrointestinalni</w:t>
            </w:r>
            <w:proofErr w:type="spellEnd"/>
            <w:r w:rsidRPr="00F81D44">
              <w:rPr>
                <w:sz w:val="22"/>
                <w:szCs w:val="22"/>
              </w:rPr>
              <w:t xml:space="preserve"> </w:t>
            </w:r>
            <w:proofErr w:type="spellStart"/>
            <w:r w:rsidRPr="00F81D44">
              <w:rPr>
                <w:sz w:val="22"/>
                <w:szCs w:val="22"/>
              </w:rPr>
              <w:t>poremećaji</w:t>
            </w:r>
            <w:proofErr w:type="spellEnd"/>
          </w:p>
        </w:tc>
        <w:tc>
          <w:tcPr>
            <w:tcW w:w="3699" w:type="dxa"/>
            <w:shd w:val="clear" w:color="auto" w:fill="auto"/>
          </w:tcPr>
          <w:p w14:paraId="516D938E" w14:textId="7A3D8A6B"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Česta ≥</w:t>
            </w:r>
            <w:r w:rsidR="002F16D1">
              <w:rPr>
                <w:sz w:val="22"/>
                <w:szCs w:val="22"/>
                <w:lang w:val="pl-PL"/>
              </w:rPr>
              <w:t xml:space="preserve"> </w:t>
            </w:r>
            <w:r w:rsidRPr="00F81D44">
              <w:rPr>
                <w:sz w:val="22"/>
                <w:szCs w:val="22"/>
                <w:lang w:val="pl-PL"/>
              </w:rPr>
              <w:t>1/100 do &lt;</w:t>
            </w:r>
            <w:r w:rsidR="002F16D1">
              <w:rPr>
                <w:sz w:val="22"/>
                <w:szCs w:val="22"/>
                <w:lang w:val="pl-PL"/>
              </w:rPr>
              <w:t xml:space="preserve"> </w:t>
            </w:r>
            <w:r w:rsidRPr="00F81D44">
              <w:rPr>
                <w:sz w:val="22"/>
                <w:szCs w:val="22"/>
                <w:lang w:val="pl-PL"/>
              </w:rPr>
              <w:t>1/10</w:t>
            </w:r>
          </w:p>
          <w:p w14:paraId="73C2A0D9" w14:textId="6D85DDAC"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Povremena ≥</w:t>
            </w:r>
            <w:r w:rsidR="002F16D1">
              <w:rPr>
                <w:sz w:val="22"/>
                <w:szCs w:val="22"/>
                <w:lang w:val="pl-PL"/>
              </w:rPr>
              <w:t xml:space="preserve"> </w:t>
            </w:r>
            <w:r w:rsidRPr="00F81D44">
              <w:rPr>
                <w:sz w:val="22"/>
                <w:szCs w:val="22"/>
                <w:lang w:val="pl-PL"/>
              </w:rPr>
              <w:t>1/1 000 do &lt;</w:t>
            </w:r>
            <w:r w:rsidR="002F16D1">
              <w:rPr>
                <w:sz w:val="22"/>
                <w:szCs w:val="22"/>
                <w:lang w:val="pl-PL"/>
              </w:rPr>
              <w:t xml:space="preserve"> </w:t>
            </w:r>
            <w:r w:rsidRPr="00F81D44">
              <w:rPr>
                <w:sz w:val="22"/>
                <w:szCs w:val="22"/>
                <w:lang w:val="pl-PL"/>
              </w:rPr>
              <w:t>1/100</w:t>
            </w:r>
          </w:p>
          <w:p w14:paraId="0CA1A51D" w14:textId="04FF3051"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Rijetka  ≥</w:t>
            </w:r>
            <w:r w:rsidR="002F16D1">
              <w:rPr>
                <w:sz w:val="22"/>
                <w:szCs w:val="22"/>
                <w:lang w:val="pl-PL"/>
              </w:rPr>
              <w:t xml:space="preserve"> </w:t>
            </w:r>
            <w:r w:rsidRPr="00F81D44">
              <w:rPr>
                <w:sz w:val="22"/>
                <w:szCs w:val="22"/>
                <w:lang w:val="pl-PL"/>
              </w:rPr>
              <w:t>1/10 000 do &lt;</w:t>
            </w:r>
            <w:r w:rsidR="002F16D1">
              <w:rPr>
                <w:sz w:val="22"/>
                <w:szCs w:val="22"/>
                <w:lang w:val="pl-PL"/>
              </w:rPr>
              <w:t xml:space="preserve"> </w:t>
            </w:r>
            <w:r w:rsidRPr="00F81D44">
              <w:rPr>
                <w:sz w:val="22"/>
                <w:szCs w:val="22"/>
                <w:lang w:val="pl-PL"/>
              </w:rPr>
              <w:t>1/1 000</w:t>
            </w:r>
          </w:p>
        </w:tc>
        <w:tc>
          <w:tcPr>
            <w:tcW w:w="2476" w:type="dxa"/>
            <w:shd w:val="clear" w:color="auto" w:fill="auto"/>
          </w:tcPr>
          <w:p w14:paraId="3047FBD0" w14:textId="7777777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Mučnina</w:t>
            </w:r>
          </w:p>
          <w:p w14:paraId="54942FD4" w14:textId="7777777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Povraćanje</w:t>
            </w:r>
          </w:p>
          <w:p w14:paraId="53FBCCFA" w14:textId="77777777" w:rsidR="00F81D44" w:rsidRPr="00F81D44" w:rsidRDefault="00F81D44" w:rsidP="00BD27C0">
            <w:pPr>
              <w:tabs>
                <w:tab w:val="left" w:pos="284"/>
              </w:tabs>
              <w:autoSpaceDE w:val="0"/>
              <w:autoSpaceDN w:val="0"/>
              <w:adjustRightInd w:val="0"/>
              <w:rPr>
                <w:sz w:val="22"/>
                <w:szCs w:val="22"/>
                <w:lang w:val="pl-PL"/>
              </w:rPr>
            </w:pPr>
            <w:r w:rsidRPr="00F81D44">
              <w:rPr>
                <w:sz w:val="22"/>
                <w:szCs w:val="22"/>
                <w:lang w:val="pl-PL"/>
              </w:rPr>
              <w:t>Abdominalni bol</w:t>
            </w:r>
          </w:p>
        </w:tc>
      </w:tr>
      <w:tr w:rsidR="00E239DD" w:rsidRPr="00F81D44" w14:paraId="7A995577" w14:textId="77777777" w:rsidTr="00A20C29">
        <w:trPr>
          <w:trHeight w:val="284"/>
        </w:trPr>
        <w:tc>
          <w:tcPr>
            <w:tcW w:w="2638" w:type="dxa"/>
            <w:shd w:val="clear" w:color="auto" w:fill="auto"/>
          </w:tcPr>
          <w:p w14:paraId="2A1A68D1" w14:textId="73B4F31A" w:rsidR="00E239DD" w:rsidRPr="00F81D44" w:rsidRDefault="00E239DD" w:rsidP="00BD27C0">
            <w:pPr>
              <w:tabs>
                <w:tab w:val="left" w:pos="284"/>
              </w:tabs>
              <w:autoSpaceDE w:val="0"/>
              <w:autoSpaceDN w:val="0"/>
              <w:adjustRightInd w:val="0"/>
              <w:rPr>
                <w:sz w:val="22"/>
                <w:szCs w:val="22"/>
              </w:rPr>
            </w:pPr>
            <w:proofErr w:type="spellStart"/>
            <w:r w:rsidRPr="00C82873">
              <w:rPr>
                <w:sz w:val="22"/>
                <w:szCs w:val="22"/>
              </w:rPr>
              <w:t>Opšti</w:t>
            </w:r>
            <w:proofErr w:type="spellEnd"/>
            <w:r w:rsidRPr="00C82873">
              <w:rPr>
                <w:sz w:val="22"/>
                <w:szCs w:val="22"/>
              </w:rPr>
              <w:t xml:space="preserve"> </w:t>
            </w:r>
            <w:proofErr w:type="spellStart"/>
            <w:r w:rsidRPr="00C82873">
              <w:rPr>
                <w:sz w:val="22"/>
                <w:szCs w:val="22"/>
              </w:rPr>
              <w:t>poremećaji</w:t>
            </w:r>
            <w:proofErr w:type="spellEnd"/>
            <w:r w:rsidRPr="00C82873">
              <w:rPr>
                <w:sz w:val="22"/>
                <w:szCs w:val="22"/>
              </w:rPr>
              <w:t xml:space="preserve"> </w:t>
            </w:r>
            <w:proofErr w:type="spellStart"/>
            <w:r w:rsidRPr="00C82873">
              <w:rPr>
                <w:sz w:val="22"/>
                <w:szCs w:val="22"/>
              </w:rPr>
              <w:t>i</w:t>
            </w:r>
            <w:proofErr w:type="spellEnd"/>
            <w:r w:rsidRPr="00C82873">
              <w:rPr>
                <w:sz w:val="22"/>
                <w:szCs w:val="22"/>
              </w:rPr>
              <w:t xml:space="preserve"> </w:t>
            </w:r>
            <w:proofErr w:type="spellStart"/>
            <w:r w:rsidRPr="00C82873">
              <w:rPr>
                <w:sz w:val="22"/>
                <w:szCs w:val="22"/>
              </w:rPr>
              <w:t>stanja</w:t>
            </w:r>
            <w:proofErr w:type="spellEnd"/>
            <w:r w:rsidRPr="00C82873">
              <w:rPr>
                <w:sz w:val="22"/>
                <w:szCs w:val="22"/>
              </w:rPr>
              <w:t xml:space="preserve"> </w:t>
            </w:r>
            <w:proofErr w:type="spellStart"/>
            <w:r w:rsidRPr="00C82873">
              <w:rPr>
                <w:sz w:val="22"/>
                <w:szCs w:val="22"/>
              </w:rPr>
              <w:t>na</w:t>
            </w:r>
            <w:proofErr w:type="spellEnd"/>
            <w:r w:rsidRPr="00C82873">
              <w:rPr>
                <w:sz w:val="22"/>
                <w:szCs w:val="22"/>
              </w:rPr>
              <w:t xml:space="preserve"> </w:t>
            </w:r>
            <w:proofErr w:type="spellStart"/>
            <w:r w:rsidRPr="00C82873">
              <w:rPr>
                <w:sz w:val="22"/>
                <w:szCs w:val="22"/>
              </w:rPr>
              <w:t>mjestu</w:t>
            </w:r>
            <w:proofErr w:type="spellEnd"/>
            <w:r w:rsidRPr="00C82873">
              <w:rPr>
                <w:sz w:val="22"/>
                <w:szCs w:val="22"/>
              </w:rPr>
              <w:t xml:space="preserve"> </w:t>
            </w:r>
            <w:proofErr w:type="spellStart"/>
            <w:r w:rsidRPr="00C82873">
              <w:rPr>
                <w:sz w:val="22"/>
                <w:szCs w:val="22"/>
              </w:rPr>
              <w:t>primjene</w:t>
            </w:r>
            <w:proofErr w:type="spellEnd"/>
          </w:p>
        </w:tc>
        <w:tc>
          <w:tcPr>
            <w:tcW w:w="3699" w:type="dxa"/>
            <w:shd w:val="clear" w:color="auto" w:fill="auto"/>
          </w:tcPr>
          <w:p w14:paraId="65867C4F" w14:textId="77777777" w:rsidR="00E239DD" w:rsidRPr="00C82873" w:rsidRDefault="00E239DD" w:rsidP="00BD27C0">
            <w:pPr>
              <w:tabs>
                <w:tab w:val="left" w:pos="284"/>
              </w:tabs>
              <w:autoSpaceDE w:val="0"/>
              <w:autoSpaceDN w:val="0"/>
              <w:adjustRightInd w:val="0"/>
              <w:rPr>
                <w:sz w:val="22"/>
                <w:szCs w:val="22"/>
                <w:lang w:val="pl-PL"/>
              </w:rPr>
            </w:pPr>
            <w:r w:rsidRPr="00C82873">
              <w:rPr>
                <w:sz w:val="22"/>
                <w:szCs w:val="22"/>
                <w:lang w:val="pl-PL"/>
              </w:rPr>
              <w:t>Nepoznata (ne može se procijeniti iz</w:t>
            </w:r>
          </w:p>
          <w:p w14:paraId="5233F556" w14:textId="735BD1AA" w:rsidR="00E239DD" w:rsidRPr="00F81D44" w:rsidRDefault="00E239DD" w:rsidP="00BD27C0">
            <w:pPr>
              <w:tabs>
                <w:tab w:val="left" w:pos="284"/>
              </w:tabs>
              <w:autoSpaceDE w:val="0"/>
              <w:autoSpaceDN w:val="0"/>
              <w:adjustRightInd w:val="0"/>
              <w:rPr>
                <w:sz w:val="22"/>
                <w:szCs w:val="22"/>
                <w:lang w:val="pl-PL"/>
              </w:rPr>
            </w:pPr>
            <w:r w:rsidRPr="00C82873">
              <w:rPr>
                <w:sz w:val="22"/>
                <w:szCs w:val="22"/>
                <w:lang w:val="pl-PL"/>
              </w:rPr>
              <w:t>dostupnih podataka)</w:t>
            </w:r>
          </w:p>
        </w:tc>
        <w:tc>
          <w:tcPr>
            <w:tcW w:w="2476" w:type="dxa"/>
            <w:shd w:val="clear" w:color="auto" w:fill="auto"/>
          </w:tcPr>
          <w:p w14:paraId="2E57D529" w14:textId="3914EF1C" w:rsidR="00E239DD" w:rsidRPr="00F81D44" w:rsidRDefault="00E239DD" w:rsidP="00BD27C0">
            <w:pPr>
              <w:tabs>
                <w:tab w:val="left" w:pos="284"/>
              </w:tabs>
              <w:autoSpaceDE w:val="0"/>
              <w:autoSpaceDN w:val="0"/>
              <w:adjustRightInd w:val="0"/>
              <w:rPr>
                <w:sz w:val="22"/>
                <w:szCs w:val="22"/>
                <w:lang w:val="pl-PL"/>
              </w:rPr>
            </w:pPr>
            <w:r w:rsidRPr="00C82873">
              <w:rPr>
                <w:sz w:val="22"/>
                <w:szCs w:val="22"/>
                <w:lang w:val="pl-PL"/>
              </w:rPr>
              <w:t>Reakcije na mjestu primjene</w:t>
            </w:r>
          </w:p>
        </w:tc>
      </w:tr>
    </w:tbl>
    <w:p w14:paraId="2275365B" w14:textId="77777777" w:rsidR="00F81D44" w:rsidRPr="00F81D44" w:rsidRDefault="00F81D44" w:rsidP="00CA754D">
      <w:pPr>
        <w:tabs>
          <w:tab w:val="left" w:pos="284"/>
        </w:tabs>
        <w:autoSpaceDE w:val="0"/>
        <w:autoSpaceDN w:val="0"/>
        <w:adjustRightInd w:val="0"/>
        <w:ind w:left="227"/>
        <w:jc w:val="both"/>
        <w:rPr>
          <w:sz w:val="20"/>
          <w:szCs w:val="20"/>
          <w:lang w:val="pl-PL"/>
        </w:rPr>
      </w:pPr>
      <w:r w:rsidRPr="00F81D44">
        <w:rPr>
          <w:sz w:val="20"/>
          <w:szCs w:val="20"/>
          <w:vertAlign w:val="superscript"/>
          <w:lang w:val="pl-PL"/>
        </w:rPr>
        <w:t>*1</w:t>
      </w:r>
      <w:r w:rsidRPr="00F81D44">
        <w:rPr>
          <w:sz w:val="20"/>
          <w:szCs w:val="20"/>
          <w:lang w:val="pl-PL"/>
        </w:rPr>
        <w:t xml:space="preserve"> Nakon dijagnostičke procedure može biti više izražena kod pacijenata koji su gladovali (pogledati pod 4.4).</w:t>
      </w:r>
    </w:p>
    <w:p w14:paraId="05B30AF2" w14:textId="72FDD41F" w:rsidR="00F81D44" w:rsidRPr="00F81D44" w:rsidRDefault="00F81D44" w:rsidP="00BD27C0">
      <w:pPr>
        <w:tabs>
          <w:tab w:val="left" w:pos="180"/>
        </w:tabs>
        <w:autoSpaceDE w:val="0"/>
        <w:autoSpaceDN w:val="0"/>
        <w:adjustRightInd w:val="0"/>
        <w:ind w:left="227"/>
        <w:jc w:val="both"/>
        <w:rPr>
          <w:sz w:val="20"/>
          <w:szCs w:val="20"/>
          <w:lang w:val="pl-PL"/>
        </w:rPr>
      </w:pPr>
      <w:r w:rsidRPr="00F81D44">
        <w:rPr>
          <w:sz w:val="20"/>
          <w:szCs w:val="20"/>
          <w:vertAlign w:val="superscript"/>
          <w:lang w:val="pl-PL"/>
        </w:rPr>
        <w:lastRenderedPageBreak/>
        <w:t>*2</w:t>
      </w:r>
      <w:r w:rsidRPr="00F81D44">
        <w:rPr>
          <w:sz w:val="20"/>
          <w:szCs w:val="20"/>
          <w:lang w:val="pl-PL"/>
        </w:rPr>
        <w:t xml:space="preserve"> Slučajevi kardio-vaskularnih neželjenih događaja prijavljivani su samo kada je </w:t>
      </w:r>
      <w:r w:rsidR="002F16D1">
        <w:rPr>
          <w:sz w:val="20"/>
          <w:szCs w:val="20"/>
          <w:lang w:val="pl-PL"/>
        </w:rPr>
        <w:t xml:space="preserve">lijek </w:t>
      </w:r>
      <w:r w:rsidRPr="00F81D44">
        <w:rPr>
          <w:sz w:val="20"/>
          <w:szCs w:val="20"/>
          <w:lang w:val="pl-PL"/>
        </w:rPr>
        <w:t>GlucaGen korišćen kao dodatak endoskopskoj ili radiografskoj proceduri.</w:t>
      </w:r>
    </w:p>
    <w:p w14:paraId="40B78DC7" w14:textId="77777777" w:rsidR="00F81D44" w:rsidRPr="00F81D44" w:rsidRDefault="00F81D44" w:rsidP="00CA754D">
      <w:pPr>
        <w:tabs>
          <w:tab w:val="left" w:pos="284"/>
        </w:tabs>
        <w:autoSpaceDE w:val="0"/>
        <w:autoSpaceDN w:val="0"/>
        <w:adjustRightInd w:val="0"/>
        <w:jc w:val="both"/>
        <w:rPr>
          <w:noProof/>
          <w:sz w:val="22"/>
          <w:szCs w:val="22"/>
          <w:lang w:val="pl-PL"/>
        </w:rPr>
      </w:pPr>
    </w:p>
    <w:p w14:paraId="5CC6D70B" w14:textId="77777777" w:rsidR="00F81D44" w:rsidRPr="00F81D44" w:rsidRDefault="00F81D44" w:rsidP="00CA754D">
      <w:pPr>
        <w:tabs>
          <w:tab w:val="left" w:pos="284"/>
        </w:tabs>
        <w:autoSpaceDE w:val="0"/>
        <w:autoSpaceDN w:val="0"/>
        <w:adjustRightInd w:val="0"/>
        <w:jc w:val="both"/>
        <w:rPr>
          <w:i/>
          <w:noProof/>
          <w:sz w:val="22"/>
          <w:szCs w:val="22"/>
          <w:lang w:val="pl-PL"/>
        </w:rPr>
      </w:pPr>
      <w:r w:rsidRPr="00F81D44">
        <w:rPr>
          <w:i/>
          <w:noProof/>
          <w:sz w:val="22"/>
          <w:szCs w:val="22"/>
          <w:lang w:val="pl-PL"/>
        </w:rPr>
        <w:t>Pedijatrijska populacija</w:t>
      </w:r>
    </w:p>
    <w:p w14:paraId="5334B356" w14:textId="77777777" w:rsidR="00F81D44" w:rsidRPr="00F81D44" w:rsidRDefault="00F81D44">
      <w:pPr>
        <w:tabs>
          <w:tab w:val="left" w:pos="284"/>
        </w:tabs>
        <w:autoSpaceDE w:val="0"/>
        <w:autoSpaceDN w:val="0"/>
        <w:adjustRightInd w:val="0"/>
        <w:jc w:val="both"/>
        <w:rPr>
          <w:noProof/>
          <w:sz w:val="22"/>
          <w:szCs w:val="22"/>
          <w:lang w:val="hr-HR"/>
        </w:rPr>
      </w:pPr>
    </w:p>
    <w:p w14:paraId="27D0CB20" w14:textId="2E56367B" w:rsidR="00F81D44" w:rsidRPr="00F81D44" w:rsidRDefault="00F81D44">
      <w:pPr>
        <w:tabs>
          <w:tab w:val="left" w:pos="284"/>
        </w:tabs>
        <w:autoSpaceDE w:val="0"/>
        <w:autoSpaceDN w:val="0"/>
        <w:adjustRightInd w:val="0"/>
        <w:jc w:val="both"/>
        <w:rPr>
          <w:noProof/>
          <w:sz w:val="22"/>
          <w:szCs w:val="22"/>
          <w:lang w:val="hr-HR"/>
        </w:rPr>
      </w:pPr>
      <w:r w:rsidRPr="00F81D44">
        <w:rPr>
          <w:noProof/>
          <w:sz w:val="22"/>
          <w:szCs w:val="22"/>
          <w:lang w:val="hr-HR"/>
        </w:rPr>
        <w:t xml:space="preserve">Nema dostupnih podataka o dijagnostičkoj upotrebi lijeka </w:t>
      </w:r>
      <w:r w:rsidRPr="00F81D44">
        <w:rPr>
          <w:sz w:val="22"/>
          <w:szCs w:val="22"/>
          <w:lang w:val="sr-Latn-CS"/>
        </w:rPr>
        <w:t>GlucaGen Hypo</w:t>
      </w:r>
      <w:r w:rsidR="009C1ED3">
        <w:rPr>
          <w:sz w:val="22"/>
          <w:szCs w:val="22"/>
          <w:lang w:val="sr-Latn-CS"/>
        </w:rPr>
        <w:t>K</w:t>
      </w:r>
      <w:r w:rsidRPr="00F81D44">
        <w:rPr>
          <w:sz w:val="22"/>
          <w:szCs w:val="22"/>
          <w:lang w:val="sr-Latn-CS"/>
        </w:rPr>
        <w:t>it</w:t>
      </w:r>
      <w:r w:rsidRPr="00F81D44">
        <w:rPr>
          <w:noProof/>
          <w:sz w:val="22"/>
          <w:szCs w:val="22"/>
          <w:lang w:val="hr-HR"/>
        </w:rPr>
        <w:t xml:space="preserve"> kod djece.</w:t>
      </w:r>
    </w:p>
    <w:p w14:paraId="100D5F26" w14:textId="77777777" w:rsidR="00F81D44" w:rsidRPr="00F81D44" w:rsidRDefault="00F81D44">
      <w:pPr>
        <w:tabs>
          <w:tab w:val="left" w:pos="284"/>
        </w:tabs>
        <w:autoSpaceDE w:val="0"/>
        <w:autoSpaceDN w:val="0"/>
        <w:adjustRightInd w:val="0"/>
        <w:jc w:val="both"/>
        <w:rPr>
          <w:noProof/>
          <w:sz w:val="22"/>
          <w:szCs w:val="22"/>
          <w:lang w:val="hr-HR"/>
        </w:rPr>
      </w:pPr>
    </w:p>
    <w:p w14:paraId="6C07E415" w14:textId="77777777" w:rsidR="00F81D44" w:rsidRPr="00F81D44" w:rsidRDefault="00F81D44">
      <w:pPr>
        <w:tabs>
          <w:tab w:val="left" w:pos="284"/>
        </w:tabs>
        <w:autoSpaceDE w:val="0"/>
        <w:autoSpaceDN w:val="0"/>
        <w:adjustRightInd w:val="0"/>
        <w:jc w:val="both"/>
        <w:rPr>
          <w:i/>
          <w:noProof/>
          <w:sz w:val="22"/>
          <w:szCs w:val="22"/>
          <w:lang w:val="hr-HR"/>
        </w:rPr>
      </w:pPr>
      <w:r w:rsidRPr="00F81D44">
        <w:rPr>
          <w:i/>
          <w:noProof/>
          <w:sz w:val="22"/>
          <w:szCs w:val="22"/>
          <w:lang w:val="hr-HR"/>
        </w:rPr>
        <w:t>Druge posebne populacije</w:t>
      </w:r>
    </w:p>
    <w:p w14:paraId="05C5EB13" w14:textId="77777777" w:rsidR="00F81D44" w:rsidRPr="00F81D44" w:rsidRDefault="00F81D44">
      <w:pPr>
        <w:tabs>
          <w:tab w:val="left" w:pos="284"/>
        </w:tabs>
        <w:autoSpaceDE w:val="0"/>
        <w:autoSpaceDN w:val="0"/>
        <w:adjustRightInd w:val="0"/>
        <w:jc w:val="both"/>
        <w:rPr>
          <w:noProof/>
          <w:sz w:val="22"/>
          <w:szCs w:val="22"/>
          <w:lang w:val="hr-HR"/>
        </w:rPr>
      </w:pPr>
    </w:p>
    <w:p w14:paraId="25B0AB08" w14:textId="7D6F1337" w:rsidR="00F81D44" w:rsidRPr="00F81D44" w:rsidRDefault="00F81D44">
      <w:pPr>
        <w:tabs>
          <w:tab w:val="left" w:pos="284"/>
        </w:tabs>
        <w:autoSpaceDE w:val="0"/>
        <w:autoSpaceDN w:val="0"/>
        <w:adjustRightInd w:val="0"/>
        <w:jc w:val="both"/>
        <w:rPr>
          <w:noProof/>
          <w:sz w:val="22"/>
          <w:szCs w:val="22"/>
          <w:lang w:val="hr-HR"/>
        </w:rPr>
      </w:pPr>
      <w:r w:rsidRPr="00F81D44">
        <w:rPr>
          <w:noProof/>
          <w:sz w:val="22"/>
          <w:szCs w:val="22"/>
          <w:lang w:val="hr-HR"/>
        </w:rPr>
        <w:t xml:space="preserve">Na osnovu podataka iz kliničkih studija i postmarketinškog iskustva, očekuje se da će učestalost, tip i ozbiljnost neželjenih reakcija koje su </w:t>
      </w:r>
      <w:r w:rsidR="0093154C" w:rsidRPr="00F81D44">
        <w:rPr>
          <w:noProof/>
          <w:sz w:val="22"/>
          <w:szCs w:val="22"/>
          <w:lang w:val="hr-HR"/>
        </w:rPr>
        <w:t>zab</w:t>
      </w:r>
      <w:r w:rsidR="0093154C">
        <w:rPr>
          <w:noProof/>
          <w:sz w:val="22"/>
          <w:szCs w:val="22"/>
          <w:lang w:val="hr-HR"/>
        </w:rPr>
        <w:t>i</w:t>
      </w:r>
      <w:r w:rsidR="0093154C" w:rsidRPr="00F81D44">
        <w:rPr>
          <w:noProof/>
          <w:sz w:val="22"/>
          <w:szCs w:val="22"/>
          <w:lang w:val="hr-HR"/>
        </w:rPr>
        <w:t>l</w:t>
      </w:r>
      <w:r w:rsidR="0093154C">
        <w:rPr>
          <w:noProof/>
          <w:sz w:val="22"/>
          <w:szCs w:val="22"/>
          <w:lang w:val="hr-HR"/>
        </w:rPr>
        <w:t>j</w:t>
      </w:r>
      <w:r w:rsidR="0093154C" w:rsidRPr="00F81D44">
        <w:rPr>
          <w:noProof/>
          <w:sz w:val="22"/>
          <w:szCs w:val="22"/>
          <w:lang w:val="hr-HR"/>
        </w:rPr>
        <w:t>ežen</w:t>
      </w:r>
      <w:r w:rsidR="0093154C">
        <w:rPr>
          <w:noProof/>
          <w:sz w:val="22"/>
          <w:szCs w:val="22"/>
          <w:lang w:val="hr-HR"/>
        </w:rPr>
        <w:t xml:space="preserve">e </w:t>
      </w:r>
      <w:r w:rsidRPr="00F81D44">
        <w:rPr>
          <w:noProof/>
          <w:sz w:val="22"/>
          <w:szCs w:val="22"/>
          <w:lang w:val="hr-HR"/>
        </w:rPr>
        <w:t>kod starijih pacijenata i kod pacijenata sa oštećenjem bubrega ili jetre biti iste kao kod opšte populacije.</w:t>
      </w:r>
    </w:p>
    <w:p w14:paraId="1BA5C23D" w14:textId="77777777" w:rsidR="00F81D44" w:rsidRPr="00F81D44" w:rsidRDefault="00F81D44" w:rsidP="00BD27C0">
      <w:pPr>
        <w:tabs>
          <w:tab w:val="left" w:pos="540"/>
          <w:tab w:val="left" w:pos="569"/>
        </w:tabs>
        <w:jc w:val="both"/>
        <w:rPr>
          <w:b/>
          <w:bCs/>
          <w:sz w:val="22"/>
          <w:szCs w:val="22"/>
          <w:lang w:val="hr-HR"/>
        </w:rPr>
      </w:pPr>
    </w:p>
    <w:p w14:paraId="3E4CD203" w14:textId="77777777" w:rsidR="005A23D2" w:rsidRPr="00786071" w:rsidRDefault="005A23D2" w:rsidP="00BD27C0">
      <w:pPr>
        <w:spacing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2421A192" w14:textId="77777777" w:rsidR="005A23D2" w:rsidRPr="00786071" w:rsidRDefault="005A23D2" w:rsidP="00CA754D">
      <w:pPr>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394027C5" w14:textId="77777777" w:rsidR="005A23D2" w:rsidRPr="00786071" w:rsidRDefault="004E70AD">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6D428036" w14:textId="77777777" w:rsidR="005A23D2" w:rsidRPr="00786071" w:rsidRDefault="005A23D2">
      <w:pPr>
        <w:pStyle w:val="NoSpacing"/>
        <w:jc w:val="both"/>
        <w:rPr>
          <w:rFonts w:eastAsia="Calibri"/>
          <w:sz w:val="22"/>
          <w:szCs w:val="22"/>
          <w:lang w:val="sr-Latn-RS"/>
        </w:rPr>
      </w:pPr>
      <w:r w:rsidRPr="00786071">
        <w:rPr>
          <w:rFonts w:eastAsia="Calibri"/>
          <w:sz w:val="22"/>
          <w:szCs w:val="22"/>
          <w:lang w:val="sr-Latn-RS"/>
        </w:rPr>
        <w:t>Odjeljenje za farmakovigilancu</w:t>
      </w:r>
    </w:p>
    <w:p w14:paraId="2B3D9B0B"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7571BF8C" w14:textId="77777777" w:rsidR="00EA5765" w:rsidRPr="00786071" w:rsidRDefault="00EA5765" w:rsidP="00BD27C0">
      <w:pPr>
        <w:pStyle w:val="NoSpacing"/>
        <w:jc w:val="both"/>
        <w:rPr>
          <w:rFonts w:eastAsia="Calibri"/>
          <w:sz w:val="22"/>
          <w:szCs w:val="22"/>
          <w:lang w:val="sr-Latn-RS"/>
        </w:rPr>
      </w:pPr>
    </w:p>
    <w:p w14:paraId="27CE53CC" w14:textId="77777777" w:rsidR="005A23D2" w:rsidRPr="00786071" w:rsidRDefault="005A23D2" w:rsidP="00CA754D">
      <w:pPr>
        <w:pStyle w:val="NoSpacing"/>
        <w:jc w:val="both"/>
        <w:rPr>
          <w:rFonts w:eastAsia="Calibri"/>
          <w:sz w:val="22"/>
          <w:szCs w:val="22"/>
          <w:lang w:val="sr-Latn-RS"/>
        </w:rPr>
      </w:pPr>
      <w:r w:rsidRPr="00786071">
        <w:rPr>
          <w:rFonts w:eastAsia="Calibri"/>
          <w:sz w:val="22"/>
          <w:szCs w:val="22"/>
          <w:lang w:val="sr-Latn-RS"/>
        </w:rPr>
        <w:t>tel: +382 (0) 20 310 280</w:t>
      </w:r>
    </w:p>
    <w:p w14:paraId="31718F5A"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6C954C28" w14:textId="77777777" w:rsidR="005A23D2" w:rsidRPr="00786071" w:rsidRDefault="00072B15">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369779EA" w14:textId="77777777" w:rsidR="00EA5765" w:rsidRPr="00786071" w:rsidRDefault="00072B15">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6C2CE8B0" w14:textId="6B29622F" w:rsidR="005A23D2" w:rsidRDefault="005A23D2">
      <w:pPr>
        <w:pStyle w:val="NoSpacing"/>
        <w:tabs>
          <w:tab w:val="left" w:pos="3045"/>
        </w:tabs>
        <w:jc w:val="both"/>
        <w:rPr>
          <w:rFonts w:eastAsia="Calibri"/>
          <w:sz w:val="22"/>
          <w:szCs w:val="22"/>
          <w:lang w:val="sr-Latn-RS"/>
        </w:rPr>
      </w:pPr>
      <w:r w:rsidRPr="00786071">
        <w:rPr>
          <w:rFonts w:eastAsia="Calibri"/>
          <w:sz w:val="22"/>
          <w:szCs w:val="22"/>
          <w:lang w:val="sr-Latn-RS"/>
        </w:rPr>
        <w:t>putem IS zdravstvene zaštite</w:t>
      </w:r>
      <w:r w:rsidR="00607CFC">
        <w:rPr>
          <w:rFonts w:eastAsia="Calibri"/>
          <w:sz w:val="22"/>
          <w:szCs w:val="22"/>
          <w:lang w:val="sr-Latn-RS"/>
        </w:rPr>
        <w:tab/>
      </w:r>
    </w:p>
    <w:p w14:paraId="56413F2D" w14:textId="77777777" w:rsidR="00607CFC" w:rsidRPr="00607CFC" w:rsidRDefault="00607CFC" w:rsidP="00BD27C0">
      <w:pPr>
        <w:pStyle w:val="NoSpacing"/>
        <w:tabs>
          <w:tab w:val="left" w:pos="3045"/>
        </w:tabs>
        <w:jc w:val="both"/>
        <w:rPr>
          <w:rFonts w:eastAsia="Calibri"/>
          <w:sz w:val="22"/>
          <w:szCs w:val="22"/>
          <w:lang w:val="sr-Latn-RS"/>
        </w:rPr>
      </w:pPr>
      <w:r w:rsidRPr="00607CFC">
        <w:rPr>
          <w:rFonts w:eastAsia="Calibri"/>
          <w:sz w:val="22"/>
          <w:szCs w:val="22"/>
          <w:lang w:val="sr-Latn-RS"/>
        </w:rPr>
        <w:t>QR kod za online prijavu sumnje na neželjeno dejstvo lijeka:</w:t>
      </w:r>
    </w:p>
    <w:p w14:paraId="202179FD" w14:textId="77777777" w:rsidR="00607CFC" w:rsidRPr="00607CFC" w:rsidRDefault="00607CFC" w:rsidP="00B06F89">
      <w:pPr>
        <w:pStyle w:val="NoSpacing"/>
        <w:tabs>
          <w:tab w:val="left" w:pos="3045"/>
        </w:tabs>
        <w:rPr>
          <w:rFonts w:eastAsia="Calibri"/>
          <w:sz w:val="22"/>
          <w:szCs w:val="22"/>
          <w:lang w:val="sr-Latn-RS"/>
        </w:rPr>
      </w:pPr>
    </w:p>
    <w:p w14:paraId="2DA892EC" w14:textId="3801949C" w:rsidR="00607CFC" w:rsidRPr="00786071" w:rsidRDefault="00607CFC" w:rsidP="00B06F89">
      <w:pPr>
        <w:pStyle w:val="NoSpacing"/>
        <w:tabs>
          <w:tab w:val="left" w:pos="3045"/>
        </w:tabs>
        <w:jc w:val="both"/>
        <w:rPr>
          <w:rFonts w:eastAsia="Calibri"/>
          <w:sz w:val="22"/>
          <w:szCs w:val="22"/>
          <w:lang w:val="sr-Latn-RS"/>
        </w:rPr>
      </w:pPr>
      <w:r>
        <w:rPr>
          <w:noProof/>
        </w:rPr>
        <w:drawing>
          <wp:inline distT="0" distB="0" distL="0" distR="0" wp14:anchorId="2FAF0269" wp14:editId="67FC328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1E78A3F" w14:textId="77777777" w:rsidR="00836B35" w:rsidRPr="00920E02" w:rsidRDefault="00836B35" w:rsidP="00B06F89">
      <w:pPr>
        <w:tabs>
          <w:tab w:val="left" w:pos="540"/>
          <w:tab w:val="left" w:pos="569"/>
        </w:tabs>
        <w:rPr>
          <w:b/>
          <w:bCs/>
          <w:sz w:val="22"/>
          <w:szCs w:val="22"/>
          <w:lang w:val="sr-Latn-RS"/>
        </w:rPr>
      </w:pPr>
    </w:p>
    <w:p w14:paraId="7AAF5259" w14:textId="77777777" w:rsidR="00CD6F02"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4.9. </w:t>
      </w:r>
      <w:r w:rsidR="00480FB1" w:rsidRPr="00920E02">
        <w:rPr>
          <w:b/>
          <w:bCs/>
          <w:sz w:val="22"/>
          <w:szCs w:val="22"/>
          <w:lang w:val="sr-Latn-RS"/>
        </w:rPr>
        <w:tab/>
      </w:r>
      <w:r w:rsidRPr="00920E02">
        <w:rPr>
          <w:b/>
          <w:bCs/>
          <w:sz w:val="22"/>
          <w:szCs w:val="22"/>
          <w:lang w:val="sr-Latn-RS"/>
        </w:rPr>
        <w:t>Predoziranje</w:t>
      </w:r>
      <w:r w:rsidR="002846DB" w:rsidRPr="00920E02">
        <w:rPr>
          <w:b/>
          <w:bCs/>
          <w:sz w:val="22"/>
          <w:szCs w:val="22"/>
          <w:lang w:val="sr-Latn-RS"/>
        </w:rPr>
        <w:t xml:space="preserve"> </w:t>
      </w:r>
    </w:p>
    <w:p w14:paraId="32F71AC4" w14:textId="53FB1802" w:rsidR="00CD6F02" w:rsidRDefault="00CD6F02" w:rsidP="00BD27C0">
      <w:pPr>
        <w:tabs>
          <w:tab w:val="left" w:pos="540"/>
          <w:tab w:val="left" w:pos="569"/>
        </w:tabs>
        <w:jc w:val="both"/>
        <w:rPr>
          <w:b/>
          <w:bCs/>
          <w:sz w:val="22"/>
          <w:szCs w:val="22"/>
          <w:lang w:val="sr-Latn-RS"/>
        </w:rPr>
      </w:pPr>
    </w:p>
    <w:p w14:paraId="6A4C4E6A" w14:textId="2B0B626E" w:rsidR="00F81D44" w:rsidRDefault="00F81D44" w:rsidP="00CA754D">
      <w:pPr>
        <w:tabs>
          <w:tab w:val="left" w:pos="284"/>
        </w:tabs>
        <w:jc w:val="both"/>
        <w:rPr>
          <w:sz w:val="22"/>
          <w:szCs w:val="22"/>
          <w:lang w:val="sr-Latn-CS"/>
        </w:rPr>
      </w:pPr>
      <w:r w:rsidRPr="00F81D44">
        <w:rPr>
          <w:sz w:val="22"/>
          <w:szCs w:val="22"/>
          <w:lang w:val="sr-Latn-CS"/>
        </w:rPr>
        <w:t>U slučaju predoziranja, pacijent može os</w:t>
      </w:r>
      <w:r w:rsidR="0093154C">
        <w:rPr>
          <w:sz w:val="22"/>
          <w:szCs w:val="22"/>
          <w:lang w:val="sr-Latn-CS"/>
        </w:rPr>
        <w:t>j</w:t>
      </w:r>
      <w:r w:rsidRPr="00F81D44">
        <w:rPr>
          <w:sz w:val="22"/>
          <w:szCs w:val="22"/>
          <w:lang w:val="sr-Latn-CS"/>
        </w:rPr>
        <w:t xml:space="preserve">etiti mučninu i povraćanje. Zbog kratkog </w:t>
      </w:r>
      <w:r w:rsidR="002F16D1" w:rsidRPr="00F81D44">
        <w:rPr>
          <w:sz w:val="22"/>
          <w:szCs w:val="22"/>
          <w:lang w:val="sr-Latn-CS"/>
        </w:rPr>
        <w:t>polu</w:t>
      </w:r>
      <w:r w:rsidR="002F16D1">
        <w:rPr>
          <w:sz w:val="22"/>
          <w:szCs w:val="22"/>
          <w:lang w:val="sr-Latn-CS"/>
        </w:rPr>
        <w:t xml:space="preserve">vremena eliminacije </w:t>
      </w:r>
      <w:r w:rsidRPr="00F81D44">
        <w:rPr>
          <w:sz w:val="22"/>
          <w:szCs w:val="22"/>
          <w:lang w:val="sr-Latn-CS"/>
        </w:rPr>
        <w:t>glukagona, ovi simptomi će biti prolazni.</w:t>
      </w:r>
    </w:p>
    <w:p w14:paraId="2DCB4F77" w14:textId="77777777" w:rsidR="002F16D1" w:rsidRPr="00F81D44" w:rsidRDefault="002F16D1" w:rsidP="00CA754D">
      <w:pPr>
        <w:tabs>
          <w:tab w:val="left" w:pos="284"/>
        </w:tabs>
        <w:jc w:val="both"/>
        <w:rPr>
          <w:sz w:val="22"/>
          <w:szCs w:val="22"/>
          <w:lang w:val="sr-Latn-CS"/>
        </w:rPr>
      </w:pPr>
    </w:p>
    <w:p w14:paraId="62D4E322" w14:textId="0C692814" w:rsidR="00F81D44" w:rsidRPr="00920E02" w:rsidRDefault="00F81D44" w:rsidP="00BD27C0">
      <w:pPr>
        <w:tabs>
          <w:tab w:val="left" w:pos="540"/>
          <w:tab w:val="left" w:pos="569"/>
        </w:tabs>
        <w:jc w:val="both"/>
        <w:rPr>
          <w:b/>
          <w:bCs/>
          <w:sz w:val="22"/>
          <w:szCs w:val="22"/>
          <w:lang w:val="sr-Latn-RS"/>
        </w:rPr>
      </w:pPr>
      <w:r w:rsidRPr="00F81D44">
        <w:rPr>
          <w:sz w:val="22"/>
          <w:szCs w:val="22"/>
          <w:lang w:val="sr-Latn-CS"/>
        </w:rPr>
        <w:t>U slučaju sumnje na predoziranje, nivo kalijuma u serumu se može smanjiti, pa je stoga neophodno pratiti vrijednosti kalijuma u krvi i korigovati ih ukoliko je potrebno.</w:t>
      </w:r>
    </w:p>
    <w:p w14:paraId="4CCAA38D" w14:textId="7D08BCAB" w:rsidR="00227BDB" w:rsidRDefault="00227BDB" w:rsidP="00BD27C0">
      <w:pPr>
        <w:tabs>
          <w:tab w:val="left" w:pos="540"/>
          <w:tab w:val="left" w:pos="569"/>
        </w:tabs>
        <w:jc w:val="both"/>
        <w:rPr>
          <w:b/>
          <w:bCs/>
          <w:sz w:val="22"/>
          <w:szCs w:val="22"/>
          <w:lang w:val="sr-Latn-RS"/>
        </w:rPr>
      </w:pPr>
    </w:p>
    <w:p w14:paraId="533AE129" w14:textId="77777777" w:rsidR="00F81D44" w:rsidRPr="00920E02" w:rsidRDefault="00F81D44" w:rsidP="00BD27C0">
      <w:pPr>
        <w:tabs>
          <w:tab w:val="left" w:pos="540"/>
          <w:tab w:val="left" w:pos="569"/>
        </w:tabs>
        <w:jc w:val="both"/>
        <w:rPr>
          <w:b/>
          <w:bCs/>
          <w:sz w:val="22"/>
          <w:szCs w:val="22"/>
          <w:lang w:val="sr-Latn-RS"/>
        </w:rPr>
      </w:pPr>
    </w:p>
    <w:p w14:paraId="14F1239A"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5. </w:t>
      </w:r>
      <w:r w:rsidR="00480FB1" w:rsidRPr="00920E02">
        <w:rPr>
          <w:b/>
          <w:bCs/>
          <w:sz w:val="22"/>
          <w:szCs w:val="22"/>
          <w:lang w:val="sr-Latn-RS"/>
        </w:rPr>
        <w:tab/>
      </w:r>
      <w:r w:rsidRPr="00920E02">
        <w:rPr>
          <w:b/>
          <w:bCs/>
          <w:sz w:val="22"/>
          <w:szCs w:val="22"/>
          <w:lang w:val="sr-Latn-RS"/>
        </w:rPr>
        <w:t>FARMAKOLOŠK</w:t>
      </w:r>
      <w:r w:rsidR="000D425A" w:rsidRPr="00920E02">
        <w:rPr>
          <w:b/>
          <w:bCs/>
          <w:sz w:val="22"/>
          <w:szCs w:val="22"/>
          <w:lang w:val="sr-Latn-RS"/>
        </w:rPr>
        <w:t>I</w:t>
      </w:r>
      <w:r w:rsidRPr="00920E02">
        <w:rPr>
          <w:b/>
          <w:bCs/>
          <w:sz w:val="22"/>
          <w:szCs w:val="22"/>
          <w:lang w:val="sr-Latn-RS"/>
        </w:rPr>
        <w:t xml:space="preserve"> PODACI</w:t>
      </w:r>
    </w:p>
    <w:p w14:paraId="01EF9A73" w14:textId="77777777" w:rsidR="0072020E" w:rsidRPr="00920E02" w:rsidRDefault="0072020E" w:rsidP="00BD27C0">
      <w:pPr>
        <w:tabs>
          <w:tab w:val="left" w:pos="540"/>
          <w:tab w:val="left" w:pos="569"/>
        </w:tabs>
        <w:jc w:val="both"/>
        <w:rPr>
          <w:b/>
          <w:bCs/>
          <w:sz w:val="22"/>
          <w:szCs w:val="22"/>
          <w:lang w:val="sr-Latn-RS"/>
        </w:rPr>
      </w:pPr>
    </w:p>
    <w:p w14:paraId="6004D689"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5.1. </w:t>
      </w:r>
      <w:r w:rsidR="00480FB1" w:rsidRPr="00920E02">
        <w:rPr>
          <w:b/>
          <w:bCs/>
          <w:sz w:val="22"/>
          <w:szCs w:val="22"/>
          <w:lang w:val="sr-Latn-RS"/>
        </w:rPr>
        <w:tab/>
      </w:r>
      <w:r w:rsidRPr="00920E02">
        <w:rPr>
          <w:b/>
          <w:bCs/>
          <w:sz w:val="22"/>
          <w:szCs w:val="22"/>
          <w:lang w:val="sr-Latn-RS"/>
        </w:rPr>
        <w:t>Farmakodinamski podaci</w:t>
      </w:r>
      <w:r w:rsidR="003A7059" w:rsidRPr="00920E02">
        <w:rPr>
          <w:b/>
          <w:bCs/>
          <w:sz w:val="22"/>
          <w:szCs w:val="22"/>
          <w:lang w:val="sr-Latn-RS"/>
        </w:rPr>
        <w:t xml:space="preserve"> </w:t>
      </w:r>
    </w:p>
    <w:p w14:paraId="34A73EC8" w14:textId="77777777" w:rsidR="00F45F77" w:rsidRPr="00920E02" w:rsidRDefault="00F45F77" w:rsidP="00BD27C0">
      <w:pPr>
        <w:tabs>
          <w:tab w:val="left" w:pos="540"/>
          <w:tab w:val="left" w:pos="569"/>
        </w:tabs>
        <w:jc w:val="both"/>
        <w:rPr>
          <w:b/>
          <w:bCs/>
          <w:sz w:val="22"/>
          <w:szCs w:val="22"/>
          <w:lang w:val="sr-Latn-RS"/>
        </w:rPr>
      </w:pPr>
    </w:p>
    <w:p w14:paraId="0F20568D" w14:textId="3A056147" w:rsidR="0072020E" w:rsidRPr="00920E02" w:rsidRDefault="0072020E" w:rsidP="00BD27C0">
      <w:pPr>
        <w:tabs>
          <w:tab w:val="left" w:pos="540"/>
          <w:tab w:val="left" w:pos="569"/>
        </w:tabs>
        <w:jc w:val="both"/>
        <w:rPr>
          <w:bCs/>
          <w:sz w:val="22"/>
          <w:szCs w:val="22"/>
          <w:lang w:val="sr-Latn-RS"/>
        </w:rPr>
      </w:pPr>
      <w:r w:rsidRPr="00920E02">
        <w:rPr>
          <w:bCs/>
          <w:sz w:val="22"/>
          <w:szCs w:val="22"/>
          <w:lang w:val="sr-Latn-RS"/>
        </w:rPr>
        <w:t>Farmakoterapijska grupa:</w:t>
      </w:r>
      <w:r w:rsidR="00F81D44">
        <w:rPr>
          <w:bCs/>
          <w:sz w:val="22"/>
          <w:szCs w:val="22"/>
          <w:lang w:val="sr-Latn-RS"/>
        </w:rPr>
        <w:t xml:space="preserve"> </w:t>
      </w:r>
      <w:r w:rsidR="00F81D44" w:rsidRPr="00F81D44">
        <w:rPr>
          <w:bCs/>
          <w:sz w:val="22"/>
          <w:szCs w:val="22"/>
          <w:lang w:val="sr-Latn-CS"/>
        </w:rPr>
        <w:t>hormoni</w:t>
      </w:r>
      <w:r w:rsidR="00295658">
        <w:rPr>
          <w:bCs/>
          <w:sz w:val="22"/>
          <w:szCs w:val="22"/>
          <w:lang w:val="sr-Latn-CS"/>
        </w:rPr>
        <w:t xml:space="preserve"> pankreasa,</w:t>
      </w:r>
      <w:r w:rsidR="00F81D44" w:rsidRPr="00F81D44">
        <w:rPr>
          <w:bCs/>
          <w:sz w:val="22"/>
          <w:szCs w:val="22"/>
          <w:lang w:val="sr-Latn-CS"/>
        </w:rPr>
        <w:t xml:space="preserve"> </w:t>
      </w:r>
      <w:r w:rsidR="00295658">
        <w:rPr>
          <w:bCs/>
          <w:sz w:val="22"/>
          <w:szCs w:val="22"/>
          <w:lang w:val="sr-Latn-CS"/>
        </w:rPr>
        <w:t>g</w:t>
      </w:r>
      <w:r w:rsidR="00F81D44" w:rsidRPr="00F81D44">
        <w:rPr>
          <w:bCs/>
          <w:sz w:val="22"/>
          <w:szCs w:val="22"/>
          <w:lang w:val="sr-Latn-CS"/>
        </w:rPr>
        <w:t>likogenolitički hormoni</w:t>
      </w:r>
    </w:p>
    <w:p w14:paraId="5A6F8024" w14:textId="77777777" w:rsidR="00DA2AA9" w:rsidRDefault="00DA2AA9" w:rsidP="00BD27C0">
      <w:pPr>
        <w:tabs>
          <w:tab w:val="left" w:pos="540"/>
          <w:tab w:val="left" w:pos="569"/>
        </w:tabs>
        <w:jc w:val="both"/>
        <w:rPr>
          <w:bCs/>
          <w:sz w:val="22"/>
          <w:szCs w:val="22"/>
          <w:lang w:val="sr-Latn-RS"/>
        </w:rPr>
      </w:pPr>
    </w:p>
    <w:p w14:paraId="662A0A6E" w14:textId="121C1572" w:rsidR="0072020E" w:rsidRPr="00920E02" w:rsidRDefault="0072020E" w:rsidP="00BD27C0">
      <w:pPr>
        <w:tabs>
          <w:tab w:val="left" w:pos="540"/>
          <w:tab w:val="left" w:pos="569"/>
        </w:tabs>
        <w:jc w:val="both"/>
        <w:rPr>
          <w:bCs/>
          <w:sz w:val="22"/>
          <w:szCs w:val="22"/>
          <w:lang w:val="sr-Latn-RS"/>
        </w:rPr>
      </w:pPr>
      <w:r w:rsidRPr="00920E02">
        <w:rPr>
          <w:bCs/>
          <w:sz w:val="22"/>
          <w:szCs w:val="22"/>
          <w:lang w:val="sr-Latn-RS"/>
        </w:rPr>
        <w:t>ATC kod:</w:t>
      </w:r>
      <w:r w:rsidR="00F81D44">
        <w:rPr>
          <w:bCs/>
          <w:sz w:val="22"/>
          <w:szCs w:val="22"/>
          <w:lang w:val="sr-Latn-RS"/>
        </w:rPr>
        <w:t xml:space="preserve"> </w:t>
      </w:r>
      <w:r w:rsidR="00F81D44" w:rsidRPr="001A1E21">
        <w:rPr>
          <w:bCs/>
          <w:sz w:val="22"/>
          <w:szCs w:val="22"/>
          <w:lang w:val="sr-Latn-RS"/>
        </w:rPr>
        <w:t>H</w:t>
      </w:r>
      <w:r w:rsidR="00F81D44" w:rsidRPr="007A58A2">
        <w:rPr>
          <w:bCs/>
          <w:sz w:val="22"/>
          <w:szCs w:val="22"/>
          <w:lang w:val="sr-Latn-CS"/>
        </w:rPr>
        <w:t>04</w:t>
      </w:r>
      <w:r w:rsidR="00F81D44" w:rsidRPr="001A1E21">
        <w:rPr>
          <w:bCs/>
          <w:sz w:val="22"/>
          <w:szCs w:val="22"/>
          <w:lang w:val="sr-Latn-RS"/>
        </w:rPr>
        <w:t>AA</w:t>
      </w:r>
      <w:r w:rsidR="00F81D44" w:rsidRPr="007A58A2">
        <w:rPr>
          <w:bCs/>
          <w:sz w:val="22"/>
          <w:szCs w:val="22"/>
          <w:lang w:val="sr-Latn-CS"/>
        </w:rPr>
        <w:t>01</w:t>
      </w:r>
    </w:p>
    <w:p w14:paraId="75DF08CE" w14:textId="6ECDA6B5" w:rsidR="002E37A5" w:rsidRDefault="002E37A5" w:rsidP="00BD27C0">
      <w:pPr>
        <w:tabs>
          <w:tab w:val="left" w:pos="540"/>
          <w:tab w:val="left" w:pos="569"/>
        </w:tabs>
        <w:jc w:val="both"/>
        <w:rPr>
          <w:b/>
          <w:bCs/>
          <w:sz w:val="22"/>
          <w:szCs w:val="22"/>
          <w:lang w:val="sr-Latn-RS"/>
        </w:rPr>
      </w:pPr>
    </w:p>
    <w:p w14:paraId="6FE8F8D8" w14:textId="77777777" w:rsidR="00F81D44" w:rsidRPr="00F81D44" w:rsidRDefault="00F81D44" w:rsidP="00CA754D">
      <w:pPr>
        <w:tabs>
          <w:tab w:val="left" w:pos="284"/>
        </w:tabs>
        <w:autoSpaceDE w:val="0"/>
        <w:autoSpaceDN w:val="0"/>
        <w:adjustRightInd w:val="0"/>
        <w:jc w:val="both"/>
        <w:rPr>
          <w:sz w:val="22"/>
          <w:szCs w:val="22"/>
          <w:u w:val="single"/>
          <w:lang w:val="sr-Latn-CS"/>
        </w:rPr>
      </w:pPr>
      <w:r w:rsidRPr="00F81D44">
        <w:rPr>
          <w:sz w:val="22"/>
          <w:szCs w:val="22"/>
          <w:u w:val="single"/>
          <w:lang w:val="sr-Latn-CS"/>
        </w:rPr>
        <w:t>Mehanizam djelovanja</w:t>
      </w:r>
    </w:p>
    <w:p w14:paraId="579F5DCC" w14:textId="77777777" w:rsidR="00F81D44" w:rsidRPr="00F81D44" w:rsidRDefault="00F81D44">
      <w:pPr>
        <w:tabs>
          <w:tab w:val="left" w:pos="284"/>
        </w:tabs>
        <w:autoSpaceDE w:val="0"/>
        <w:autoSpaceDN w:val="0"/>
        <w:adjustRightInd w:val="0"/>
        <w:jc w:val="both"/>
        <w:rPr>
          <w:sz w:val="22"/>
          <w:szCs w:val="22"/>
          <w:lang w:val="sr-Latn-CS"/>
        </w:rPr>
      </w:pPr>
    </w:p>
    <w:p w14:paraId="17DE3819" w14:textId="77777777" w:rsidR="00F81D44" w:rsidRPr="00F81D44" w:rsidRDefault="00F81D44">
      <w:pPr>
        <w:tabs>
          <w:tab w:val="left" w:pos="284"/>
        </w:tabs>
        <w:autoSpaceDE w:val="0"/>
        <w:autoSpaceDN w:val="0"/>
        <w:adjustRightInd w:val="0"/>
        <w:jc w:val="both"/>
        <w:rPr>
          <w:sz w:val="22"/>
          <w:szCs w:val="22"/>
          <w:lang w:val="pl-PL"/>
        </w:rPr>
      </w:pPr>
      <w:r w:rsidRPr="00F81D44">
        <w:rPr>
          <w:sz w:val="22"/>
          <w:szCs w:val="22"/>
          <w:lang w:val="sr-Latn-CS"/>
        </w:rPr>
        <w:t xml:space="preserve">Glukagon predstavlja hiperglikemijski agens koji mobiliše rezerve glikogena u jetri oslobađajući glukozu u krv. </w:t>
      </w:r>
    </w:p>
    <w:p w14:paraId="431ADA85" w14:textId="77777777" w:rsidR="00F81D44" w:rsidRPr="00F81D44" w:rsidRDefault="00F81D44">
      <w:pPr>
        <w:tabs>
          <w:tab w:val="left" w:pos="284"/>
        </w:tabs>
        <w:autoSpaceDE w:val="0"/>
        <w:autoSpaceDN w:val="0"/>
        <w:adjustRightInd w:val="0"/>
        <w:jc w:val="both"/>
        <w:rPr>
          <w:sz w:val="22"/>
          <w:szCs w:val="22"/>
          <w:lang w:val="pl-PL"/>
        </w:rPr>
      </w:pPr>
      <w:r w:rsidRPr="00F81D44">
        <w:rPr>
          <w:sz w:val="22"/>
          <w:szCs w:val="22"/>
          <w:lang w:val="pl-PL"/>
        </w:rPr>
        <w:t>Glukagon inhibira tonus i motilitet glatke muskulature gastrointestinalnog trakta.</w:t>
      </w:r>
    </w:p>
    <w:p w14:paraId="783DE612" w14:textId="77777777" w:rsidR="00F81D44" w:rsidRPr="00F81D44" w:rsidRDefault="00F81D44">
      <w:pPr>
        <w:tabs>
          <w:tab w:val="left" w:pos="284"/>
        </w:tabs>
        <w:autoSpaceDE w:val="0"/>
        <w:autoSpaceDN w:val="0"/>
        <w:adjustRightInd w:val="0"/>
        <w:jc w:val="both"/>
        <w:rPr>
          <w:sz w:val="22"/>
          <w:szCs w:val="22"/>
          <w:lang w:val="pl-PL"/>
        </w:rPr>
      </w:pPr>
    </w:p>
    <w:p w14:paraId="79B044DC" w14:textId="77777777" w:rsidR="00F81D44" w:rsidRPr="00F81D44" w:rsidRDefault="00F81D44">
      <w:pPr>
        <w:tabs>
          <w:tab w:val="left" w:pos="284"/>
        </w:tabs>
        <w:autoSpaceDE w:val="0"/>
        <w:autoSpaceDN w:val="0"/>
        <w:adjustRightInd w:val="0"/>
        <w:jc w:val="both"/>
        <w:rPr>
          <w:sz w:val="22"/>
          <w:szCs w:val="22"/>
          <w:u w:val="single"/>
          <w:lang w:val="pl-PL"/>
        </w:rPr>
      </w:pPr>
      <w:r w:rsidRPr="00F81D44">
        <w:rPr>
          <w:sz w:val="22"/>
          <w:szCs w:val="22"/>
          <w:u w:val="single"/>
          <w:lang w:val="pl-PL"/>
        </w:rPr>
        <w:t>Farmakodinamski efekti</w:t>
      </w:r>
    </w:p>
    <w:p w14:paraId="7A4EA3BB" w14:textId="77777777" w:rsidR="00F81D44" w:rsidRPr="00F81D44" w:rsidRDefault="00F81D44">
      <w:pPr>
        <w:tabs>
          <w:tab w:val="left" w:pos="284"/>
        </w:tabs>
        <w:autoSpaceDE w:val="0"/>
        <w:autoSpaceDN w:val="0"/>
        <w:adjustRightInd w:val="0"/>
        <w:jc w:val="both"/>
        <w:rPr>
          <w:sz w:val="22"/>
          <w:szCs w:val="22"/>
          <w:lang w:val="pl-PL"/>
        </w:rPr>
      </w:pPr>
    </w:p>
    <w:p w14:paraId="35EC27DB" w14:textId="666C68B0" w:rsidR="00F81D44" w:rsidRPr="00F81D44" w:rsidRDefault="00F81D44">
      <w:pPr>
        <w:tabs>
          <w:tab w:val="left" w:pos="284"/>
        </w:tabs>
        <w:autoSpaceDE w:val="0"/>
        <w:autoSpaceDN w:val="0"/>
        <w:adjustRightInd w:val="0"/>
        <w:jc w:val="both"/>
        <w:rPr>
          <w:sz w:val="22"/>
          <w:szCs w:val="22"/>
          <w:lang w:val="pl-PL"/>
        </w:rPr>
      </w:pPr>
      <w:r w:rsidRPr="00F81D44">
        <w:rPr>
          <w:sz w:val="22"/>
          <w:szCs w:val="22"/>
          <w:lang w:val="pl-PL"/>
        </w:rPr>
        <w:t xml:space="preserve">Kada se koristi u terapiji ozbiljne hipoglikemije, </w:t>
      </w:r>
      <w:r w:rsidR="00774004" w:rsidRPr="00F81D44">
        <w:rPr>
          <w:sz w:val="22"/>
          <w:szCs w:val="22"/>
          <w:lang w:val="pl-PL"/>
        </w:rPr>
        <w:t>efek</w:t>
      </w:r>
      <w:r w:rsidR="00774004">
        <w:rPr>
          <w:sz w:val="22"/>
          <w:szCs w:val="22"/>
          <w:lang w:val="pl-PL"/>
        </w:rPr>
        <w:t>at</w:t>
      </w:r>
      <w:r w:rsidR="00774004" w:rsidRPr="00F81D44">
        <w:rPr>
          <w:sz w:val="22"/>
          <w:szCs w:val="22"/>
          <w:lang w:val="pl-PL"/>
        </w:rPr>
        <w:t xml:space="preserve"> </w:t>
      </w:r>
      <w:r w:rsidRPr="00F81D44">
        <w:rPr>
          <w:sz w:val="22"/>
          <w:szCs w:val="22"/>
          <w:lang w:val="pl-PL"/>
        </w:rPr>
        <w:t>na glukozu u krvi se obično primjećuje u roku od 10 minuta.</w:t>
      </w:r>
    </w:p>
    <w:p w14:paraId="3FC1DE31" w14:textId="77777777" w:rsidR="00F81D44" w:rsidRPr="00F81D44" w:rsidRDefault="00F81D44">
      <w:pPr>
        <w:tabs>
          <w:tab w:val="left" w:pos="284"/>
        </w:tabs>
        <w:autoSpaceDE w:val="0"/>
        <w:autoSpaceDN w:val="0"/>
        <w:adjustRightInd w:val="0"/>
        <w:jc w:val="both"/>
        <w:rPr>
          <w:sz w:val="22"/>
          <w:szCs w:val="22"/>
          <w:lang w:val="pl-PL"/>
        </w:rPr>
      </w:pPr>
    </w:p>
    <w:p w14:paraId="62816E2E" w14:textId="0B75CB48" w:rsidR="00F81D44" w:rsidRDefault="00F81D44" w:rsidP="00BD27C0">
      <w:pPr>
        <w:tabs>
          <w:tab w:val="left" w:pos="540"/>
          <w:tab w:val="left" w:pos="569"/>
        </w:tabs>
        <w:jc w:val="both"/>
        <w:rPr>
          <w:b/>
          <w:bCs/>
          <w:sz w:val="22"/>
          <w:szCs w:val="22"/>
          <w:lang w:val="sr-Latn-RS"/>
        </w:rPr>
      </w:pPr>
      <w:r w:rsidRPr="00F81D44">
        <w:rPr>
          <w:sz w:val="22"/>
          <w:szCs w:val="22"/>
          <w:lang w:val="pl-PL"/>
        </w:rPr>
        <w:t>Početak inhibitornog efekta na gastrointestinalni motilitet ispoljava se u roku od 1 minuta nakon intravenske injekcije. Dejstvo traje 5-20 minuta, zavisno od doze. Početak efekta se ispoljava u roku od 5-15 minuta nakon intramuskularne injekcije, sa trajanjem dejstva 10-40 minuta.</w:t>
      </w:r>
    </w:p>
    <w:p w14:paraId="5945C0A6" w14:textId="77777777" w:rsidR="00F81D44" w:rsidRPr="00920E02" w:rsidRDefault="00F81D44" w:rsidP="00BD27C0">
      <w:pPr>
        <w:tabs>
          <w:tab w:val="left" w:pos="540"/>
          <w:tab w:val="left" w:pos="569"/>
        </w:tabs>
        <w:jc w:val="both"/>
        <w:rPr>
          <w:b/>
          <w:bCs/>
          <w:sz w:val="22"/>
          <w:szCs w:val="22"/>
          <w:lang w:val="sr-Latn-RS"/>
        </w:rPr>
      </w:pPr>
    </w:p>
    <w:p w14:paraId="0861C7CB"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5.2. </w:t>
      </w:r>
      <w:r w:rsidR="00480FB1" w:rsidRPr="00920E02">
        <w:rPr>
          <w:b/>
          <w:bCs/>
          <w:sz w:val="22"/>
          <w:szCs w:val="22"/>
          <w:lang w:val="sr-Latn-RS"/>
        </w:rPr>
        <w:tab/>
      </w:r>
      <w:r w:rsidRPr="00920E02">
        <w:rPr>
          <w:b/>
          <w:bCs/>
          <w:sz w:val="22"/>
          <w:szCs w:val="22"/>
          <w:lang w:val="sr-Latn-RS"/>
        </w:rPr>
        <w:t>Farmakokinetički podaci</w:t>
      </w:r>
      <w:r w:rsidR="003A7059" w:rsidRPr="00920E02">
        <w:rPr>
          <w:b/>
          <w:bCs/>
          <w:sz w:val="22"/>
          <w:szCs w:val="22"/>
          <w:lang w:val="sr-Latn-RS"/>
        </w:rPr>
        <w:t xml:space="preserve"> </w:t>
      </w:r>
    </w:p>
    <w:p w14:paraId="2A3A5B17" w14:textId="7A87C5F2" w:rsidR="0072020E" w:rsidRDefault="0072020E" w:rsidP="00BD27C0">
      <w:pPr>
        <w:tabs>
          <w:tab w:val="left" w:pos="540"/>
          <w:tab w:val="left" w:pos="569"/>
        </w:tabs>
        <w:jc w:val="both"/>
        <w:rPr>
          <w:bCs/>
          <w:sz w:val="22"/>
          <w:szCs w:val="22"/>
          <w:lang w:val="sr-Latn-RS"/>
        </w:rPr>
      </w:pPr>
    </w:p>
    <w:p w14:paraId="77057CCD" w14:textId="77777777" w:rsidR="00F81D44" w:rsidRPr="00F81D44" w:rsidRDefault="00F81D44" w:rsidP="00BD27C0">
      <w:pPr>
        <w:tabs>
          <w:tab w:val="left" w:pos="540"/>
          <w:tab w:val="left" w:pos="569"/>
        </w:tabs>
        <w:jc w:val="both"/>
        <w:rPr>
          <w:bCs/>
          <w:sz w:val="22"/>
          <w:szCs w:val="22"/>
          <w:lang w:val="pl-PL"/>
        </w:rPr>
      </w:pPr>
      <w:r w:rsidRPr="00F81D44">
        <w:rPr>
          <w:bCs/>
          <w:sz w:val="22"/>
          <w:szCs w:val="22"/>
          <w:u w:val="single"/>
          <w:lang w:val="pl-PL"/>
        </w:rPr>
        <w:t>Metabolizam</w:t>
      </w:r>
      <w:r w:rsidRPr="00F81D44">
        <w:rPr>
          <w:bCs/>
          <w:sz w:val="22"/>
          <w:szCs w:val="22"/>
          <w:lang w:val="pl-PL"/>
        </w:rPr>
        <w:t xml:space="preserve"> </w:t>
      </w:r>
    </w:p>
    <w:p w14:paraId="2891CE91" w14:textId="77777777" w:rsidR="00F81D44" w:rsidRPr="00F81D44" w:rsidRDefault="00F81D44" w:rsidP="00BD27C0">
      <w:pPr>
        <w:tabs>
          <w:tab w:val="left" w:pos="540"/>
          <w:tab w:val="left" w:pos="569"/>
        </w:tabs>
        <w:jc w:val="both"/>
        <w:rPr>
          <w:bCs/>
          <w:sz w:val="22"/>
          <w:szCs w:val="22"/>
          <w:lang w:val="pl-PL"/>
        </w:rPr>
      </w:pPr>
    </w:p>
    <w:p w14:paraId="7CAE6185" w14:textId="2C8863E6" w:rsidR="00F81D44" w:rsidRPr="00F81D44" w:rsidRDefault="00F81D44" w:rsidP="00BD27C0">
      <w:pPr>
        <w:tabs>
          <w:tab w:val="left" w:pos="540"/>
          <w:tab w:val="left" w:pos="569"/>
        </w:tabs>
        <w:jc w:val="both"/>
        <w:rPr>
          <w:bCs/>
          <w:sz w:val="22"/>
          <w:szCs w:val="22"/>
          <w:lang w:val="pl-PL"/>
        </w:rPr>
      </w:pPr>
      <w:r w:rsidRPr="00F81D44">
        <w:rPr>
          <w:bCs/>
          <w:sz w:val="22"/>
          <w:szCs w:val="22"/>
          <w:lang w:val="pl-PL"/>
        </w:rPr>
        <w:t>Glukagon podl</w:t>
      </w:r>
      <w:r w:rsidR="00DA2AA9">
        <w:rPr>
          <w:bCs/>
          <w:sz w:val="22"/>
          <w:szCs w:val="22"/>
          <w:lang w:val="pl-PL"/>
        </w:rPr>
        <w:t>ij</w:t>
      </w:r>
      <w:r w:rsidRPr="00F81D44">
        <w:rPr>
          <w:bCs/>
          <w:sz w:val="22"/>
          <w:szCs w:val="22"/>
          <w:lang w:val="pl-PL"/>
        </w:rPr>
        <w:t>eže enzimskoj degradaciji u plazmi i u organima u koje se distribuira. Glukagon se eliminiše uglavnom preko jetre i bubrega,</w:t>
      </w:r>
      <w:r w:rsidR="001A1E21">
        <w:rPr>
          <w:bCs/>
          <w:sz w:val="22"/>
          <w:szCs w:val="22"/>
          <w:lang w:val="pl-PL"/>
        </w:rPr>
        <w:t xml:space="preserve"> pri čemu svaki od ta dva organa doprinosi oko 30 % ukupnom metaboličkom klirensu lijeka.</w:t>
      </w:r>
    </w:p>
    <w:p w14:paraId="48E02B25" w14:textId="77777777" w:rsidR="00F81D44" w:rsidRPr="00F81D44" w:rsidRDefault="00F81D44" w:rsidP="00BD27C0">
      <w:pPr>
        <w:tabs>
          <w:tab w:val="left" w:pos="540"/>
          <w:tab w:val="left" w:pos="569"/>
        </w:tabs>
        <w:jc w:val="both"/>
        <w:rPr>
          <w:bCs/>
          <w:sz w:val="22"/>
          <w:szCs w:val="22"/>
          <w:lang w:val="pl-PL"/>
        </w:rPr>
      </w:pPr>
    </w:p>
    <w:p w14:paraId="5AE3FFC9" w14:textId="77777777" w:rsidR="00F81D44" w:rsidRPr="00F81D44" w:rsidRDefault="00F81D44" w:rsidP="00BD27C0">
      <w:pPr>
        <w:tabs>
          <w:tab w:val="left" w:pos="540"/>
          <w:tab w:val="left" w:pos="569"/>
        </w:tabs>
        <w:jc w:val="both"/>
        <w:rPr>
          <w:bCs/>
          <w:sz w:val="22"/>
          <w:szCs w:val="22"/>
          <w:u w:val="single"/>
          <w:lang w:val="pl-PL"/>
        </w:rPr>
      </w:pPr>
      <w:r w:rsidRPr="00F81D44">
        <w:rPr>
          <w:bCs/>
          <w:sz w:val="22"/>
          <w:szCs w:val="22"/>
          <w:u w:val="single"/>
          <w:lang w:val="pl-PL"/>
        </w:rPr>
        <w:t>Eliminacija</w:t>
      </w:r>
    </w:p>
    <w:p w14:paraId="77D89796" w14:textId="77777777" w:rsidR="00F81D44" w:rsidRPr="00F81D44" w:rsidRDefault="00F81D44" w:rsidP="00BD27C0">
      <w:pPr>
        <w:tabs>
          <w:tab w:val="left" w:pos="540"/>
          <w:tab w:val="left" w:pos="569"/>
        </w:tabs>
        <w:jc w:val="both"/>
        <w:rPr>
          <w:bCs/>
          <w:sz w:val="22"/>
          <w:szCs w:val="22"/>
          <w:lang w:val="pl-PL"/>
        </w:rPr>
      </w:pPr>
    </w:p>
    <w:p w14:paraId="4B3C3FF7" w14:textId="77777777" w:rsidR="00F81D44" w:rsidRPr="00F81D44" w:rsidRDefault="00F81D44" w:rsidP="00BD27C0">
      <w:pPr>
        <w:tabs>
          <w:tab w:val="left" w:pos="540"/>
          <w:tab w:val="left" w:pos="569"/>
        </w:tabs>
        <w:jc w:val="both"/>
        <w:rPr>
          <w:bCs/>
          <w:sz w:val="22"/>
          <w:szCs w:val="22"/>
          <w:lang w:val="pl-PL"/>
        </w:rPr>
      </w:pPr>
      <w:r w:rsidRPr="00F81D44">
        <w:rPr>
          <w:bCs/>
          <w:sz w:val="22"/>
          <w:szCs w:val="22"/>
          <w:lang w:val="pl-PL"/>
        </w:rPr>
        <w:t xml:space="preserve">Poluvrijeme eliminacije glukagona iz krvi je kratko i iznosi oko 3-6 minuta. </w:t>
      </w:r>
    </w:p>
    <w:p w14:paraId="45C1BF76" w14:textId="616EC4EA" w:rsidR="00F81D44" w:rsidRDefault="00F81D44" w:rsidP="00BD27C0">
      <w:pPr>
        <w:tabs>
          <w:tab w:val="left" w:pos="540"/>
          <w:tab w:val="left" w:pos="569"/>
        </w:tabs>
        <w:jc w:val="both"/>
        <w:rPr>
          <w:bCs/>
          <w:sz w:val="22"/>
          <w:szCs w:val="22"/>
          <w:lang w:val="sr-Latn-RS"/>
        </w:rPr>
      </w:pPr>
      <w:r w:rsidRPr="00F81D44">
        <w:rPr>
          <w:bCs/>
          <w:sz w:val="22"/>
          <w:szCs w:val="22"/>
          <w:lang w:val="pl-PL"/>
        </w:rPr>
        <w:t>Brzina metaboličkog klirensa glukagona kod ljudi je oko 10 ml/kg/min.</w:t>
      </w:r>
    </w:p>
    <w:p w14:paraId="4F463CC5" w14:textId="77777777" w:rsidR="00F81D44" w:rsidRPr="00920E02" w:rsidRDefault="00F81D44" w:rsidP="00BD27C0">
      <w:pPr>
        <w:tabs>
          <w:tab w:val="left" w:pos="540"/>
          <w:tab w:val="left" w:pos="569"/>
        </w:tabs>
        <w:jc w:val="both"/>
        <w:rPr>
          <w:bCs/>
          <w:sz w:val="22"/>
          <w:szCs w:val="22"/>
          <w:lang w:val="sr-Latn-RS"/>
        </w:rPr>
      </w:pPr>
    </w:p>
    <w:p w14:paraId="1BC53881"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5.3. </w:t>
      </w:r>
      <w:r w:rsidR="00480FB1" w:rsidRPr="00920E02">
        <w:rPr>
          <w:b/>
          <w:bCs/>
          <w:sz w:val="22"/>
          <w:szCs w:val="22"/>
          <w:lang w:val="sr-Latn-RS"/>
        </w:rPr>
        <w:tab/>
      </w:r>
      <w:r w:rsidRPr="00920E02">
        <w:rPr>
          <w:b/>
          <w:bCs/>
          <w:sz w:val="22"/>
          <w:szCs w:val="22"/>
          <w:lang w:val="sr-Latn-RS"/>
        </w:rPr>
        <w:t xml:space="preserve">Pretklinički podaci o bezbjednosti </w:t>
      </w:r>
    </w:p>
    <w:p w14:paraId="78157AB6" w14:textId="57310FBB" w:rsidR="00836B35" w:rsidRDefault="00836B35" w:rsidP="00BD27C0">
      <w:pPr>
        <w:tabs>
          <w:tab w:val="left" w:pos="540"/>
          <w:tab w:val="left" w:pos="569"/>
        </w:tabs>
        <w:jc w:val="both"/>
        <w:rPr>
          <w:bCs/>
          <w:sz w:val="22"/>
          <w:szCs w:val="22"/>
          <w:lang w:val="sr-Latn-RS"/>
        </w:rPr>
      </w:pPr>
    </w:p>
    <w:p w14:paraId="10356549" w14:textId="02F26520" w:rsidR="00F81D44" w:rsidRPr="00920E02" w:rsidRDefault="00F81D44" w:rsidP="00BD27C0">
      <w:pPr>
        <w:tabs>
          <w:tab w:val="left" w:pos="540"/>
          <w:tab w:val="left" w:pos="569"/>
        </w:tabs>
        <w:jc w:val="both"/>
        <w:rPr>
          <w:bCs/>
          <w:sz w:val="22"/>
          <w:szCs w:val="22"/>
          <w:lang w:val="sr-Latn-RS"/>
        </w:rPr>
      </w:pPr>
      <w:r w:rsidRPr="00F81D44">
        <w:rPr>
          <w:bCs/>
          <w:sz w:val="22"/>
          <w:szCs w:val="22"/>
          <w:lang w:val="pl-PL"/>
        </w:rPr>
        <w:t>Ne postoje relevantni pretklinički podaci koji bi pružili korisne informacije za propisivače lijeka.</w:t>
      </w:r>
    </w:p>
    <w:p w14:paraId="6B118DC1" w14:textId="6C77A451" w:rsidR="00396DFD" w:rsidRDefault="00396DFD" w:rsidP="00B06F89">
      <w:pPr>
        <w:tabs>
          <w:tab w:val="left" w:pos="540"/>
          <w:tab w:val="left" w:pos="569"/>
        </w:tabs>
        <w:rPr>
          <w:b/>
          <w:bCs/>
          <w:sz w:val="22"/>
          <w:szCs w:val="22"/>
          <w:lang w:val="sr-Latn-RS"/>
        </w:rPr>
      </w:pPr>
    </w:p>
    <w:p w14:paraId="44E79DED" w14:textId="77777777" w:rsidR="00F81D44" w:rsidRPr="00920E02" w:rsidRDefault="00F81D44" w:rsidP="00B06F89">
      <w:pPr>
        <w:tabs>
          <w:tab w:val="left" w:pos="540"/>
          <w:tab w:val="left" w:pos="569"/>
        </w:tabs>
        <w:rPr>
          <w:b/>
          <w:bCs/>
          <w:sz w:val="22"/>
          <w:szCs w:val="22"/>
          <w:lang w:val="sr-Latn-RS"/>
        </w:rPr>
      </w:pPr>
    </w:p>
    <w:p w14:paraId="1B7805D9" w14:textId="77777777" w:rsidR="0072020E" w:rsidRPr="00920E02" w:rsidRDefault="0072020E" w:rsidP="00B06F89">
      <w:pPr>
        <w:tabs>
          <w:tab w:val="left" w:pos="540"/>
          <w:tab w:val="left" w:pos="569"/>
        </w:tabs>
        <w:rPr>
          <w:b/>
          <w:bCs/>
          <w:sz w:val="22"/>
          <w:szCs w:val="22"/>
          <w:lang w:val="sr-Latn-RS"/>
        </w:rPr>
      </w:pPr>
      <w:r w:rsidRPr="00920E02">
        <w:rPr>
          <w:b/>
          <w:bCs/>
          <w:sz w:val="22"/>
          <w:szCs w:val="22"/>
          <w:lang w:val="sr-Latn-RS"/>
        </w:rPr>
        <w:t xml:space="preserve">6. </w:t>
      </w:r>
      <w:r w:rsidR="00480FB1" w:rsidRPr="00920E02">
        <w:rPr>
          <w:b/>
          <w:bCs/>
          <w:sz w:val="22"/>
          <w:szCs w:val="22"/>
          <w:lang w:val="sr-Latn-RS"/>
        </w:rPr>
        <w:tab/>
      </w:r>
      <w:r w:rsidRPr="00920E02">
        <w:rPr>
          <w:b/>
          <w:bCs/>
          <w:sz w:val="22"/>
          <w:szCs w:val="22"/>
          <w:lang w:val="sr-Latn-RS"/>
        </w:rPr>
        <w:t>FARMACEUTSKI PODACI</w:t>
      </w:r>
    </w:p>
    <w:p w14:paraId="66851C7D" w14:textId="77777777" w:rsidR="00836B35" w:rsidRPr="00920E02" w:rsidRDefault="00836B35" w:rsidP="00B06F89">
      <w:pPr>
        <w:tabs>
          <w:tab w:val="left" w:pos="540"/>
          <w:tab w:val="left" w:pos="569"/>
        </w:tabs>
        <w:rPr>
          <w:bCs/>
          <w:sz w:val="22"/>
          <w:szCs w:val="22"/>
          <w:lang w:val="sr-Latn-RS"/>
        </w:rPr>
      </w:pPr>
    </w:p>
    <w:p w14:paraId="1BA2CC44" w14:textId="77777777" w:rsidR="0072020E" w:rsidRPr="00920E02" w:rsidRDefault="0072020E" w:rsidP="00B06F89">
      <w:pPr>
        <w:tabs>
          <w:tab w:val="left" w:pos="540"/>
          <w:tab w:val="left" w:pos="569"/>
        </w:tabs>
        <w:rPr>
          <w:b/>
          <w:bCs/>
          <w:sz w:val="22"/>
          <w:szCs w:val="22"/>
          <w:lang w:val="sr-Latn-RS"/>
        </w:rPr>
      </w:pPr>
      <w:r w:rsidRPr="00920E02">
        <w:rPr>
          <w:b/>
          <w:bCs/>
          <w:sz w:val="22"/>
          <w:szCs w:val="22"/>
          <w:lang w:val="sr-Latn-RS"/>
        </w:rPr>
        <w:t xml:space="preserve">6.1. </w:t>
      </w:r>
      <w:r w:rsidR="00480FB1" w:rsidRPr="00920E02">
        <w:rPr>
          <w:b/>
          <w:bCs/>
          <w:sz w:val="22"/>
          <w:szCs w:val="22"/>
          <w:lang w:val="sr-Latn-RS"/>
        </w:rPr>
        <w:tab/>
      </w:r>
      <w:r w:rsidRPr="00920E02">
        <w:rPr>
          <w:b/>
          <w:bCs/>
          <w:sz w:val="22"/>
          <w:szCs w:val="22"/>
          <w:lang w:val="sr-Latn-RS"/>
        </w:rPr>
        <w:t>Lista pomoćnih supstanci</w:t>
      </w:r>
      <w:r w:rsidR="002E0135" w:rsidRPr="00920E02">
        <w:rPr>
          <w:b/>
          <w:bCs/>
          <w:sz w:val="22"/>
          <w:szCs w:val="22"/>
          <w:lang w:val="sr-Latn-RS"/>
        </w:rPr>
        <w:t xml:space="preserve"> (ekscipijenasa)</w:t>
      </w:r>
    </w:p>
    <w:p w14:paraId="4F8312E9" w14:textId="78364B06" w:rsidR="0072020E" w:rsidRDefault="0072020E" w:rsidP="00B06F89">
      <w:pPr>
        <w:tabs>
          <w:tab w:val="left" w:pos="540"/>
          <w:tab w:val="left" w:pos="569"/>
        </w:tabs>
        <w:rPr>
          <w:bCs/>
          <w:sz w:val="22"/>
          <w:szCs w:val="22"/>
          <w:lang w:val="sr-Latn-RS"/>
        </w:rPr>
      </w:pPr>
    </w:p>
    <w:p w14:paraId="5D57E17F" w14:textId="77777777" w:rsidR="00F81D44" w:rsidRPr="00F81D44" w:rsidRDefault="00F81D44" w:rsidP="00BD27C0">
      <w:pPr>
        <w:tabs>
          <w:tab w:val="left" w:pos="540"/>
          <w:tab w:val="left" w:pos="569"/>
        </w:tabs>
        <w:jc w:val="both"/>
        <w:rPr>
          <w:bCs/>
          <w:sz w:val="22"/>
          <w:szCs w:val="22"/>
          <w:lang w:val="pl-PL"/>
        </w:rPr>
      </w:pPr>
      <w:r w:rsidRPr="00F81D44">
        <w:rPr>
          <w:bCs/>
          <w:sz w:val="22"/>
          <w:szCs w:val="22"/>
          <w:lang w:val="pl-PL"/>
        </w:rPr>
        <w:t>Laktoza, monohidrat</w:t>
      </w:r>
    </w:p>
    <w:p w14:paraId="0F72A56C" w14:textId="77777777" w:rsidR="00F81D44" w:rsidRPr="00F81D44" w:rsidRDefault="00F81D44" w:rsidP="00BD27C0">
      <w:pPr>
        <w:tabs>
          <w:tab w:val="left" w:pos="540"/>
          <w:tab w:val="left" w:pos="569"/>
        </w:tabs>
        <w:jc w:val="both"/>
        <w:rPr>
          <w:bCs/>
          <w:sz w:val="22"/>
          <w:szCs w:val="22"/>
          <w:lang w:val="pl-PL"/>
        </w:rPr>
      </w:pPr>
      <w:r w:rsidRPr="00F81D44">
        <w:rPr>
          <w:bCs/>
          <w:sz w:val="22"/>
          <w:szCs w:val="22"/>
          <w:lang w:val="pl-PL"/>
        </w:rPr>
        <w:t>Hlorovodonična kiselina, za podešavanje pH</w:t>
      </w:r>
    </w:p>
    <w:p w14:paraId="3C40E35F" w14:textId="7B71C20C" w:rsidR="00F81D44" w:rsidRPr="00F81D44" w:rsidRDefault="00F81D44" w:rsidP="00BD27C0">
      <w:pPr>
        <w:tabs>
          <w:tab w:val="left" w:pos="540"/>
          <w:tab w:val="left" w:pos="569"/>
        </w:tabs>
        <w:jc w:val="both"/>
        <w:rPr>
          <w:bCs/>
          <w:sz w:val="22"/>
          <w:szCs w:val="22"/>
          <w:lang w:val="pl-PL"/>
        </w:rPr>
      </w:pPr>
      <w:r w:rsidRPr="00F81D44">
        <w:rPr>
          <w:bCs/>
          <w:sz w:val="22"/>
          <w:szCs w:val="22"/>
          <w:lang w:val="pl-PL"/>
        </w:rPr>
        <w:t>Natrijum</w:t>
      </w:r>
      <w:r w:rsidR="00B06F89">
        <w:rPr>
          <w:bCs/>
          <w:sz w:val="22"/>
          <w:szCs w:val="22"/>
          <w:lang w:val="pl-PL"/>
        </w:rPr>
        <w:t xml:space="preserve"> </w:t>
      </w:r>
      <w:r w:rsidRPr="00F81D44">
        <w:rPr>
          <w:bCs/>
          <w:sz w:val="22"/>
          <w:szCs w:val="22"/>
          <w:lang w:val="pl-PL"/>
        </w:rPr>
        <w:t>hidroksid, za podešavanje pH</w:t>
      </w:r>
    </w:p>
    <w:p w14:paraId="205F83C3" w14:textId="77777777" w:rsidR="00F81D44" w:rsidRPr="00F81D44" w:rsidRDefault="00F81D44" w:rsidP="00BD27C0">
      <w:pPr>
        <w:tabs>
          <w:tab w:val="left" w:pos="540"/>
          <w:tab w:val="left" w:pos="569"/>
        </w:tabs>
        <w:jc w:val="both"/>
        <w:rPr>
          <w:bCs/>
          <w:sz w:val="22"/>
          <w:szCs w:val="22"/>
          <w:lang w:val="pl-PL"/>
        </w:rPr>
      </w:pPr>
      <w:r w:rsidRPr="00F81D44">
        <w:rPr>
          <w:bCs/>
          <w:sz w:val="22"/>
          <w:szCs w:val="22"/>
          <w:lang w:val="pl-PL"/>
        </w:rPr>
        <w:t>Voda za injekcije</w:t>
      </w:r>
    </w:p>
    <w:p w14:paraId="0B4E97ED" w14:textId="77777777" w:rsidR="00F81D44" w:rsidRPr="00F81D44" w:rsidRDefault="00F81D44" w:rsidP="00BD27C0">
      <w:pPr>
        <w:tabs>
          <w:tab w:val="left" w:pos="540"/>
          <w:tab w:val="left" w:pos="569"/>
        </w:tabs>
        <w:jc w:val="both"/>
        <w:rPr>
          <w:bCs/>
          <w:sz w:val="22"/>
          <w:szCs w:val="22"/>
          <w:lang w:val="pl-PL"/>
        </w:rPr>
      </w:pPr>
    </w:p>
    <w:p w14:paraId="55E91785" w14:textId="61270888" w:rsidR="00F81D44" w:rsidRDefault="00F81D44" w:rsidP="00BD27C0">
      <w:pPr>
        <w:tabs>
          <w:tab w:val="left" w:pos="540"/>
          <w:tab w:val="left" w:pos="569"/>
        </w:tabs>
        <w:jc w:val="both"/>
        <w:rPr>
          <w:bCs/>
          <w:sz w:val="22"/>
          <w:szCs w:val="22"/>
          <w:lang w:val="sr-Latn-RS"/>
        </w:rPr>
      </w:pPr>
      <w:r w:rsidRPr="00F81D44">
        <w:rPr>
          <w:bCs/>
          <w:sz w:val="22"/>
          <w:szCs w:val="22"/>
          <w:lang w:val="pl-PL"/>
        </w:rPr>
        <w:t>Rekonstituisan rastvor sadrži 1 mg/ml glukagona i 107 mg/ml laktoze, monohidrata.</w:t>
      </w:r>
    </w:p>
    <w:p w14:paraId="07BD7ACB" w14:textId="77777777" w:rsidR="00F81D44" w:rsidRPr="00920E02" w:rsidRDefault="00F81D44" w:rsidP="00BD27C0">
      <w:pPr>
        <w:tabs>
          <w:tab w:val="left" w:pos="540"/>
          <w:tab w:val="left" w:pos="569"/>
        </w:tabs>
        <w:jc w:val="both"/>
        <w:rPr>
          <w:bCs/>
          <w:sz w:val="22"/>
          <w:szCs w:val="22"/>
          <w:lang w:val="sr-Latn-RS"/>
        </w:rPr>
      </w:pPr>
    </w:p>
    <w:p w14:paraId="7279560C"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6.2. </w:t>
      </w:r>
      <w:r w:rsidR="00480FB1" w:rsidRPr="00920E02">
        <w:rPr>
          <w:b/>
          <w:bCs/>
          <w:sz w:val="22"/>
          <w:szCs w:val="22"/>
          <w:lang w:val="sr-Latn-RS"/>
        </w:rPr>
        <w:tab/>
      </w:r>
      <w:r w:rsidRPr="00920E02">
        <w:rPr>
          <w:b/>
          <w:bCs/>
          <w:sz w:val="22"/>
          <w:szCs w:val="22"/>
          <w:lang w:val="sr-Latn-RS"/>
        </w:rPr>
        <w:t>Inkompatibilnost</w:t>
      </w:r>
      <w:r w:rsidR="002846DB" w:rsidRPr="00920E02">
        <w:rPr>
          <w:b/>
          <w:bCs/>
          <w:sz w:val="22"/>
          <w:szCs w:val="22"/>
          <w:lang w:val="sr-Latn-RS"/>
        </w:rPr>
        <w:t>i</w:t>
      </w:r>
    </w:p>
    <w:p w14:paraId="33E70FA8" w14:textId="48322516" w:rsidR="0072020E" w:rsidRDefault="0072020E" w:rsidP="00BD27C0">
      <w:pPr>
        <w:tabs>
          <w:tab w:val="left" w:pos="540"/>
          <w:tab w:val="left" w:pos="569"/>
        </w:tabs>
        <w:jc w:val="both"/>
        <w:rPr>
          <w:bCs/>
          <w:sz w:val="22"/>
          <w:szCs w:val="22"/>
          <w:lang w:val="sr-Latn-RS"/>
        </w:rPr>
      </w:pPr>
    </w:p>
    <w:p w14:paraId="46C5A631" w14:textId="7A6C6753" w:rsidR="00F81D44" w:rsidRPr="00F81D44" w:rsidRDefault="00F81D44" w:rsidP="00BD27C0">
      <w:pPr>
        <w:tabs>
          <w:tab w:val="left" w:pos="540"/>
          <w:tab w:val="left" w:pos="569"/>
        </w:tabs>
        <w:jc w:val="both"/>
        <w:rPr>
          <w:bCs/>
          <w:sz w:val="22"/>
          <w:szCs w:val="22"/>
          <w:lang w:val="pl-PL"/>
        </w:rPr>
      </w:pPr>
      <w:r w:rsidRPr="00F81D44">
        <w:rPr>
          <w:bCs/>
          <w:sz w:val="22"/>
          <w:szCs w:val="22"/>
          <w:lang w:val="pl-PL"/>
        </w:rPr>
        <w:t>Nema poznatih inkompatibilija sa lijekom GlucaGen.</w:t>
      </w:r>
    </w:p>
    <w:p w14:paraId="47A106B3" w14:textId="77777777" w:rsidR="00F81D44" w:rsidRPr="00920E02" w:rsidRDefault="00F81D44" w:rsidP="00BD27C0">
      <w:pPr>
        <w:tabs>
          <w:tab w:val="left" w:pos="540"/>
          <w:tab w:val="left" w:pos="569"/>
        </w:tabs>
        <w:jc w:val="both"/>
        <w:rPr>
          <w:bCs/>
          <w:sz w:val="22"/>
          <w:szCs w:val="22"/>
          <w:lang w:val="sr-Latn-RS"/>
        </w:rPr>
      </w:pPr>
    </w:p>
    <w:p w14:paraId="42507F44"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6.3.</w:t>
      </w:r>
      <w:r w:rsidR="00C05DF8" w:rsidRPr="00920E02">
        <w:rPr>
          <w:b/>
          <w:bCs/>
          <w:sz w:val="22"/>
          <w:szCs w:val="22"/>
          <w:lang w:val="sr-Latn-RS"/>
        </w:rPr>
        <w:t xml:space="preserve"> </w:t>
      </w:r>
      <w:r w:rsidR="00480FB1" w:rsidRPr="00920E02">
        <w:rPr>
          <w:b/>
          <w:bCs/>
          <w:sz w:val="22"/>
          <w:szCs w:val="22"/>
          <w:lang w:val="sr-Latn-RS"/>
        </w:rPr>
        <w:tab/>
      </w:r>
      <w:r w:rsidRPr="00920E02">
        <w:rPr>
          <w:b/>
          <w:bCs/>
          <w:sz w:val="22"/>
          <w:szCs w:val="22"/>
          <w:lang w:val="sr-Latn-RS"/>
        </w:rPr>
        <w:t>Rok upotrebe</w:t>
      </w:r>
    </w:p>
    <w:p w14:paraId="252F2860" w14:textId="7D9CA988" w:rsidR="0072020E" w:rsidRDefault="0072020E" w:rsidP="00BD27C0">
      <w:pPr>
        <w:tabs>
          <w:tab w:val="left" w:pos="540"/>
          <w:tab w:val="left" w:pos="569"/>
        </w:tabs>
        <w:jc w:val="both"/>
        <w:rPr>
          <w:bCs/>
          <w:sz w:val="22"/>
          <w:szCs w:val="22"/>
          <w:lang w:val="sr-Latn-RS"/>
        </w:rPr>
      </w:pPr>
    </w:p>
    <w:p w14:paraId="59C7BF2B" w14:textId="1CDC0B84" w:rsidR="00F81D44" w:rsidRPr="00F81D44" w:rsidRDefault="00F81D44" w:rsidP="00BD27C0">
      <w:pPr>
        <w:tabs>
          <w:tab w:val="left" w:pos="540"/>
          <w:tab w:val="left" w:pos="569"/>
        </w:tabs>
        <w:jc w:val="both"/>
        <w:rPr>
          <w:bCs/>
          <w:sz w:val="22"/>
          <w:szCs w:val="22"/>
          <w:lang w:val="pl-PL"/>
        </w:rPr>
      </w:pPr>
      <w:r w:rsidRPr="00F81D44">
        <w:rPr>
          <w:bCs/>
          <w:sz w:val="22"/>
          <w:szCs w:val="22"/>
          <w:lang w:val="pl-PL"/>
        </w:rPr>
        <w:t>Rok upotrebe lijeka pr</w:t>
      </w:r>
      <w:r w:rsidR="00774004">
        <w:rPr>
          <w:bCs/>
          <w:sz w:val="22"/>
          <w:szCs w:val="22"/>
          <w:lang w:val="pl-PL"/>
        </w:rPr>
        <w:t>ij</w:t>
      </w:r>
      <w:r w:rsidRPr="00F81D44">
        <w:rPr>
          <w:bCs/>
          <w:sz w:val="22"/>
          <w:szCs w:val="22"/>
          <w:lang w:val="pl-PL"/>
        </w:rPr>
        <w:t>e rekonstitucije je 36 m</w:t>
      </w:r>
      <w:r w:rsidR="00E239DD">
        <w:rPr>
          <w:bCs/>
          <w:sz w:val="22"/>
          <w:szCs w:val="22"/>
          <w:lang w:val="pl-PL"/>
        </w:rPr>
        <w:t>j</w:t>
      </w:r>
      <w:r w:rsidRPr="00F81D44">
        <w:rPr>
          <w:bCs/>
          <w:sz w:val="22"/>
          <w:szCs w:val="22"/>
          <w:lang w:val="pl-PL"/>
        </w:rPr>
        <w:t>eseci.</w:t>
      </w:r>
    </w:p>
    <w:p w14:paraId="7E20C69B" w14:textId="05D4D618" w:rsidR="00F81D44" w:rsidRDefault="00F81D44" w:rsidP="00BD27C0">
      <w:pPr>
        <w:tabs>
          <w:tab w:val="left" w:pos="540"/>
          <w:tab w:val="left" w:pos="569"/>
        </w:tabs>
        <w:jc w:val="both"/>
        <w:rPr>
          <w:bCs/>
          <w:sz w:val="22"/>
          <w:szCs w:val="22"/>
          <w:lang w:val="sr-Latn-RS"/>
        </w:rPr>
      </w:pPr>
      <w:r w:rsidRPr="00F81D44">
        <w:rPr>
          <w:bCs/>
          <w:sz w:val="22"/>
          <w:szCs w:val="22"/>
          <w:lang w:val="sr-Latn-RS"/>
        </w:rPr>
        <w:t>Rekonstituisan</w:t>
      </w:r>
      <w:r w:rsidRPr="00F81D44">
        <w:rPr>
          <w:bCs/>
          <w:sz w:val="22"/>
          <w:szCs w:val="22"/>
          <w:lang w:val="sr-Latn-CS"/>
        </w:rPr>
        <w:t xml:space="preserve"> </w:t>
      </w:r>
      <w:r w:rsidRPr="00F81D44">
        <w:rPr>
          <w:bCs/>
          <w:sz w:val="22"/>
          <w:szCs w:val="22"/>
          <w:lang w:val="sr-Latn-RS"/>
        </w:rPr>
        <w:t>GlucaGen</w:t>
      </w:r>
      <w:r w:rsidRPr="00F81D44">
        <w:rPr>
          <w:bCs/>
          <w:sz w:val="22"/>
          <w:szCs w:val="22"/>
          <w:lang w:val="sr-Latn-CS"/>
        </w:rPr>
        <w:t xml:space="preserve"> </w:t>
      </w:r>
      <w:r w:rsidRPr="00F81D44">
        <w:rPr>
          <w:bCs/>
          <w:sz w:val="22"/>
          <w:szCs w:val="22"/>
          <w:lang w:val="sr-Latn-RS"/>
        </w:rPr>
        <w:t>treba</w:t>
      </w:r>
      <w:r w:rsidRPr="00F81D44">
        <w:rPr>
          <w:bCs/>
          <w:sz w:val="22"/>
          <w:szCs w:val="22"/>
          <w:lang w:val="sr-Latn-CS"/>
        </w:rPr>
        <w:t xml:space="preserve"> </w:t>
      </w:r>
      <w:r w:rsidRPr="00F81D44">
        <w:rPr>
          <w:bCs/>
          <w:sz w:val="22"/>
          <w:szCs w:val="22"/>
          <w:lang w:val="sr-Latn-RS"/>
        </w:rPr>
        <w:t>upotrebiti</w:t>
      </w:r>
      <w:r w:rsidRPr="00F81D44">
        <w:rPr>
          <w:bCs/>
          <w:sz w:val="22"/>
          <w:szCs w:val="22"/>
          <w:lang w:val="sr-Latn-CS"/>
        </w:rPr>
        <w:t xml:space="preserve"> </w:t>
      </w:r>
      <w:r w:rsidRPr="00F81D44">
        <w:rPr>
          <w:bCs/>
          <w:sz w:val="22"/>
          <w:szCs w:val="22"/>
          <w:lang w:val="sr-Latn-RS"/>
        </w:rPr>
        <w:t>odmah</w:t>
      </w:r>
      <w:r w:rsidRPr="00F81D44">
        <w:rPr>
          <w:bCs/>
          <w:sz w:val="22"/>
          <w:szCs w:val="22"/>
          <w:lang w:val="sr-Latn-CS"/>
        </w:rPr>
        <w:t xml:space="preserve"> </w:t>
      </w:r>
      <w:r w:rsidRPr="00F81D44">
        <w:rPr>
          <w:bCs/>
          <w:sz w:val="22"/>
          <w:szCs w:val="22"/>
          <w:lang w:val="sr-Latn-RS"/>
        </w:rPr>
        <w:t>nakon</w:t>
      </w:r>
      <w:r w:rsidRPr="00F81D44">
        <w:rPr>
          <w:bCs/>
          <w:sz w:val="22"/>
          <w:szCs w:val="22"/>
          <w:lang w:val="sr-Latn-CS"/>
        </w:rPr>
        <w:t xml:space="preserve"> </w:t>
      </w:r>
      <w:r w:rsidRPr="00F81D44">
        <w:rPr>
          <w:bCs/>
          <w:sz w:val="22"/>
          <w:szCs w:val="22"/>
          <w:lang w:val="sr-Latn-RS"/>
        </w:rPr>
        <w:t>pripreme</w:t>
      </w:r>
      <w:r w:rsidRPr="00F81D44">
        <w:rPr>
          <w:bCs/>
          <w:sz w:val="22"/>
          <w:szCs w:val="22"/>
          <w:lang w:val="sr-Latn-CS"/>
        </w:rPr>
        <w:t xml:space="preserve"> </w:t>
      </w:r>
      <w:r w:rsidRPr="00F81D44">
        <w:rPr>
          <w:bCs/>
          <w:sz w:val="22"/>
          <w:szCs w:val="22"/>
          <w:lang w:val="sr-Latn-RS"/>
        </w:rPr>
        <w:t>rastvora</w:t>
      </w:r>
      <w:r w:rsidRPr="00F81D44">
        <w:rPr>
          <w:bCs/>
          <w:sz w:val="22"/>
          <w:szCs w:val="22"/>
          <w:lang w:val="sr-Latn-CS"/>
        </w:rPr>
        <w:t>.</w:t>
      </w:r>
    </w:p>
    <w:p w14:paraId="4A98894E" w14:textId="77777777" w:rsidR="00F81D44" w:rsidRPr="00920E02" w:rsidRDefault="00F81D44" w:rsidP="00BD27C0">
      <w:pPr>
        <w:tabs>
          <w:tab w:val="left" w:pos="540"/>
          <w:tab w:val="left" w:pos="569"/>
        </w:tabs>
        <w:jc w:val="both"/>
        <w:rPr>
          <w:bCs/>
          <w:sz w:val="22"/>
          <w:szCs w:val="22"/>
          <w:lang w:val="sr-Latn-RS"/>
        </w:rPr>
      </w:pPr>
    </w:p>
    <w:p w14:paraId="1D2CA818"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6.4. </w:t>
      </w:r>
      <w:r w:rsidR="00480FB1" w:rsidRPr="00920E02">
        <w:rPr>
          <w:b/>
          <w:bCs/>
          <w:sz w:val="22"/>
          <w:szCs w:val="22"/>
          <w:lang w:val="sr-Latn-RS"/>
        </w:rPr>
        <w:tab/>
      </w:r>
      <w:r w:rsidRPr="00920E02">
        <w:rPr>
          <w:b/>
          <w:bCs/>
          <w:sz w:val="22"/>
          <w:szCs w:val="22"/>
          <w:lang w:val="sr-Latn-RS"/>
        </w:rPr>
        <w:t>Posebne mjere upozorenja pri čuvanju</w:t>
      </w:r>
      <w:r w:rsidR="00F8570A" w:rsidRPr="00920E02">
        <w:rPr>
          <w:b/>
          <w:bCs/>
          <w:sz w:val="22"/>
          <w:szCs w:val="22"/>
          <w:lang w:val="sr-Latn-RS"/>
        </w:rPr>
        <w:t xml:space="preserve"> lijeka</w:t>
      </w:r>
    </w:p>
    <w:p w14:paraId="5539638E" w14:textId="2CC50F26" w:rsidR="00EC2532" w:rsidRDefault="00EC2532" w:rsidP="00BD27C0">
      <w:pPr>
        <w:tabs>
          <w:tab w:val="left" w:pos="540"/>
          <w:tab w:val="left" w:pos="569"/>
        </w:tabs>
        <w:jc w:val="both"/>
        <w:rPr>
          <w:bCs/>
          <w:sz w:val="22"/>
          <w:szCs w:val="22"/>
          <w:lang w:val="sr-Latn-RS"/>
        </w:rPr>
      </w:pPr>
    </w:p>
    <w:p w14:paraId="2ADB372B" w14:textId="77777777"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Ne zamrzavati.</w:t>
      </w:r>
    </w:p>
    <w:p w14:paraId="36E04663" w14:textId="77777777" w:rsidR="00F81D44" w:rsidRPr="00F81D44" w:rsidRDefault="00F81D44" w:rsidP="00BD27C0">
      <w:pPr>
        <w:tabs>
          <w:tab w:val="left" w:pos="540"/>
          <w:tab w:val="left" w:pos="569"/>
        </w:tabs>
        <w:jc w:val="both"/>
        <w:rPr>
          <w:bCs/>
          <w:sz w:val="22"/>
          <w:szCs w:val="22"/>
          <w:lang w:val="sr-Latn-CS"/>
        </w:rPr>
      </w:pPr>
    </w:p>
    <w:p w14:paraId="54F90EAB" w14:textId="705B709E" w:rsidR="00F81D44" w:rsidRPr="00F81D44" w:rsidRDefault="00F81D44" w:rsidP="00BD27C0">
      <w:pPr>
        <w:tabs>
          <w:tab w:val="left" w:pos="540"/>
          <w:tab w:val="left" w:pos="569"/>
        </w:tabs>
        <w:jc w:val="both"/>
        <w:rPr>
          <w:bCs/>
          <w:sz w:val="22"/>
          <w:szCs w:val="22"/>
          <w:lang w:val="sr-Latn-CS"/>
        </w:rPr>
      </w:pPr>
      <w:r w:rsidRPr="00F81D44">
        <w:rPr>
          <w:bCs/>
          <w:sz w:val="22"/>
          <w:szCs w:val="22"/>
          <w:lang w:val="sr-Latn-CS"/>
        </w:rPr>
        <w:t>Ukoliko se, u rijetkim slučajevima, u pripremljenom rastvoru nakon rekonstitucije uoče vlaknaste tvorevine (viskozan izgled) ili nerastvorne čestice, lijek se ne smije upotr</w:t>
      </w:r>
      <w:r w:rsidR="00A20C29">
        <w:rPr>
          <w:bCs/>
          <w:sz w:val="22"/>
          <w:szCs w:val="22"/>
          <w:lang w:val="sr-Latn-CS"/>
        </w:rPr>
        <w:t>ij</w:t>
      </w:r>
      <w:r w:rsidRPr="00F81D44">
        <w:rPr>
          <w:bCs/>
          <w:sz w:val="22"/>
          <w:szCs w:val="22"/>
          <w:lang w:val="sr-Latn-CS"/>
        </w:rPr>
        <w:t>ebiti.</w:t>
      </w:r>
    </w:p>
    <w:p w14:paraId="71B493A1" w14:textId="77777777" w:rsidR="00F81D44" w:rsidRPr="00F81D44" w:rsidRDefault="00F81D44" w:rsidP="00BD27C0">
      <w:pPr>
        <w:tabs>
          <w:tab w:val="left" w:pos="540"/>
          <w:tab w:val="left" w:pos="569"/>
        </w:tabs>
        <w:jc w:val="both"/>
        <w:rPr>
          <w:bCs/>
          <w:sz w:val="22"/>
          <w:szCs w:val="22"/>
          <w:lang w:val="sr-Latn-CS"/>
        </w:rPr>
      </w:pPr>
    </w:p>
    <w:p w14:paraId="1EE2E4FE" w14:textId="4DA3EB47" w:rsidR="00F81D44" w:rsidRDefault="00F81D44" w:rsidP="00BD27C0">
      <w:pPr>
        <w:tabs>
          <w:tab w:val="left" w:pos="540"/>
          <w:tab w:val="left" w:pos="569"/>
        </w:tabs>
        <w:jc w:val="both"/>
        <w:rPr>
          <w:bCs/>
          <w:sz w:val="22"/>
          <w:szCs w:val="22"/>
          <w:lang w:val="sr-Latn-RS"/>
        </w:rPr>
      </w:pPr>
      <w:r w:rsidRPr="00F81D44">
        <w:rPr>
          <w:bCs/>
          <w:sz w:val="22"/>
          <w:szCs w:val="22"/>
          <w:lang w:val="sr-Latn-CS"/>
        </w:rPr>
        <w:lastRenderedPageBreak/>
        <w:t>Lijek GlucaGen Hypo</w:t>
      </w:r>
      <w:r w:rsidR="000371AD">
        <w:rPr>
          <w:bCs/>
          <w:sz w:val="22"/>
          <w:szCs w:val="22"/>
          <w:lang w:val="sr-Latn-CS"/>
        </w:rPr>
        <w:t>K</w:t>
      </w:r>
      <w:r w:rsidRPr="00F81D44">
        <w:rPr>
          <w:bCs/>
          <w:sz w:val="22"/>
          <w:szCs w:val="22"/>
          <w:lang w:val="sr-Latn-CS"/>
        </w:rPr>
        <w:t>it treba čuvati na temperaturi od 2 do 8°C (u frižideru). Korisnik može čuvati lijek GlucaGen Hypo</w:t>
      </w:r>
      <w:r w:rsidR="000371AD">
        <w:rPr>
          <w:bCs/>
          <w:sz w:val="22"/>
          <w:szCs w:val="22"/>
          <w:lang w:val="sr-Latn-CS"/>
        </w:rPr>
        <w:t>K</w:t>
      </w:r>
      <w:r w:rsidRPr="00F81D44">
        <w:rPr>
          <w:bCs/>
          <w:sz w:val="22"/>
          <w:szCs w:val="22"/>
          <w:lang w:val="sr-Latn-CS"/>
        </w:rPr>
        <w:t>it na temperaturi do 25°C u toku 18 m</w:t>
      </w:r>
      <w:r w:rsidR="00A20C29">
        <w:rPr>
          <w:bCs/>
          <w:sz w:val="22"/>
          <w:szCs w:val="22"/>
          <w:lang w:val="sr-Latn-CS"/>
        </w:rPr>
        <w:t>j</w:t>
      </w:r>
      <w:r w:rsidRPr="00F81D44">
        <w:rPr>
          <w:bCs/>
          <w:sz w:val="22"/>
          <w:szCs w:val="22"/>
          <w:lang w:val="sr-Latn-CS"/>
        </w:rPr>
        <w:t>eseci pod uslovom da se rok upotrebe ne prekorači. Čuvati u originalnom pakovanju u cilju zaštite od svjetlosti.</w:t>
      </w:r>
    </w:p>
    <w:p w14:paraId="66BD131F" w14:textId="77777777" w:rsidR="00F81D44" w:rsidRPr="00920E02" w:rsidRDefault="00F81D44" w:rsidP="00BD27C0">
      <w:pPr>
        <w:tabs>
          <w:tab w:val="left" w:pos="540"/>
          <w:tab w:val="left" w:pos="569"/>
        </w:tabs>
        <w:jc w:val="both"/>
        <w:rPr>
          <w:bCs/>
          <w:sz w:val="22"/>
          <w:szCs w:val="22"/>
          <w:lang w:val="sr-Latn-RS"/>
        </w:rPr>
      </w:pPr>
    </w:p>
    <w:p w14:paraId="15AD1954"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6.5. </w:t>
      </w:r>
      <w:r w:rsidR="00480FB1" w:rsidRPr="00920E02">
        <w:rPr>
          <w:b/>
          <w:bCs/>
          <w:sz w:val="22"/>
          <w:szCs w:val="22"/>
          <w:lang w:val="sr-Latn-RS"/>
        </w:rPr>
        <w:tab/>
      </w:r>
      <w:r w:rsidR="002846DB" w:rsidRPr="00920E02">
        <w:rPr>
          <w:b/>
          <w:bCs/>
          <w:sz w:val="22"/>
          <w:szCs w:val="22"/>
          <w:lang w:val="sr-Latn-RS"/>
        </w:rPr>
        <w:t xml:space="preserve">Vrsta i sadržaj </w:t>
      </w:r>
      <w:r w:rsidR="00F8570A" w:rsidRPr="00920E02">
        <w:rPr>
          <w:b/>
          <w:bCs/>
          <w:sz w:val="22"/>
          <w:szCs w:val="22"/>
          <w:lang w:val="sr-Latn-RS"/>
        </w:rPr>
        <w:t>pakovanja</w:t>
      </w:r>
      <w:r w:rsidR="00C06864" w:rsidRPr="00920E02">
        <w:rPr>
          <w:b/>
          <w:bCs/>
          <w:sz w:val="22"/>
          <w:szCs w:val="22"/>
          <w:lang w:val="sr-Latn-RS"/>
        </w:rPr>
        <w:t xml:space="preserve"> </w:t>
      </w:r>
    </w:p>
    <w:p w14:paraId="2CB15DB8" w14:textId="02F12EDC" w:rsidR="0072020E" w:rsidRDefault="0072020E" w:rsidP="00BD27C0">
      <w:pPr>
        <w:tabs>
          <w:tab w:val="left" w:pos="540"/>
          <w:tab w:val="left" w:pos="569"/>
        </w:tabs>
        <w:jc w:val="both"/>
        <w:rPr>
          <w:bCs/>
          <w:sz w:val="22"/>
          <w:szCs w:val="22"/>
          <w:lang w:val="sr-Latn-RS"/>
        </w:rPr>
      </w:pPr>
    </w:p>
    <w:p w14:paraId="379550B1" w14:textId="758F1322" w:rsidR="00F81D44" w:rsidRPr="00F81D44" w:rsidRDefault="00F81D44" w:rsidP="00BD27C0">
      <w:pPr>
        <w:tabs>
          <w:tab w:val="left" w:pos="540"/>
          <w:tab w:val="left" w:pos="569"/>
        </w:tabs>
        <w:jc w:val="both"/>
        <w:rPr>
          <w:bCs/>
          <w:sz w:val="22"/>
          <w:szCs w:val="22"/>
          <w:lang w:val="sr-Latn-CS"/>
        </w:rPr>
      </w:pPr>
      <w:r w:rsidRPr="00F81D44">
        <w:rPr>
          <w:bCs/>
          <w:i/>
          <w:sz w:val="22"/>
          <w:szCs w:val="22"/>
          <w:lang w:val="sr-Latn-RS"/>
        </w:rPr>
        <w:t>Kontejner</w:t>
      </w:r>
      <w:r w:rsidRPr="00F81D44">
        <w:rPr>
          <w:bCs/>
          <w:i/>
          <w:sz w:val="22"/>
          <w:szCs w:val="22"/>
          <w:lang w:val="sr-Latn-CS"/>
        </w:rPr>
        <w:t xml:space="preserve"> </w:t>
      </w:r>
      <w:r w:rsidRPr="00F81D44">
        <w:rPr>
          <w:bCs/>
          <w:i/>
          <w:sz w:val="22"/>
          <w:szCs w:val="22"/>
          <w:lang w:val="sr-Latn-RS"/>
        </w:rPr>
        <w:t>za</w:t>
      </w:r>
      <w:r w:rsidRPr="00F81D44">
        <w:rPr>
          <w:bCs/>
          <w:i/>
          <w:sz w:val="22"/>
          <w:szCs w:val="22"/>
          <w:lang w:val="sr-Latn-CS"/>
        </w:rPr>
        <w:t xml:space="preserve"> </w:t>
      </w:r>
      <w:r w:rsidRPr="00F81D44">
        <w:rPr>
          <w:bCs/>
          <w:i/>
          <w:sz w:val="22"/>
          <w:szCs w:val="22"/>
          <w:lang w:val="sr-Latn-RS"/>
        </w:rPr>
        <w:t>GlucaGen</w:t>
      </w:r>
      <w:r w:rsidRPr="00F81D44">
        <w:rPr>
          <w:bCs/>
          <w:i/>
          <w:sz w:val="22"/>
          <w:szCs w:val="22"/>
          <w:lang w:val="sr-Latn-CS"/>
        </w:rPr>
        <w:t>:</w:t>
      </w:r>
    </w:p>
    <w:p w14:paraId="76457622" w14:textId="77777777" w:rsidR="00F81D44" w:rsidRPr="00F81D44" w:rsidRDefault="00F81D44" w:rsidP="00B06F89">
      <w:pPr>
        <w:tabs>
          <w:tab w:val="left" w:pos="540"/>
          <w:tab w:val="left" w:pos="569"/>
        </w:tabs>
        <w:rPr>
          <w:b/>
          <w:bCs/>
          <w:sz w:val="22"/>
          <w:szCs w:val="22"/>
          <w:lang w:val="sr-Latn-CS"/>
        </w:rPr>
      </w:pPr>
    </w:p>
    <w:p w14:paraId="61D1DC67" w14:textId="29412F86" w:rsidR="00F81D44" w:rsidRPr="00F81D44" w:rsidRDefault="00F81D44" w:rsidP="00BD27C0">
      <w:pPr>
        <w:tabs>
          <w:tab w:val="left" w:pos="540"/>
          <w:tab w:val="left" w:pos="569"/>
        </w:tabs>
        <w:jc w:val="both"/>
        <w:rPr>
          <w:bCs/>
          <w:sz w:val="22"/>
          <w:szCs w:val="22"/>
          <w:lang w:val="pl-PL"/>
        </w:rPr>
      </w:pPr>
      <w:r w:rsidRPr="00F81D44">
        <w:rPr>
          <w:bCs/>
          <w:sz w:val="22"/>
          <w:szCs w:val="22"/>
          <w:lang w:val="pl-PL"/>
        </w:rPr>
        <w:t>Bočica od stakla (tip I), Ph.Eur, zatvorena zatvaračem od bromobutila preko koga se nalazi aluminijumska kapica.</w:t>
      </w:r>
    </w:p>
    <w:p w14:paraId="4B01448B" w14:textId="77777777" w:rsidR="00F81D44" w:rsidRPr="00F81D44" w:rsidRDefault="00F81D44" w:rsidP="00BD27C0">
      <w:pPr>
        <w:tabs>
          <w:tab w:val="left" w:pos="540"/>
          <w:tab w:val="left" w:pos="569"/>
        </w:tabs>
        <w:jc w:val="both"/>
        <w:rPr>
          <w:bCs/>
          <w:sz w:val="22"/>
          <w:szCs w:val="22"/>
          <w:lang w:val="pl-PL"/>
        </w:rPr>
      </w:pPr>
    </w:p>
    <w:p w14:paraId="0AAF5C45" w14:textId="77777777" w:rsidR="00F81D44" w:rsidRPr="00F81D44" w:rsidRDefault="00F81D44" w:rsidP="00BD27C0">
      <w:pPr>
        <w:tabs>
          <w:tab w:val="left" w:pos="540"/>
          <w:tab w:val="left" w:pos="569"/>
        </w:tabs>
        <w:jc w:val="both"/>
        <w:rPr>
          <w:bCs/>
          <w:sz w:val="22"/>
          <w:szCs w:val="22"/>
          <w:lang w:val="pl-PL"/>
        </w:rPr>
      </w:pPr>
      <w:r w:rsidRPr="00F81D44">
        <w:rPr>
          <w:bCs/>
          <w:i/>
          <w:sz w:val="22"/>
          <w:szCs w:val="22"/>
          <w:lang w:val="pl-PL"/>
        </w:rPr>
        <w:t>Kontejner za rastvarač:</w:t>
      </w:r>
    </w:p>
    <w:p w14:paraId="04737965" w14:textId="77777777" w:rsidR="00F81D44" w:rsidRPr="00F81D44" w:rsidRDefault="00F81D44" w:rsidP="00BD27C0">
      <w:pPr>
        <w:tabs>
          <w:tab w:val="left" w:pos="540"/>
          <w:tab w:val="left" w:pos="569"/>
        </w:tabs>
        <w:jc w:val="both"/>
        <w:rPr>
          <w:b/>
          <w:bCs/>
          <w:sz w:val="22"/>
          <w:szCs w:val="22"/>
          <w:lang w:val="pl-PL"/>
        </w:rPr>
      </w:pPr>
    </w:p>
    <w:p w14:paraId="5D04BF41" w14:textId="44C8FBF9" w:rsidR="00F81D44" w:rsidRPr="00F81D44" w:rsidRDefault="00F81D44" w:rsidP="00BD27C0">
      <w:pPr>
        <w:tabs>
          <w:tab w:val="left" w:pos="540"/>
          <w:tab w:val="left" w:pos="569"/>
        </w:tabs>
        <w:jc w:val="both"/>
        <w:rPr>
          <w:bCs/>
          <w:sz w:val="22"/>
          <w:szCs w:val="22"/>
          <w:lang w:val="pl-PL"/>
        </w:rPr>
      </w:pPr>
      <w:r w:rsidRPr="00F81D44">
        <w:rPr>
          <w:bCs/>
          <w:sz w:val="22"/>
          <w:szCs w:val="22"/>
          <w:lang w:val="sr-Latn-CS"/>
        </w:rPr>
        <w:t>Prethodno napunjen špric od stakla (tip I),</w:t>
      </w:r>
      <w:r w:rsidRPr="00F81D44">
        <w:rPr>
          <w:bCs/>
          <w:sz w:val="22"/>
          <w:szCs w:val="22"/>
          <w:lang w:val="pl-PL"/>
        </w:rPr>
        <w:t xml:space="preserve"> Ph.Eur, sa gumenim klipom od bromobutila i iglom.</w:t>
      </w:r>
    </w:p>
    <w:p w14:paraId="1A29F6DC" w14:textId="77777777" w:rsidR="00F81D44" w:rsidRPr="00F81D44" w:rsidRDefault="00F81D44" w:rsidP="00BD27C0">
      <w:pPr>
        <w:tabs>
          <w:tab w:val="left" w:pos="540"/>
          <w:tab w:val="left" w:pos="569"/>
        </w:tabs>
        <w:jc w:val="both"/>
        <w:rPr>
          <w:bCs/>
          <w:sz w:val="22"/>
          <w:szCs w:val="22"/>
          <w:lang w:val="pl-PL"/>
        </w:rPr>
      </w:pPr>
    </w:p>
    <w:p w14:paraId="799F6D56" w14:textId="24C37ABF" w:rsidR="00F81D44" w:rsidRDefault="00F81D44" w:rsidP="00BD27C0">
      <w:pPr>
        <w:tabs>
          <w:tab w:val="left" w:pos="540"/>
          <w:tab w:val="left" w:pos="569"/>
        </w:tabs>
        <w:jc w:val="both"/>
        <w:rPr>
          <w:bCs/>
          <w:sz w:val="22"/>
          <w:szCs w:val="22"/>
          <w:lang w:val="sr-Latn-RS"/>
        </w:rPr>
      </w:pPr>
      <w:r w:rsidRPr="00F81D44">
        <w:rPr>
          <w:bCs/>
          <w:sz w:val="22"/>
          <w:szCs w:val="22"/>
          <w:lang w:val="pl-PL"/>
        </w:rPr>
        <w:t>Bočica ima zaštitnu</w:t>
      </w:r>
      <w:r w:rsidR="00774004">
        <w:rPr>
          <w:bCs/>
          <w:sz w:val="22"/>
          <w:szCs w:val="22"/>
          <w:lang w:val="pl-PL"/>
        </w:rPr>
        <w:t>,</w:t>
      </w:r>
      <w:r w:rsidRPr="00F81D44">
        <w:rPr>
          <w:bCs/>
          <w:sz w:val="22"/>
          <w:szCs w:val="22"/>
          <w:lang w:val="pl-PL"/>
        </w:rPr>
        <w:t xml:space="preserve"> plastičnu kapicu, koja se mora ukloniti prije upotrebe.</w:t>
      </w:r>
    </w:p>
    <w:p w14:paraId="4F109755" w14:textId="77777777" w:rsidR="00F81D44" w:rsidRPr="00920E02" w:rsidRDefault="00F81D44" w:rsidP="00BD27C0">
      <w:pPr>
        <w:tabs>
          <w:tab w:val="left" w:pos="540"/>
          <w:tab w:val="left" w:pos="569"/>
        </w:tabs>
        <w:jc w:val="both"/>
        <w:rPr>
          <w:bCs/>
          <w:sz w:val="22"/>
          <w:szCs w:val="22"/>
          <w:lang w:val="sr-Latn-RS"/>
        </w:rPr>
      </w:pPr>
    </w:p>
    <w:p w14:paraId="2B652A25" w14:textId="77777777" w:rsidR="002846DB"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6.6. </w:t>
      </w:r>
      <w:r w:rsidR="00480FB1" w:rsidRPr="00920E02">
        <w:rPr>
          <w:b/>
          <w:bCs/>
          <w:sz w:val="22"/>
          <w:szCs w:val="22"/>
          <w:lang w:val="sr-Latn-RS"/>
        </w:rPr>
        <w:tab/>
      </w:r>
      <w:r w:rsidRPr="00920E02">
        <w:rPr>
          <w:b/>
          <w:bCs/>
          <w:color w:val="000000"/>
          <w:sz w:val="22"/>
          <w:szCs w:val="22"/>
          <w:lang w:val="sr-Latn-RS"/>
        </w:rPr>
        <w:t>Posebne mjere opreza pri odlaganju materijala koji treba odbaciti nakon primjene lijeka</w:t>
      </w:r>
      <w:r w:rsidRPr="00920E02">
        <w:rPr>
          <w:b/>
          <w:bCs/>
          <w:sz w:val="22"/>
          <w:szCs w:val="22"/>
          <w:lang w:val="sr-Latn-RS"/>
        </w:rPr>
        <w:t xml:space="preserve"> </w:t>
      </w:r>
      <w:r w:rsidR="00310F03" w:rsidRPr="00920E02">
        <w:rPr>
          <w:b/>
          <w:bCs/>
          <w:sz w:val="22"/>
          <w:szCs w:val="22"/>
          <w:lang w:val="sr-Latn-RS"/>
        </w:rPr>
        <w:t>(i druga uputs</w:t>
      </w:r>
      <w:r w:rsidR="004109FA" w:rsidRPr="00920E02">
        <w:rPr>
          <w:b/>
          <w:bCs/>
          <w:sz w:val="22"/>
          <w:szCs w:val="22"/>
          <w:lang w:val="sr-Latn-RS"/>
        </w:rPr>
        <w:t>t</w:t>
      </w:r>
      <w:r w:rsidR="00310F03" w:rsidRPr="00920E02">
        <w:rPr>
          <w:b/>
          <w:bCs/>
          <w:sz w:val="22"/>
          <w:szCs w:val="22"/>
          <w:lang w:val="sr-Latn-RS"/>
        </w:rPr>
        <w:t xml:space="preserve">va za rukovanje lijekom) </w:t>
      </w:r>
    </w:p>
    <w:p w14:paraId="630EA029" w14:textId="187E8538" w:rsidR="00B66A70" w:rsidRDefault="00B66A70" w:rsidP="00BD27C0">
      <w:pPr>
        <w:tabs>
          <w:tab w:val="left" w:pos="540"/>
          <w:tab w:val="left" w:pos="569"/>
        </w:tabs>
        <w:jc w:val="both"/>
        <w:rPr>
          <w:b/>
          <w:bCs/>
          <w:sz w:val="22"/>
          <w:szCs w:val="22"/>
          <w:lang w:val="sr-Latn-RS"/>
        </w:rPr>
      </w:pPr>
    </w:p>
    <w:p w14:paraId="62BD9F5E" w14:textId="77777777" w:rsidR="00F81D44" w:rsidRPr="00F81D44" w:rsidRDefault="00F81D44">
      <w:pPr>
        <w:tabs>
          <w:tab w:val="left" w:pos="284"/>
        </w:tabs>
        <w:autoSpaceDE w:val="0"/>
        <w:autoSpaceDN w:val="0"/>
        <w:adjustRightInd w:val="0"/>
        <w:jc w:val="both"/>
        <w:rPr>
          <w:sz w:val="22"/>
          <w:szCs w:val="22"/>
          <w:lang w:val="sr-Latn-CS"/>
        </w:rPr>
      </w:pPr>
      <w:r w:rsidRPr="00F81D44">
        <w:rPr>
          <w:b/>
          <w:sz w:val="22"/>
          <w:szCs w:val="22"/>
          <w:lang w:val="sr-Latn-RS"/>
        </w:rPr>
        <w:t>Rekonstitucija</w:t>
      </w:r>
      <w:r w:rsidRPr="00F81D44">
        <w:rPr>
          <w:sz w:val="22"/>
          <w:szCs w:val="22"/>
          <w:lang w:val="sr-Latn-CS"/>
        </w:rPr>
        <w:t xml:space="preserve">: </w:t>
      </w:r>
    </w:p>
    <w:p w14:paraId="1F97D335" w14:textId="77777777" w:rsidR="00F81D44" w:rsidRPr="00F81D44" w:rsidRDefault="00F81D44">
      <w:pPr>
        <w:tabs>
          <w:tab w:val="left" w:pos="284"/>
        </w:tabs>
        <w:autoSpaceDE w:val="0"/>
        <w:autoSpaceDN w:val="0"/>
        <w:adjustRightInd w:val="0"/>
        <w:jc w:val="both"/>
        <w:rPr>
          <w:sz w:val="22"/>
          <w:szCs w:val="22"/>
          <w:lang w:val="sr-Latn-CS"/>
        </w:rPr>
      </w:pPr>
    </w:p>
    <w:p w14:paraId="1E8E6DF9" w14:textId="2A18CAF7" w:rsidR="00F81D44" w:rsidRPr="00F81D44" w:rsidRDefault="00F81D44">
      <w:pPr>
        <w:tabs>
          <w:tab w:val="left" w:pos="284"/>
        </w:tabs>
        <w:autoSpaceDE w:val="0"/>
        <w:autoSpaceDN w:val="0"/>
        <w:adjustRightInd w:val="0"/>
        <w:jc w:val="both"/>
        <w:rPr>
          <w:sz w:val="22"/>
          <w:szCs w:val="22"/>
          <w:u w:val="single"/>
          <w:lang w:val="sr-Latn-CS"/>
        </w:rPr>
      </w:pPr>
      <w:r w:rsidRPr="009C1ED3">
        <w:rPr>
          <w:sz w:val="22"/>
          <w:szCs w:val="22"/>
          <w:u w:val="single"/>
          <w:lang w:val="sr-Latn-RS"/>
        </w:rPr>
        <w:t>GlucaGen</w:t>
      </w:r>
      <w:r w:rsidRPr="009C1ED3">
        <w:rPr>
          <w:sz w:val="22"/>
          <w:szCs w:val="22"/>
          <w:u w:val="single"/>
          <w:lang w:val="sr-Latn-CS"/>
        </w:rPr>
        <w:t xml:space="preserve"> </w:t>
      </w:r>
      <w:r w:rsidRPr="009C1ED3">
        <w:rPr>
          <w:sz w:val="22"/>
          <w:szCs w:val="22"/>
          <w:u w:val="single"/>
          <w:lang w:val="sr-Latn-RS"/>
        </w:rPr>
        <w:t>Hypo</w:t>
      </w:r>
      <w:r w:rsidR="009C1ED3" w:rsidRPr="009C1ED3">
        <w:rPr>
          <w:sz w:val="22"/>
          <w:szCs w:val="22"/>
          <w:u w:val="single"/>
          <w:lang w:val="sr-Latn-RS"/>
        </w:rPr>
        <w:t>K</w:t>
      </w:r>
      <w:r w:rsidRPr="009C1ED3">
        <w:rPr>
          <w:sz w:val="22"/>
          <w:szCs w:val="22"/>
          <w:u w:val="single"/>
          <w:lang w:val="sr-Latn-RS"/>
        </w:rPr>
        <w:t>it</w:t>
      </w:r>
      <w:r w:rsidRPr="00F81D44">
        <w:rPr>
          <w:sz w:val="22"/>
          <w:szCs w:val="22"/>
          <w:u w:val="single"/>
          <w:lang w:val="sr-Latn-CS"/>
        </w:rPr>
        <w:t xml:space="preserve"> 1 </w:t>
      </w:r>
      <w:r w:rsidRPr="00F81D44">
        <w:rPr>
          <w:sz w:val="22"/>
          <w:szCs w:val="22"/>
          <w:u w:val="single"/>
          <w:lang w:val="sr-Latn-RS"/>
        </w:rPr>
        <w:t>mg</w:t>
      </w:r>
      <w:r w:rsidRPr="00F81D44">
        <w:rPr>
          <w:sz w:val="22"/>
          <w:szCs w:val="22"/>
          <w:u w:val="single"/>
          <w:lang w:val="sr-Latn-CS"/>
        </w:rPr>
        <w:t>:</w:t>
      </w:r>
    </w:p>
    <w:p w14:paraId="591DBB81" w14:textId="77777777" w:rsidR="00F81D44" w:rsidRPr="00F81D44" w:rsidRDefault="00F81D44">
      <w:pPr>
        <w:tabs>
          <w:tab w:val="left" w:pos="284"/>
        </w:tabs>
        <w:autoSpaceDE w:val="0"/>
        <w:autoSpaceDN w:val="0"/>
        <w:adjustRightInd w:val="0"/>
        <w:jc w:val="both"/>
        <w:rPr>
          <w:sz w:val="22"/>
          <w:szCs w:val="22"/>
          <w:lang w:val="sr-Latn-CS"/>
        </w:rPr>
      </w:pPr>
    </w:p>
    <w:p w14:paraId="64AF19BB" w14:textId="23D1461C" w:rsidR="00F81D44" w:rsidRDefault="00F81D44">
      <w:pPr>
        <w:tabs>
          <w:tab w:val="left" w:pos="284"/>
        </w:tabs>
        <w:autoSpaceDE w:val="0"/>
        <w:autoSpaceDN w:val="0"/>
        <w:adjustRightInd w:val="0"/>
        <w:jc w:val="both"/>
        <w:rPr>
          <w:sz w:val="22"/>
          <w:szCs w:val="22"/>
          <w:lang w:val="pl-PL"/>
        </w:rPr>
      </w:pPr>
      <w:r w:rsidRPr="00F81D44">
        <w:rPr>
          <w:sz w:val="22"/>
          <w:szCs w:val="22"/>
          <w:lang w:val="sr-Latn-RS"/>
        </w:rPr>
        <w:t>Ubrizgati</w:t>
      </w:r>
      <w:r w:rsidRPr="00F81D44">
        <w:rPr>
          <w:sz w:val="22"/>
          <w:szCs w:val="22"/>
          <w:lang w:val="sr-Latn-CS"/>
        </w:rPr>
        <w:t xml:space="preserve"> </w:t>
      </w:r>
      <w:r w:rsidRPr="00F81D44">
        <w:rPr>
          <w:sz w:val="22"/>
          <w:szCs w:val="22"/>
          <w:lang w:val="sr-Latn-RS"/>
        </w:rPr>
        <w:t>vodu</w:t>
      </w:r>
      <w:r w:rsidRPr="00F81D44">
        <w:rPr>
          <w:sz w:val="22"/>
          <w:szCs w:val="22"/>
          <w:lang w:val="sr-Latn-CS"/>
        </w:rPr>
        <w:t xml:space="preserve"> </w:t>
      </w:r>
      <w:r w:rsidRPr="00F81D44">
        <w:rPr>
          <w:sz w:val="22"/>
          <w:szCs w:val="22"/>
          <w:lang w:val="sr-Latn-RS"/>
        </w:rPr>
        <w:t>za</w:t>
      </w:r>
      <w:r w:rsidRPr="00F81D44">
        <w:rPr>
          <w:sz w:val="22"/>
          <w:szCs w:val="22"/>
          <w:lang w:val="sr-Latn-CS"/>
        </w:rPr>
        <w:t xml:space="preserve"> </w:t>
      </w:r>
      <w:r w:rsidRPr="00F81D44">
        <w:rPr>
          <w:sz w:val="22"/>
          <w:szCs w:val="22"/>
          <w:lang w:val="sr-Latn-RS"/>
        </w:rPr>
        <w:t>injekcije</w:t>
      </w:r>
      <w:r w:rsidRPr="00F81D44">
        <w:rPr>
          <w:sz w:val="22"/>
          <w:szCs w:val="22"/>
          <w:lang w:val="sr-Latn-CS"/>
        </w:rPr>
        <w:t xml:space="preserve"> (1,1 </w:t>
      </w:r>
      <w:r w:rsidRPr="00F81D44">
        <w:rPr>
          <w:sz w:val="22"/>
          <w:szCs w:val="22"/>
          <w:lang w:val="sr-Latn-RS"/>
        </w:rPr>
        <w:t>ml</w:t>
      </w:r>
      <w:r w:rsidRPr="00F81D44">
        <w:rPr>
          <w:sz w:val="22"/>
          <w:szCs w:val="22"/>
          <w:lang w:val="sr-Latn-CS"/>
        </w:rPr>
        <w:t xml:space="preserve">) </w:t>
      </w:r>
      <w:r w:rsidRPr="00F81D44">
        <w:rPr>
          <w:sz w:val="22"/>
          <w:szCs w:val="22"/>
          <w:lang w:val="sr-Latn-RS"/>
        </w:rPr>
        <w:t>u</w:t>
      </w:r>
      <w:r w:rsidRPr="00F81D44">
        <w:rPr>
          <w:sz w:val="22"/>
          <w:szCs w:val="22"/>
          <w:lang w:val="sr-Latn-CS"/>
        </w:rPr>
        <w:t xml:space="preserve"> </w:t>
      </w:r>
      <w:r w:rsidRPr="00F81D44">
        <w:rPr>
          <w:sz w:val="22"/>
          <w:szCs w:val="22"/>
          <w:lang w:val="sr-Latn-RS"/>
        </w:rPr>
        <w:t>bo</w:t>
      </w:r>
      <w:r w:rsidRPr="00F81D44">
        <w:rPr>
          <w:sz w:val="22"/>
          <w:szCs w:val="22"/>
          <w:lang w:val="sr-Latn-CS"/>
        </w:rPr>
        <w:t>č</w:t>
      </w:r>
      <w:r w:rsidRPr="00F81D44">
        <w:rPr>
          <w:sz w:val="22"/>
          <w:szCs w:val="22"/>
          <w:lang w:val="sr-Latn-RS"/>
        </w:rPr>
        <w:t>icu</w:t>
      </w:r>
      <w:r w:rsidRPr="00F81D44">
        <w:rPr>
          <w:sz w:val="22"/>
          <w:szCs w:val="22"/>
          <w:lang w:val="sr-Latn-CS"/>
        </w:rPr>
        <w:t xml:space="preserve"> </w:t>
      </w:r>
      <w:r w:rsidRPr="00F81D44">
        <w:rPr>
          <w:sz w:val="22"/>
          <w:szCs w:val="22"/>
          <w:lang w:val="sr-Latn-RS"/>
        </w:rPr>
        <w:t>koja</w:t>
      </w:r>
      <w:r w:rsidRPr="00F81D44">
        <w:rPr>
          <w:sz w:val="22"/>
          <w:szCs w:val="22"/>
          <w:lang w:val="sr-Latn-CS"/>
        </w:rPr>
        <w:t xml:space="preserve"> </w:t>
      </w:r>
      <w:r w:rsidRPr="00F81D44">
        <w:rPr>
          <w:sz w:val="22"/>
          <w:szCs w:val="22"/>
          <w:lang w:val="sr-Latn-RS"/>
        </w:rPr>
        <w:t>sadr</w:t>
      </w:r>
      <w:r w:rsidRPr="00F81D44">
        <w:rPr>
          <w:sz w:val="22"/>
          <w:szCs w:val="22"/>
          <w:lang w:val="sr-Latn-CS"/>
        </w:rPr>
        <w:t>ž</w:t>
      </w:r>
      <w:r w:rsidRPr="00F81D44">
        <w:rPr>
          <w:sz w:val="22"/>
          <w:szCs w:val="22"/>
          <w:lang w:val="sr-Latn-RS"/>
        </w:rPr>
        <w:t>i</w:t>
      </w:r>
      <w:r w:rsidRPr="00F81D44">
        <w:rPr>
          <w:sz w:val="22"/>
          <w:szCs w:val="22"/>
          <w:lang w:val="sr-Latn-CS"/>
        </w:rPr>
        <w:t xml:space="preserve"> </w:t>
      </w:r>
      <w:r w:rsidRPr="00F81D44">
        <w:rPr>
          <w:sz w:val="22"/>
          <w:szCs w:val="22"/>
          <w:lang w:val="sr-Latn-RS"/>
        </w:rPr>
        <w:t>kompaktan</w:t>
      </w:r>
      <w:r w:rsidRPr="00F81D44">
        <w:rPr>
          <w:sz w:val="22"/>
          <w:szCs w:val="22"/>
          <w:lang w:val="sr-Latn-CS"/>
        </w:rPr>
        <w:t xml:space="preserve"> </w:t>
      </w:r>
      <w:r w:rsidRPr="00F81D44">
        <w:rPr>
          <w:sz w:val="22"/>
          <w:szCs w:val="22"/>
          <w:lang w:val="sr-Latn-RS"/>
        </w:rPr>
        <w:t>pra</w:t>
      </w:r>
      <w:r w:rsidRPr="00F81D44">
        <w:rPr>
          <w:sz w:val="22"/>
          <w:szCs w:val="22"/>
          <w:lang w:val="sr-Latn-CS"/>
        </w:rPr>
        <w:t>š</w:t>
      </w:r>
      <w:r w:rsidRPr="00F81D44">
        <w:rPr>
          <w:sz w:val="22"/>
          <w:szCs w:val="22"/>
          <w:lang w:val="sr-Latn-RS"/>
        </w:rPr>
        <w:t>ak</w:t>
      </w:r>
      <w:r w:rsidRPr="00F81D44">
        <w:rPr>
          <w:sz w:val="22"/>
          <w:szCs w:val="22"/>
          <w:lang w:val="sr-Latn-CS"/>
        </w:rPr>
        <w:t xml:space="preserve"> </w:t>
      </w:r>
      <w:r w:rsidRPr="00F81D44">
        <w:rPr>
          <w:sz w:val="22"/>
          <w:szCs w:val="22"/>
          <w:lang w:val="sr-Latn-RS"/>
        </w:rPr>
        <w:t>glukagona</w:t>
      </w:r>
      <w:r w:rsidRPr="00F81D44">
        <w:rPr>
          <w:sz w:val="22"/>
          <w:szCs w:val="22"/>
          <w:lang w:val="sr-Latn-CS"/>
        </w:rPr>
        <w:t xml:space="preserve">. </w:t>
      </w:r>
      <w:r w:rsidRPr="00F81D44">
        <w:rPr>
          <w:sz w:val="22"/>
          <w:szCs w:val="22"/>
          <w:lang w:val="it-IT"/>
        </w:rPr>
        <w:t xml:space="preserve">Lagano mućkati dok se prašak glukagona u potpunosti ne rastvori i pripremljen rastvor ne postane bistar. </w:t>
      </w:r>
      <w:r w:rsidRPr="00F81D44">
        <w:rPr>
          <w:sz w:val="22"/>
          <w:szCs w:val="22"/>
          <w:lang w:val="pl-PL"/>
        </w:rPr>
        <w:t>Rastvor vratiti u špric.</w:t>
      </w:r>
    </w:p>
    <w:p w14:paraId="2C7AFAEB" w14:textId="257DC9E7" w:rsidR="00F81D44" w:rsidRPr="00F81D44" w:rsidRDefault="005210D5">
      <w:pPr>
        <w:tabs>
          <w:tab w:val="left" w:pos="284"/>
        </w:tabs>
        <w:autoSpaceDE w:val="0"/>
        <w:autoSpaceDN w:val="0"/>
        <w:adjustRightInd w:val="0"/>
        <w:jc w:val="both"/>
        <w:rPr>
          <w:sz w:val="22"/>
          <w:szCs w:val="22"/>
          <w:lang w:val="pl-PL"/>
        </w:rPr>
      </w:pPr>
      <w:r>
        <w:rPr>
          <w:sz w:val="22"/>
          <w:szCs w:val="22"/>
          <w:lang w:val="pl-PL"/>
        </w:rPr>
        <w:t xml:space="preserve">Napominje se da </w:t>
      </w:r>
      <w:r w:rsidR="00F81D44" w:rsidRPr="00F81D44">
        <w:rPr>
          <w:sz w:val="22"/>
          <w:szCs w:val="22"/>
          <w:lang w:val="pl-PL"/>
        </w:rPr>
        <w:t>špric sa tanjom iglom i finije graduisanom skalom može biti podesniji za dijagnostičke procedure.</w:t>
      </w:r>
    </w:p>
    <w:p w14:paraId="04F8D700" w14:textId="77777777" w:rsidR="00F81D44" w:rsidRPr="00F81D44" w:rsidRDefault="00F81D44">
      <w:pPr>
        <w:tabs>
          <w:tab w:val="left" w:pos="284"/>
        </w:tabs>
        <w:autoSpaceDE w:val="0"/>
        <w:autoSpaceDN w:val="0"/>
        <w:adjustRightInd w:val="0"/>
        <w:jc w:val="both"/>
        <w:rPr>
          <w:sz w:val="22"/>
          <w:szCs w:val="22"/>
          <w:lang w:val="pl-PL"/>
        </w:rPr>
      </w:pPr>
    </w:p>
    <w:p w14:paraId="48C964D9" w14:textId="6D77668E" w:rsidR="00F81D44" w:rsidRDefault="00F81D44" w:rsidP="00BD27C0">
      <w:pPr>
        <w:tabs>
          <w:tab w:val="left" w:pos="540"/>
          <w:tab w:val="left" w:pos="569"/>
        </w:tabs>
        <w:jc w:val="both"/>
        <w:rPr>
          <w:sz w:val="22"/>
          <w:szCs w:val="22"/>
          <w:lang w:val="pl-PL"/>
        </w:rPr>
      </w:pPr>
      <w:r w:rsidRPr="00F81D44">
        <w:rPr>
          <w:sz w:val="22"/>
          <w:szCs w:val="22"/>
          <w:lang w:val="pl-PL"/>
        </w:rPr>
        <w:t>Rekonstituisan lijek je bistar i bezbojan rastvor za injekciju koji sadrži 1 mg (1 i.j.)/ml glukagona, a nam</w:t>
      </w:r>
      <w:r w:rsidR="00774004">
        <w:rPr>
          <w:sz w:val="22"/>
          <w:szCs w:val="22"/>
          <w:lang w:val="pl-PL"/>
        </w:rPr>
        <w:t>i</w:t>
      </w:r>
      <w:r w:rsidRPr="00F81D44">
        <w:rPr>
          <w:sz w:val="22"/>
          <w:szCs w:val="22"/>
          <w:lang w:val="pl-PL"/>
        </w:rPr>
        <w:t xml:space="preserve">jenjen je za </w:t>
      </w:r>
      <w:r w:rsidR="005210D5">
        <w:rPr>
          <w:sz w:val="22"/>
          <w:szCs w:val="22"/>
          <w:lang w:val="pl-PL"/>
        </w:rPr>
        <w:t>potkožnu</w:t>
      </w:r>
      <w:r w:rsidRPr="00F81D44">
        <w:rPr>
          <w:sz w:val="22"/>
          <w:szCs w:val="22"/>
          <w:lang w:val="pl-PL"/>
        </w:rPr>
        <w:t>, intramuskularnu ili intravensku primjenu (injekcijom).</w:t>
      </w:r>
    </w:p>
    <w:p w14:paraId="0CC4522D" w14:textId="62913ED2" w:rsidR="00F81D44" w:rsidRDefault="00F81D44" w:rsidP="00BD27C0">
      <w:pPr>
        <w:tabs>
          <w:tab w:val="left" w:pos="540"/>
          <w:tab w:val="left" w:pos="569"/>
        </w:tabs>
        <w:jc w:val="both"/>
        <w:rPr>
          <w:sz w:val="22"/>
          <w:szCs w:val="22"/>
          <w:lang w:val="pl-PL"/>
        </w:rPr>
      </w:pPr>
    </w:p>
    <w:p w14:paraId="3E1BEBC1" w14:textId="77777777" w:rsidR="00F81D44" w:rsidRPr="00F81D44" w:rsidRDefault="00F81D44">
      <w:pPr>
        <w:tabs>
          <w:tab w:val="left" w:pos="284"/>
        </w:tabs>
        <w:autoSpaceDE w:val="0"/>
        <w:autoSpaceDN w:val="0"/>
        <w:adjustRightInd w:val="0"/>
        <w:jc w:val="both"/>
        <w:rPr>
          <w:lang w:val="pl-PL"/>
        </w:rPr>
      </w:pPr>
      <w:r w:rsidRPr="00F81D44">
        <w:rPr>
          <w:sz w:val="22"/>
          <w:szCs w:val="22"/>
          <w:lang w:val="pl-PL"/>
        </w:rPr>
        <w:t>Neiskorišćen lijek ili odbačen materijal mora se uništiti u skladu sa važećim lokalnim propisima</w:t>
      </w:r>
      <w:r w:rsidRPr="00F81D44">
        <w:rPr>
          <w:lang w:val="pl-PL"/>
        </w:rPr>
        <w:t>.</w:t>
      </w:r>
    </w:p>
    <w:p w14:paraId="4323331D" w14:textId="1964027F" w:rsidR="0072020E" w:rsidRDefault="0072020E" w:rsidP="00BD27C0">
      <w:pPr>
        <w:tabs>
          <w:tab w:val="left" w:pos="540"/>
          <w:tab w:val="left" w:pos="569"/>
        </w:tabs>
        <w:jc w:val="both"/>
        <w:rPr>
          <w:bCs/>
          <w:sz w:val="22"/>
          <w:szCs w:val="22"/>
          <w:lang w:val="sr-Latn-RS"/>
        </w:rPr>
      </w:pPr>
    </w:p>
    <w:p w14:paraId="4B24E568" w14:textId="77777777" w:rsidR="00B06F89" w:rsidRPr="00920E02" w:rsidRDefault="00B06F89" w:rsidP="00BD27C0">
      <w:pPr>
        <w:tabs>
          <w:tab w:val="left" w:pos="540"/>
          <w:tab w:val="left" w:pos="569"/>
        </w:tabs>
        <w:jc w:val="both"/>
        <w:rPr>
          <w:bCs/>
          <w:sz w:val="22"/>
          <w:szCs w:val="22"/>
          <w:lang w:val="sr-Latn-RS"/>
        </w:rPr>
      </w:pPr>
    </w:p>
    <w:p w14:paraId="386CC0CB" w14:textId="77777777" w:rsidR="00F8570A"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7. </w:t>
      </w:r>
      <w:r w:rsidR="00480FB1" w:rsidRPr="00920E02">
        <w:rPr>
          <w:b/>
          <w:bCs/>
          <w:sz w:val="22"/>
          <w:szCs w:val="22"/>
          <w:lang w:val="sr-Latn-RS"/>
        </w:rPr>
        <w:tab/>
      </w:r>
      <w:r w:rsidRPr="00920E02">
        <w:rPr>
          <w:b/>
          <w:bCs/>
          <w:sz w:val="22"/>
          <w:szCs w:val="22"/>
          <w:lang w:val="sr-Latn-RS"/>
        </w:rPr>
        <w:t>NOSILAC DOZVOLE</w:t>
      </w:r>
      <w:r w:rsidR="00483928" w:rsidRPr="00920E02">
        <w:rPr>
          <w:b/>
          <w:bCs/>
          <w:sz w:val="22"/>
          <w:szCs w:val="22"/>
          <w:lang w:val="sr-Latn-RS"/>
        </w:rPr>
        <w:t xml:space="preserve"> </w:t>
      </w:r>
    </w:p>
    <w:p w14:paraId="3F2CFCBE" w14:textId="193762C5" w:rsidR="00C61BE0" w:rsidRDefault="00C61BE0" w:rsidP="00BD27C0">
      <w:pPr>
        <w:tabs>
          <w:tab w:val="left" w:pos="540"/>
          <w:tab w:val="left" w:pos="569"/>
        </w:tabs>
        <w:jc w:val="both"/>
        <w:rPr>
          <w:bCs/>
          <w:sz w:val="22"/>
          <w:szCs w:val="22"/>
          <w:lang w:val="sr-Latn-RS"/>
        </w:rPr>
      </w:pPr>
    </w:p>
    <w:p w14:paraId="7FD71BCC" w14:textId="77777777" w:rsidR="00F81D44" w:rsidRPr="00F81D44" w:rsidRDefault="00F81D44" w:rsidP="00BD27C0">
      <w:pPr>
        <w:tabs>
          <w:tab w:val="left" w:pos="540"/>
          <w:tab w:val="left" w:pos="569"/>
        </w:tabs>
        <w:jc w:val="both"/>
        <w:rPr>
          <w:bCs/>
          <w:sz w:val="22"/>
          <w:szCs w:val="22"/>
          <w:lang w:val="pt-BR"/>
        </w:rPr>
      </w:pPr>
      <w:r w:rsidRPr="00F81D44">
        <w:rPr>
          <w:bCs/>
          <w:sz w:val="22"/>
          <w:szCs w:val="22"/>
          <w:lang w:val="pt-BR"/>
        </w:rPr>
        <w:t>Novo Nordisk Pharma Operations A/S, Danska - Predstavništvo Crna Gora, Podgorica</w:t>
      </w:r>
    </w:p>
    <w:p w14:paraId="7A525804" w14:textId="77777777" w:rsidR="00F81D44" w:rsidRPr="00F81D44" w:rsidRDefault="00F81D44" w:rsidP="00BD27C0">
      <w:pPr>
        <w:tabs>
          <w:tab w:val="left" w:pos="540"/>
          <w:tab w:val="left" w:pos="569"/>
        </w:tabs>
        <w:jc w:val="both"/>
        <w:rPr>
          <w:bCs/>
          <w:sz w:val="22"/>
          <w:szCs w:val="22"/>
          <w:lang w:val="pt-BR"/>
        </w:rPr>
      </w:pPr>
      <w:r w:rsidRPr="00F81D44">
        <w:rPr>
          <w:bCs/>
          <w:sz w:val="22"/>
          <w:szCs w:val="22"/>
          <w:lang w:val="pt-BR"/>
        </w:rPr>
        <w:t xml:space="preserve">Kritskog odreda 4/1, </w:t>
      </w:r>
    </w:p>
    <w:p w14:paraId="7CD4EDB7" w14:textId="44079BD9" w:rsidR="00F81D44" w:rsidRPr="00920E02" w:rsidRDefault="00F81D44" w:rsidP="00BD27C0">
      <w:pPr>
        <w:tabs>
          <w:tab w:val="left" w:pos="540"/>
          <w:tab w:val="left" w:pos="569"/>
        </w:tabs>
        <w:jc w:val="both"/>
        <w:rPr>
          <w:bCs/>
          <w:sz w:val="22"/>
          <w:szCs w:val="22"/>
          <w:lang w:val="sr-Latn-RS"/>
        </w:rPr>
      </w:pPr>
      <w:r w:rsidRPr="00F81D44">
        <w:rPr>
          <w:bCs/>
          <w:sz w:val="22"/>
          <w:szCs w:val="22"/>
          <w:lang w:val="pt-BR"/>
        </w:rPr>
        <w:t>81000 Podgorica, Crna Gora</w:t>
      </w:r>
    </w:p>
    <w:p w14:paraId="3BE8EC6D" w14:textId="33368013" w:rsidR="00C37FD7" w:rsidRDefault="00C37FD7" w:rsidP="00BD27C0">
      <w:pPr>
        <w:tabs>
          <w:tab w:val="left" w:pos="540"/>
          <w:tab w:val="left" w:pos="569"/>
        </w:tabs>
        <w:jc w:val="both"/>
        <w:rPr>
          <w:bCs/>
          <w:sz w:val="22"/>
          <w:szCs w:val="22"/>
          <w:lang w:val="sr-Latn-RS"/>
        </w:rPr>
      </w:pPr>
    </w:p>
    <w:p w14:paraId="4CDC2D1F" w14:textId="77777777" w:rsidR="00B06F89" w:rsidRPr="00920E02" w:rsidRDefault="00B06F89" w:rsidP="00BD27C0">
      <w:pPr>
        <w:tabs>
          <w:tab w:val="left" w:pos="540"/>
          <w:tab w:val="left" w:pos="569"/>
        </w:tabs>
        <w:jc w:val="both"/>
        <w:rPr>
          <w:bCs/>
          <w:sz w:val="22"/>
          <w:szCs w:val="22"/>
          <w:lang w:val="sr-Latn-RS"/>
        </w:rPr>
      </w:pPr>
    </w:p>
    <w:p w14:paraId="71C2DE8C"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8. </w:t>
      </w:r>
      <w:r w:rsidR="00480FB1" w:rsidRPr="00920E02">
        <w:rPr>
          <w:b/>
          <w:bCs/>
          <w:sz w:val="22"/>
          <w:szCs w:val="22"/>
          <w:lang w:val="sr-Latn-RS"/>
        </w:rPr>
        <w:tab/>
      </w:r>
      <w:r w:rsidRPr="00920E02">
        <w:rPr>
          <w:b/>
          <w:bCs/>
          <w:sz w:val="22"/>
          <w:szCs w:val="22"/>
          <w:lang w:val="sr-Latn-RS"/>
        </w:rPr>
        <w:t>BROJ DOZVOLE</w:t>
      </w:r>
      <w:r w:rsidR="008A6D43" w:rsidRPr="00920E02">
        <w:rPr>
          <w:b/>
          <w:bCs/>
          <w:sz w:val="22"/>
          <w:szCs w:val="22"/>
          <w:lang w:val="sr-Latn-RS"/>
        </w:rPr>
        <w:t xml:space="preserve"> ZA STAVLJANJE LIJEKA U PROMET</w:t>
      </w:r>
    </w:p>
    <w:p w14:paraId="5BE08F9A" w14:textId="4FBA3062" w:rsidR="0072020E" w:rsidRDefault="0072020E" w:rsidP="00BD27C0">
      <w:pPr>
        <w:tabs>
          <w:tab w:val="left" w:pos="540"/>
          <w:tab w:val="left" w:pos="569"/>
        </w:tabs>
        <w:jc w:val="both"/>
        <w:rPr>
          <w:bCs/>
          <w:sz w:val="22"/>
          <w:szCs w:val="22"/>
          <w:lang w:val="sr-Latn-RS"/>
        </w:rPr>
      </w:pPr>
    </w:p>
    <w:p w14:paraId="34DEF3AC" w14:textId="6E5D045A" w:rsidR="00F81D44" w:rsidRPr="00920E02" w:rsidRDefault="001100DC" w:rsidP="00BD27C0">
      <w:pPr>
        <w:tabs>
          <w:tab w:val="left" w:pos="540"/>
          <w:tab w:val="left" w:pos="569"/>
        </w:tabs>
        <w:jc w:val="both"/>
        <w:rPr>
          <w:bCs/>
          <w:sz w:val="22"/>
          <w:szCs w:val="22"/>
          <w:lang w:val="sr-Latn-RS"/>
        </w:rPr>
      </w:pPr>
      <w:r w:rsidRPr="00F81D44">
        <w:rPr>
          <w:bCs/>
          <w:sz w:val="22"/>
          <w:szCs w:val="22"/>
          <w:lang w:val="sr-Latn-CS"/>
        </w:rPr>
        <w:t>GlucaGen Hypo</w:t>
      </w:r>
      <w:r>
        <w:rPr>
          <w:bCs/>
          <w:sz w:val="22"/>
          <w:szCs w:val="22"/>
          <w:lang w:val="sr-Latn-CS"/>
        </w:rPr>
        <w:t>K</w:t>
      </w:r>
      <w:r w:rsidRPr="00F81D44">
        <w:rPr>
          <w:bCs/>
          <w:sz w:val="22"/>
          <w:szCs w:val="22"/>
          <w:lang w:val="sr-Latn-CS"/>
        </w:rPr>
        <w:t xml:space="preserve">it </w:t>
      </w:r>
      <w:r>
        <w:rPr>
          <w:bCs/>
          <w:sz w:val="22"/>
          <w:szCs w:val="22"/>
          <w:lang w:val="sr-Latn-CS"/>
        </w:rPr>
        <w:t xml:space="preserve">prašak i rastvarač za pripremu rastvora za injekcije: </w:t>
      </w:r>
      <w:r w:rsidR="00F81D44">
        <w:rPr>
          <w:bCs/>
          <w:sz w:val="22"/>
          <w:szCs w:val="22"/>
          <w:lang w:val="sr-Latn-RS"/>
        </w:rPr>
        <w:t>2030/14/189 - 1136</w:t>
      </w:r>
    </w:p>
    <w:p w14:paraId="50F1F2C4" w14:textId="3F4F3996" w:rsidR="00F45F77" w:rsidRDefault="00F45F77" w:rsidP="00BD27C0">
      <w:pPr>
        <w:tabs>
          <w:tab w:val="left" w:pos="540"/>
          <w:tab w:val="left" w:pos="569"/>
        </w:tabs>
        <w:jc w:val="both"/>
        <w:rPr>
          <w:bCs/>
          <w:sz w:val="22"/>
          <w:szCs w:val="22"/>
          <w:lang w:val="sr-Latn-RS"/>
        </w:rPr>
      </w:pPr>
    </w:p>
    <w:p w14:paraId="5D6104AF" w14:textId="77777777" w:rsidR="00B06F89" w:rsidRPr="00920E02" w:rsidRDefault="00B06F89" w:rsidP="00BD27C0">
      <w:pPr>
        <w:tabs>
          <w:tab w:val="left" w:pos="540"/>
          <w:tab w:val="left" w:pos="569"/>
        </w:tabs>
        <w:jc w:val="both"/>
        <w:rPr>
          <w:bCs/>
          <w:sz w:val="22"/>
          <w:szCs w:val="22"/>
          <w:lang w:val="sr-Latn-RS"/>
        </w:rPr>
      </w:pPr>
    </w:p>
    <w:p w14:paraId="6CFB31A7" w14:textId="77777777" w:rsidR="0072020E" w:rsidRPr="00920E02" w:rsidRDefault="0072020E" w:rsidP="00BD27C0">
      <w:pPr>
        <w:tabs>
          <w:tab w:val="left" w:pos="540"/>
          <w:tab w:val="left" w:pos="569"/>
        </w:tabs>
        <w:jc w:val="both"/>
        <w:rPr>
          <w:b/>
          <w:bCs/>
          <w:sz w:val="22"/>
          <w:szCs w:val="22"/>
          <w:lang w:val="sr-Latn-RS"/>
        </w:rPr>
      </w:pPr>
      <w:r w:rsidRPr="00920E02">
        <w:rPr>
          <w:b/>
          <w:bCs/>
          <w:sz w:val="22"/>
          <w:szCs w:val="22"/>
          <w:lang w:val="sr-Latn-RS"/>
        </w:rPr>
        <w:t xml:space="preserve">9. </w:t>
      </w:r>
      <w:r w:rsidR="00480FB1" w:rsidRPr="00920E02">
        <w:rPr>
          <w:b/>
          <w:bCs/>
          <w:sz w:val="22"/>
          <w:szCs w:val="22"/>
          <w:lang w:val="sr-Latn-RS"/>
        </w:rPr>
        <w:tab/>
      </w:r>
      <w:r w:rsidRPr="00920E02">
        <w:rPr>
          <w:b/>
          <w:bCs/>
          <w:sz w:val="22"/>
          <w:szCs w:val="22"/>
          <w:lang w:val="sr-Latn-RS"/>
        </w:rPr>
        <w:t xml:space="preserve">DATUM </w:t>
      </w:r>
      <w:r w:rsidR="00C05DF8" w:rsidRPr="00920E02">
        <w:rPr>
          <w:b/>
          <w:bCs/>
          <w:sz w:val="22"/>
          <w:szCs w:val="22"/>
          <w:lang w:val="sr-Latn-RS"/>
        </w:rPr>
        <w:t xml:space="preserve">PRVE </w:t>
      </w:r>
      <w:r w:rsidR="008A6D43" w:rsidRPr="00920E02">
        <w:rPr>
          <w:b/>
          <w:bCs/>
          <w:sz w:val="22"/>
          <w:szCs w:val="22"/>
          <w:lang w:val="sr-Latn-RS"/>
        </w:rPr>
        <w:t>DOZVOLE</w:t>
      </w:r>
      <w:r w:rsidR="00C05DF8" w:rsidRPr="00920E02">
        <w:rPr>
          <w:b/>
          <w:bCs/>
          <w:sz w:val="22"/>
          <w:szCs w:val="22"/>
          <w:lang w:val="sr-Latn-RS"/>
        </w:rPr>
        <w:t>/OBNOVE DOZVOLE</w:t>
      </w:r>
      <w:r w:rsidR="008A6D43" w:rsidRPr="00920E02">
        <w:rPr>
          <w:b/>
          <w:bCs/>
          <w:sz w:val="22"/>
          <w:szCs w:val="22"/>
          <w:lang w:val="sr-Latn-RS"/>
        </w:rPr>
        <w:t xml:space="preserve"> ZA STAVLJANJE LIJEKA U PROMET</w:t>
      </w:r>
    </w:p>
    <w:p w14:paraId="7BACB572" w14:textId="50AB6E49" w:rsidR="0072020E" w:rsidRDefault="0072020E" w:rsidP="00BD27C0">
      <w:pPr>
        <w:tabs>
          <w:tab w:val="left" w:pos="540"/>
          <w:tab w:val="left" w:pos="569"/>
        </w:tabs>
        <w:jc w:val="both"/>
        <w:rPr>
          <w:bCs/>
          <w:sz w:val="22"/>
          <w:szCs w:val="22"/>
          <w:lang w:val="sr-Latn-RS"/>
        </w:rPr>
      </w:pPr>
    </w:p>
    <w:p w14:paraId="5BB2B5B8" w14:textId="7CD013E9" w:rsidR="00F81D44" w:rsidRPr="00920E02" w:rsidRDefault="001100DC" w:rsidP="00BD27C0">
      <w:pPr>
        <w:tabs>
          <w:tab w:val="left" w:pos="540"/>
          <w:tab w:val="left" w:pos="569"/>
        </w:tabs>
        <w:jc w:val="both"/>
        <w:rPr>
          <w:bCs/>
          <w:sz w:val="22"/>
          <w:szCs w:val="22"/>
          <w:lang w:val="sr-Latn-RS"/>
        </w:rPr>
      </w:pPr>
      <w:r w:rsidRPr="00F81D44">
        <w:rPr>
          <w:bCs/>
          <w:sz w:val="22"/>
          <w:szCs w:val="22"/>
          <w:lang w:val="sr-Latn-CS"/>
        </w:rPr>
        <w:t>GlucaGen Hypo</w:t>
      </w:r>
      <w:r>
        <w:rPr>
          <w:bCs/>
          <w:sz w:val="22"/>
          <w:szCs w:val="22"/>
          <w:lang w:val="sr-Latn-CS"/>
        </w:rPr>
        <w:t>K</w:t>
      </w:r>
      <w:r w:rsidRPr="00F81D44">
        <w:rPr>
          <w:bCs/>
          <w:sz w:val="22"/>
          <w:szCs w:val="22"/>
          <w:lang w:val="sr-Latn-CS"/>
        </w:rPr>
        <w:t xml:space="preserve">it </w:t>
      </w:r>
      <w:r>
        <w:rPr>
          <w:bCs/>
          <w:sz w:val="22"/>
          <w:szCs w:val="22"/>
          <w:lang w:val="sr-Latn-CS"/>
        </w:rPr>
        <w:t xml:space="preserve">prašak i rastvarač za pripremu rastvora za injekcije: </w:t>
      </w:r>
      <w:r w:rsidR="00F81D44">
        <w:rPr>
          <w:bCs/>
          <w:sz w:val="22"/>
          <w:szCs w:val="22"/>
          <w:lang w:val="sr-Latn-RS"/>
        </w:rPr>
        <w:t>07.05.2014. godine</w:t>
      </w:r>
    </w:p>
    <w:p w14:paraId="2BB9D844" w14:textId="043B63ED" w:rsidR="00836B35" w:rsidRDefault="00836B35" w:rsidP="00BD27C0">
      <w:pPr>
        <w:tabs>
          <w:tab w:val="left" w:pos="540"/>
          <w:tab w:val="left" w:pos="569"/>
        </w:tabs>
        <w:jc w:val="both"/>
        <w:rPr>
          <w:bCs/>
          <w:sz w:val="22"/>
          <w:szCs w:val="22"/>
          <w:lang w:val="sr-Latn-RS"/>
        </w:rPr>
      </w:pPr>
    </w:p>
    <w:p w14:paraId="75752714" w14:textId="77777777" w:rsidR="00B06F89" w:rsidRPr="00920E02" w:rsidRDefault="00B06F89" w:rsidP="00BD27C0">
      <w:pPr>
        <w:tabs>
          <w:tab w:val="left" w:pos="540"/>
          <w:tab w:val="left" w:pos="569"/>
        </w:tabs>
        <w:jc w:val="both"/>
        <w:rPr>
          <w:bCs/>
          <w:sz w:val="22"/>
          <w:szCs w:val="22"/>
          <w:lang w:val="sr-Latn-RS"/>
        </w:rPr>
      </w:pPr>
    </w:p>
    <w:p w14:paraId="13AA7A4E" w14:textId="77777777" w:rsidR="003F6A59" w:rsidRPr="00920E02" w:rsidRDefault="0072020E" w:rsidP="00BD27C0">
      <w:pPr>
        <w:tabs>
          <w:tab w:val="left" w:pos="540"/>
          <w:tab w:val="left" w:pos="569"/>
        </w:tabs>
        <w:ind w:left="540" w:hanging="540"/>
        <w:jc w:val="both"/>
        <w:rPr>
          <w:bCs/>
          <w:sz w:val="22"/>
          <w:szCs w:val="22"/>
          <w:lang w:val="sr-Latn-RS"/>
        </w:rPr>
      </w:pPr>
      <w:r w:rsidRPr="00920E02">
        <w:rPr>
          <w:b/>
          <w:bCs/>
          <w:sz w:val="22"/>
          <w:szCs w:val="22"/>
          <w:lang w:val="sr-Latn-RS"/>
        </w:rPr>
        <w:t xml:space="preserve">10. </w:t>
      </w:r>
      <w:r w:rsidR="00480FB1" w:rsidRPr="00920E02">
        <w:rPr>
          <w:b/>
          <w:bCs/>
          <w:sz w:val="22"/>
          <w:szCs w:val="22"/>
          <w:lang w:val="sr-Latn-RS"/>
        </w:rPr>
        <w:tab/>
      </w:r>
      <w:r w:rsidR="002846DB" w:rsidRPr="00920E02">
        <w:rPr>
          <w:b/>
          <w:bCs/>
          <w:sz w:val="22"/>
          <w:szCs w:val="22"/>
          <w:lang w:val="sr-Latn-RS"/>
        </w:rPr>
        <w:t>D</w:t>
      </w:r>
      <w:r w:rsidR="00EC2532" w:rsidRPr="00920E02">
        <w:rPr>
          <w:b/>
          <w:bCs/>
          <w:sz w:val="22"/>
          <w:szCs w:val="22"/>
          <w:lang w:val="sr-Latn-RS"/>
        </w:rPr>
        <w:t xml:space="preserve">ATUM REVIZIJE TEKSTA </w:t>
      </w:r>
    </w:p>
    <w:p w14:paraId="0E22AE66" w14:textId="72C6C4A2" w:rsidR="003F6A59" w:rsidRDefault="003F6A59" w:rsidP="00BD27C0">
      <w:pPr>
        <w:tabs>
          <w:tab w:val="left" w:pos="540"/>
          <w:tab w:val="left" w:pos="569"/>
        </w:tabs>
        <w:jc w:val="both"/>
        <w:rPr>
          <w:bCs/>
          <w:sz w:val="22"/>
          <w:szCs w:val="22"/>
          <w:lang w:val="sr-Latn-RS"/>
        </w:rPr>
      </w:pPr>
    </w:p>
    <w:p w14:paraId="14A9BE41" w14:textId="47179F88" w:rsidR="003F6A59" w:rsidRPr="00CC39BA" w:rsidRDefault="002D3265" w:rsidP="00CC39BA">
      <w:pPr>
        <w:tabs>
          <w:tab w:val="left" w:pos="540"/>
          <w:tab w:val="left" w:pos="569"/>
        </w:tabs>
        <w:jc w:val="both"/>
        <w:rPr>
          <w:bCs/>
          <w:sz w:val="22"/>
          <w:szCs w:val="22"/>
          <w:lang w:val="sr-Latn-RS"/>
        </w:rPr>
      </w:pPr>
      <w:r>
        <w:rPr>
          <w:bCs/>
          <w:sz w:val="22"/>
          <w:szCs w:val="22"/>
          <w:lang w:val="sr-Latn-RS"/>
        </w:rPr>
        <w:t>Jul</w:t>
      </w:r>
      <w:bookmarkStart w:id="1" w:name="_GoBack"/>
      <w:bookmarkEnd w:id="1"/>
      <w:r w:rsidR="00DF4D46">
        <w:rPr>
          <w:bCs/>
          <w:sz w:val="22"/>
          <w:szCs w:val="22"/>
          <w:lang w:val="sr-Latn-RS"/>
        </w:rPr>
        <w:t>,</w:t>
      </w:r>
      <w:r w:rsidR="00F81D44">
        <w:rPr>
          <w:bCs/>
          <w:sz w:val="22"/>
          <w:szCs w:val="22"/>
          <w:lang w:val="sr-Latn-RS"/>
        </w:rPr>
        <w:t xml:space="preserve"> 202</w:t>
      </w:r>
      <w:r w:rsidR="00CC39BA">
        <w:rPr>
          <w:bCs/>
          <w:sz w:val="22"/>
          <w:szCs w:val="22"/>
          <w:lang w:val="sr-Latn-RS"/>
        </w:rPr>
        <w:t>4</w:t>
      </w:r>
      <w:r w:rsidR="00F81D44">
        <w:rPr>
          <w:bCs/>
          <w:sz w:val="22"/>
          <w:szCs w:val="22"/>
          <w:lang w:val="sr-Latn-RS"/>
        </w:rPr>
        <w:t>.</w:t>
      </w:r>
      <w:r w:rsidR="00B06F89">
        <w:rPr>
          <w:bCs/>
          <w:sz w:val="22"/>
          <w:szCs w:val="22"/>
          <w:lang w:val="sr-Latn-RS"/>
        </w:rPr>
        <w:t xml:space="preserve"> godine</w:t>
      </w:r>
    </w:p>
    <w:sectPr w:rsidR="003F6A59" w:rsidRPr="00CC39BA"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DC9CE" w14:textId="77777777" w:rsidR="00072B15" w:rsidRDefault="00072B15">
      <w:r>
        <w:separator/>
      </w:r>
    </w:p>
  </w:endnote>
  <w:endnote w:type="continuationSeparator" w:id="0">
    <w:p w14:paraId="30EADF98" w14:textId="77777777" w:rsidR="00072B15" w:rsidRDefault="0007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40D4" w14:textId="7C706551"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D3265">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D3265">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9C0E0" w14:textId="77777777" w:rsidR="00072B15" w:rsidRDefault="00072B15">
      <w:r>
        <w:separator/>
      </w:r>
    </w:p>
  </w:footnote>
  <w:footnote w:type="continuationSeparator" w:id="0">
    <w:p w14:paraId="7A84A9AF" w14:textId="77777777" w:rsidR="00072B15" w:rsidRDefault="0007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2.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352AE"/>
    <w:multiLevelType w:val="hybridMultilevel"/>
    <w:tmpl w:val="F9D2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1AD"/>
    <w:rsid w:val="0003793F"/>
    <w:rsid w:val="00057E35"/>
    <w:rsid w:val="00072B15"/>
    <w:rsid w:val="00076726"/>
    <w:rsid w:val="00080303"/>
    <w:rsid w:val="000A3F58"/>
    <w:rsid w:val="000D2058"/>
    <w:rsid w:val="000D2343"/>
    <w:rsid w:val="000D3449"/>
    <w:rsid w:val="000D425A"/>
    <w:rsid w:val="000D60CC"/>
    <w:rsid w:val="000E024B"/>
    <w:rsid w:val="000E2084"/>
    <w:rsid w:val="000E6F55"/>
    <w:rsid w:val="000F77FA"/>
    <w:rsid w:val="00107BF7"/>
    <w:rsid w:val="001100DC"/>
    <w:rsid w:val="00126F53"/>
    <w:rsid w:val="0014766D"/>
    <w:rsid w:val="001536CC"/>
    <w:rsid w:val="0019099D"/>
    <w:rsid w:val="001A1E21"/>
    <w:rsid w:val="001A3FBA"/>
    <w:rsid w:val="001A5518"/>
    <w:rsid w:val="001B1C6A"/>
    <w:rsid w:val="001C1263"/>
    <w:rsid w:val="001C1417"/>
    <w:rsid w:val="001E390B"/>
    <w:rsid w:val="001F42FB"/>
    <w:rsid w:val="001F719A"/>
    <w:rsid w:val="002031B3"/>
    <w:rsid w:val="00215931"/>
    <w:rsid w:val="00215B33"/>
    <w:rsid w:val="00224C91"/>
    <w:rsid w:val="00227BDB"/>
    <w:rsid w:val="00234CB1"/>
    <w:rsid w:val="002352F8"/>
    <w:rsid w:val="002510A5"/>
    <w:rsid w:val="00254A0A"/>
    <w:rsid w:val="00266046"/>
    <w:rsid w:val="00280822"/>
    <w:rsid w:val="002846DB"/>
    <w:rsid w:val="00284CCD"/>
    <w:rsid w:val="00295658"/>
    <w:rsid w:val="002C6637"/>
    <w:rsid w:val="002D3265"/>
    <w:rsid w:val="002E0135"/>
    <w:rsid w:val="002E37A5"/>
    <w:rsid w:val="002F16D1"/>
    <w:rsid w:val="00310F03"/>
    <w:rsid w:val="003247D2"/>
    <w:rsid w:val="003445C1"/>
    <w:rsid w:val="00355B61"/>
    <w:rsid w:val="00362686"/>
    <w:rsid w:val="00371510"/>
    <w:rsid w:val="00396DFD"/>
    <w:rsid w:val="00397C19"/>
    <w:rsid w:val="003A7059"/>
    <w:rsid w:val="003B7A36"/>
    <w:rsid w:val="003C17AB"/>
    <w:rsid w:val="003C7823"/>
    <w:rsid w:val="003E1DCC"/>
    <w:rsid w:val="003F11A1"/>
    <w:rsid w:val="003F6A59"/>
    <w:rsid w:val="004065C8"/>
    <w:rsid w:val="004109FA"/>
    <w:rsid w:val="00411B4B"/>
    <w:rsid w:val="00415B38"/>
    <w:rsid w:val="00415BEE"/>
    <w:rsid w:val="00427F85"/>
    <w:rsid w:val="00436F42"/>
    <w:rsid w:val="004378B4"/>
    <w:rsid w:val="00451314"/>
    <w:rsid w:val="00452E9D"/>
    <w:rsid w:val="004534C7"/>
    <w:rsid w:val="004671AA"/>
    <w:rsid w:val="00480FB1"/>
    <w:rsid w:val="00483928"/>
    <w:rsid w:val="004C0DE4"/>
    <w:rsid w:val="004C331F"/>
    <w:rsid w:val="004D6103"/>
    <w:rsid w:val="004E3BCE"/>
    <w:rsid w:val="004E70AD"/>
    <w:rsid w:val="004F0E97"/>
    <w:rsid w:val="00501DD1"/>
    <w:rsid w:val="00515C21"/>
    <w:rsid w:val="005210D5"/>
    <w:rsid w:val="00530BD7"/>
    <w:rsid w:val="00545CD2"/>
    <w:rsid w:val="005476F3"/>
    <w:rsid w:val="00562872"/>
    <w:rsid w:val="00572527"/>
    <w:rsid w:val="00573E40"/>
    <w:rsid w:val="00576348"/>
    <w:rsid w:val="005A0B2E"/>
    <w:rsid w:val="005A23D2"/>
    <w:rsid w:val="005A36CB"/>
    <w:rsid w:val="005A68D1"/>
    <w:rsid w:val="005B49B8"/>
    <w:rsid w:val="005C0741"/>
    <w:rsid w:val="005C0EE8"/>
    <w:rsid w:val="005C5EF4"/>
    <w:rsid w:val="005D4709"/>
    <w:rsid w:val="005E2E0B"/>
    <w:rsid w:val="005E7A7D"/>
    <w:rsid w:val="005F6AF7"/>
    <w:rsid w:val="00602457"/>
    <w:rsid w:val="00607CFC"/>
    <w:rsid w:val="00644FC3"/>
    <w:rsid w:val="00646BD1"/>
    <w:rsid w:val="006561C2"/>
    <w:rsid w:val="00671CB3"/>
    <w:rsid w:val="00674BAF"/>
    <w:rsid w:val="00682200"/>
    <w:rsid w:val="00692BF6"/>
    <w:rsid w:val="006A1497"/>
    <w:rsid w:val="006B0BD1"/>
    <w:rsid w:val="006B5404"/>
    <w:rsid w:val="006D20A5"/>
    <w:rsid w:val="006D37BF"/>
    <w:rsid w:val="00702E22"/>
    <w:rsid w:val="00704F1D"/>
    <w:rsid w:val="007174E5"/>
    <w:rsid w:val="0072020E"/>
    <w:rsid w:val="00774004"/>
    <w:rsid w:val="00786071"/>
    <w:rsid w:val="007A3ECB"/>
    <w:rsid w:val="007A58A2"/>
    <w:rsid w:val="007C7949"/>
    <w:rsid w:val="007D7BB3"/>
    <w:rsid w:val="00824AB9"/>
    <w:rsid w:val="00836B35"/>
    <w:rsid w:val="00843BDE"/>
    <w:rsid w:val="0087588C"/>
    <w:rsid w:val="00884FC6"/>
    <w:rsid w:val="0089620E"/>
    <w:rsid w:val="0089705C"/>
    <w:rsid w:val="008A6D43"/>
    <w:rsid w:val="008B491E"/>
    <w:rsid w:val="008C1A28"/>
    <w:rsid w:val="008C2E98"/>
    <w:rsid w:val="008E49BD"/>
    <w:rsid w:val="008E53E9"/>
    <w:rsid w:val="008E5771"/>
    <w:rsid w:val="008F4ACF"/>
    <w:rsid w:val="00920E02"/>
    <w:rsid w:val="00924166"/>
    <w:rsid w:val="0093154C"/>
    <w:rsid w:val="00940B9B"/>
    <w:rsid w:val="0095676E"/>
    <w:rsid w:val="00956983"/>
    <w:rsid w:val="00963CF0"/>
    <w:rsid w:val="00964BB1"/>
    <w:rsid w:val="009775D9"/>
    <w:rsid w:val="00997175"/>
    <w:rsid w:val="009A1847"/>
    <w:rsid w:val="009A61F7"/>
    <w:rsid w:val="009B062A"/>
    <w:rsid w:val="009C1ED3"/>
    <w:rsid w:val="009E4073"/>
    <w:rsid w:val="009E7C6F"/>
    <w:rsid w:val="009F1793"/>
    <w:rsid w:val="009F2D23"/>
    <w:rsid w:val="00A01D69"/>
    <w:rsid w:val="00A02335"/>
    <w:rsid w:val="00A20C29"/>
    <w:rsid w:val="00A46C9A"/>
    <w:rsid w:val="00A619F3"/>
    <w:rsid w:val="00A62A73"/>
    <w:rsid w:val="00A87FF6"/>
    <w:rsid w:val="00AA0A3B"/>
    <w:rsid w:val="00AA2763"/>
    <w:rsid w:val="00AA33B6"/>
    <w:rsid w:val="00AB50CA"/>
    <w:rsid w:val="00AB6D64"/>
    <w:rsid w:val="00AC53CE"/>
    <w:rsid w:val="00AD2193"/>
    <w:rsid w:val="00AF2AC7"/>
    <w:rsid w:val="00AF74CE"/>
    <w:rsid w:val="00B06F89"/>
    <w:rsid w:val="00B208DB"/>
    <w:rsid w:val="00B23F69"/>
    <w:rsid w:val="00B60619"/>
    <w:rsid w:val="00B66A70"/>
    <w:rsid w:val="00B67366"/>
    <w:rsid w:val="00B80EE1"/>
    <w:rsid w:val="00B84135"/>
    <w:rsid w:val="00BC2283"/>
    <w:rsid w:val="00BD27C0"/>
    <w:rsid w:val="00C04D34"/>
    <w:rsid w:val="00C05DF8"/>
    <w:rsid w:val="00C06864"/>
    <w:rsid w:val="00C10F54"/>
    <w:rsid w:val="00C23D8D"/>
    <w:rsid w:val="00C37AA3"/>
    <w:rsid w:val="00C37FD7"/>
    <w:rsid w:val="00C43419"/>
    <w:rsid w:val="00C44CF3"/>
    <w:rsid w:val="00C545A2"/>
    <w:rsid w:val="00C61BE0"/>
    <w:rsid w:val="00C6707E"/>
    <w:rsid w:val="00C70B0E"/>
    <w:rsid w:val="00C773CA"/>
    <w:rsid w:val="00C82873"/>
    <w:rsid w:val="00C83785"/>
    <w:rsid w:val="00C94C0D"/>
    <w:rsid w:val="00CA1FEB"/>
    <w:rsid w:val="00CA754D"/>
    <w:rsid w:val="00CC16C9"/>
    <w:rsid w:val="00CC39BA"/>
    <w:rsid w:val="00CD4F85"/>
    <w:rsid w:val="00CD6F02"/>
    <w:rsid w:val="00CE246D"/>
    <w:rsid w:val="00CF07A0"/>
    <w:rsid w:val="00CF3E03"/>
    <w:rsid w:val="00D0082A"/>
    <w:rsid w:val="00D21455"/>
    <w:rsid w:val="00D23E73"/>
    <w:rsid w:val="00D47634"/>
    <w:rsid w:val="00D709B3"/>
    <w:rsid w:val="00DA2AA9"/>
    <w:rsid w:val="00DA2ED6"/>
    <w:rsid w:val="00DB76B8"/>
    <w:rsid w:val="00DC2EA1"/>
    <w:rsid w:val="00DD6AAF"/>
    <w:rsid w:val="00DE3F5C"/>
    <w:rsid w:val="00DF1D20"/>
    <w:rsid w:val="00DF4D46"/>
    <w:rsid w:val="00E21324"/>
    <w:rsid w:val="00E239DD"/>
    <w:rsid w:val="00E246B9"/>
    <w:rsid w:val="00E31FEA"/>
    <w:rsid w:val="00E45169"/>
    <w:rsid w:val="00E47787"/>
    <w:rsid w:val="00E51C30"/>
    <w:rsid w:val="00E53A08"/>
    <w:rsid w:val="00E64180"/>
    <w:rsid w:val="00E74AEE"/>
    <w:rsid w:val="00E868E5"/>
    <w:rsid w:val="00E9237A"/>
    <w:rsid w:val="00E939FA"/>
    <w:rsid w:val="00EA5765"/>
    <w:rsid w:val="00EC2532"/>
    <w:rsid w:val="00ED7812"/>
    <w:rsid w:val="00EF3B86"/>
    <w:rsid w:val="00F317E9"/>
    <w:rsid w:val="00F34554"/>
    <w:rsid w:val="00F45F77"/>
    <w:rsid w:val="00F5167F"/>
    <w:rsid w:val="00F52258"/>
    <w:rsid w:val="00F81D44"/>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7F9E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C8287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8935-C9F5-4891-92BA-DCD41601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17850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4</cp:revision>
  <cp:lastPrinted>2022-03-17T10:40:00Z</cp:lastPrinted>
  <dcterms:created xsi:type="dcterms:W3CDTF">2023-09-01T08:14:00Z</dcterms:created>
  <dcterms:modified xsi:type="dcterms:W3CDTF">2024-07-20T04:35:00Z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