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4BAF2" w14:textId="77777777" w:rsidR="001A5518" w:rsidRDefault="001A5518" w:rsidP="001A5518">
      <w:pPr>
        <w:rPr>
          <w:b/>
          <w:bCs/>
          <w:i/>
          <w:iCs/>
          <w:sz w:val="22"/>
          <w:szCs w:val="22"/>
          <w:u w:val="single"/>
        </w:rPr>
      </w:pPr>
    </w:p>
    <w:p w14:paraId="0894D1ED" w14:textId="77777777" w:rsidR="00F91C7B" w:rsidRPr="00786071" w:rsidRDefault="00F91C7B" w:rsidP="001A5518">
      <w:pPr>
        <w:rPr>
          <w:b/>
          <w:bCs/>
          <w:i/>
          <w:iCs/>
          <w:sz w:val="22"/>
          <w:szCs w:val="22"/>
          <w:u w:val="single"/>
        </w:rPr>
      </w:pPr>
    </w:p>
    <w:p w14:paraId="504615E3" w14:textId="77777777" w:rsidR="002510A5" w:rsidRPr="000B639B" w:rsidRDefault="002510A5" w:rsidP="002510A5">
      <w:pPr>
        <w:jc w:val="center"/>
        <w:rPr>
          <w:b/>
          <w:bCs/>
          <w:iCs/>
          <w:sz w:val="22"/>
          <w:szCs w:val="22"/>
          <w:u w:val="single"/>
          <w:lang w:val="de-DE"/>
        </w:rPr>
      </w:pPr>
      <w:r w:rsidRPr="000B639B">
        <w:rPr>
          <w:b/>
          <w:bCs/>
          <w:iCs/>
          <w:sz w:val="22"/>
          <w:szCs w:val="22"/>
          <w:u w:val="single"/>
          <w:lang w:val="de-DE"/>
        </w:rPr>
        <w:t>SAŽETAK KARAKTERISTIKA LIJEKA</w:t>
      </w:r>
    </w:p>
    <w:p w14:paraId="2BC2866C" w14:textId="77777777" w:rsidR="002510A5" w:rsidRPr="000B639B" w:rsidRDefault="002510A5" w:rsidP="002510A5">
      <w:pPr>
        <w:rPr>
          <w:b/>
          <w:bCs/>
          <w:i/>
          <w:iCs/>
          <w:sz w:val="22"/>
          <w:szCs w:val="22"/>
          <w:u w:val="single"/>
          <w:lang w:val="de-DE"/>
        </w:rPr>
      </w:pPr>
    </w:p>
    <w:p w14:paraId="60ABB8B8" w14:textId="77777777" w:rsidR="003C17AB" w:rsidRPr="00CA1FEB" w:rsidRDefault="003C17AB" w:rsidP="00CA1FEB">
      <w:pPr>
        <w:rPr>
          <w:sz w:val="22"/>
          <w:szCs w:val="22"/>
          <w:lang w:val="sr-Latn-CS"/>
        </w:rPr>
      </w:pPr>
    </w:p>
    <w:p w14:paraId="730A6B62" w14:textId="00918114" w:rsidR="003C17AB" w:rsidRDefault="003C17AB" w:rsidP="000B639B">
      <w:pPr>
        <w:tabs>
          <w:tab w:val="left" w:pos="540"/>
          <w:tab w:val="left" w:pos="569"/>
        </w:tabs>
        <w:jc w:val="both"/>
        <w:rPr>
          <w:noProof/>
          <w:sz w:val="22"/>
          <w:szCs w:val="22"/>
          <w:lang w:val="hr-HR"/>
        </w:rPr>
      </w:pPr>
      <w:r w:rsidRPr="00786071">
        <w:rPr>
          <w:noProof/>
          <w:sz w:val="22"/>
          <w:szCs w:val="22"/>
          <w:lang w:val="hr-HR"/>
        </w:rPr>
        <w:t xml:space="preserve"> </w:t>
      </w:r>
    </w:p>
    <w:p w14:paraId="71C68B6E" w14:textId="77777777" w:rsidR="00C37FD7" w:rsidRPr="00471DF8" w:rsidRDefault="00C37FD7" w:rsidP="00F5167F">
      <w:pPr>
        <w:tabs>
          <w:tab w:val="left" w:pos="540"/>
          <w:tab w:val="left" w:pos="569"/>
        </w:tabs>
        <w:rPr>
          <w:bCs/>
          <w:sz w:val="22"/>
          <w:szCs w:val="22"/>
          <w:lang w:val="hr-HR"/>
        </w:rPr>
      </w:pPr>
    </w:p>
    <w:p w14:paraId="68DFEC7A" w14:textId="77777777" w:rsidR="00411B4B" w:rsidRPr="000B639B" w:rsidRDefault="00411B4B" w:rsidP="00F5167F">
      <w:pPr>
        <w:tabs>
          <w:tab w:val="left" w:pos="540"/>
          <w:tab w:val="left" w:pos="569"/>
        </w:tabs>
        <w:rPr>
          <w:b/>
          <w:bCs/>
          <w:sz w:val="22"/>
          <w:szCs w:val="22"/>
          <w:lang w:val="hr-HR"/>
        </w:rPr>
      </w:pPr>
      <w:r w:rsidRPr="000B639B">
        <w:rPr>
          <w:b/>
          <w:bCs/>
          <w:sz w:val="22"/>
          <w:szCs w:val="22"/>
          <w:lang w:val="hr-HR"/>
        </w:rPr>
        <w:t>1.</w:t>
      </w:r>
      <w:r w:rsidR="00F5167F" w:rsidRPr="000B639B">
        <w:rPr>
          <w:b/>
          <w:bCs/>
          <w:sz w:val="22"/>
          <w:szCs w:val="22"/>
          <w:lang w:val="hr-HR"/>
        </w:rPr>
        <w:tab/>
      </w:r>
      <w:r w:rsidR="002846DB" w:rsidRPr="000B639B">
        <w:rPr>
          <w:b/>
          <w:bCs/>
          <w:sz w:val="22"/>
          <w:szCs w:val="22"/>
          <w:lang w:val="hr-HR"/>
        </w:rPr>
        <w:t xml:space="preserve">NAZIV </w:t>
      </w:r>
      <w:r w:rsidRPr="000B639B">
        <w:rPr>
          <w:b/>
          <w:bCs/>
          <w:sz w:val="22"/>
          <w:szCs w:val="22"/>
          <w:lang w:val="hr-HR"/>
        </w:rPr>
        <w:t>LIJEKA</w:t>
      </w:r>
    </w:p>
    <w:p w14:paraId="717FE55A" w14:textId="77777777" w:rsidR="00EC2532" w:rsidRPr="00786071" w:rsidRDefault="00EC2532">
      <w:pPr>
        <w:rPr>
          <w:sz w:val="22"/>
          <w:szCs w:val="22"/>
          <w:lang w:val="pl-PL"/>
        </w:rPr>
      </w:pPr>
    </w:p>
    <w:p w14:paraId="09C926F8" w14:textId="3ED9F663" w:rsidR="000B639B" w:rsidRPr="000B639B" w:rsidRDefault="009D254D" w:rsidP="000B639B">
      <w:pPr>
        <w:autoSpaceDE w:val="0"/>
        <w:autoSpaceDN w:val="0"/>
        <w:adjustRightInd w:val="0"/>
        <w:rPr>
          <w:sz w:val="22"/>
          <w:szCs w:val="22"/>
          <w:lang w:val="de-DE"/>
        </w:rPr>
      </w:pPr>
      <w:r>
        <w:rPr>
          <w:sz w:val="22"/>
          <w:szCs w:val="22"/>
          <w:lang w:val="de-DE"/>
        </w:rPr>
        <w:t>Docetaxel Hospira</w:t>
      </w:r>
      <w:r w:rsidR="000B639B" w:rsidRPr="000B639B">
        <w:rPr>
          <w:sz w:val="22"/>
          <w:szCs w:val="22"/>
          <w:lang w:val="de-DE"/>
        </w:rPr>
        <w:t>, 20 mg/2 ml, koncentrat za rastvor za infuziju</w:t>
      </w:r>
    </w:p>
    <w:p w14:paraId="04E8A0DC" w14:textId="5B42888B" w:rsidR="000B639B" w:rsidRPr="000B639B" w:rsidRDefault="009D254D" w:rsidP="000B639B">
      <w:pPr>
        <w:autoSpaceDE w:val="0"/>
        <w:autoSpaceDN w:val="0"/>
        <w:adjustRightInd w:val="0"/>
        <w:rPr>
          <w:sz w:val="22"/>
          <w:szCs w:val="22"/>
          <w:lang w:val="de-DE"/>
        </w:rPr>
      </w:pPr>
      <w:r>
        <w:rPr>
          <w:sz w:val="22"/>
          <w:szCs w:val="22"/>
          <w:lang w:val="de-DE"/>
        </w:rPr>
        <w:t>Docetaxel Hospira</w:t>
      </w:r>
      <w:r w:rsidR="000B639B" w:rsidRPr="000B639B">
        <w:rPr>
          <w:sz w:val="22"/>
          <w:szCs w:val="22"/>
          <w:lang w:val="de-DE"/>
        </w:rPr>
        <w:t>, 80 mg/8 ml, koncentrat za rastvor za infuziju</w:t>
      </w:r>
    </w:p>
    <w:p w14:paraId="423CF5B8" w14:textId="383B3FF6" w:rsidR="000D425A" w:rsidRDefault="009D254D" w:rsidP="000B639B">
      <w:pPr>
        <w:rPr>
          <w:sz w:val="22"/>
          <w:szCs w:val="22"/>
          <w:lang w:val="de-DE"/>
        </w:rPr>
      </w:pPr>
      <w:r>
        <w:rPr>
          <w:sz w:val="22"/>
          <w:szCs w:val="22"/>
          <w:lang w:val="de-DE"/>
        </w:rPr>
        <w:t>Docetaxel Hospira</w:t>
      </w:r>
      <w:r w:rsidR="000B639B" w:rsidRPr="000B639B">
        <w:rPr>
          <w:sz w:val="22"/>
          <w:szCs w:val="22"/>
          <w:lang w:val="de-DE"/>
        </w:rPr>
        <w:t>, 160 mg/16 ml, koncentrat za rastvor za infuziju</w:t>
      </w:r>
    </w:p>
    <w:p w14:paraId="114FA922" w14:textId="77777777" w:rsidR="000B639B" w:rsidRPr="000B639B" w:rsidRDefault="000B639B" w:rsidP="000B639B">
      <w:pPr>
        <w:rPr>
          <w:bCs/>
          <w:sz w:val="22"/>
          <w:szCs w:val="22"/>
          <w:lang w:val="de-DE"/>
        </w:rPr>
      </w:pPr>
    </w:p>
    <w:p w14:paraId="37AB6D9C" w14:textId="19FDE95B" w:rsidR="006D20A5" w:rsidRPr="000B639B" w:rsidRDefault="006D20A5" w:rsidP="000B639B">
      <w:pPr>
        <w:pStyle w:val="Header"/>
        <w:tabs>
          <w:tab w:val="left" w:pos="284"/>
        </w:tabs>
        <w:rPr>
          <w:sz w:val="22"/>
          <w:szCs w:val="22"/>
        </w:rPr>
      </w:pPr>
      <w:r w:rsidRPr="00B66A70">
        <w:rPr>
          <w:sz w:val="22"/>
          <w:szCs w:val="22"/>
          <w:lang w:val="sv-SE"/>
        </w:rPr>
        <w:t>INN:</w:t>
      </w:r>
      <w:r w:rsidR="000B639B" w:rsidRPr="000B639B">
        <w:rPr>
          <w:sz w:val="22"/>
          <w:szCs w:val="22"/>
        </w:rPr>
        <w:t xml:space="preserve"> </w:t>
      </w:r>
      <w:r w:rsidR="000B639B" w:rsidRPr="00091863">
        <w:rPr>
          <w:sz w:val="22"/>
          <w:szCs w:val="22"/>
        </w:rPr>
        <w:t>docetaksel</w:t>
      </w:r>
    </w:p>
    <w:p w14:paraId="4698C460" w14:textId="77777777" w:rsidR="006D20A5" w:rsidRPr="00786071" w:rsidRDefault="006D20A5">
      <w:pPr>
        <w:rPr>
          <w:bCs/>
          <w:sz w:val="22"/>
          <w:szCs w:val="22"/>
          <w:lang w:val="sv-SE"/>
        </w:rPr>
      </w:pPr>
    </w:p>
    <w:p w14:paraId="6DB27462" w14:textId="77777777" w:rsidR="00530BD7" w:rsidRPr="00786071" w:rsidRDefault="00530BD7">
      <w:pPr>
        <w:rPr>
          <w:bCs/>
          <w:sz w:val="22"/>
          <w:szCs w:val="22"/>
          <w:lang w:val="sv-SE"/>
        </w:rPr>
      </w:pPr>
    </w:p>
    <w:p w14:paraId="7227C7D0"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7B296C46" w14:textId="77777777" w:rsidR="005A0B2E" w:rsidRPr="00786071" w:rsidRDefault="005A0B2E">
      <w:pPr>
        <w:rPr>
          <w:sz w:val="22"/>
          <w:szCs w:val="22"/>
          <w:lang w:val="sr-Latn-CS"/>
        </w:rPr>
      </w:pPr>
    </w:p>
    <w:p w14:paraId="2123FF0A" w14:textId="77777777" w:rsidR="00E5140C" w:rsidRPr="00E27771" w:rsidRDefault="00E5140C" w:rsidP="00E5140C">
      <w:pPr>
        <w:pStyle w:val="Header"/>
        <w:tabs>
          <w:tab w:val="left" w:pos="284"/>
        </w:tabs>
        <w:rPr>
          <w:sz w:val="22"/>
          <w:szCs w:val="22"/>
          <w:lang w:val="sr-Latn-CS"/>
        </w:rPr>
      </w:pP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20</w:t>
      </w:r>
      <w:r w:rsidRPr="00091863">
        <w:rPr>
          <w:sz w:val="22"/>
          <w:szCs w:val="22"/>
        </w:rPr>
        <w:t> mg</w:t>
      </w:r>
      <w:r w:rsidRPr="00E27771">
        <w:rPr>
          <w:sz w:val="22"/>
          <w:szCs w:val="22"/>
          <w:lang w:val="sr-Latn-CS"/>
        </w:rPr>
        <w:t>/2</w:t>
      </w:r>
      <w:r w:rsidRPr="00091863">
        <w:rPr>
          <w:sz w:val="22"/>
          <w:szCs w:val="22"/>
        </w:rPr>
        <w:t> ml</w:t>
      </w:r>
    </w:p>
    <w:p w14:paraId="7CFBF965" w14:textId="77777777" w:rsidR="00E5140C" w:rsidRPr="00E27771" w:rsidRDefault="00E5140C" w:rsidP="00E5140C">
      <w:pPr>
        <w:pStyle w:val="Header"/>
        <w:tabs>
          <w:tab w:val="left" w:pos="284"/>
        </w:tabs>
        <w:rPr>
          <w:sz w:val="22"/>
          <w:szCs w:val="22"/>
          <w:lang w:val="sr-Latn-CS"/>
        </w:rPr>
      </w:pPr>
      <w:r w:rsidRPr="00091863">
        <w:rPr>
          <w:sz w:val="22"/>
          <w:szCs w:val="22"/>
        </w:rPr>
        <w:t>Jedna</w:t>
      </w:r>
      <w:r w:rsidRPr="00E27771">
        <w:rPr>
          <w:sz w:val="22"/>
          <w:szCs w:val="22"/>
          <w:lang w:val="sr-Latn-CS"/>
        </w:rPr>
        <w:t xml:space="preserve"> </w:t>
      </w: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2 </w:t>
      </w:r>
      <w:r w:rsidRPr="00091863">
        <w:rPr>
          <w:sz w:val="22"/>
          <w:szCs w:val="22"/>
        </w:rPr>
        <w:t>ml</w:t>
      </w:r>
      <w:r w:rsidRPr="00E27771">
        <w:rPr>
          <w:sz w:val="22"/>
          <w:szCs w:val="22"/>
          <w:lang w:val="sr-Latn-CS"/>
        </w:rPr>
        <w:t xml:space="preserve"> </w:t>
      </w:r>
      <w:r w:rsidRPr="00091863">
        <w:rPr>
          <w:sz w:val="22"/>
          <w:szCs w:val="22"/>
        </w:rPr>
        <w:t>sadr</w:t>
      </w:r>
      <w:r w:rsidRPr="00E27771">
        <w:rPr>
          <w:sz w:val="22"/>
          <w:szCs w:val="22"/>
          <w:lang w:val="sr-Latn-CS"/>
        </w:rPr>
        <w:t>ž</w:t>
      </w:r>
      <w:r w:rsidRPr="00091863">
        <w:rPr>
          <w:sz w:val="22"/>
          <w:szCs w:val="22"/>
        </w:rPr>
        <w:t>i</w:t>
      </w:r>
      <w:r w:rsidRPr="00E27771">
        <w:rPr>
          <w:sz w:val="22"/>
          <w:szCs w:val="22"/>
          <w:lang w:val="sr-Latn-CS"/>
        </w:rPr>
        <w:t xml:space="preserve"> 20 </w:t>
      </w:r>
      <w:r w:rsidRPr="00091863">
        <w:rPr>
          <w:sz w:val="22"/>
          <w:szCs w:val="22"/>
        </w:rPr>
        <w:t>mg</w:t>
      </w:r>
      <w:r w:rsidRPr="00E27771">
        <w:rPr>
          <w:sz w:val="22"/>
          <w:szCs w:val="22"/>
          <w:lang w:val="sr-Latn-CS"/>
        </w:rPr>
        <w:t xml:space="preserve"> </w:t>
      </w:r>
      <w:r w:rsidRPr="00091863">
        <w:rPr>
          <w:sz w:val="22"/>
          <w:szCs w:val="22"/>
        </w:rPr>
        <w:t>docetaksela</w:t>
      </w:r>
      <w:r w:rsidRPr="00E27771">
        <w:rPr>
          <w:sz w:val="22"/>
          <w:szCs w:val="22"/>
          <w:lang w:val="sr-Latn-CS"/>
        </w:rPr>
        <w:t>.</w:t>
      </w:r>
    </w:p>
    <w:p w14:paraId="699BA4EE" w14:textId="77777777" w:rsidR="00E5140C" w:rsidRPr="00E27771" w:rsidRDefault="00E5140C" w:rsidP="00E5140C">
      <w:pPr>
        <w:pStyle w:val="Header"/>
        <w:tabs>
          <w:tab w:val="left" w:pos="284"/>
        </w:tabs>
        <w:rPr>
          <w:sz w:val="22"/>
          <w:szCs w:val="22"/>
          <w:lang w:val="sr-Latn-CS"/>
        </w:rPr>
      </w:pPr>
    </w:p>
    <w:p w14:paraId="13132770" w14:textId="77777777" w:rsidR="00E5140C" w:rsidRPr="00E27771" w:rsidRDefault="00E5140C" w:rsidP="00E5140C">
      <w:pPr>
        <w:pStyle w:val="Header"/>
        <w:tabs>
          <w:tab w:val="left" w:pos="284"/>
        </w:tabs>
        <w:rPr>
          <w:sz w:val="22"/>
          <w:szCs w:val="22"/>
          <w:lang w:val="sr-Latn-CS"/>
        </w:rPr>
      </w:pP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80</w:t>
      </w:r>
      <w:r w:rsidRPr="00091863">
        <w:rPr>
          <w:sz w:val="22"/>
          <w:szCs w:val="22"/>
        </w:rPr>
        <w:t> mg</w:t>
      </w:r>
      <w:r w:rsidRPr="00E27771">
        <w:rPr>
          <w:sz w:val="22"/>
          <w:szCs w:val="22"/>
          <w:lang w:val="sr-Latn-CS"/>
        </w:rPr>
        <w:t>/8</w:t>
      </w:r>
      <w:r w:rsidRPr="00091863">
        <w:rPr>
          <w:sz w:val="22"/>
          <w:szCs w:val="22"/>
        </w:rPr>
        <w:t> ml</w:t>
      </w:r>
    </w:p>
    <w:p w14:paraId="60DCB985" w14:textId="77777777" w:rsidR="00E5140C" w:rsidRPr="00E27771" w:rsidRDefault="00E5140C" w:rsidP="00E5140C">
      <w:pPr>
        <w:pStyle w:val="Header"/>
        <w:tabs>
          <w:tab w:val="left" w:pos="284"/>
        </w:tabs>
        <w:rPr>
          <w:sz w:val="22"/>
          <w:szCs w:val="22"/>
          <w:lang w:val="sr-Latn-CS"/>
        </w:rPr>
      </w:pPr>
      <w:r w:rsidRPr="00091863">
        <w:rPr>
          <w:sz w:val="22"/>
          <w:szCs w:val="22"/>
        </w:rPr>
        <w:t>Jedna</w:t>
      </w:r>
      <w:r w:rsidRPr="00E27771">
        <w:rPr>
          <w:sz w:val="22"/>
          <w:szCs w:val="22"/>
          <w:lang w:val="sr-Latn-CS"/>
        </w:rPr>
        <w:t xml:space="preserve"> </w:t>
      </w: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8 </w:t>
      </w:r>
      <w:r w:rsidRPr="00091863">
        <w:rPr>
          <w:sz w:val="22"/>
          <w:szCs w:val="22"/>
        </w:rPr>
        <w:t>ml</w:t>
      </w:r>
      <w:r w:rsidRPr="00E27771">
        <w:rPr>
          <w:sz w:val="22"/>
          <w:szCs w:val="22"/>
          <w:lang w:val="sr-Latn-CS"/>
        </w:rPr>
        <w:t xml:space="preserve"> </w:t>
      </w:r>
      <w:r w:rsidRPr="00091863">
        <w:rPr>
          <w:sz w:val="22"/>
          <w:szCs w:val="22"/>
        </w:rPr>
        <w:t>sadr</w:t>
      </w:r>
      <w:r w:rsidRPr="00E27771">
        <w:rPr>
          <w:sz w:val="22"/>
          <w:szCs w:val="22"/>
          <w:lang w:val="sr-Latn-CS"/>
        </w:rPr>
        <w:t>ž</w:t>
      </w:r>
      <w:r w:rsidRPr="00091863">
        <w:rPr>
          <w:sz w:val="22"/>
          <w:szCs w:val="22"/>
        </w:rPr>
        <w:t>i</w:t>
      </w:r>
      <w:r w:rsidRPr="00E27771">
        <w:rPr>
          <w:sz w:val="22"/>
          <w:szCs w:val="22"/>
          <w:lang w:val="sr-Latn-CS"/>
        </w:rPr>
        <w:t xml:space="preserve"> 80 </w:t>
      </w:r>
      <w:r w:rsidRPr="00091863">
        <w:rPr>
          <w:sz w:val="22"/>
          <w:szCs w:val="22"/>
        </w:rPr>
        <w:t>mg</w:t>
      </w:r>
      <w:r w:rsidRPr="00E27771">
        <w:rPr>
          <w:sz w:val="22"/>
          <w:szCs w:val="22"/>
          <w:lang w:val="sr-Latn-CS"/>
        </w:rPr>
        <w:t xml:space="preserve"> </w:t>
      </w:r>
      <w:r w:rsidRPr="00091863">
        <w:rPr>
          <w:sz w:val="22"/>
          <w:szCs w:val="22"/>
        </w:rPr>
        <w:t>docetaksela</w:t>
      </w:r>
      <w:r w:rsidRPr="00E27771">
        <w:rPr>
          <w:sz w:val="22"/>
          <w:szCs w:val="22"/>
          <w:lang w:val="sr-Latn-CS"/>
        </w:rPr>
        <w:t xml:space="preserve">. </w:t>
      </w:r>
    </w:p>
    <w:p w14:paraId="0EC60840" w14:textId="77777777" w:rsidR="00E5140C" w:rsidRPr="00E27771" w:rsidRDefault="00E5140C" w:rsidP="00E5140C">
      <w:pPr>
        <w:pStyle w:val="Header"/>
        <w:tabs>
          <w:tab w:val="left" w:pos="284"/>
        </w:tabs>
        <w:rPr>
          <w:sz w:val="22"/>
          <w:szCs w:val="22"/>
          <w:lang w:val="sr-Latn-CS"/>
        </w:rPr>
      </w:pPr>
    </w:p>
    <w:p w14:paraId="5E372610" w14:textId="77777777" w:rsidR="00E5140C" w:rsidRPr="00E27771" w:rsidRDefault="00E5140C" w:rsidP="00E5140C">
      <w:pPr>
        <w:pStyle w:val="Header"/>
        <w:tabs>
          <w:tab w:val="left" w:pos="284"/>
        </w:tabs>
        <w:rPr>
          <w:sz w:val="22"/>
          <w:szCs w:val="22"/>
          <w:lang w:val="sr-Latn-CS"/>
        </w:rPr>
      </w:pP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160</w:t>
      </w:r>
      <w:r w:rsidRPr="00091863">
        <w:rPr>
          <w:sz w:val="22"/>
          <w:szCs w:val="22"/>
        </w:rPr>
        <w:t> mg</w:t>
      </w:r>
      <w:r w:rsidRPr="00E27771">
        <w:rPr>
          <w:sz w:val="22"/>
          <w:szCs w:val="22"/>
          <w:lang w:val="sr-Latn-CS"/>
        </w:rPr>
        <w:t>/16</w:t>
      </w:r>
      <w:r w:rsidRPr="00091863">
        <w:rPr>
          <w:sz w:val="22"/>
          <w:szCs w:val="22"/>
        </w:rPr>
        <w:t> ml</w:t>
      </w:r>
    </w:p>
    <w:p w14:paraId="04BC111A" w14:textId="77777777" w:rsidR="00E5140C" w:rsidRPr="00E27771" w:rsidRDefault="00E5140C" w:rsidP="00E5140C">
      <w:pPr>
        <w:pStyle w:val="Header"/>
        <w:tabs>
          <w:tab w:val="left" w:pos="284"/>
        </w:tabs>
        <w:rPr>
          <w:sz w:val="22"/>
          <w:szCs w:val="22"/>
          <w:lang w:val="sr-Latn-CS"/>
        </w:rPr>
      </w:pPr>
      <w:r w:rsidRPr="00091863">
        <w:rPr>
          <w:sz w:val="22"/>
          <w:szCs w:val="22"/>
        </w:rPr>
        <w:t>Jedna</w:t>
      </w:r>
      <w:r w:rsidRPr="00E27771">
        <w:rPr>
          <w:sz w:val="22"/>
          <w:szCs w:val="22"/>
          <w:lang w:val="sr-Latn-CS"/>
        </w:rPr>
        <w:t xml:space="preserve"> </w:t>
      </w:r>
      <w:r w:rsidRPr="00091863">
        <w:rPr>
          <w:sz w:val="22"/>
          <w:szCs w:val="22"/>
        </w:rPr>
        <w:t>bo</w:t>
      </w:r>
      <w:r w:rsidRPr="00E27771">
        <w:rPr>
          <w:sz w:val="22"/>
          <w:szCs w:val="22"/>
          <w:lang w:val="sr-Latn-CS"/>
        </w:rPr>
        <w:t>č</w:t>
      </w:r>
      <w:r w:rsidRPr="00091863">
        <w:rPr>
          <w:sz w:val="22"/>
          <w:szCs w:val="22"/>
        </w:rPr>
        <w:t>ica</w:t>
      </w:r>
      <w:r w:rsidRPr="00E27771">
        <w:rPr>
          <w:sz w:val="22"/>
          <w:szCs w:val="22"/>
          <w:lang w:val="sr-Latn-CS"/>
        </w:rPr>
        <w:t xml:space="preserve"> </w:t>
      </w:r>
      <w:r w:rsidRPr="00091863">
        <w:rPr>
          <w:sz w:val="22"/>
          <w:szCs w:val="22"/>
        </w:rPr>
        <w:t>od</w:t>
      </w:r>
      <w:r w:rsidRPr="00E27771">
        <w:rPr>
          <w:sz w:val="22"/>
          <w:szCs w:val="22"/>
          <w:lang w:val="sr-Latn-CS"/>
        </w:rPr>
        <w:t xml:space="preserve"> 16 </w:t>
      </w:r>
      <w:r w:rsidRPr="00091863">
        <w:rPr>
          <w:sz w:val="22"/>
          <w:szCs w:val="22"/>
        </w:rPr>
        <w:t>ml</w:t>
      </w:r>
      <w:r w:rsidRPr="00E27771">
        <w:rPr>
          <w:sz w:val="22"/>
          <w:szCs w:val="22"/>
          <w:lang w:val="sr-Latn-CS"/>
        </w:rPr>
        <w:t xml:space="preserve"> </w:t>
      </w:r>
      <w:r w:rsidRPr="00091863">
        <w:rPr>
          <w:sz w:val="22"/>
          <w:szCs w:val="22"/>
        </w:rPr>
        <w:t>sadr</w:t>
      </w:r>
      <w:r w:rsidRPr="00E27771">
        <w:rPr>
          <w:sz w:val="22"/>
          <w:szCs w:val="22"/>
          <w:lang w:val="sr-Latn-CS"/>
        </w:rPr>
        <w:t>ž</w:t>
      </w:r>
      <w:r w:rsidRPr="00091863">
        <w:rPr>
          <w:sz w:val="22"/>
          <w:szCs w:val="22"/>
        </w:rPr>
        <w:t>i</w:t>
      </w:r>
      <w:r w:rsidRPr="00E27771">
        <w:rPr>
          <w:sz w:val="22"/>
          <w:szCs w:val="22"/>
          <w:lang w:val="sr-Latn-CS"/>
        </w:rPr>
        <w:t xml:space="preserve"> 160 </w:t>
      </w:r>
      <w:r w:rsidRPr="00091863">
        <w:rPr>
          <w:sz w:val="22"/>
          <w:szCs w:val="22"/>
        </w:rPr>
        <w:t>mg</w:t>
      </w:r>
      <w:r w:rsidRPr="00E27771">
        <w:rPr>
          <w:sz w:val="22"/>
          <w:szCs w:val="22"/>
          <w:lang w:val="sr-Latn-CS"/>
        </w:rPr>
        <w:t xml:space="preserve"> </w:t>
      </w:r>
      <w:r w:rsidRPr="00091863">
        <w:rPr>
          <w:sz w:val="22"/>
          <w:szCs w:val="22"/>
        </w:rPr>
        <w:t>docetaksela</w:t>
      </w:r>
      <w:r w:rsidRPr="00E27771">
        <w:rPr>
          <w:sz w:val="22"/>
          <w:szCs w:val="22"/>
          <w:lang w:val="sr-Latn-CS"/>
        </w:rPr>
        <w:t>.</w:t>
      </w:r>
    </w:p>
    <w:p w14:paraId="3DE8CB64" w14:textId="77777777" w:rsidR="00E5140C" w:rsidRPr="00E27771" w:rsidRDefault="00E5140C" w:rsidP="00E5140C">
      <w:pPr>
        <w:pStyle w:val="Header"/>
        <w:tabs>
          <w:tab w:val="left" w:pos="284"/>
        </w:tabs>
        <w:rPr>
          <w:sz w:val="22"/>
          <w:szCs w:val="22"/>
          <w:lang w:val="sr-Latn-CS"/>
        </w:rPr>
      </w:pPr>
    </w:p>
    <w:p w14:paraId="26CF96F8" w14:textId="77777777" w:rsidR="00E5140C" w:rsidRPr="00E27771" w:rsidRDefault="00E5140C" w:rsidP="00E5140C">
      <w:pPr>
        <w:pStyle w:val="Header"/>
        <w:tabs>
          <w:tab w:val="left" w:pos="284"/>
        </w:tabs>
        <w:rPr>
          <w:sz w:val="22"/>
          <w:szCs w:val="22"/>
          <w:lang w:val="sr-Latn-CS"/>
        </w:rPr>
      </w:pPr>
      <w:r w:rsidRPr="00E27771">
        <w:rPr>
          <w:sz w:val="22"/>
          <w:szCs w:val="22"/>
          <w:lang w:val="sr-Latn-CS"/>
        </w:rPr>
        <w:t xml:space="preserve">1 </w:t>
      </w:r>
      <w:r w:rsidRPr="00091863">
        <w:rPr>
          <w:sz w:val="22"/>
          <w:szCs w:val="22"/>
        </w:rPr>
        <w:t>ml</w:t>
      </w:r>
      <w:r w:rsidRPr="00E27771">
        <w:rPr>
          <w:sz w:val="22"/>
          <w:szCs w:val="22"/>
          <w:lang w:val="sr-Latn-CS"/>
        </w:rPr>
        <w:t xml:space="preserve"> </w:t>
      </w:r>
      <w:r w:rsidRPr="00091863">
        <w:rPr>
          <w:sz w:val="22"/>
          <w:szCs w:val="22"/>
        </w:rPr>
        <w:t>koncentrata</w:t>
      </w:r>
      <w:r w:rsidRPr="00E27771">
        <w:rPr>
          <w:sz w:val="22"/>
          <w:szCs w:val="22"/>
          <w:lang w:val="sr-Latn-CS"/>
        </w:rPr>
        <w:t xml:space="preserve"> </w:t>
      </w:r>
      <w:r w:rsidRPr="00091863">
        <w:rPr>
          <w:sz w:val="22"/>
          <w:szCs w:val="22"/>
        </w:rPr>
        <w:t>za</w:t>
      </w:r>
      <w:r w:rsidRPr="00E27771">
        <w:rPr>
          <w:sz w:val="22"/>
          <w:szCs w:val="22"/>
          <w:lang w:val="sr-Latn-CS"/>
        </w:rPr>
        <w:t xml:space="preserve"> </w:t>
      </w:r>
      <w:r w:rsidRPr="00091863">
        <w:rPr>
          <w:sz w:val="22"/>
          <w:szCs w:val="22"/>
        </w:rPr>
        <w:t>rastvor</w:t>
      </w:r>
      <w:r w:rsidRPr="00E27771">
        <w:rPr>
          <w:sz w:val="22"/>
          <w:szCs w:val="22"/>
          <w:lang w:val="sr-Latn-CS"/>
        </w:rPr>
        <w:t xml:space="preserve"> </w:t>
      </w:r>
      <w:r w:rsidRPr="00091863">
        <w:rPr>
          <w:sz w:val="22"/>
          <w:szCs w:val="22"/>
        </w:rPr>
        <w:t>za</w:t>
      </w:r>
      <w:r w:rsidRPr="00E27771">
        <w:rPr>
          <w:sz w:val="22"/>
          <w:szCs w:val="22"/>
          <w:lang w:val="sr-Latn-CS"/>
        </w:rPr>
        <w:t xml:space="preserve"> </w:t>
      </w:r>
      <w:r w:rsidRPr="00091863">
        <w:rPr>
          <w:sz w:val="22"/>
          <w:szCs w:val="22"/>
        </w:rPr>
        <w:t>infuziju</w:t>
      </w:r>
      <w:r w:rsidRPr="00E27771">
        <w:rPr>
          <w:sz w:val="22"/>
          <w:szCs w:val="22"/>
          <w:lang w:val="sr-Latn-CS"/>
        </w:rPr>
        <w:t xml:space="preserve"> </w:t>
      </w:r>
      <w:r w:rsidRPr="00091863">
        <w:rPr>
          <w:sz w:val="22"/>
          <w:szCs w:val="22"/>
        </w:rPr>
        <w:t>sadr</w:t>
      </w:r>
      <w:r w:rsidRPr="00E27771">
        <w:rPr>
          <w:sz w:val="22"/>
          <w:szCs w:val="22"/>
          <w:lang w:val="sr-Latn-CS"/>
        </w:rPr>
        <w:t>ž</w:t>
      </w:r>
      <w:r w:rsidRPr="00091863">
        <w:rPr>
          <w:sz w:val="22"/>
          <w:szCs w:val="22"/>
        </w:rPr>
        <w:t>i</w:t>
      </w:r>
      <w:r w:rsidRPr="00E27771">
        <w:rPr>
          <w:sz w:val="22"/>
          <w:szCs w:val="22"/>
          <w:lang w:val="sr-Latn-CS"/>
        </w:rPr>
        <w:t xml:space="preserve"> 10 </w:t>
      </w:r>
      <w:r w:rsidRPr="00091863">
        <w:rPr>
          <w:sz w:val="22"/>
          <w:szCs w:val="22"/>
        </w:rPr>
        <w:t>mg</w:t>
      </w:r>
      <w:r w:rsidRPr="00E27771">
        <w:rPr>
          <w:sz w:val="22"/>
          <w:szCs w:val="22"/>
          <w:lang w:val="sr-Latn-CS"/>
        </w:rPr>
        <w:t xml:space="preserve"> </w:t>
      </w:r>
      <w:r w:rsidRPr="00091863">
        <w:rPr>
          <w:sz w:val="22"/>
          <w:szCs w:val="22"/>
        </w:rPr>
        <w:t>docetaksela</w:t>
      </w:r>
      <w:r w:rsidRPr="00E27771">
        <w:rPr>
          <w:sz w:val="22"/>
          <w:szCs w:val="22"/>
          <w:lang w:val="sr-Latn-CS"/>
        </w:rPr>
        <w:t>.</w:t>
      </w:r>
    </w:p>
    <w:p w14:paraId="04DF6131" w14:textId="77777777" w:rsidR="00E5140C" w:rsidRPr="00E27771" w:rsidRDefault="00E5140C" w:rsidP="00E5140C">
      <w:pPr>
        <w:pStyle w:val="Header"/>
        <w:tabs>
          <w:tab w:val="left" w:pos="284"/>
        </w:tabs>
        <w:rPr>
          <w:sz w:val="22"/>
          <w:szCs w:val="22"/>
          <w:lang w:val="sr-Latn-CS"/>
        </w:rPr>
      </w:pPr>
    </w:p>
    <w:p w14:paraId="08A05804" w14:textId="77777777" w:rsidR="00E5140C" w:rsidRPr="00E27771" w:rsidRDefault="00E5140C" w:rsidP="00E5140C">
      <w:pPr>
        <w:pStyle w:val="Header"/>
        <w:tabs>
          <w:tab w:val="left" w:pos="284"/>
        </w:tabs>
        <w:rPr>
          <w:sz w:val="22"/>
          <w:szCs w:val="22"/>
          <w:lang w:val="sr-Latn-CS"/>
        </w:rPr>
      </w:pPr>
      <w:r w:rsidRPr="00091863">
        <w:rPr>
          <w:sz w:val="22"/>
          <w:szCs w:val="22"/>
        </w:rPr>
        <w:t>Pomo</w:t>
      </w:r>
      <w:r w:rsidRPr="00E27771">
        <w:rPr>
          <w:sz w:val="22"/>
          <w:szCs w:val="22"/>
          <w:lang w:val="sr-Latn-CS"/>
        </w:rPr>
        <w:t>ć</w:t>
      </w:r>
      <w:r w:rsidRPr="00091863">
        <w:rPr>
          <w:sz w:val="22"/>
          <w:szCs w:val="22"/>
        </w:rPr>
        <w:t>na</w:t>
      </w:r>
      <w:r w:rsidRPr="00E27771">
        <w:rPr>
          <w:sz w:val="22"/>
          <w:szCs w:val="22"/>
          <w:lang w:val="sr-Latn-CS"/>
        </w:rPr>
        <w:t xml:space="preserve"> </w:t>
      </w:r>
      <w:r w:rsidRPr="00091863">
        <w:rPr>
          <w:sz w:val="22"/>
          <w:szCs w:val="22"/>
        </w:rPr>
        <w:t>supstanca</w:t>
      </w:r>
      <w:r w:rsidRPr="00E27771">
        <w:rPr>
          <w:sz w:val="22"/>
          <w:szCs w:val="22"/>
          <w:lang w:val="sr-Latn-CS"/>
        </w:rPr>
        <w:t xml:space="preserve"> </w:t>
      </w:r>
      <w:r w:rsidRPr="00091863">
        <w:rPr>
          <w:sz w:val="22"/>
          <w:szCs w:val="22"/>
        </w:rPr>
        <w:t>sa</w:t>
      </w:r>
      <w:r w:rsidRPr="00E27771">
        <w:rPr>
          <w:sz w:val="22"/>
          <w:szCs w:val="22"/>
          <w:lang w:val="sr-Latn-CS"/>
        </w:rPr>
        <w:t xml:space="preserve"> </w:t>
      </w:r>
      <w:r w:rsidRPr="00091863">
        <w:rPr>
          <w:sz w:val="22"/>
          <w:szCs w:val="22"/>
        </w:rPr>
        <w:t>potvr</w:t>
      </w:r>
      <w:r w:rsidRPr="00E27771">
        <w:rPr>
          <w:sz w:val="22"/>
          <w:szCs w:val="22"/>
          <w:lang w:val="sr-Latn-CS"/>
        </w:rPr>
        <w:t>đ</w:t>
      </w:r>
      <w:r w:rsidRPr="00091863">
        <w:rPr>
          <w:sz w:val="22"/>
          <w:szCs w:val="22"/>
        </w:rPr>
        <w:t>enim</w:t>
      </w:r>
      <w:r w:rsidRPr="00E27771">
        <w:rPr>
          <w:sz w:val="22"/>
          <w:szCs w:val="22"/>
          <w:lang w:val="sr-Latn-CS"/>
        </w:rPr>
        <w:t xml:space="preserve"> </w:t>
      </w:r>
      <w:r w:rsidRPr="00091863">
        <w:rPr>
          <w:sz w:val="22"/>
          <w:szCs w:val="22"/>
        </w:rPr>
        <w:t>dejstvom</w:t>
      </w:r>
      <w:r w:rsidRPr="00E27771">
        <w:rPr>
          <w:sz w:val="22"/>
          <w:szCs w:val="22"/>
          <w:lang w:val="sr-Latn-CS"/>
        </w:rPr>
        <w:t>:</w:t>
      </w:r>
    </w:p>
    <w:p w14:paraId="0A5D424F" w14:textId="77777777" w:rsidR="00E5140C" w:rsidRPr="00091863" w:rsidRDefault="00E5140C" w:rsidP="00E5140C">
      <w:pPr>
        <w:pStyle w:val="NormalWeb"/>
        <w:spacing w:before="0" w:beforeAutospacing="0" w:after="0" w:afterAutospacing="0"/>
        <w:rPr>
          <w:sz w:val="22"/>
          <w:szCs w:val="22"/>
          <w:lang w:val="sr-Latn-ME"/>
        </w:rPr>
      </w:pPr>
    </w:p>
    <w:p w14:paraId="36C594A9" w14:textId="77777777" w:rsidR="00E5140C" w:rsidRPr="00091863" w:rsidRDefault="00E5140C" w:rsidP="00E5140C">
      <w:pPr>
        <w:pStyle w:val="NormalWeb"/>
        <w:spacing w:before="0" w:beforeAutospacing="0" w:after="0" w:afterAutospacing="0"/>
        <w:rPr>
          <w:sz w:val="22"/>
          <w:szCs w:val="22"/>
          <w:lang w:val="sr-Latn-ME"/>
        </w:rPr>
      </w:pPr>
      <w:r w:rsidRPr="00091863">
        <w:rPr>
          <w:sz w:val="22"/>
          <w:szCs w:val="22"/>
          <w:lang w:val="sr-Latn-ME"/>
        </w:rPr>
        <w:t>1 ml koncentrata za rastvor za infuziju sadrži 18</w:t>
      </w:r>
      <w:r>
        <w:rPr>
          <w:sz w:val="22"/>
          <w:szCs w:val="22"/>
          <w:lang w:val="sr-Latn-ME"/>
        </w:rPr>
        <w:t xml:space="preserve">2 </w:t>
      </w:r>
      <w:r w:rsidRPr="00091863">
        <w:rPr>
          <w:sz w:val="22"/>
          <w:szCs w:val="22"/>
          <w:lang w:val="sr-Latn-ME"/>
        </w:rPr>
        <w:t>mg etanola.</w:t>
      </w:r>
    </w:p>
    <w:p w14:paraId="54E4E791" w14:textId="77777777" w:rsidR="00E5140C" w:rsidRPr="00E5140C" w:rsidRDefault="00E5140C" w:rsidP="00E5140C">
      <w:pPr>
        <w:pStyle w:val="Header"/>
        <w:tabs>
          <w:tab w:val="left" w:pos="284"/>
        </w:tabs>
        <w:rPr>
          <w:sz w:val="22"/>
          <w:szCs w:val="22"/>
          <w:lang w:val="de-DE"/>
        </w:rPr>
      </w:pPr>
    </w:p>
    <w:p w14:paraId="6C948D26" w14:textId="77777777" w:rsidR="00E5140C" w:rsidRPr="00E5140C" w:rsidRDefault="00E5140C" w:rsidP="00E5140C">
      <w:pPr>
        <w:pStyle w:val="Header"/>
        <w:tabs>
          <w:tab w:val="left" w:pos="284"/>
        </w:tabs>
        <w:rPr>
          <w:sz w:val="22"/>
          <w:szCs w:val="22"/>
          <w:lang w:val="de-DE"/>
        </w:rPr>
      </w:pPr>
      <w:r w:rsidRPr="00E5140C">
        <w:rPr>
          <w:sz w:val="22"/>
          <w:szCs w:val="22"/>
          <w:lang w:val="de-DE"/>
        </w:rPr>
        <w:t>Bočica od 20 mg/2 ml</w:t>
      </w:r>
    </w:p>
    <w:p w14:paraId="19F7E517" w14:textId="33A3E122" w:rsidR="00E5140C" w:rsidRPr="00E5140C" w:rsidRDefault="00E5140C" w:rsidP="00BB3077">
      <w:pPr>
        <w:pStyle w:val="Header"/>
        <w:tabs>
          <w:tab w:val="left" w:pos="284"/>
        </w:tabs>
        <w:jc w:val="both"/>
        <w:rPr>
          <w:sz w:val="22"/>
          <w:szCs w:val="22"/>
          <w:lang w:val="de-DE"/>
        </w:rPr>
      </w:pPr>
      <w:r w:rsidRPr="00E5140C">
        <w:rPr>
          <w:sz w:val="22"/>
          <w:szCs w:val="22"/>
          <w:lang w:val="de-DE"/>
        </w:rPr>
        <w:t xml:space="preserve">Ovaj </w:t>
      </w:r>
      <w:r w:rsidR="00734F14">
        <w:rPr>
          <w:sz w:val="22"/>
          <w:szCs w:val="22"/>
          <w:lang w:val="de-DE"/>
        </w:rPr>
        <w:t>lijek</w:t>
      </w:r>
      <w:r w:rsidR="00734F14" w:rsidRPr="00E5140C">
        <w:rPr>
          <w:sz w:val="22"/>
          <w:szCs w:val="22"/>
          <w:lang w:val="de-DE"/>
        </w:rPr>
        <w:t xml:space="preserve"> </w:t>
      </w:r>
      <w:r w:rsidRPr="00E5140C">
        <w:rPr>
          <w:sz w:val="22"/>
          <w:szCs w:val="22"/>
          <w:lang w:val="de-DE"/>
        </w:rPr>
        <w:t xml:space="preserve">sadrži 364 mg bezvodnog etanola u svakoj bočici koncentrata od 2 ml, što je ekvivalentno 182 mg/ml (23% </w:t>
      </w:r>
      <w:r w:rsidR="002C66FC">
        <w:rPr>
          <w:sz w:val="22"/>
          <w:szCs w:val="22"/>
          <w:lang w:val="de-DE"/>
        </w:rPr>
        <w:t>v</w:t>
      </w:r>
      <w:r w:rsidRPr="00E5140C">
        <w:rPr>
          <w:sz w:val="22"/>
          <w:szCs w:val="22"/>
          <w:lang w:val="de-DE"/>
        </w:rPr>
        <w:t xml:space="preserve">/v). </w:t>
      </w:r>
    </w:p>
    <w:p w14:paraId="561C679D" w14:textId="77777777" w:rsidR="00E5140C" w:rsidRPr="00E5140C" w:rsidRDefault="00E5140C" w:rsidP="00BB3077">
      <w:pPr>
        <w:pStyle w:val="Header"/>
        <w:tabs>
          <w:tab w:val="left" w:pos="284"/>
        </w:tabs>
        <w:jc w:val="both"/>
        <w:rPr>
          <w:sz w:val="22"/>
          <w:szCs w:val="22"/>
          <w:lang w:val="de-DE"/>
        </w:rPr>
      </w:pPr>
      <w:r w:rsidRPr="00E5140C">
        <w:rPr>
          <w:sz w:val="22"/>
          <w:szCs w:val="22"/>
          <w:lang w:val="de-DE"/>
        </w:rPr>
        <w:t>Bočica od 80 mg/8 ml</w:t>
      </w:r>
    </w:p>
    <w:p w14:paraId="1ABFDE16" w14:textId="01E36143" w:rsidR="00E5140C" w:rsidRPr="00E5140C" w:rsidRDefault="00E5140C" w:rsidP="00BB3077">
      <w:pPr>
        <w:pStyle w:val="Header"/>
        <w:tabs>
          <w:tab w:val="left" w:pos="284"/>
        </w:tabs>
        <w:jc w:val="both"/>
        <w:rPr>
          <w:sz w:val="22"/>
          <w:szCs w:val="22"/>
          <w:lang w:val="de-DE"/>
        </w:rPr>
      </w:pPr>
      <w:r w:rsidRPr="00E5140C">
        <w:rPr>
          <w:sz w:val="22"/>
          <w:szCs w:val="22"/>
          <w:lang w:val="de-DE"/>
        </w:rPr>
        <w:t xml:space="preserve">Ovaj </w:t>
      </w:r>
      <w:r w:rsidR="00734F14">
        <w:rPr>
          <w:sz w:val="22"/>
          <w:szCs w:val="22"/>
          <w:lang w:val="de-DE"/>
        </w:rPr>
        <w:t>lijek</w:t>
      </w:r>
      <w:r w:rsidR="00734F14" w:rsidRPr="00E5140C">
        <w:rPr>
          <w:sz w:val="22"/>
          <w:szCs w:val="22"/>
          <w:lang w:val="de-DE"/>
        </w:rPr>
        <w:t xml:space="preserve"> </w:t>
      </w:r>
      <w:r w:rsidRPr="00E5140C">
        <w:rPr>
          <w:sz w:val="22"/>
          <w:szCs w:val="22"/>
          <w:lang w:val="de-DE"/>
        </w:rPr>
        <w:t xml:space="preserve">sadrži 1455 mg bezvodnog etanola u svakoj bočici koncentrata od 8 ml, što je ekvivalentno 182 mg/ml (23% </w:t>
      </w:r>
      <w:r w:rsidR="002C66FC">
        <w:rPr>
          <w:sz w:val="22"/>
          <w:szCs w:val="22"/>
          <w:lang w:val="de-DE"/>
        </w:rPr>
        <w:t>v</w:t>
      </w:r>
      <w:r w:rsidRPr="00E5140C">
        <w:rPr>
          <w:sz w:val="22"/>
          <w:szCs w:val="22"/>
          <w:lang w:val="de-DE"/>
        </w:rPr>
        <w:t xml:space="preserve">/v). </w:t>
      </w:r>
    </w:p>
    <w:p w14:paraId="4DB7A29F" w14:textId="77777777" w:rsidR="00E5140C" w:rsidRPr="00E5140C" w:rsidRDefault="00E5140C" w:rsidP="00BB3077">
      <w:pPr>
        <w:pStyle w:val="Header"/>
        <w:tabs>
          <w:tab w:val="left" w:pos="284"/>
        </w:tabs>
        <w:jc w:val="both"/>
        <w:rPr>
          <w:sz w:val="22"/>
          <w:szCs w:val="22"/>
          <w:lang w:val="de-DE"/>
        </w:rPr>
      </w:pPr>
    </w:p>
    <w:p w14:paraId="18E6832F" w14:textId="77777777" w:rsidR="00E5140C" w:rsidRPr="00E5140C" w:rsidRDefault="00E5140C" w:rsidP="00BB3077">
      <w:pPr>
        <w:pStyle w:val="Header"/>
        <w:tabs>
          <w:tab w:val="left" w:pos="284"/>
        </w:tabs>
        <w:jc w:val="both"/>
        <w:rPr>
          <w:sz w:val="22"/>
          <w:szCs w:val="22"/>
          <w:lang w:val="de-DE"/>
        </w:rPr>
      </w:pPr>
      <w:r w:rsidRPr="00E5140C">
        <w:rPr>
          <w:sz w:val="22"/>
          <w:szCs w:val="22"/>
          <w:lang w:val="de-DE"/>
        </w:rPr>
        <w:t>Bočica od 160 mg/16 ml</w:t>
      </w:r>
    </w:p>
    <w:p w14:paraId="5E43583F" w14:textId="0B6A5810" w:rsidR="00E5140C" w:rsidRPr="00E5140C" w:rsidRDefault="00E5140C" w:rsidP="00BB3077">
      <w:pPr>
        <w:autoSpaceDE w:val="0"/>
        <w:autoSpaceDN w:val="0"/>
        <w:adjustRightInd w:val="0"/>
        <w:jc w:val="both"/>
        <w:rPr>
          <w:sz w:val="22"/>
          <w:szCs w:val="22"/>
          <w:lang w:val="de-DE"/>
        </w:rPr>
      </w:pPr>
      <w:r w:rsidRPr="00E5140C">
        <w:rPr>
          <w:sz w:val="22"/>
          <w:szCs w:val="22"/>
          <w:lang w:val="de-DE"/>
        </w:rPr>
        <w:t xml:space="preserve">Ovaj </w:t>
      </w:r>
      <w:r w:rsidR="00734F14">
        <w:rPr>
          <w:sz w:val="22"/>
          <w:szCs w:val="22"/>
          <w:lang w:val="de-DE"/>
        </w:rPr>
        <w:t>lijek</w:t>
      </w:r>
      <w:r w:rsidR="00734F14" w:rsidRPr="00E5140C">
        <w:rPr>
          <w:sz w:val="22"/>
          <w:szCs w:val="22"/>
          <w:lang w:val="de-DE"/>
        </w:rPr>
        <w:t xml:space="preserve"> </w:t>
      </w:r>
      <w:r w:rsidRPr="00E5140C">
        <w:rPr>
          <w:sz w:val="22"/>
          <w:szCs w:val="22"/>
          <w:lang w:val="de-DE"/>
        </w:rPr>
        <w:t xml:space="preserve">sadrži 2911 mg bezvodnog etanola u svakoj bočici koncentrata od 16 ml, što je ekvivalentno 182 mg/ml (23% </w:t>
      </w:r>
      <w:r w:rsidR="002C66FC">
        <w:rPr>
          <w:sz w:val="22"/>
          <w:szCs w:val="22"/>
          <w:lang w:val="de-DE"/>
        </w:rPr>
        <w:t>v</w:t>
      </w:r>
      <w:r w:rsidRPr="00E5140C">
        <w:rPr>
          <w:sz w:val="22"/>
          <w:szCs w:val="22"/>
          <w:lang w:val="de-DE"/>
        </w:rPr>
        <w:t xml:space="preserve">/v). </w:t>
      </w:r>
    </w:p>
    <w:p w14:paraId="613AA049" w14:textId="77777777" w:rsidR="00E5140C" w:rsidRPr="00E5140C" w:rsidRDefault="00E5140C">
      <w:pPr>
        <w:rPr>
          <w:sz w:val="22"/>
          <w:szCs w:val="22"/>
          <w:lang w:val="de-DE"/>
        </w:rPr>
      </w:pPr>
    </w:p>
    <w:p w14:paraId="7F2BA10D" w14:textId="7064AC80" w:rsidR="0003793F" w:rsidRPr="00786071" w:rsidRDefault="0003793F">
      <w:pPr>
        <w:rPr>
          <w:sz w:val="22"/>
          <w:szCs w:val="22"/>
          <w:lang w:val="sr-Latn-CS"/>
        </w:rPr>
      </w:pPr>
      <w:r w:rsidRPr="00786071">
        <w:rPr>
          <w:sz w:val="22"/>
          <w:szCs w:val="22"/>
          <w:lang w:val="sr-Latn-CS"/>
        </w:rPr>
        <w:t>Za spisak svih ekscipijenasa, pogledati dio 6.1.</w:t>
      </w:r>
    </w:p>
    <w:p w14:paraId="47CE7804" w14:textId="77777777" w:rsidR="0003793F" w:rsidRDefault="0003793F">
      <w:pPr>
        <w:rPr>
          <w:sz w:val="22"/>
          <w:szCs w:val="22"/>
          <w:lang w:val="sr-Latn-CS"/>
        </w:rPr>
      </w:pPr>
    </w:p>
    <w:p w14:paraId="56DF1AE0" w14:textId="77777777" w:rsidR="00C37FD7" w:rsidRPr="00786071" w:rsidRDefault="00C37FD7">
      <w:pPr>
        <w:rPr>
          <w:sz w:val="22"/>
          <w:szCs w:val="22"/>
          <w:lang w:val="sr-Latn-CS"/>
        </w:rPr>
      </w:pPr>
    </w:p>
    <w:p w14:paraId="4816F305" w14:textId="77777777" w:rsidR="00411B4B" w:rsidRPr="00B8085F" w:rsidRDefault="00411B4B" w:rsidP="00F5167F">
      <w:pPr>
        <w:tabs>
          <w:tab w:val="left" w:pos="540"/>
          <w:tab w:val="left" w:pos="569"/>
        </w:tabs>
        <w:rPr>
          <w:b/>
          <w:bCs/>
          <w:sz w:val="22"/>
          <w:szCs w:val="22"/>
          <w:lang w:val="de-DE"/>
        </w:rPr>
      </w:pPr>
      <w:r w:rsidRPr="00B8085F">
        <w:rPr>
          <w:b/>
          <w:bCs/>
          <w:sz w:val="22"/>
          <w:szCs w:val="22"/>
          <w:lang w:val="de-DE"/>
        </w:rPr>
        <w:t xml:space="preserve">3. </w:t>
      </w:r>
      <w:r w:rsidR="00F5167F" w:rsidRPr="00B8085F">
        <w:rPr>
          <w:b/>
          <w:bCs/>
          <w:sz w:val="22"/>
          <w:szCs w:val="22"/>
          <w:lang w:val="de-DE"/>
        </w:rPr>
        <w:tab/>
      </w:r>
      <w:r w:rsidRPr="00B8085F">
        <w:rPr>
          <w:b/>
          <w:bCs/>
          <w:sz w:val="22"/>
          <w:szCs w:val="22"/>
          <w:lang w:val="de-DE"/>
        </w:rPr>
        <w:t>FARMACEUTSKI OBLIK</w:t>
      </w:r>
      <w:r w:rsidR="009F2D23" w:rsidRPr="00B8085F">
        <w:rPr>
          <w:b/>
          <w:bCs/>
          <w:sz w:val="22"/>
          <w:szCs w:val="22"/>
          <w:lang w:val="de-DE"/>
        </w:rPr>
        <w:t xml:space="preserve"> </w:t>
      </w:r>
    </w:p>
    <w:p w14:paraId="2826F14D" w14:textId="77777777" w:rsidR="00B8085F" w:rsidRDefault="00B8085F" w:rsidP="00B8085F">
      <w:pPr>
        <w:autoSpaceDE w:val="0"/>
        <w:autoSpaceDN w:val="0"/>
        <w:adjustRightInd w:val="0"/>
        <w:rPr>
          <w:sz w:val="22"/>
          <w:szCs w:val="22"/>
          <w:lang w:val="de-DE"/>
        </w:rPr>
      </w:pPr>
    </w:p>
    <w:p w14:paraId="0306A2BF" w14:textId="1C69F69F" w:rsidR="00B8085F" w:rsidRPr="00B8085F" w:rsidRDefault="00B8085F" w:rsidP="00B8085F">
      <w:pPr>
        <w:autoSpaceDE w:val="0"/>
        <w:autoSpaceDN w:val="0"/>
        <w:adjustRightInd w:val="0"/>
        <w:rPr>
          <w:sz w:val="22"/>
          <w:szCs w:val="22"/>
          <w:lang w:val="de-DE"/>
        </w:rPr>
      </w:pPr>
      <w:r w:rsidRPr="00B8085F">
        <w:rPr>
          <w:sz w:val="22"/>
          <w:szCs w:val="22"/>
          <w:lang w:val="de-DE"/>
        </w:rPr>
        <w:t>Koncentrat za rastvor za infuziju.</w:t>
      </w:r>
    </w:p>
    <w:p w14:paraId="309E3DCC" w14:textId="77777777" w:rsidR="00B8085F" w:rsidRPr="00B8085F" w:rsidRDefault="00B8085F" w:rsidP="00B8085F">
      <w:pPr>
        <w:autoSpaceDE w:val="0"/>
        <w:autoSpaceDN w:val="0"/>
        <w:adjustRightInd w:val="0"/>
        <w:rPr>
          <w:sz w:val="22"/>
          <w:szCs w:val="22"/>
          <w:lang w:val="de-DE"/>
        </w:rPr>
      </w:pPr>
      <w:r w:rsidRPr="00B8085F">
        <w:rPr>
          <w:sz w:val="22"/>
          <w:szCs w:val="22"/>
          <w:lang w:val="de-DE"/>
        </w:rPr>
        <w:t>Koncentrat je bistar, bezbojan, do blijedo žut rastvor.</w:t>
      </w:r>
    </w:p>
    <w:p w14:paraId="3375D305" w14:textId="77777777" w:rsidR="00411B4B" w:rsidRPr="00B8085F" w:rsidRDefault="00411B4B">
      <w:pPr>
        <w:rPr>
          <w:bCs/>
          <w:sz w:val="22"/>
          <w:szCs w:val="22"/>
          <w:lang w:val="de-DE"/>
        </w:rPr>
      </w:pPr>
    </w:p>
    <w:p w14:paraId="4A2D363D" w14:textId="77777777" w:rsidR="00EC2532" w:rsidRPr="00786071" w:rsidRDefault="00EC2532">
      <w:pPr>
        <w:rPr>
          <w:bCs/>
          <w:sz w:val="22"/>
          <w:szCs w:val="22"/>
          <w:lang w:val="sr-Latn-CS"/>
        </w:rPr>
      </w:pPr>
    </w:p>
    <w:p w14:paraId="4386B0AE" w14:textId="77777777" w:rsidR="00411B4B" w:rsidRPr="00BB3077" w:rsidRDefault="00411B4B" w:rsidP="00F5167F">
      <w:pPr>
        <w:tabs>
          <w:tab w:val="left" w:pos="540"/>
          <w:tab w:val="left" w:pos="569"/>
        </w:tabs>
        <w:rPr>
          <w:b/>
          <w:bCs/>
          <w:sz w:val="22"/>
          <w:szCs w:val="22"/>
          <w:lang w:val="sr-Latn-CS"/>
        </w:rPr>
      </w:pPr>
      <w:r w:rsidRPr="00BB3077">
        <w:rPr>
          <w:b/>
          <w:bCs/>
          <w:sz w:val="22"/>
          <w:szCs w:val="22"/>
          <w:lang w:val="sr-Latn-CS"/>
        </w:rPr>
        <w:t xml:space="preserve">4. </w:t>
      </w:r>
      <w:r w:rsidR="00480FB1" w:rsidRPr="00BB3077">
        <w:rPr>
          <w:b/>
          <w:bCs/>
          <w:sz w:val="22"/>
          <w:szCs w:val="22"/>
          <w:lang w:val="sr-Latn-CS"/>
        </w:rPr>
        <w:tab/>
      </w:r>
      <w:r w:rsidRPr="00786071">
        <w:rPr>
          <w:b/>
          <w:bCs/>
          <w:sz w:val="22"/>
          <w:szCs w:val="22"/>
        </w:rPr>
        <w:t>KLINI</w:t>
      </w:r>
      <w:r w:rsidRPr="00BB3077">
        <w:rPr>
          <w:b/>
          <w:bCs/>
          <w:sz w:val="22"/>
          <w:szCs w:val="22"/>
          <w:lang w:val="sr-Latn-CS"/>
        </w:rPr>
        <w:t>Č</w:t>
      </w:r>
      <w:r w:rsidRPr="00786071">
        <w:rPr>
          <w:b/>
          <w:bCs/>
          <w:sz w:val="22"/>
          <w:szCs w:val="22"/>
        </w:rPr>
        <w:t>KI</w:t>
      </w:r>
      <w:r w:rsidRPr="00BB3077">
        <w:rPr>
          <w:b/>
          <w:bCs/>
          <w:sz w:val="22"/>
          <w:szCs w:val="22"/>
          <w:lang w:val="sr-Latn-CS"/>
        </w:rPr>
        <w:t xml:space="preserve"> </w:t>
      </w:r>
      <w:r w:rsidRPr="00786071">
        <w:rPr>
          <w:b/>
          <w:bCs/>
          <w:sz w:val="22"/>
          <w:szCs w:val="22"/>
        </w:rPr>
        <w:t>PODACI</w:t>
      </w:r>
    </w:p>
    <w:p w14:paraId="2134D9FB" w14:textId="77777777" w:rsidR="00CD6F02" w:rsidRPr="00BB3077" w:rsidRDefault="00CD6F02" w:rsidP="00480FB1">
      <w:pPr>
        <w:tabs>
          <w:tab w:val="left" w:pos="540"/>
          <w:tab w:val="left" w:pos="569"/>
        </w:tabs>
        <w:rPr>
          <w:bCs/>
          <w:sz w:val="22"/>
          <w:szCs w:val="22"/>
          <w:lang w:val="sr-Latn-CS"/>
        </w:rPr>
      </w:pPr>
    </w:p>
    <w:p w14:paraId="039B32B3" w14:textId="77777777" w:rsidR="00411B4B" w:rsidRPr="00BB3077" w:rsidRDefault="00411B4B" w:rsidP="00480FB1">
      <w:pPr>
        <w:tabs>
          <w:tab w:val="left" w:pos="540"/>
          <w:tab w:val="left" w:pos="569"/>
        </w:tabs>
        <w:rPr>
          <w:b/>
          <w:bCs/>
          <w:sz w:val="22"/>
          <w:szCs w:val="22"/>
          <w:lang w:val="sr-Latn-CS"/>
        </w:rPr>
      </w:pPr>
      <w:r w:rsidRPr="00BB3077">
        <w:rPr>
          <w:b/>
          <w:bCs/>
          <w:sz w:val="22"/>
          <w:szCs w:val="22"/>
          <w:lang w:val="sr-Latn-CS"/>
        </w:rPr>
        <w:t xml:space="preserve">4.1. </w:t>
      </w:r>
      <w:r w:rsidR="00480FB1" w:rsidRPr="00BB3077">
        <w:rPr>
          <w:b/>
          <w:bCs/>
          <w:sz w:val="22"/>
          <w:szCs w:val="22"/>
          <w:lang w:val="sr-Latn-CS"/>
        </w:rPr>
        <w:tab/>
      </w:r>
      <w:r w:rsidRPr="000B639B">
        <w:rPr>
          <w:b/>
          <w:bCs/>
          <w:sz w:val="22"/>
          <w:szCs w:val="22"/>
          <w:lang w:val="de-DE"/>
        </w:rPr>
        <w:t>Terapijske</w:t>
      </w:r>
      <w:r w:rsidRPr="00BB3077">
        <w:rPr>
          <w:b/>
          <w:bCs/>
          <w:sz w:val="22"/>
          <w:szCs w:val="22"/>
          <w:lang w:val="sr-Latn-CS"/>
        </w:rPr>
        <w:t xml:space="preserve"> </w:t>
      </w:r>
      <w:r w:rsidRPr="000B639B">
        <w:rPr>
          <w:b/>
          <w:bCs/>
          <w:sz w:val="22"/>
          <w:szCs w:val="22"/>
          <w:lang w:val="de-DE"/>
        </w:rPr>
        <w:t>indikacije</w:t>
      </w:r>
    </w:p>
    <w:p w14:paraId="73F4BF90" w14:textId="6C475AC8" w:rsidR="00411B4B" w:rsidRPr="00BB3077" w:rsidRDefault="00411B4B" w:rsidP="00480FB1">
      <w:pPr>
        <w:tabs>
          <w:tab w:val="left" w:pos="540"/>
          <w:tab w:val="left" w:pos="569"/>
        </w:tabs>
        <w:rPr>
          <w:bCs/>
          <w:sz w:val="22"/>
          <w:szCs w:val="22"/>
          <w:lang w:val="sr-Latn-CS"/>
        </w:rPr>
      </w:pPr>
    </w:p>
    <w:p w14:paraId="30739E4B" w14:textId="77777777" w:rsidR="00725627" w:rsidRPr="00BB3077" w:rsidRDefault="00725627" w:rsidP="00725627">
      <w:pPr>
        <w:autoSpaceDE w:val="0"/>
        <w:autoSpaceDN w:val="0"/>
        <w:adjustRightInd w:val="0"/>
        <w:rPr>
          <w:sz w:val="22"/>
          <w:szCs w:val="22"/>
          <w:u w:val="single"/>
          <w:lang w:val="sr-Latn-CS"/>
        </w:rPr>
      </w:pPr>
      <w:r w:rsidRPr="00725627">
        <w:rPr>
          <w:sz w:val="22"/>
          <w:szCs w:val="22"/>
          <w:u w:val="single"/>
          <w:lang w:val="de-DE"/>
        </w:rPr>
        <w:lastRenderedPageBreak/>
        <w:t>Karcinom</w:t>
      </w:r>
      <w:r w:rsidRPr="00BB3077">
        <w:rPr>
          <w:sz w:val="22"/>
          <w:szCs w:val="22"/>
          <w:u w:val="single"/>
          <w:lang w:val="sr-Latn-CS"/>
        </w:rPr>
        <w:t xml:space="preserve"> </w:t>
      </w:r>
      <w:r w:rsidRPr="00725627">
        <w:rPr>
          <w:sz w:val="22"/>
          <w:szCs w:val="22"/>
          <w:u w:val="single"/>
          <w:lang w:val="de-DE"/>
        </w:rPr>
        <w:t>dojke</w:t>
      </w:r>
    </w:p>
    <w:p w14:paraId="5E8C6F39" w14:textId="77777777" w:rsidR="00725627" w:rsidRPr="00BB3077" w:rsidRDefault="00725627" w:rsidP="00725627">
      <w:pPr>
        <w:autoSpaceDE w:val="0"/>
        <w:autoSpaceDN w:val="0"/>
        <w:adjustRightInd w:val="0"/>
        <w:rPr>
          <w:sz w:val="22"/>
          <w:szCs w:val="22"/>
          <w:u w:val="single"/>
          <w:lang w:val="sr-Latn-CS"/>
        </w:rPr>
      </w:pPr>
    </w:p>
    <w:p w14:paraId="4C93BE97" w14:textId="77777777" w:rsidR="00725627" w:rsidRPr="00BB3077" w:rsidRDefault="00725627" w:rsidP="00725627">
      <w:pPr>
        <w:tabs>
          <w:tab w:val="left" w:pos="454"/>
        </w:tabs>
        <w:autoSpaceDE w:val="0"/>
        <w:autoSpaceDN w:val="0"/>
        <w:adjustRightInd w:val="0"/>
        <w:rPr>
          <w:sz w:val="22"/>
          <w:szCs w:val="22"/>
          <w:lang w:val="sr-Latn-CS"/>
        </w:rPr>
      </w:pPr>
      <w:r w:rsidRPr="00725627">
        <w:rPr>
          <w:sz w:val="22"/>
          <w:szCs w:val="22"/>
          <w:lang w:val="de-DE"/>
        </w:rPr>
        <w:t>Docetaksel</w:t>
      </w:r>
      <w:r w:rsidRPr="00BB3077">
        <w:rPr>
          <w:sz w:val="22"/>
          <w:szCs w:val="22"/>
          <w:lang w:val="sr-Latn-CS"/>
        </w:rPr>
        <w:t xml:space="preserve"> </w:t>
      </w:r>
      <w:r w:rsidRPr="00725627">
        <w:rPr>
          <w:sz w:val="22"/>
          <w:szCs w:val="22"/>
          <w:lang w:val="de-DE"/>
        </w:rPr>
        <w:t>je</w:t>
      </w:r>
      <w:r w:rsidRPr="00BB3077">
        <w:rPr>
          <w:sz w:val="22"/>
          <w:szCs w:val="22"/>
          <w:lang w:val="sr-Latn-CS"/>
        </w:rPr>
        <w:t xml:space="preserve">, </w:t>
      </w:r>
      <w:r w:rsidRPr="00725627">
        <w:rPr>
          <w:sz w:val="22"/>
          <w:szCs w:val="22"/>
          <w:lang w:val="de-DE"/>
        </w:rPr>
        <w:t>u</w:t>
      </w:r>
      <w:r w:rsidRPr="00BB3077">
        <w:rPr>
          <w:sz w:val="22"/>
          <w:szCs w:val="22"/>
          <w:lang w:val="sr-Latn-CS"/>
        </w:rPr>
        <w:t xml:space="preserve"> </w:t>
      </w:r>
      <w:r w:rsidRPr="00725627">
        <w:rPr>
          <w:sz w:val="22"/>
          <w:szCs w:val="22"/>
          <w:lang w:val="de-DE"/>
        </w:rPr>
        <w:t>kombinaciji</w:t>
      </w:r>
      <w:r w:rsidRPr="00BB3077">
        <w:rPr>
          <w:sz w:val="22"/>
          <w:szCs w:val="22"/>
          <w:lang w:val="sr-Latn-CS"/>
        </w:rPr>
        <w:t xml:space="preserve"> </w:t>
      </w:r>
      <w:r w:rsidRPr="00725627">
        <w:rPr>
          <w:sz w:val="22"/>
          <w:szCs w:val="22"/>
          <w:lang w:val="de-DE"/>
        </w:rPr>
        <w:t>sa</w:t>
      </w:r>
      <w:r w:rsidRPr="00BB3077">
        <w:rPr>
          <w:sz w:val="22"/>
          <w:szCs w:val="22"/>
          <w:lang w:val="sr-Latn-CS"/>
        </w:rPr>
        <w:t xml:space="preserve"> </w:t>
      </w:r>
      <w:r w:rsidRPr="00725627">
        <w:rPr>
          <w:sz w:val="22"/>
          <w:szCs w:val="22"/>
          <w:lang w:val="de-DE"/>
        </w:rPr>
        <w:t>doksorubicinom</w:t>
      </w:r>
      <w:r w:rsidRPr="00BB3077">
        <w:rPr>
          <w:sz w:val="22"/>
          <w:szCs w:val="22"/>
          <w:lang w:val="sr-Latn-CS"/>
        </w:rPr>
        <w:t xml:space="preserve"> </w:t>
      </w:r>
      <w:r w:rsidRPr="00725627">
        <w:rPr>
          <w:sz w:val="22"/>
          <w:szCs w:val="22"/>
          <w:lang w:val="de-DE"/>
        </w:rPr>
        <w:t>i</w:t>
      </w:r>
      <w:r w:rsidRPr="00BB3077">
        <w:rPr>
          <w:sz w:val="22"/>
          <w:szCs w:val="22"/>
          <w:lang w:val="sr-Latn-CS"/>
        </w:rPr>
        <w:t xml:space="preserve"> </w:t>
      </w:r>
      <w:r w:rsidRPr="00725627">
        <w:rPr>
          <w:sz w:val="22"/>
          <w:szCs w:val="22"/>
          <w:lang w:val="de-DE"/>
        </w:rPr>
        <w:t>ciklofosfamidom</w:t>
      </w:r>
      <w:r w:rsidRPr="00BB3077">
        <w:rPr>
          <w:sz w:val="22"/>
          <w:szCs w:val="22"/>
          <w:lang w:val="sr-Latn-CS"/>
        </w:rPr>
        <w:t xml:space="preserve">, </w:t>
      </w:r>
      <w:r w:rsidRPr="00725627">
        <w:rPr>
          <w:sz w:val="22"/>
          <w:szCs w:val="22"/>
          <w:lang w:val="de-DE"/>
        </w:rPr>
        <w:t>indikovan</w:t>
      </w:r>
      <w:r w:rsidRPr="00BB3077">
        <w:rPr>
          <w:sz w:val="22"/>
          <w:szCs w:val="22"/>
          <w:lang w:val="sr-Latn-CS"/>
        </w:rPr>
        <w:t xml:space="preserve"> </w:t>
      </w:r>
      <w:r w:rsidRPr="00725627">
        <w:rPr>
          <w:sz w:val="22"/>
          <w:szCs w:val="22"/>
          <w:lang w:val="de-DE"/>
        </w:rPr>
        <w:t>za</w:t>
      </w:r>
      <w:r w:rsidRPr="00BB3077">
        <w:rPr>
          <w:sz w:val="22"/>
          <w:szCs w:val="22"/>
          <w:lang w:val="sr-Latn-CS"/>
        </w:rPr>
        <w:t xml:space="preserve"> </w:t>
      </w:r>
      <w:r w:rsidRPr="00725627">
        <w:rPr>
          <w:sz w:val="22"/>
          <w:szCs w:val="22"/>
          <w:lang w:val="de-DE"/>
        </w:rPr>
        <w:t>adjuvantnu</w:t>
      </w:r>
      <w:r w:rsidRPr="00BB3077">
        <w:rPr>
          <w:sz w:val="22"/>
          <w:szCs w:val="22"/>
          <w:lang w:val="sr-Latn-CS"/>
        </w:rPr>
        <w:t xml:space="preserve"> </w:t>
      </w:r>
      <w:r w:rsidRPr="00725627">
        <w:rPr>
          <w:sz w:val="22"/>
          <w:szCs w:val="22"/>
          <w:lang w:val="de-DE"/>
        </w:rPr>
        <w:t>terapiju</w:t>
      </w:r>
      <w:r w:rsidRPr="00BB3077">
        <w:rPr>
          <w:sz w:val="22"/>
          <w:szCs w:val="22"/>
          <w:lang w:val="sr-Latn-CS"/>
        </w:rPr>
        <w:t xml:space="preserve"> </w:t>
      </w:r>
      <w:r w:rsidRPr="00725627">
        <w:rPr>
          <w:sz w:val="22"/>
          <w:szCs w:val="22"/>
          <w:lang w:val="de-DE"/>
        </w:rPr>
        <w:t>pacijenata</w:t>
      </w:r>
      <w:r w:rsidRPr="00BB3077">
        <w:rPr>
          <w:sz w:val="22"/>
          <w:szCs w:val="22"/>
          <w:lang w:val="sr-Latn-CS"/>
        </w:rPr>
        <w:t xml:space="preserve"> </w:t>
      </w:r>
      <w:r w:rsidRPr="00725627">
        <w:rPr>
          <w:sz w:val="22"/>
          <w:szCs w:val="22"/>
          <w:lang w:val="de-DE"/>
        </w:rPr>
        <w:t>sa</w:t>
      </w:r>
      <w:r w:rsidRPr="00BB3077">
        <w:rPr>
          <w:sz w:val="22"/>
          <w:szCs w:val="22"/>
          <w:lang w:val="sr-Latn-CS"/>
        </w:rPr>
        <w:t>:</w:t>
      </w:r>
    </w:p>
    <w:p w14:paraId="5B037B60" w14:textId="77777777" w:rsidR="00725627" w:rsidRPr="003C4185" w:rsidRDefault="00725627" w:rsidP="00725627">
      <w:pPr>
        <w:numPr>
          <w:ilvl w:val="0"/>
          <w:numId w:val="12"/>
        </w:numPr>
        <w:tabs>
          <w:tab w:val="left" w:pos="284"/>
        </w:tabs>
        <w:autoSpaceDE w:val="0"/>
        <w:autoSpaceDN w:val="0"/>
        <w:adjustRightInd w:val="0"/>
        <w:ind w:left="1134"/>
        <w:jc w:val="both"/>
        <w:rPr>
          <w:sz w:val="22"/>
          <w:szCs w:val="22"/>
        </w:rPr>
      </w:pPr>
      <w:r w:rsidRPr="003C4185">
        <w:rPr>
          <w:sz w:val="22"/>
          <w:szCs w:val="22"/>
        </w:rPr>
        <w:t>operabilnim nodus-pozitivnim karcinomom dojke</w:t>
      </w:r>
    </w:p>
    <w:p w14:paraId="2FA0E785" w14:textId="77777777" w:rsidR="00725627" w:rsidRPr="003C4185" w:rsidRDefault="00725627" w:rsidP="00725627">
      <w:pPr>
        <w:numPr>
          <w:ilvl w:val="0"/>
          <w:numId w:val="12"/>
        </w:numPr>
        <w:tabs>
          <w:tab w:val="left" w:pos="284"/>
        </w:tabs>
        <w:autoSpaceDE w:val="0"/>
        <w:autoSpaceDN w:val="0"/>
        <w:adjustRightInd w:val="0"/>
        <w:ind w:left="1134"/>
        <w:jc w:val="both"/>
        <w:rPr>
          <w:sz w:val="22"/>
          <w:szCs w:val="22"/>
        </w:rPr>
      </w:pPr>
      <w:r w:rsidRPr="003C4185">
        <w:rPr>
          <w:sz w:val="22"/>
          <w:szCs w:val="22"/>
        </w:rPr>
        <w:t>operabilnim nodus-negativnim karcinomom dojke</w:t>
      </w:r>
    </w:p>
    <w:p w14:paraId="4ADEA465" w14:textId="77777777" w:rsidR="00725627" w:rsidRPr="003C4185" w:rsidRDefault="00725627" w:rsidP="00725627">
      <w:pPr>
        <w:autoSpaceDE w:val="0"/>
        <w:autoSpaceDN w:val="0"/>
        <w:adjustRightInd w:val="0"/>
        <w:rPr>
          <w:sz w:val="22"/>
          <w:szCs w:val="22"/>
        </w:rPr>
      </w:pPr>
    </w:p>
    <w:p w14:paraId="5A5590AE" w14:textId="67BCA845" w:rsidR="00725627" w:rsidRPr="003C4185" w:rsidRDefault="00725627" w:rsidP="00725627">
      <w:pPr>
        <w:autoSpaceDE w:val="0"/>
        <w:autoSpaceDN w:val="0"/>
        <w:adjustRightInd w:val="0"/>
        <w:rPr>
          <w:sz w:val="22"/>
          <w:szCs w:val="22"/>
        </w:rPr>
      </w:pPr>
      <w:r w:rsidRPr="003C4185">
        <w:rPr>
          <w:sz w:val="22"/>
          <w:szCs w:val="22"/>
        </w:rPr>
        <w:t xml:space="preserve">Za pacijente sa operabilnim nodus-negativnim karcinomom dojke, adjuvantnu terapiju bi trebalo ograničiti na pacijente koji prema internacionalno utvrđenim kriterijumima za primarnu terapiju ranog karcinoma dojke ispunjavaju uslove da prime terapiju (vidjeti </w:t>
      </w:r>
      <w:r w:rsidR="006A399E">
        <w:rPr>
          <w:sz w:val="22"/>
          <w:szCs w:val="22"/>
        </w:rPr>
        <w:t>dio</w:t>
      </w:r>
      <w:r w:rsidRPr="003C4185">
        <w:rPr>
          <w:sz w:val="22"/>
          <w:szCs w:val="22"/>
        </w:rPr>
        <w:t xml:space="preserve"> 5.1).</w:t>
      </w:r>
    </w:p>
    <w:p w14:paraId="1F9C42D2" w14:textId="77777777" w:rsidR="00725627" w:rsidRPr="003C4185" w:rsidRDefault="00725627" w:rsidP="00725627">
      <w:pPr>
        <w:autoSpaceDE w:val="0"/>
        <w:autoSpaceDN w:val="0"/>
        <w:adjustRightInd w:val="0"/>
        <w:rPr>
          <w:sz w:val="22"/>
          <w:szCs w:val="22"/>
        </w:rPr>
      </w:pPr>
      <w:r w:rsidRPr="003C4185">
        <w:rPr>
          <w:sz w:val="22"/>
          <w:szCs w:val="22"/>
        </w:rPr>
        <w:t xml:space="preserve"> </w:t>
      </w:r>
    </w:p>
    <w:p w14:paraId="48BC4370" w14:textId="77777777" w:rsidR="00725627" w:rsidRPr="003C4185" w:rsidRDefault="00725627" w:rsidP="00725627">
      <w:pPr>
        <w:autoSpaceDE w:val="0"/>
        <w:autoSpaceDN w:val="0"/>
        <w:adjustRightInd w:val="0"/>
        <w:rPr>
          <w:sz w:val="22"/>
          <w:szCs w:val="22"/>
        </w:rPr>
      </w:pPr>
      <w:r w:rsidRPr="003C4185">
        <w:rPr>
          <w:sz w:val="22"/>
          <w:szCs w:val="22"/>
        </w:rPr>
        <w:t>Docetaksel, u kombinaciji sa doksorubicinom, je indikovan za terapiju pacijenata sa lokalno uznapredovalim ili metastatskim karcinomom dojke, koji prethodno nisu dobijali terapiju citotoksi</w:t>
      </w:r>
      <w:r w:rsidRPr="003C4185">
        <w:rPr>
          <w:rFonts w:eastAsia="TimesNewRoman"/>
          <w:sz w:val="22"/>
          <w:szCs w:val="22"/>
        </w:rPr>
        <w:t>č</w:t>
      </w:r>
      <w:r w:rsidRPr="003C4185">
        <w:rPr>
          <w:sz w:val="22"/>
          <w:szCs w:val="22"/>
        </w:rPr>
        <w:t>nim ljekovima za lije</w:t>
      </w:r>
      <w:r w:rsidRPr="003C4185">
        <w:rPr>
          <w:rFonts w:eastAsia="TimesNewRoman"/>
          <w:sz w:val="22"/>
          <w:szCs w:val="22"/>
        </w:rPr>
        <w:t>č</w:t>
      </w:r>
      <w:r w:rsidRPr="003C4185">
        <w:rPr>
          <w:sz w:val="22"/>
          <w:szCs w:val="22"/>
        </w:rPr>
        <w:t>enje ove bolesti.</w:t>
      </w:r>
    </w:p>
    <w:p w14:paraId="7973EEA9" w14:textId="77777777" w:rsidR="00725627" w:rsidRPr="003C4185" w:rsidRDefault="00725627" w:rsidP="00725627">
      <w:pPr>
        <w:autoSpaceDE w:val="0"/>
        <w:autoSpaceDN w:val="0"/>
        <w:adjustRightInd w:val="0"/>
        <w:rPr>
          <w:sz w:val="22"/>
          <w:szCs w:val="22"/>
        </w:rPr>
      </w:pPr>
    </w:p>
    <w:p w14:paraId="6F97B477" w14:textId="77777777" w:rsidR="00725627" w:rsidRPr="003C4185" w:rsidRDefault="00725627" w:rsidP="00725627">
      <w:pPr>
        <w:pStyle w:val="ListParagraph"/>
        <w:tabs>
          <w:tab w:val="clear" w:pos="284"/>
          <w:tab w:val="left" w:pos="42"/>
        </w:tabs>
        <w:autoSpaceDE w:val="0"/>
        <w:autoSpaceDN w:val="0"/>
        <w:adjustRightInd w:val="0"/>
        <w:ind w:left="42"/>
        <w:rPr>
          <w:rFonts w:ascii="Times New Roman" w:hAnsi="Times New Roman"/>
          <w:sz w:val="22"/>
          <w:szCs w:val="22"/>
        </w:rPr>
      </w:pPr>
      <w:r w:rsidRPr="003C4185">
        <w:rPr>
          <w:rFonts w:ascii="Times New Roman" w:hAnsi="Times New Roman"/>
          <w:sz w:val="22"/>
          <w:szCs w:val="22"/>
        </w:rPr>
        <w:t>Docetaksel kao monoterapija indikovan je za lije</w:t>
      </w:r>
      <w:r w:rsidRPr="003C4185">
        <w:rPr>
          <w:rFonts w:ascii="Times New Roman" w:eastAsia="TimesNewRoman" w:hAnsi="Times New Roman"/>
          <w:sz w:val="22"/>
          <w:szCs w:val="22"/>
        </w:rPr>
        <w:t>č</w:t>
      </w:r>
      <w:r w:rsidRPr="003C4185">
        <w:rPr>
          <w:rFonts w:ascii="Times New Roman" w:hAnsi="Times New Roman"/>
          <w:sz w:val="22"/>
          <w:szCs w:val="22"/>
        </w:rPr>
        <w:t>enje pacijenata sa lokalno uznapredovalim ili metastatskim karcinomom dojke poslije neuspjeha prethodne citotoksi</w:t>
      </w:r>
      <w:r w:rsidRPr="003C4185">
        <w:rPr>
          <w:rFonts w:ascii="Times New Roman" w:eastAsia="TimesNewRoman" w:hAnsi="Times New Roman"/>
          <w:sz w:val="22"/>
          <w:szCs w:val="22"/>
        </w:rPr>
        <w:t>č</w:t>
      </w:r>
      <w:r w:rsidRPr="003C4185">
        <w:rPr>
          <w:rFonts w:ascii="Times New Roman" w:hAnsi="Times New Roman"/>
          <w:sz w:val="22"/>
          <w:szCs w:val="22"/>
        </w:rPr>
        <w:t>ne terapije. Preduslov je da je prethodna hemioterapija sadržala antracikline ili neki od alkiliraju</w:t>
      </w:r>
      <w:r w:rsidRPr="003C4185">
        <w:rPr>
          <w:rFonts w:ascii="Times New Roman" w:eastAsia="TimesNewRoman" w:hAnsi="Times New Roman"/>
          <w:sz w:val="22"/>
          <w:szCs w:val="22"/>
        </w:rPr>
        <w:t>ć</w:t>
      </w:r>
      <w:r w:rsidRPr="003C4185">
        <w:rPr>
          <w:rFonts w:ascii="Times New Roman" w:hAnsi="Times New Roman"/>
          <w:sz w:val="22"/>
          <w:szCs w:val="22"/>
        </w:rPr>
        <w:t>ih ljekova.</w:t>
      </w:r>
    </w:p>
    <w:p w14:paraId="29F328CD" w14:textId="77777777" w:rsidR="00725627" w:rsidRPr="00725627" w:rsidRDefault="00725627" w:rsidP="00725627">
      <w:pPr>
        <w:tabs>
          <w:tab w:val="left" w:pos="42"/>
        </w:tabs>
        <w:autoSpaceDE w:val="0"/>
        <w:autoSpaceDN w:val="0"/>
        <w:adjustRightInd w:val="0"/>
        <w:ind w:left="42"/>
        <w:rPr>
          <w:sz w:val="22"/>
          <w:szCs w:val="22"/>
          <w:lang w:val="sr-Latn-ME"/>
        </w:rPr>
      </w:pPr>
    </w:p>
    <w:p w14:paraId="707105C7" w14:textId="77777777" w:rsidR="00725627" w:rsidRPr="003C4185" w:rsidRDefault="00725627" w:rsidP="00725627">
      <w:pPr>
        <w:pStyle w:val="ListParagraph"/>
        <w:tabs>
          <w:tab w:val="clear" w:pos="284"/>
          <w:tab w:val="left" w:pos="42"/>
        </w:tabs>
        <w:autoSpaceDE w:val="0"/>
        <w:autoSpaceDN w:val="0"/>
        <w:adjustRightInd w:val="0"/>
        <w:ind w:left="42"/>
        <w:rPr>
          <w:rFonts w:ascii="Times New Roman" w:hAnsi="Times New Roman"/>
          <w:sz w:val="22"/>
          <w:szCs w:val="22"/>
        </w:rPr>
      </w:pPr>
      <w:r w:rsidRPr="003C4185">
        <w:rPr>
          <w:rFonts w:ascii="Times New Roman" w:hAnsi="Times New Roman"/>
          <w:sz w:val="22"/>
          <w:szCs w:val="22"/>
        </w:rPr>
        <w:t>Docetaksel u kombinaciji sa trastuzumabom indikovan je za lije</w:t>
      </w:r>
      <w:r w:rsidRPr="003C4185">
        <w:rPr>
          <w:rFonts w:ascii="Times New Roman" w:eastAsia="TimesNewRoman" w:hAnsi="Times New Roman"/>
          <w:sz w:val="22"/>
          <w:szCs w:val="22"/>
        </w:rPr>
        <w:t>č</w:t>
      </w:r>
      <w:r w:rsidRPr="003C4185">
        <w:rPr>
          <w:rFonts w:ascii="Times New Roman" w:hAnsi="Times New Roman"/>
          <w:sz w:val="22"/>
          <w:szCs w:val="22"/>
        </w:rPr>
        <w:t xml:space="preserve">enje pacijenata sa metastatskim karcinomom dojke </w:t>
      </w:r>
      <w:r w:rsidRPr="003C4185">
        <w:rPr>
          <w:rFonts w:ascii="Times New Roman" w:eastAsia="TimesNewRoman" w:hAnsi="Times New Roman"/>
          <w:sz w:val="22"/>
          <w:szCs w:val="22"/>
        </w:rPr>
        <w:t>č</w:t>
      </w:r>
      <w:r w:rsidRPr="003C4185">
        <w:rPr>
          <w:rFonts w:ascii="Times New Roman" w:hAnsi="Times New Roman"/>
          <w:sz w:val="22"/>
          <w:szCs w:val="22"/>
        </w:rPr>
        <w:t>iji tumori prekomjerno eksprimiraju HER2, koji prethodno nisu dobijali hemioterapiju za metastatsku bolest.</w:t>
      </w:r>
    </w:p>
    <w:p w14:paraId="3AF7A42C" w14:textId="77777777" w:rsidR="00725627" w:rsidRPr="00725627" w:rsidRDefault="00725627" w:rsidP="00725627">
      <w:pPr>
        <w:tabs>
          <w:tab w:val="left" w:pos="42"/>
        </w:tabs>
        <w:autoSpaceDE w:val="0"/>
        <w:autoSpaceDN w:val="0"/>
        <w:adjustRightInd w:val="0"/>
        <w:ind w:left="42"/>
        <w:rPr>
          <w:sz w:val="22"/>
          <w:szCs w:val="22"/>
          <w:lang w:val="sr-Latn-ME"/>
        </w:rPr>
      </w:pPr>
    </w:p>
    <w:p w14:paraId="4961EFA5" w14:textId="03EB3590" w:rsidR="00725627" w:rsidRDefault="00725627" w:rsidP="00725627">
      <w:pPr>
        <w:pStyle w:val="ListParagraph"/>
        <w:tabs>
          <w:tab w:val="clear" w:pos="284"/>
          <w:tab w:val="left" w:pos="42"/>
        </w:tabs>
        <w:autoSpaceDE w:val="0"/>
        <w:autoSpaceDN w:val="0"/>
        <w:adjustRightInd w:val="0"/>
        <w:ind w:left="42"/>
        <w:rPr>
          <w:rFonts w:ascii="Times New Roman" w:hAnsi="Times New Roman"/>
          <w:sz w:val="22"/>
          <w:szCs w:val="22"/>
        </w:rPr>
      </w:pPr>
      <w:r w:rsidRPr="003C4185">
        <w:rPr>
          <w:rFonts w:ascii="Times New Roman" w:hAnsi="Times New Roman"/>
          <w:sz w:val="22"/>
          <w:szCs w:val="22"/>
        </w:rPr>
        <w:t>Docetaksel, u kombinaciji sa kapecitabinom, indikovan je za lije</w:t>
      </w:r>
      <w:r w:rsidRPr="003C4185">
        <w:rPr>
          <w:rFonts w:ascii="Times New Roman" w:eastAsia="TimesNewRoman" w:hAnsi="Times New Roman"/>
          <w:sz w:val="22"/>
          <w:szCs w:val="22"/>
        </w:rPr>
        <w:t>č</w:t>
      </w:r>
      <w:r w:rsidRPr="003C4185">
        <w:rPr>
          <w:rFonts w:ascii="Times New Roman" w:hAnsi="Times New Roman"/>
          <w:sz w:val="22"/>
          <w:szCs w:val="22"/>
        </w:rPr>
        <w:t>enje pacijenata sa lokalno uznapredovalim ili metastatskim karcinomom dojke poslije neuspjeha citotoksi</w:t>
      </w:r>
      <w:r w:rsidRPr="003C4185">
        <w:rPr>
          <w:rFonts w:ascii="Times New Roman" w:eastAsia="TimesNewRoman" w:hAnsi="Times New Roman"/>
          <w:sz w:val="22"/>
          <w:szCs w:val="22"/>
        </w:rPr>
        <w:t>č</w:t>
      </w:r>
      <w:r w:rsidRPr="003C4185">
        <w:rPr>
          <w:rFonts w:ascii="Times New Roman" w:hAnsi="Times New Roman"/>
          <w:sz w:val="22"/>
          <w:szCs w:val="22"/>
        </w:rPr>
        <w:t>ne hemioterapije. Preduslov je da je u prethodnu terapiju bio uklju</w:t>
      </w:r>
      <w:r w:rsidRPr="003C4185">
        <w:rPr>
          <w:rFonts w:ascii="Times New Roman" w:eastAsia="TimesNewRoman" w:hAnsi="Times New Roman"/>
          <w:sz w:val="22"/>
          <w:szCs w:val="22"/>
        </w:rPr>
        <w:t>č</w:t>
      </w:r>
      <w:r w:rsidRPr="003C4185">
        <w:rPr>
          <w:rFonts w:ascii="Times New Roman" w:hAnsi="Times New Roman"/>
          <w:sz w:val="22"/>
          <w:szCs w:val="22"/>
        </w:rPr>
        <w:t>en preparat antraciklina.</w:t>
      </w:r>
    </w:p>
    <w:p w14:paraId="71729513" w14:textId="53CDE9D8" w:rsidR="00725627" w:rsidRDefault="00725627" w:rsidP="00725627">
      <w:pPr>
        <w:pStyle w:val="ListParagraph"/>
        <w:tabs>
          <w:tab w:val="clear" w:pos="284"/>
          <w:tab w:val="left" w:pos="42"/>
        </w:tabs>
        <w:autoSpaceDE w:val="0"/>
        <w:autoSpaceDN w:val="0"/>
        <w:adjustRightInd w:val="0"/>
        <w:ind w:left="42"/>
        <w:rPr>
          <w:rFonts w:ascii="Times New Roman" w:hAnsi="Times New Roman"/>
          <w:sz w:val="22"/>
          <w:szCs w:val="22"/>
        </w:rPr>
      </w:pPr>
    </w:p>
    <w:p w14:paraId="5BAED88A" w14:textId="77777777" w:rsidR="00725627" w:rsidRPr="00725627" w:rsidRDefault="00725627" w:rsidP="00725627">
      <w:pPr>
        <w:autoSpaceDE w:val="0"/>
        <w:autoSpaceDN w:val="0"/>
        <w:adjustRightInd w:val="0"/>
        <w:rPr>
          <w:sz w:val="22"/>
          <w:szCs w:val="22"/>
          <w:u w:val="single"/>
          <w:lang w:val="sr-Latn-ME"/>
        </w:rPr>
      </w:pPr>
      <w:r w:rsidRPr="003C4185">
        <w:rPr>
          <w:sz w:val="22"/>
          <w:szCs w:val="22"/>
          <w:u w:val="single"/>
        </w:rPr>
        <w:t>Nemikrocelularni</w:t>
      </w:r>
      <w:r w:rsidRPr="00725627">
        <w:rPr>
          <w:sz w:val="22"/>
          <w:szCs w:val="22"/>
          <w:u w:val="single"/>
          <w:lang w:val="sr-Latn-ME"/>
        </w:rPr>
        <w:t xml:space="preserve"> </w:t>
      </w:r>
      <w:r w:rsidRPr="003C4185">
        <w:rPr>
          <w:sz w:val="22"/>
          <w:szCs w:val="22"/>
          <w:u w:val="single"/>
        </w:rPr>
        <w:t>karcinom</w:t>
      </w:r>
      <w:r w:rsidRPr="00725627">
        <w:rPr>
          <w:sz w:val="22"/>
          <w:szCs w:val="22"/>
          <w:u w:val="single"/>
          <w:lang w:val="sr-Latn-ME"/>
        </w:rPr>
        <w:t xml:space="preserve"> </w:t>
      </w:r>
      <w:r w:rsidRPr="003C4185">
        <w:rPr>
          <w:sz w:val="22"/>
          <w:szCs w:val="22"/>
          <w:u w:val="single"/>
        </w:rPr>
        <w:t>plu</w:t>
      </w:r>
      <w:r w:rsidRPr="00725627">
        <w:rPr>
          <w:rFonts w:eastAsia="TimesNewRoman"/>
          <w:sz w:val="22"/>
          <w:szCs w:val="22"/>
          <w:u w:val="single"/>
          <w:lang w:val="sr-Latn-ME"/>
        </w:rPr>
        <w:t>ć</w:t>
      </w:r>
      <w:r w:rsidRPr="003C4185">
        <w:rPr>
          <w:sz w:val="22"/>
          <w:szCs w:val="22"/>
          <w:u w:val="single"/>
        </w:rPr>
        <w:t>a</w:t>
      </w:r>
      <w:r w:rsidRPr="00725627">
        <w:rPr>
          <w:sz w:val="22"/>
          <w:szCs w:val="22"/>
          <w:u w:val="single"/>
          <w:lang w:val="sr-Latn-ME"/>
        </w:rPr>
        <w:t xml:space="preserve"> </w:t>
      </w:r>
    </w:p>
    <w:p w14:paraId="5DB60DE8" w14:textId="77777777" w:rsidR="00725627" w:rsidRPr="00725627" w:rsidRDefault="00725627" w:rsidP="00725627">
      <w:pPr>
        <w:autoSpaceDE w:val="0"/>
        <w:autoSpaceDN w:val="0"/>
        <w:adjustRightInd w:val="0"/>
        <w:rPr>
          <w:sz w:val="22"/>
          <w:szCs w:val="22"/>
          <w:lang w:val="sr-Latn-ME"/>
        </w:rPr>
      </w:pPr>
    </w:p>
    <w:p w14:paraId="2C406D13" w14:textId="77777777" w:rsidR="00725627" w:rsidRPr="003C4185" w:rsidRDefault="00725627" w:rsidP="00725627">
      <w:pPr>
        <w:pStyle w:val="ListParagraph"/>
        <w:tabs>
          <w:tab w:val="clear" w:pos="284"/>
        </w:tabs>
        <w:autoSpaceDE w:val="0"/>
        <w:autoSpaceDN w:val="0"/>
        <w:adjustRightInd w:val="0"/>
        <w:ind w:left="42"/>
        <w:rPr>
          <w:rFonts w:ascii="Times New Roman" w:hAnsi="Times New Roman"/>
          <w:sz w:val="22"/>
          <w:szCs w:val="22"/>
        </w:rPr>
      </w:pPr>
      <w:r w:rsidRPr="003C4185">
        <w:rPr>
          <w:rFonts w:ascii="Times New Roman" w:hAnsi="Times New Roman"/>
          <w:sz w:val="22"/>
          <w:szCs w:val="22"/>
        </w:rPr>
        <w:t>Docetaksel je indikovan za lije</w:t>
      </w:r>
      <w:r w:rsidRPr="003C4185">
        <w:rPr>
          <w:rFonts w:ascii="Times New Roman" w:eastAsia="TimesNewRoman" w:hAnsi="Times New Roman"/>
          <w:sz w:val="22"/>
          <w:szCs w:val="22"/>
        </w:rPr>
        <w:t>č</w:t>
      </w:r>
      <w:r w:rsidRPr="003C4185">
        <w:rPr>
          <w:rFonts w:ascii="Times New Roman" w:hAnsi="Times New Roman"/>
          <w:sz w:val="22"/>
          <w:szCs w:val="22"/>
        </w:rPr>
        <w:t>enje pacijenata sa lokalno uznapredovalim ili metastatskim nemikrocelularnim karcinomom plu</w:t>
      </w:r>
      <w:r w:rsidRPr="003C4185">
        <w:rPr>
          <w:rFonts w:ascii="Times New Roman" w:eastAsia="TimesNewRoman" w:hAnsi="Times New Roman"/>
          <w:sz w:val="22"/>
          <w:szCs w:val="22"/>
        </w:rPr>
        <w:t>ć</w:t>
      </w:r>
      <w:r w:rsidRPr="003C4185">
        <w:rPr>
          <w:rFonts w:ascii="Times New Roman" w:hAnsi="Times New Roman"/>
          <w:sz w:val="22"/>
          <w:szCs w:val="22"/>
        </w:rPr>
        <w:t>a poslije neuspjeha prethodne hemioterapije.</w:t>
      </w:r>
    </w:p>
    <w:p w14:paraId="3EA54C0B" w14:textId="77777777" w:rsidR="00725627" w:rsidRPr="00725627" w:rsidRDefault="00725627" w:rsidP="00725627">
      <w:pPr>
        <w:autoSpaceDE w:val="0"/>
        <w:autoSpaceDN w:val="0"/>
        <w:adjustRightInd w:val="0"/>
        <w:ind w:left="284"/>
        <w:rPr>
          <w:sz w:val="22"/>
          <w:szCs w:val="22"/>
          <w:lang w:val="sr-Latn-ME"/>
        </w:rPr>
      </w:pPr>
    </w:p>
    <w:p w14:paraId="6663092D" w14:textId="77777777" w:rsidR="00725627" w:rsidRPr="003C4185" w:rsidRDefault="00725627" w:rsidP="00725627">
      <w:pPr>
        <w:pStyle w:val="ListParagraph"/>
        <w:tabs>
          <w:tab w:val="clear" w:pos="284"/>
        </w:tabs>
        <w:autoSpaceDE w:val="0"/>
        <w:autoSpaceDN w:val="0"/>
        <w:adjustRightInd w:val="0"/>
        <w:ind w:left="42"/>
        <w:rPr>
          <w:rFonts w:ascii="Times New Roman" w:hAnsi="Times New Roman"/>
          <w:sz w:val="22"/>
          <w:szCs w:val="22"/>
        </w:rPr>
      </w:pPr>
      <w:r w:rsidRPr="003C4185">
        <w:rPr>
          <w:rFonts w:ascii="Times New Roman" w:hAnsi="Times New Roman"/>
          <w:sz w:val="22"/>
          <w:szCs w:val="22"/>
        </w:rPr>
        <w:t>U kombinaciji sa cisplatinom, Docetaksel je indikovan za lije</w:t>
      </w:r>
      <w:r w:rsidRPr="003C4185">
        <w:rPr>
          <w:rFonts w:ascii="Times New Roman" w:eastAsia="TimesNewRoman" w:hAnsi="Times New Roman"/>
          <w:sz w:val="22"/>
          <w:szCs w:val="22"/>
        </w:rPr>
        <w:t>č</w:t>
      </w:r>
      <w:r w:rsidRPr="003C4185">
        <w:rPr>
          <w:rFonts w:ascii="Times New Roman" w:hAnsi="Times New Roman"/>
          <w:sz w:val="22"/>
          <w:szCs w:val="22"/>
        </w:rPr>
        <w:t>enje pacijenata sa neresektabilnim, lokalno uznapredovalim ili metastatskim nemikrocelularnim karcinomom plu</w:t>
      </w:r>
      <w:r w:rsidRPr="003C4185">
        <w:rPr>
          <w:rFonts w:ascii="Times New Roman" w:eastAsia="TimesNewRoman" w:hAnsi="Times New Roman"/>
          <w:sz w:val="22"/>
          <w:szCs w:val="22"/>
        </w:rPr>
        <w:t>ć</w:t>
      </w:r>
      <w:r w:rsidRPr="003C4185">
        <w:rPr>
          <w:rFonts w:ascii="Times New Roman" w:hAnsi="Times New Roman"/>
          <w:sz w:val="22"/>
          <w:szCs w:val="22"/>
        </w:rPr>
        <w:t>a kod pacijenata koji prethodno nisu lije</w:t>
      </w:r>
      <w:r w:rsidRPr="003C4185">
        <w:rPr>
          <w:rFonts w:ascii="Times New Roman" w:eastAsia="TimesNewRoman" w:hAnsi="Times New Roman"/>
          <w:sz w:val="22"/>
          <w:szCs w:val="22"/>
        </w:rPr>
        <w:t>č</w:t>
      </w:r>
      <w:r w:rsidRPr="003C4185">
        <w:rPr>
          <w:rFonts w:ascii="Times New Roman" w:hAnsi="Times New Roman"/>
          <w:sz w:val="22"/>
          <w:szCs w:val="22"/>
        </w:rPr>
        <w:t>eni hemioterapijom.</w:t>
      </w:r>
    </w:p>
    <w:p w14:paraId="0063F29F" w14:textId="77777777" w:rsidR="00725627" w:rsidRPr="00863BB0" w:rsidRDefault="00725627" w:rsidP="00725627">
      <w:pPr>
        <w:autoSpaceDE w:val="0"/>
        <w:autoSpaceDN w:val="0"/>
        <w:adjustRightInd w:val="0"/>
        <w:rPr>
          <w:sz w:val="22"/>
          <w:szCs w:val="22"/>
          <w:lang w:val="sr-Latn-ME"/>
        </w:rPr>
      </w:pPr>
    </w:p>
    <w:p w14:paraId="155F6720" w14:textId="77777777" w:rsidR="00725627" w:rsidRPr="00863BB0" w:rsidRDefault="00725627" w:rsidP="00725627">
      <w:pPr>
        <w:autoSpaceDE w:val="0"/>
        <w:autoSpaceDN w:val="0"/>
        <w:adjustRightInd w:val="0"/>
        <w:rPr>
          <w:sz w:val="22"/>
          <w:szCs w:val="22"/>
          <w:u w:val="single"/>
          <w:lang w:val="sr-Latn-ME"/>
        </w:rPr>
      </w:pPr>
      <w:r w:rsidRPr="003C4185">
        <w:rPr>
          <w:sz w:val="22"/>
          <w:szCs w:val="22"/>
          <w:u w:val="single"/>
        </w:rPr>
        <w:t>Karcinom</w:t>
      </w:r>
      <w:r w:rsidRPr="00863BB0">
        <w:rPr>
          <w:sz w:val="22"/>
          <w:szCs w:val="22"/>
          <w:u w:val="single"/>
          <w:lang w:val="sr-Latn-ME"/>
        </w:rPr>
        <w:t xml:space="preserve"> </w:t>
      </w:r>
      <w:r w:rsidRPr="003C4185">
        <w:rPr>
          <w:sz w:val="22"/>
          <w:szCs w:val="22"/>
          <w:u w:val="single"/>
        </w:rPr>
        <w:t>prostate</w:t>
      </w:r>
    </w:p>
    <w:p w14:paraId="0803F44C" w14:textId="77777777" w:rsidR="00725627" w:rsidRPr="00863BB0" w:rsidRDefault="00725627" w:rsidP="00725627">
      <w:pPr>
        <w:autoSpaceDE w:val="0"/>
        <w:autoSpaceDN w:val="0"/>
        <w:adjustRightInd w:val="0"/>
        <w:rPr>
          <w:sz w:val="22"/>
          <w:szCs w:val="22"/>
          <w:lang w:val="sr-Latn-ME"/>
        </w:rPr>
      </w:pPr>
    </w:p>
    <w:p w14:paraId="1ABFB5E6" w14:textId="77777777" w:rsidR="00725627" w:rsidRPr="00863BB0" w:rsidRDefault="00725627" w:rsidP="00725627">
      <w:pPr>
        <w:autoSpaceDE w:val="0"/>
        <w:autoSpaceDN w:val="0"/>
        <w:adjustRightInd w:val="0"/>
        <w:rPr>
          <w:sz w:val="22"/>
          <w:szCs w:val="22"/>
          <w:lang w:val="sr-Latn-ME"/>
        </w:rPr>
      </w:pPr>
      <w:r w:rsidRPr="003C4185">
        <w:rPr>
          <w:sz w:val="22"/>
          <w:szCs w:val="22"/>
        </w:rPr>
        <w:t>U</w:t>
      </w:r>
      <w:r w:rsidRPr="00863BB0">
        <w:rPr>
          <w:sz w:val="22"/>
          <w:szCs w:val="22"/>
          <w:lang w:val="sr-Latn-ME"/>
        </w:rPr>
        <w:t xml:space="preserve"> </w:t>
      </w:r>
      <w:r w:rsidRPr="003C4185">
        <w:rPr>
          <w:sz w:val="22"/>
          <w:szCs w:val="22"/>
        </w:rPr>
        <w:t>kombinaciji</w:t>
      </w:r>
      <w:r w:rsidRPr="00863BB0">
        <w:rPr>
          <w:sz w:val="22"/>
          <w:szCs w:val="22"/>
          <w:lang w:val="sr-Latn-ME"/>
        </w:rPr>
        <w:t xml:space="preserve"> </w:t>
      </w:r>
      <w:r w:rsidRPr="003C4185">
        <w:rPr>
          <w:sz w:val="22"/>
          <w:szCs w:val="22"/>
        </w:rPr>
        <w:t>sa</w:t>
      </w:r>
      <w:r w:rsidRPr="00863BB0">
        <w:rPr>
          <w:sz w:val="22"/>
          <w:szCs w:val="22"/>
          <w:lang w:val="sr-Latn-ME"/>
        </w:rPr>
        <w:t xml:space="preserve"> </w:t>
      </w:r>
      <w:r w:rsidRPr="003C4185">
        <w:rPr>
          <w:sz w:val="22"/>
          <w:szCs w:val="22"/>
        </w:rPr>
        <w:t>prednizonom</w:t>
      </w:r>
      <w:r w:rsidRPr="00863BB0">
        <w:rPr>
          <w:sz w:val="22"/>
          <w:szCs w:val="22"/>
          <w:lang w:val="sr-Latn-ME"/>
        </w:rPr>
        <w:t xml:space="preserve"> </w:t>
      </w:r>
      <w:r w:rsidRPr="003C4185">
        <w:rPr>
          <w:sz w:val="22"/>
          <w:szCs w:val="22"/>
        </w:rPr>
        <w:t>ili</w:t>
      </w:r>
      <w:r w:rsidRPr="00863BB0">
        <w:rPr>
          <w:sz w:val="22"/>
          <w:szCs w:val="22"/>
          <w:lang w:val="sr-Latn-ME"/>
        </w:rPr>
        <w:t xml:space="preserve"> </w:t>
      </w:r>
      <w:r w:rsidRPr="003C4185">
        <w:rPr>
          <w:sz w:val="22"/>
          <w:szCs w:val="22"/>
        </w:rPr>
        <w:t>prednizolonom</w:t>
      </w:r>
      <w:r w:rsidRPr="00863BB0">
        <w:rPr>
          <w:sz w:val="22"/>
          <w:szCs w:val="22"/>
          <w:lang w:val="sr-Latn-ME"/>
        </w:rPr>
        <w:t xml:space="preserve">, </w:t>
      </w:r>
      <w:r w:rsidRPr="003C4185">
        <w:rPr>
          <w:sz w:val="22"/>
          <w:szCs w:val="22"/>
        </w:rPr>
        <w:t>Docetaksel</w:t>
      </w:r>
      <w:r w:rsidRPr="00863BB0">
        <w:rPr>
          <w:sz w:val="22"/>
          <w:szCs w:val="22"/>
          <w:lang w:val="sr-Latn-ME"/>
        </w:rPr>
        <w:t xml:space="preserve"> </w:t>
      </w:r>
      <w:r w:rsidRPr="003C4185">
        <w:rPr>
          <w:sz w:val="22"/>
          <w:szCs w:val="22"/>
        </w:rPr>
        <w:t>je</w:t>
      </w:r>
      <w:r w:rsidRPr="00863BB0">
        <w:rPr>
          <w:sz w:val="22"/>
          <w:szCs w:val="22"/>
          <w:lang w:val="sr-Latn-ME"/>
        </w:rPr>
        <w:t xml:space="preserve"> </w:t>
      </w:r>
      <w:r w:rsidRPr="003C4185">
        <w:rPr>
          <w:sz w:val="22"/>
          <w:szCs w:val="22"/>
        </w:rPr>
        <w:t>indikovan</w:t>
      </w:r>
      <w:r w:rsidRPr="00863BB0">
        <w:rPr>
          <w:sz w:val="22"/>
          <w:szCs w:val="22"/>
          <w:lang w:val="sr-Latn-ME"/>
        </w:rPr>
        <w:t xml:space="preserve"> </w:t>
      </w:r>
      <w:r w:rsidRPr="003C4185">
        <w:rPr>
          <w:sz w:val="22"/>
          <w:szCs w:val="22"/>
        </w:rPr>
        <w:t>u</w:t>
      </w:r>
      <w:r w:rsidRPr="00863BB0">
        <w:rPr>
          <w:sz w:val="22"/>
          <w:szCs w:val="22"/>
          <w:lang w:val="sr-Latn-ME"/>
        </w:rPr>
        <w:t xml:space="preserve"> </w:t>
      </w:r>
      <w:r w:rsidRPr="003C4185">
        <w:rPr>
          <w:sz w:val="22"/>
          <w:szCs w:val="22"/>
        </w:rPr>
        <w:t>terapiji</w:t>
      </w:r>
      <w:r w:rsidRPr="00863BB0">
        <w:rPr>
          <w:sz w:val="22"/>
          <w:szCs w:val="22"/>
          <w:lang w:val="sr-Latn-ME"/>
        </w:rPr>
        <w:t xml:space="preserve"> </w:t>
      </w:r>
      <w:r w:rsidRPr="003C4185">
        <w:rPr>
          <w:sz w:val="22"/>
          <w:szCs w:val="22"/>
        </w:rPr>
        <w:t>pacijenata</w:t>
      </w:r>
      <w:r w:rsidRPr="00863BB0">
        <w:rPr>
          <w:sz w:val="22"/>
          <w:szCs w:val="22"/>
          <w:lang w:val="sr-Latn-ME"/>
        </w:rPr>
        <w:t xml:space="preserve"> </w:t>
      </w:r>
      <w:r w:rsidRPr="003C4185">
        <w:rPr>
          <w:sz w:val="22"/>
          <w:szCs w:val="22"/>
        </w:rPr>
        <w:t>sa</w:t>
      </w:r>
      <w:r w:rsidRPr="00863BB0">
        <w:rPr>
          <w:sz w:val="22"/>
          <w:szCs w:val="22"/>
          <w:lang w:val="sr-Latn-ME"/>
        </w:rPr>
        <w:t xml:space="preserve"> </w:t>
      </w:r>
      <w:r w:rsidRPr="003C4185">
        <w:rPr>
          <w:sz w:val="22"/>
          <w:szCs w:val="22"/>
        </w:rPr>
        <w:t>metastatskim</w:t>
      </w:r>
      <w:r w:rsidRPr="00863BB0">
        <w:rPr>
          <w:sz w:val="22"/>
          <w:szCs w:val="22"/>
          <w:lang w:val="sr-Latn-ME"/>
        </w:rPr>
        <w:t xml:space="preserve"> </w:t>
      </w:r>
      <w:r w:rsidRPr="003C4185">
        <w:rPr>
          <w:sz w:val="22"/>
          <w:szCs w:val="22"/>
        </w:rPr>
        <w:t>karcinomom</w:t>
      </w:r>
      <w:r w:rsidRPr="00863BB0">
        <w:rPr>
          <w:sz w:val="22"/>
          <w:szCs w:val="22"/>
          <w:lang w:val="sr-Latn-ME"/>
        </w:rPr>
        <w:t xml:space="preserve"> </w:t>
      </w:r>
      <w:r w:rsidRPr="003C4185">
        <w:rPr>
          <w:sz w:val="22"/>
          <w:szCs w:val="22"/>
        </w:rPr>
        <w:t>prostate</w:t>
      </w:r>
      <w:r w:rsidRPr="00863BB0">
        <w:rPr>
          <w:sz w:val="22"/>
          <w:szCs w:val="22"/>
          <w:lang w:val="sr-Latn-ME"/>
        </w:rPr>
        <w:t xml:space="preserve"> </w:t>
      </w:r>
      <w:r w:rsidRPr="003C4185">
        <w:rPr>
          <w:sz w:val="22"/>
          <w:szCs w:val="22"/>
        </w:rPr>
        <w:t>rezistentnim</w:t>
      </w:r>
      <w:r w:rsidRPr="00863BB0">
        <w:rPr>
          <w:sz w:val="22"/>
          <w:szCs w:val="22"/>
          <w:lang w:val="sr-Latn-ME"/>
        </w:rPr>
        <w:t xml:space="preserve"> </w:t>
      </w:r>
      <w:r w:rsidRPr="003C4185">
        <w:rPr>
          <w:sz w:val="22"/>
          <w:szCs w:val="22"/>
        </w:rPr>
        <w:t>na</w:t>
      </w:r>
      <w:r w:rsidRPr="00863BB0">
        <w:rPr>
          <w:sz w:val="22"/>
          <w:szCs w:val="22"/>
          <w:lang w:val="sr-Latn-ME"/>
        </w:rPr>
        <w:t xml:space="preserve"> </w:t>
      </w:r>
      <w:r w:rsidRPr="003C4185">
        <w:rPr>
          <w:sz w:val="22"/>
          <w:szCs w:val="22"/>
        </w:rPr>
        <w:t>kastraciju</w:t>
      </w:r>
      <w:r w:rsidRPr="00863BB0">
        <w:rPr>
          <w:sz w:val="22"/>
          <w:szCs w:val="22"/>
          <w:lang w:val="sr-Latn-ME"/>
        </w:rPr>
        <w:t>.</w:t>
      </w:r>
    </w:p>
    <w:p w14:paraId="47B1FD9F" w14:textId="77777777" w:rsidR="00725627" w:rsidRPr="00863BB0" w:rsidRDefault="00725627" w:rsidP="00725627">
      <w:pPr>
        <w:autoSpaceDE w:val="0"/>
        <w:autoSpaceDN w:val="0"/>
        <w:adjustRightInd w:val="0"/>
        <w:rPr>
          <w:sz w:val="22"/>
          <w:szCs w:val="22"/>
          <w:lang w:val="sr-Latn-ME"/>
        </w:rPr>
      </w:pPr>
    </w:p>
    <w:p w14:paraId="125B8A3E" w14:textId="77777777" w:rsidR="00725627" w:rsidRPr="00863BB0" w:rsidRDefault="00725627" w:rsidP="00725627">
      <w:pPr>
        <w:autoSpaceDE w:val="0"/>
        <w:autoSpaceDN w:val="0"/>
        <w:adjustRightInd w:val="0"/>
        <w:rPr>
          <w:sz w:val="22"/>
          <w:szCs w:val="22"/>
          <w:lang w:val="sr-Latn-ME"/>
        </w:rPr>
      </w:pPr>
      <w:r w:rsidRPr="003C4185">
        <w:rPr>
          <w:sz w:val="22"/>
          <w:szCs w:val="22"/>
        </w:rPr>
        <w:t>Docetaksel</w:t>
      </w:r>
      <w:r w:rsidRPr="00863BB0">
        <w:rPr>
          <w:sz w:val="22"/>
          <w:szCs w:val="22"/>
          <w:lang w:val="sr-Latn-ME"/>
        </w:rPr>
        <w:t xml:space="preserve"> </w:t>
      </w:r>
      <w:r w:rsidRPr="00B02007">
        <w:rPr>
          <w:sz w:val="22"/>
          <w:szCs w:val="22"/>
        </w:rPr>
        <w:t>u</w:t>
      </w:r>
      <w:r w:rsidRPr="00863BB0">
        <w:rPr>
          <w:sz w:val="22"/>
          <w:szCs w:val="22"/>
          <w:lang w:val="sr-Latn-ME"/>
        </w:rPr>
        <w:t xml:space="preserve"> </w:t>
      </w:r>
      <w:r w:rsidRPr="00B02007">
        <w:rPr>
          <w:sz w:val="22"/>
          <w:szCs w:val="22"/>
        </w:rPr>
        <w:t>kombinaciji</w:t>
      </w:r>
      <w:r w:rsidRPr="00863BB0">
        <w:rPr>
          <w:sz w:val="22"/>
          <w:szCs w:val="22"/>
          <w:lang w:val="sr-Latn-ME"/>
        </w:rPr>
        <w:t xml:space="preserve"> </w:t>
      </w:r>
      <w:r w:rsidRPr="00B02007">
        <w:rPr>
          <w:sz w:val="22"/>
          <w:szCs w:val="22"/>
        </w:rPr>
        <w:t>sa</w:t>
      </w:r>
      <w:r w:rsidRPr="00863BB0">
        <w:rPr>
          <w:sz w:val="22"/>
          <w:szCs w:val="22"/>
          <w:lang w:val="sr-Latn-ME"/>
        </w:rPr>
        <w:t xml:space="preserve"> </w:t>
      </w:r>
      <w:r w:rsidRPr="00B02007">
        <w:rPr>
          <w:sz w:val="22"/>
          <w:szCs w:val="22"/>
        </w:rPr>
        <w:t>terapijom</w:t>
      </w:r>
      <w:r w:rsidRPr="00863BB0">
        <w:rPr>
          <w:sz w:val="22"/>
          <w:szCs w:val="22"/>
          <w:lang w:val="sr-Latn-ME"/>
        </w:rPr>
        <w:t xml:space="preserve"> </w:t>
      </w:r>
      <w:r w:rsidRPr="00B02007">
        <w:rPr>
          <w:sz w:val="22"/>
          <w:szCs w:val="22"/>
        </w:rPr>
        <w:t>androgene</w:t>
      </w:r>
      <w:r w:rsidRPr="00863BB0">
        <w:rPr>
          <w:sz w:val="22"/>
          <w:szCs w:val="22"/>
          <w:lang w:val="sr-Latn-ME"/>
        </w:rPr>
        <w:t xml:space="preserve"> </w:t>
      </w:r>
      <w:r w:rsidRPr="00B02007">
        <w:rPr>
          <w:sz w:val="22"/>
          <w:szCs w:val="22"/>
        </w:rPr>
        <w:t>deprivacije</w:t>
      </w:r>
      <w:r w:rsidRPr="00863BB0">
        <w:rPr>
          <w:sz w:val="22"/>
          <w:szCs w:val="22"/>
          <w:lang w:val="sr-Latn-ME"/>
        </w:rPr>
        <w:t xml:space="preserve"> (</w:t>
      </w:r>
      <w:r w:rsidRPr="00337257">
        <w:rPr>
          <w:sz w:val="22"/>
          <w:szCs w:val="22"/>
        </w:rPr>
        <w:t>ADT</w:t>
      </w:r>
      <w:r w:rsidRPr="00863BB0">
        <w:rPr>
          <w:sz w:val="22"/>
          <w:szCs w:val="22"/>
          <w:lang w:val="sr-Latn-ME"/>
        </w:rPr>
        <w:t xml:space="preserve">), </w:t>
      </w:r>
      <w:r w:rsidRPr="00B02007">
        <w:rPr>
          <w:sz w:val="22"/>
          <w:szCs w:val="22"/>
        </w:rPr>
        <w:t>sa</w:t>
      </w:r>
      <w:r w:rsidRPr="00863BB0">
        <w:rPr>
          <w:sz w:val="22"/>
          <w:szCs w:val="22"/>
          <w:lang w:val="sr-Latn-ME"/>
        </w:rPr>
        <w:t xml:space="preserve"> </w:t>
      </w:r>
      <w:r w:rsidRPr="00B02007">
        <w:rPr>
          <w:sz w:val="22"/>
          <w:szCs w:val="22"/>
        </w:rPr>
        <w:t>ili</w:t>
      </w:r>
      <w:r w:rsidRPr="00863BB0">
        <w:rPr>
          <w:sz w:val="22"/>
          <w:szCs w:val="22"/>
          <w:lang w:val="sr-Latn-ME"/>
        </w:rPr>
        <w:t xml:space="preserve"> </w:t>
      </w:r>
      <w:r w:rsidRPr="00B02007">
        <w:rPr>
          <w:sz w:val="22"/>
          <w:szCs w:val="22"/>
        </w:rPr>
        <w:t>bez</w:t>
      </w:r>
      <w:r w:rsidRPr="00863BB0">
        <w:rPr>
          <w:sz w:val="22"/>
          <w:szCs w:val="22"/>
          <w:lang w:val="sr-Latn-ME"/>
        </w:rPr>
        <w:t xml:space="preserve"> </w:t>
      </w:r>
      <w:r w:rsidRPr="00B02007">
        <w:rPr>
          <w:sz w:val="22"/>
          <w:szCs w:val="22"/>
        </w:rPr>
        <w:t>prednizona</w:t>
      </w:r>
      <w:r w:rsidRPr="00863BB0">
        <w:rPr>
          <w:sz w:val="22"/>
          <w:szCs w:val="22"/>
          <w:lang w:val="sr-Latn-ME"/>
        </w:rPr>
        <w:t xml:space="preserve"> </w:t>
      </w:r>
      <w:r w:rsidRPr="00B02007">
        <w:rPr>
          <w:sz w:val="22"/>
          <w:szCs w:val="22"/>
        </w:rPr>
        <w:t>ili</w:t>
      </w:r>
      <w:r w:rsidRPr="00863BB0">
        <w:rPr>
          <w:sz w:val="22"/>
          <w:szCs w:val="22"/>
          <w:lang w:val="sr-Latn-ME"/>
        </w:rPr>
        <w:t xml:space="preserve"> </w:t>
      </w:r>
      <w:r w:rsidRPr="00B02007">
        <w:rPr>
          <w:sz w:val="22"/>
          <w:szCs w:val="22"/>
        </w:rPr>
        <w:t>prednizolona</w:t>
      </w:r>
      <w:r w:rsidRPr="00863BB0">
        <w:rPr>
          <w:sz w:val="22"/>
          <w:szCs w:val="22"/>
          <w:lang w:val="sr-Latn-ME"/>
        </w:rPr>
        <w:t xml:space="preserve">, </w:t>
      </w:r>
      <w:r w:rsidRPr="00B02007">
        <w:rPr>
          <w:sz w:val="22"/>
          <w:szCs w:val="22"/>
        </w:rPr>
        <w:t>indikovan</w:t>
      </w:r>
      <w:r w:rsidRPr="00863BB0">
        <w:rPr>
          <w:sz w:val="22"/>
          <w:szCs w:val="22"/>
          <w:lang w:val="sr-Latn-ME"/>
        </w:rPr>
        <w:t xml:space="preserve"> </w:t>
      </w:r>
      <w:r w:rsidRPr="00B02007">
        <w:rPr>
          <w:sz w:val="22"/>
          <w:szCs w:val="22"/>
        </w:rPr>
        <w:t>je</w:t>
      </w:r>
      <w:r w:rsidRPr="00863BB0">
        <w:rPr>
          <w:sz w:val="22"/>
          <w:szCs w:val="22"/>
          <w:lang w:val="sr-Latn-ME"/>
        </w:rPr>
        <w:t xml:space="preserve"> </w:t>
      </w:r>
      <w:r w:rsidRPr="00B02007">
        <w:rPr>
          <w:sz w:val="22"/>
          <w:szCs w:val="22"/>
        </w:rPr>
        <w:t>za</w:t>
      </w:r>
      <w:r w:rsidRPr="00863BB0">
        <w:rPr>
          <w:sz w:val="22"/>
          <w:szCs w:val="22"/>
          <w:lang w:val="sr-Latn-ME"/>
        </w:rPr>
        <w:t xml:space="preserve"> </w:t>
      </w:r>
      <w:r w:rsidRPr="00B02007">
        <w:rPr>
          <w:sz w:val="22"/>
          <w:szCs w:val="22"/>
        </w:rPr>
        <w:t>lije</w:t>
      </w:r>
      <w:r w:rsidRPr="00863BB0">
        <w:rPr>
          <w:sz w:val="22"/>
          <w:szCs w:val="22"/>
          <w:lang w:val="sr-Latn-ME"/>
        </w:rPr>
        <w:t>č</w:t>
      </w:r>
      <w:r w:rsidRPr="00B02007">
        <w:rPr>
          <w:sz w:val="22"/>
          <w:szCs w:val="22"/>
        </w:rPr>
        <w:t>enje</w:t>
      </w:r>
      <w:r w:rsidRPr="00863BB0">
        <w:rPr>
          <w:sz w:val="22"/>
          <w:szCs w:val="22"/>
          <w:lang w:val="sr-Latn-ME"/>
        </w:rPr>
        <w:t xml:space="preserve"> </w:t>
      </w:r>
      <w:r w:rsidRPr="00B02007">
        <w:rPr>
          <w:sz w:val="22"/>
          <w:szCs w:val="22"/>
        </w:rPr>
        <w:t>pacijenata</w:t>
      </w:r>
      <w:r w:rsidRPr="00863BB0">
        <w:rPr>
          <w:sz w:val="22"/>
          <w:szCs w:val="22"/>
          <w:lang w:val="sr-Latn-ME"/>
        </w:rPr>
        <w:t xml:space="preserve"> </w:t>
      </w:r>
      <w:r w:rsidRPr="00B02007">
        <w:rPr>
          <w:sz w:val="22"/>
          <w:szCs w:val="22"/>
        </w:rPr>
        <w:t>sa</w:t>
      </w:r>
      <w:r w:rsidRPr="00863BB0">
        <w:rPr>
          <w:sz w:val="22"/>
          <w:szCs w:val="22"/>
          <w:lang w:val="sr-Latn-ME"/>
        </w:rPr>
        <w:t xml:space="preserve"> </w:t>
      </w:r>
      <w:r w:rsidRPr="00B02007">
        <w:rPr>
          <w:sz w:val="22"/>
          <w:szCs w:val="22"/>
        </w:rPr>
        <w:t>metastatskim</w:t>
      </w:r>
      <w:r w:rsidRPr="00863BB0">
        <w:rPr>
          <w:sz w:val="22"/>
          <w:szCs w:val="22"/>
          <w:lang w:val="sr-Latn-ME"/>
        </w:rPr>
        <w:t xml:space="preserve"> </w:t>
      </w:r>
      <w:r w:rsidRPr="00B02007">
        <w:rPr>
          <w:sz w:val="22"/>
          <w:szCs w:val="22"/>
        </w:rPr>
        <w:t>karcinomom</w:t>
      </w:r>
      <w:r w:rsidRPr="00863BB0">
        <w:rPr>
          <w:sz w:val="22"/>
          <w:szCs w:val="22"/>
          <w:lang w:val="sr-Latn-ME"/>
        </w:rPr>
        <w:t xml:space="preserve"> </w:t>
      </w:r>
      <w:r w:rsidRPr="00B02007">
        <w:rPr>
          <w:sz w:val="22"/>
          <w:szCs w:val="22"/>
        </w:rPr>
        <w:t>prostate</w:t>
      </w:r>
      <w:r w:rsidRPr="00863BB0">
        <w:rPr>
          <w:sz w:val="22"/>
          <w:szCs w:val="22"/>
          <w:lang w:val="sr-Latn-ME"/>
        </w:rPr>
        <w:t xml:space="preserve"> </w:t>
      </w:r>
      <w:r w:rsidRPr="00B02007">
        <w:rPr>
          <w:sz w:val="22"/>
          <w:szCs w:val="22"/>
        </w:rPr>
        <w:t>osjetljivim</w:t>
      </w:r>
      <w:r w:rsidRPr="00863BB0">
        <w:rPr>
          <w:sz w:val="22"/>
          <w:szCs w:val="22"/>
          <w:lang w:val="sr-Latn-ME"/>
        </w:rPr>
        <w:t xml:space="preserve"> </w:t>
      </w:r>
      <w:r w:rsidRPr="00B02007">
        <w:rPr>
          <w:sz w:val="22"/>
          <w:szCs w:val="22"/>
        </w:rPr>
        <w:t>na</w:t>
      </w:r>
      <w:r w:rsidRPr="00863BB0">
        <w:rPr>
          <w:sz w:val="22"/>
          <w:szCs w:val="22"/>
          <w:lang w:val="sr-Latn-ME"/>
        </w:rPr>
        <w:t xml:space="preserve"> </w:t>
      </w:r>
      <w:r w:rsidRPr="00B02007">
        <w:rPr>
          <w:sz w:val="22"/>
          <w:szCs w:val="22"/>
        </w:rPr>
        <w:t>hormone</w:t>
      </w:r>
      <w:r w:rsidRPr="00863BB0">
        <w:rPr>
          <w:sz w:val="22"/>
          <w:szCs w:val="22"/>
          <w:lang w:val="sr-Latn-ME"/>
        </w:rPr>
        <w:t>.</w:t>
      </w:r>
    </w:p>
    <w:p w14:paraId="5CD318F4" w14:textId="77777777" w:rsidR="00725627" w:rsidRPr="00863BB0" w:rsidRDefault="00725627" w:rsidP="00725627">
      <w:pPr>
        <w:autoSpaceDE w:val="0"/>
        <w:autoSpaceDN w:val="0"/>
        <w:adjustRightInd w:val="0"/>
        <w:rPr>
          <w:sz w:val="22"/>
          <w:szCs w:val="22"/>
          <w:lang w:val="sr-Latn-ME"/>
        </w:rPr>
      </w:pPr>
    </w:p>
    <w:p w14:paraId="29713DD5" w14:textId="77777777" w:rsidR="00725627" w:rsidRPr="00863BB0" w:rsidRDefault="00725627" w:rsidP="00725627">
      <w:pPr>
        <w:autoSpaceDE w:val="0"/>
        <w:autoSpaceDN w:val="0"/>
        <w:adjustRightInd w:val="0"/>
        <w:rPr>
          <w:sz w:val="22"/>
          <w:szCs w:val="22"/>
          <w:u w:val="single"/>
          <w:lang w:val="sr-Latn-ME"/>
        </w:rPr>
      </w:pPr>
      <w:r w:rsidRPr="00337257">
        <w:rPr>
          <w:sz w:val="22"/>
          <w:szCs w:val="22"/>
          <w:u w:val="single"/>
        </w:rPr>
        <w:t>Adenokarcinom</w:t>
      </w:r>
      <w:r w:rsidRPr="00863BB0">
        <w:rPr>
          <w:sz w:val="22"/>
          <w:szCs w:val="22"/>
          <w:u w:val="single"/>
          <w:lang w:val="sr-Latn-ME"/>
        </w:rPr>
        <w:t xml:space="preserve"> ž</w:t>
      </w:r>
      <w:r w:rsidRPr="00337257">
        <w:rPr>
          <w:sz w:val="22"/>
          <w:szCs w:val="22"/>
          <w:u w:val="single"/>
        </w:rPr>
        <w:t>eluca</w:t>
      </w:r>
    </w:p>
    <w:p w14:paraId="785DCB26" w14:textId="77777777" w:rsidR="00725627" w:rsidRPr="00863BB0" w:rsidRDefault="00725627" w:rsidP="00725627">
      <w:pPr>
        <w:autoSpaceDE w:val="0"/>
        <w:autoSpaceDN w:val="0"/>
        <w:adjustRightInd w:val="0"/>
        <w:rPr>
          <w:sz w:val="22"/>
          <w:szCs w:val="22"/>
          <w:lang w:val="sr-Latn-ME"/>
        </w:rPr>
      </w:pPr>
    </w:p>
    <w:p w14:paraId="4147688A" w14:textId="77777777" w:rsidR="00725627" w:rsidRPr="00863BB0" w:rsidRDefault="00725627" w:rsidP="00725627">
      <w:pPr>
        <w:autoSpaceDE w:val="0"/>
        <w:autoSpaceDN w:val="0"/>
        <w:adjustRightInd w:val="0"/>
        <w:rPr>
          <w:sz w:val="22"/>
          <w:szCs w:val="22"/>
          <w:lang w:val="sr-Latn-ME"/>
        </w:rPr>
      </w:pPr>
      <w:r w:rsidRPr="00337257">
        <w:rPr>
          <w:sz w:val="22"/>
          <w:szCs w:val="22"/>
        </w:rPr>
        <w:t>Docetaksel</w:t>
      </w:r>
      <w:r w:rsidRPr="00863BB0">
        <w:rPr>
          <w:sz w:val="22"/>
          <w:szCs w:val="22"/>
          <w:lang w:val="sr-Latn-ME"/>
        </w:rPr>
        <w:t xml:space="preserve"> </w:t>
      </w:r>
      <w:r w:rsidRPr="00337257">
        <w:rPr>
          <w:sz w:val="22"/>
          <w:szCs w:val="22"/>
        </w:rPr>
        <w:t>u</w:t>
      </w:r>
      <w:r w:rsidRPr="00863BB0">
        <w:rPr>
          <w:sz w:val="22"/>
          <w:szCs w:val="22"/>
          <w:lang w:val="sr-Latn-ME"/>
        </w:rPr>
        <w:t xml:space="preserve"> </w:t>
      </w:r>
      <w:r w:rsidRPr="00337257">
        <w:rPr>
          <w:sz w:val="22"/>
          <w:szCs w:val="22"/>
        </w:rPr>
        <w:t>kombinaciji</w:t>
      </w:r>
      <w:r w:rsidRPr="00863BB0">
        <w:rPr>
          <w:sz w:val="22"/>
          <w:szCs w:val="22"/>
          <w:lang w:val="sr-Latn-ME"/>
        </w:rPr>
        <w:t xml:space="preserve"> </w:t>
      </w:r>
      <w:r w:rsidRPr="00337257">
        <w:rPr>
          <w:sz w:val="22"/>
          <w:szCs w:val="22"/>
        </w:rPr>
        <w:t>sa</w:t>
      </w:r>
      <w:r w:rsidRPr="00863BB0">
        <w:rPr>
          <w:sz w:val="22"/>
          <w:szCs w:val="22"/>
          <w:lang w:val="sr-Latn-ME"/>
        </w:rPr>
        <w:t xml:space="preserve"> </w:t>
      </w:r>
      <w:r w:rsidRPr="00337257">
        <w:rPr>
          <w:sz w:val="22"/>
          <w:szCs w:val="22"/>
        </w:rPr>
        <w:t>cisplatinom</w:t>
      </w:r>
      <w:r w:rsidRPr="00863BB0">
        <w:rPr>
          <w:sz w:val="22"/>
          <w:szCs w:val="22"/>
          <w:lang w:val="sr-Latn-ME"/>
        </w:rPr>
        <w:t xml:space="preserve"> </w:t>
      </w:r>
      <w:r w:rsidRPr="00337257">
        <w:rPr>
          <w:sz w:val="22"/>
          <w:szCs w:val="22"/>
        </w:rPr>
        <w:t>i</w:t>
      </w:r>
      <w:r w:rsidRPr="00863BB0">
        <w:rPr>
          <w:sz w:val="22"/>
          <w:szCs w:val="22"/>
          <w:lang w:val="sr-Latn-ME"/>
        </w:rPr>
        <w:t xml:space="preserve"> 5-</w:t>
      </w:r>
      <w:r w:rsidRPr="00337257">
        <w:rPr>
          <w:sz w:val="22"/>
          <w:szCs w:val="22"/>
        </w:rPr>
        <w:t>fluorouracilom</w:t>
      </w:r>
      <w:r w:rsidRPr="00863BB0">
        <w:rPr>
          <w:sz w:val="22"/>
          <w:szCs w:val="22"/>
          <w:lang w:val="sr-Latn-ME"/>
        </w:rPr>
        <w:t xml:space="preserve"> </w:t>
      </w:r>
      <w:r w:rsidRPr="00337257">
        <w:rPr>
          <w:sz w:val="22"/>
          <w:szCs w:val="22"/>
        </w:rPr>
        <w:t>je</w:t>
      </w:r>
      <w:r w:rsidRPr="00863BB0">
        <w:rPr>
          <w:sz w:val="22"/>
          <w:szCs w:val="22"/>
          <w:lang w:val="sr-Latn-ME"/>
        </w:rPr>
        <w:t xml:space="preserve"> </w:t>
      </w:r>
      <w:r w:rsidRPr="00337257">
        <w:rPr>
          <w:sz w:val="22"/>
          <w:szCs w:val="22"/>
        </w:rPr>
        <w:t>indikovan</w:t>
      </w:r>
      <w:r w:rsidRPr="00863BB0">
        <w:rPr>
          <w:sz w:val="22"/>
          <w:szCs w:val="22"/>
          <w:lang w:val="sr-Latn-ME"/>
        </w:rPr>
        <w:t xml:space="preserve"> </w:t>
      </w:r>
      <w:r w:rsidRPr="00337257">
        <w:rPr>
          <w:sz w:val="22"/>
          <w:szCs w:val="22"/>
        </w:rPr>
        <w:t>za</w:t>
      </w:r>
      <w:r w:rsidRPr="00863BB0">
        <w:rPr>
          <w:sz w:val="22"/>
          <w:szCs w:val="22"/>
          <w:lang w:val="sr-Latn-ME"/>
        </w:rPr>
        <w:t xml:space="preserve"> </w:t>
      </w:r>
      <w:r w:rsidRPr="00337257">
        <w:rPr>
          <w:sz w:val="22"/>
          <w:szCs w:val="22"/>
        </w:rPr>
        <w:t>lije</w:t>
      </w:r>
      <w:r w:rsidRPr="00863BB0">
        <w:rPr>
          <w:rFonts w:eastAsia="TimesNewRoman"/>
          <w:sz w:val="22"/>
          <w:szCs w:val="22"/>
          <w:lang w:val="sr-Latn-ME"/>
        </w:rPr>
        <w:t>č</w:t>
      </w:r>
      <w:r w:rsidRPr="00337257">
        <w:rPr>
          <w:sz w:val="22"/>
          <w:szCs w:val="22"/>
        </w:rPr>
        <w:t>enje</w:t>
      </w:r>
      <w:r w:rsidRPr="00863BB0">
        <w:rPr>
          <w:sz w:val="22"/>
          <w:szCs w:val="22"/>
          <w:lang w:val="sr-Latn-ME"/>
        </w:rPr>
        <w:t xml:space="preserve"> </w:t>
      </w:r>
      <w:r w:rsidRPr="00337257">
        <w:rPr>
          <w:sz w:val="22"/>
          <w:szCs w:val="22"/>
        </w:rPr>
        <w:t>pacijenata</w:t>
      </w:r>
      <w:r w:rsidRPr="00863BB0">
        <w:rPr>
          <w:sz w:val="22"/>
          <w:szCs w:val="22"/>
          <w:lang w:val="sr-Latn-ME"/>
        </w:rPr>
        <w:t xml:space="preserve"> </w:t>
      </w:r>
      <w:r w:rsidRPr="00337257">
        <w:rPr>
          <w:sz w:val="22"/>
          <w:szCs w:val="22"/>
        </w:rPr>
        <w:t>sa</w:t>
      </w:r>
      <w:r w:rsidRPr="00863BB0">
        <w:rPr>
          <w:sz w:val="22"/>
          <w:szCs w:val="22"/>
          <w:lang w:val="sr-Latn-ME"/>
        </w:rPr>
        <w:t xml:space="preserve"> </w:t>
      </w:r>
      <w:r w:rsidRPr="00337257">
        <w:rPr>
          <w:sz w:val="22"/>
          <w:szCs w:val="22"/>
        </w:rPr>
        <w:t>metastatskim</w:t>
      </w:r>
      <w:r w:rsidRPr="00863BB0">
        <w:rPr>
          <w:sz w:val="22"/>
          <w:szCs w:val="22"/>
          <w:lang w:val="sr-Latn-ME"/>
        </w:rPr>
        <w:t xml:space="preserve"> </w:t>
      </w:r>
      <w:r w:rsidRPr="00337257">
        <w:rPr>
          <w:sz w:val="22"/>
          <w:szCs w:val="22"/>
        </w:rPr>
        <w:t>adenokarcinomom</w:t>
      </w:r>
      <w:r w:rsidRPr="00863BB0">
        <w:rPr>
          <w:sz w:val="22"/>
          <w:szCs w:val="22"/>
          <w:lang w:val="sr-Latn-ME"/>
        </w:rPr>
        <w:t xml:space="preserve"> ž</w:t>
      </w:r>
      <w:r w:rsidRPr="00337257">
        <w:rPr>
          <w:sz w:val="22"/>
          <w:szCs w:val="22"/>
        </w:rPr>
        <w:t>eluca</w:t>
      </w:r>
      <w:r w:rsidRPr="00863BB0">
        <w:rPr>
          <w:sz w:val="22"/>
          <w:szCs w:val="22"/>
          <w:lang w:val="sr-Latn-ME"/>
        </w:rPr>
        <w:t xml:space="preserve">, </w:t>
      </w:r>
      <w:r w:rsidRPr="00337257">
        <w:rPr>
          <w:sz w:val="22"/>
          <w:szCs w:val="22"/>
        </w:rPr>
        <w:t>uklju</w:t>
      </w:r>
      <w:r w:rsidRPr="00863BB0">
        <w:rPr>
          <w:rFonts w:eastAsia="TimesNewRoman"/>
          <w:sz w:val="22"/>
          <w:szCs w:val="22"/>
          <w:lang w:val="sr-Latn-ME"/>
        </w:rPr>
        <w:t>č</w:t>
      </w:r>
      <w:r w:rsidRPr="00337257">
        <w:rPr>
          <w:sz w:val="22"/>
          <w:szCs w:val="22"/>
        </w:rPr>
        <w:t>uju</w:t>
      </w:r>
      <w:r w:rsidRPr="00863BB0">
        <w:rPr>
          <w:rFonts w:eastAsia="TimesNewRoman"/>
          <w:sz w:val="22"/>
          <w:szCs w:val="22"/>
          <w:lang w:val="sr-Latn-ME"/>
        </w:rPr>
        <w:t>ć</w:t>
      </w:r>
      <w:r w:rsidRPr="00337257">
        <w:rPr>
          <w:sz w:val="22"/>
          <w:szCs w:val="22"/>
        </w:rPr>
        <w:t>i</w:t>
      </w:r>
      <w:r w:rsidRPr="00863BB0">
        <w:rPr>
          <w:sz w:val="22"/>
          <w:szCs w:val="22"/>
          <w:lang w:val="sr-Latn-ME"/>
        </w:rPr>
        <w:t xml:space="preserve"> </w:t>
      </w:r>
      <w:r w:rsidRPr="00337257">
        <w:rPr>
          <w:sz w:val="22"/>
          <w:szCs w:val="22"/>
        </w:rPr>
        <w:t>adenokarcinom</w:t>
      </w:r>
      <w:r w:rsidRPr="00863BB0">
        <w:rPr>
          <w:sz w:val="22"/>
          <w:szCs w:val="22"/>
          <w:lang w:val="sr-Latn-ME"/>
        </w:rPr>
        <w:t xml:space="preserve"> </w:t>
      </w:r>
      <w:r w:rsidRPr="00337257">
        <w:rPr>
          <w:sz w:val="22"/>
          <w:szCs w:val="22"/>
        </w:rPr>
        <w:t>gastroezofagealne</w:t>
      </w:r>
      <w:r w:rsidRPr="00863BB0">
        <w:rPr>
          <w:sz w:val="22"/>
          <w:szCs w:val="22"/>
          <w:lang w:val="sr-Latn-ME"/>
        </w:rPr>
        <w:t xml:space="preserve"> </w:t>
      </w:r>
      <w:r w:rsidRPr="00337257">
        <w:rPr>
          <w:sz w:val="22"/>
          <w:szCs w:val="22"/>
        </w:rPr>
        <w:t>spojnice</w:t>
      </w:r>
      <w:r w:rsidRPr="00863BB0">
        <w:rPr>
          <w:sz w:val="22"/>
          <w:szCs w:val="22"/>
          <w:lang w:val="sr-Latn-ME"/>
        </w:rPr>
        <w:t xml:space="preserve">, </w:t>
      </w:r>
      <w:r w:rsidRPr="00337257">
        <w:rPr>
          <w:sz w:val="22"/>
          <w:szCs w:val="22"/>
        </w:rPr>
        <w:t>koji</w:t>
      </w:r>
      <w:r w:rsidRPr="00863BB0">
        <w:rPr>
          <w:sz w:val="22"/>
          <w:szCs w:val="22"/>
          <w:lang w:val="sr-Latn-ME"/>
        </w:rPr>
        <w:t xml:space="preserve"> </w:t>
      </w:r>
      <w:r w:rsidRPr="00337257">
        <w:rPr>
          <w:sz w:val="22"/>
          <w:szCs w:val="22"/>
        </w:rPr>
        <w:t>prethodno</w:t>
      </w:r>
      <w:r w:rsidRPr="00863BB0">
        <w:rPr>
          <w:sz w:val="22"/>
          <w:szCs w:val="22"/>
          <w:lang w:val="sr-Latn-ME"/>
        </w:rPr>
        <w:t xml:space="preserve"> </w:t>
      </w:r>
      <w:r w:rsidRPr="00337257">
        <w:rPr>
          <w:sz w:val="22"/>
          <w:szCs w:val="22"/>
        </w:rPr>
        <w:t>nijesu</w:t>
      </w:r>
      <w:r w:rsidRPr="00863BB0">
        <w:rPr>
          <w:sz w:val="22"/>
          <w:szCs w:val="22"/>
          <w:lang w:val="sr-Latn-ME"/>
        </w:rPr>
        <w:t xml:space="preserve"> </w:t>
      </w:r>
      <w:r w:rsidRPr="00337257">
        <w:rPr>
          <w:sz w:val="22"/>
          <w:szCs w:val="22"/>
        </w:rPr>
        <w:t>primali</w:t>
      </w:r>
      <w:r w:rsidRPr="00863BB0">
        <w:rPr>
          <w:sz w:val="22"/>
          <w:szCs w:val="22"/>
          <w:lang w:val="sr-Latn-ME"/>
        </w:rPr>
        <w:t xml:space="preserve"> </w:t>
      </w:r>
      <w:r w:rsidRPr="00337257">
        <w:rPr>
          <w:sz w:val="22"/>
          <w:szCs w:val="22"/>
        </w:rPr>
        <w:t>hemioterapiju</w:t>
      </w:r>
      <w:r w:rsidRPr="00863BB0">
        <w:rPr>
          <w:sz w:val="22"/>
          <w:szCs w:val="22"/>
          <w:lang w:val="sr-Latn-ME"/>
        </w:rPr>
        <w:t xml:space="preserve"> </w:t>
      </w:r>
      <w:r w:rsidRPr="00337257">
        <w:rPr>
          <w:sz w:val="22"/>
          <w:szCs w:val="22"/>
        </w:rPr>
        <w:t>za</w:t>
      </w:r>
      <w:r w:rsidRPr="00863BB0">
        <w:rPr>
          <w:sz w:val="22"/>
          <w:szCs w:val="22"/>
          <w:lang w:val="sr-Latn-ME"/>
        </w:rPr>
        <w:t xml:space="preserve"> </w:t>
      </w:r>
      <w:r w:rsidRPr="00337257">
        <w:rPr>
          <w:sz w:val="22"/>
          <w:szCs w:val="22"/>
        </w:rPr>
        <w:t>metastatsku</w:t>
      </w:r>
      <w:r w:rsidRPr="00863BB0">
        <w:rPr>
          <w:sz w:val="22"/>
          <w:szCs w:val="22"/>
          <w:lang w:val="sr-Latn-ME"/>
        </w:rPr>
        <w:t xml:space="preserve"> </w:t>
      </w:r>
      <w:r w:rsidRPr="00337257">
        <w:rPr>
          <w:sz w:val="22"/>
          <w:szCs w:val="22"/>
        </w:rPr>
        <w:t>bolest</w:t>
      </w:r>
      <w:r w:rsidRPr="00863BB0">
        <w:rPr>
          <w:sz w:val="22"/>
          <w:szCs w:val="22"/>
          <w:lang w:val="sr-Latn-ME"/>
        </w:rPr>
        <w:t>.</w:t>
      </w:r>
    </w:p>
    <w:p w14:paraId="6B825A29" w14:textId="77777777" w:rsidR="00725627" w:rsidRPr="00863BB0" w:rsidRDefault="00725627" w:rsidP="00725627">
      <w:pPr>
        <w:autoSpaceDE w:val="0"/>
        <w:autoSpaceDN w:val="0"/>
        <w:adjustRightInd w:val="0"/>
        <w:rPr>
          <w:sz w:val="22"/>
          <w:szCs w:val="22"/>
          <w:lang w:val="sr-Latn-ME"/>
        </w:rPr>
      </w:pPr>
    </w:p>
    <w:p w14:paraId="02C9C38B" w14:textId="77777777" w:rsidR="00725627" w:rsidRPr="00863BB0" w:rsidRDefault="00725627" w:rsidP="00725627">
      <w:pPr>
        <w:autoSpaceDE w:val="0"/>
        <w:autoSpaceDN w:val="0"/>
        <w:adjustRightInd w:val="0"/>
        <w:rPr>
          <w:sz w:val="22"/>
          <w:szCs w:val="22"/>
          <w:u w:val="single"/>
          <w:lang w:val="sr-Latn-ME"/>
        </w:rPr>
      </w:pPr>
      <w:r w:rsidRPr="00337257">
        <w:rPr>
          <w:sz w:val="22"/>
          <w:szCs w:val="22"/>
          <w:u w:val="single"/>
        </w:rPr>
        <w:t>Karcinom</w:t>
      </w:r>
      <w:r w:rsidRPr="00863BB0">
        <w:rPr>
          <w:sz w:val="22"/>
          <w:szCs w:val="22"/>
          <w:u w:val="single"/>
          <w:lang w:val="sr-Latn-ME"/>
        </w:rPr>
        <w:t xml:space="preserve"> </w:t>
      </w:r>
      <w:r w:rsidRPr="00337257">
        <w:rPr>
          <w:sz w:val="22"/>
          <w:szCs w:val="22"/>
          <w:u w:val="single"/>
        </w:rPr>
        <w:t>glave</w:t>
      </w:r>
      <w:r w:rsidRPr="00863BB0">
        <w:rPr>
          <w:sz w:val="22"/>
          <w:szCs w:val="22"/>
          <w:u w:val="single"/>
          <w:lang w:val="sr-Latn-ME"/>
        </w:rPr>
        <w:t xml:space="preserve"> </w:t>
      </w:r>
      <w:r w:rsidRPr="00337257">
        <w:rPr>
          <w:sz w:val="22"/>
          <w:szCs w:val="22"/>
          <w:u w:val="single"/>
        </w:rPr>
        <w:t>i</w:t>
      </w:r>
      <w:r w:rsidRPr="00863BB0">
        <w:rPr>
          <w:sz w:val="22"/>
          <w:szCs w:val="22"/>
          <w:u w:val="single"/>
          <w:lang w:val="sr-Latn-ME"/>
        </w:rPr>
        <w:t xml:space="preserve"> </w:t>
      </w:r>
      <w:r w:rsidRPr="00337257">
        <w:rPr>
          <w:sz w:val="22"/>
          <w:szCs w:val="22"/>
          <w:u w:val="single"/>
        </w:rPr>
        <w:t>vrata</w:t>
      </w:r>
    </w:p>
    <w:p w14:paraId="115F6DA9" w14:textId="77777777" w:rsidR="00725627" w:rsidRPr="00863BB0" w:rsidRDefault="00725627" w:rsidP="00725627">
      <w:pPr>
        <w:autoSpaceDE w:val="0"/>
        <w:autoSpaceDN w:val="0"/>
        <w:adjustRightInd w:val="0"/>
        <w:rPr>
          <w:sz w:val="22"/>
          <w:szCs w:val="22"/>
          <w:lang w:val="sr-Latn-ME"/>
        </w:rPr>
      </w:pPr>
    </w:p>
    <w:p w14:paraId="14FEAEC9" w14:textId="77777777" w:rsidR="00725627" w:rsidRPr="00863BB0" w:rsidRDefault="00725627" w:rsidP="00725627">
      <w:pPr>
        <w:autoSpaceDE w:val="0"/>
        <w:autoSpaceDN w:val="0"/>
        <w:adjustRightInd w:val="0"/>
        <w:rPr>
          <w:sz w:val="22"/>
          <w:szCs w:val="22"/>
          <w:lang w:val="sr-Latn-ME"/>
        </w:rPr>
      </w:pPr>
      <w:r w:rsidRPr="00337257">
        <w:rPr>
          <w:sz w:val="22"/>
          <w:szCs w:val="22"/>
        </w:rPr>
        <w:t>Docetaksel</w:t>
      </w:r>
      <w:r w:rsidRPr="00863BB0">
        <w:rPr>
          <w:sz w:val="22"/>
          <w:szCs w:val="22"/>
          <w:lang w:val="sr-Latn-ME"/>
        </w:rPr>
        <w:t xml:space="preserve"> </w:t>
      </w:r>
      <w:r w:rsidRPr="00337257">
        <w:rPr>
          <w:sz w:val="22"/>
          <w:szCs w:val="22"/>
        </w:rPr>
        <w:t>je</w:t>
      </w:r>
      <w:r w:rsidRPr="00863BB0">
        <w:rPr>
          <w:sz w:val="22"/>
          <w:szCs w:val="22"/>
          <w:lang w:val="sr-Latn-ME"/>
        </w:rPr>
        <w:t xml:space="preserve">, </w:t>
      </w:r>
      <w:r w:rsidRPr="00337257">
        <w:rPr>
          <w:sz w:val="22"/>
          <w:szCs w:val="22"/>
        </w:rPr>
        <w:t>u</w:t>
      </w:r>
      <w:r w:rsidRPr="00863BB0">
        <w:rPr>
          <w:sz w:val="22"/>
          <w:szCs w:val="22"/>
          <w:lang w:val="sr-Latn-ME"/>
        </w:rPr>
        <w:t xml:space="preserve"> </w:t>
      </w:r>
      <w:r w:rsidRPr="00337257">
        <w:rPr>
          <w:sz w:val="22"/>
          <w:szCs w:val="22"/>
        </w:rPr>
        <w:t>kombinaciji</w:t>
      </w:r>
      <w:r w:rsidRPr="00863BB0">
        <w:rPr>
          <w:sz w:val="22"/>
          <w:szCs w:val="22"/>
          <w:lang w:val="sr-Latn-ME"/>
        </w:rPr>
        <w:t xml:space="preserve"> </w:t>
      </w:r>
      <w:r w:rsidRPr="00337257">
        <w:rPr>
          <w:sz w:val="22"/>
          <w:szCs w:val="22"/>
        </w:rPr>
        <w:t>sa</w:t>
      </w:r>
      <w:r w:rsidRPr="00863BB0">
        <w:rPr>
          <w:sz w:val="22"/>
          <w:szCs w:val="22"/>
          <w:lang w:val="sr-Latn-ME"/>
        </w:rPr>
        <w:t xml:space="preserve"> </w:t>
      </w:r>
      <w:r w:rsidRPr="00337257">
        <w:rPr>
          <w:sz w:val="22"/>
          <w:szCs w:val="22"/>
        </w:rPr>
        <w:t>cisplatinom</w:t>
      </w:r>
      <w:r w:rsidRPr="00863BB0">
        <w:rPr>
          <w:sz w:val="22"/>
          <w:szCs w:val="22"/>
          <w:lang w:val="sr-Latn-ME"/>
        </w:rPr>
        <w:t xml:space="preserve"> </w:t>
      </w:r>
      <w:r w:rsidRPr="00337257">
        <w:rPr>
          <w:sz w:val="22"/>
          <w:szCs w:val="22"/>
        </w:rPr>
        <w:t>i</w:t>
      </w:r>
      <w:r w:rsidRPr="00863BB0">
        <w:rPr>
          <w:sz w:val="22"/>
          <w:szCs w:val="22"/>
          <w:lang w:val="sr-Latn-ME"/>
        </w:rPr>
        <w:t xml:space="preserve"> 5-</w:t>
      </w:r>
      <w:r w:rsidRPr="00337257">
        <w:rPr>
          <w:sz w:val="22"/>
          <w:szCs w:val="22"/>
        </w:rPr>
        <w:t>fluorouracilom</w:t>
      </w:r>
      <w:r w:rsidRPr="00863BB0">
        <w:rPr>
          <w:sz w:val="22"/>
          <w:szCs w:val="22"/>
          <w:lang w:val="sr-Latn-ME"/>
        </w:rPr>
        <w:t xml:space="preserve">, </w:t>
      </w:r>
      <w:r w:rsidRPr="00337257">
        <w:rPr>
          <w:sz w:val="22"/>
          <w:szCs w:val="22"/>
        </w:rPr>
        <w:t>indikovan</w:t>
      </w:r>
      <w:r w:rsidRPr="00863BB0">
        <w:rPr>
          <w:sz w:val="22"/>
          <w:szCs w:val="22"/>
          <w:lang w:val="sr-Latn-ME"/>
        </w:rPr>
        <w:t xml:space="preserve"> </w:t>
      </w:r>
      <w:r w:rsidRPr="00337257">
        <w:rPr>
          <w:sz w:val="22"/>
          <w:szCs w:val="22"/>
        </w:rPr>
        <w:t>za</w:t>
      </w:r>
      <w:r w:rsidRPr="00863BB0">
        <w:rPr>
          <w:sz w:val="22"/>
          <w:szCs w:val="22"/>
          <w:lang w:val="sr-Latn-ME"/>
        </w:rPr>
        <w:t xml:space="preserve"> </w:t>
      </w:r>
      <w:r w:rsidRPr="00337257">
        <w:rPr>
          <w:sz w:val="22"/>
          <w:szCs w:val="22"/>
        </w:rPr>
        <w:t>indukcionu</w:t>
      </w:r>
      <w:r w:rsidRPr="00863BB0">
        <w:rPr>
          <w:sz w:val="22"/>
          <w:szCs w:val="22"/>
          <w:lang w:val="sr-Latn-ME"/>
        </w:rPr>
        <w:t xml:space="preserve"> </w:t>
      </w:r>
      <w:r w:rsidRPr="00337257">
        <w:rPr>
          <w:sz w:val="22"/>
          <w:szCs w:val="22"/>
        </w:rPr>
        <w:t>terapiju</w:t>
      </w:r>
      <w:r w:rsidRPr="00863BB0">
        <w:rPr>
          <w:sz w:val="22"/>
          <w:szCs w:val="22"/>
          <w:lang w:val="sr-Latn-ME"/>
        </w:rPr>
        <w:t xml:space="preserve"> </w:t>
      </w:r>
      <w:r w:rsidRPr="00337257">
        <w:rPr>
          <w:sz w:val="22"/>
          <w:szCs w:val="22"/>
        </w:rPr>
        <w:t>pacijenata</w:t>
      </w:r>
      <w:r w:rsidRPr="00863BB0">
        <w:rPr>
          <w:sz w:val="22"/>
          <w:szCs w:val="22"/>
          <w:lang w:val="sr-Latn-ME"/>
        </w:rPr>
        <w:t xml:space="preserve"> </w:t>
      </w:r>
      <w:r w:rsidRPr="00337257">
        <w:rPr>
          <w:sz w:val="22"/>
          <w:szCs w:val="22"/>
        </w:rPr>
        <w:t>sa</w:t>
      </w:r>
      <w:r w:rsidRPr="00863BB0">
        <w:rPr>
          <w:sz w:val="22"/>
          <w:szCs w:val="22"/>
          <w:lang w:val="sr-Latn-ME"/>
        </w:rPr>
        <w:t xml:space="preserve"> </w:t>
      </w:r>
      <w:r w:rsidRPr="00337257">
        <w:rPr>
          <w:sz w:val="22"/>
          <w:szCs w:val="22"/>
        </w:rPr>
        <w:t>lokalno</w:t>
      </w:r>
      <w:r w:rsidRPr="00863BB0">
        <w:rPr>
          <w:sz w:val="22"/>
          <w:szCs w:val="22"/>
          <w:lang w:val="sr-Latn-ME"/>
        </w:rPr>
        <w:t xml:space="preserve"> </w:t>
      </w:r>
      <w:r w:rsidRPr="00337257">
        <w:rPr>
          <w:sz w:val="22"/>
          <w:szCs w:val="22"/>
        </w:rPr>
        <w:t>uznapredovalim</w:t>
      </w:r>
      <w:r w:rsidRPr="00863BB0">
        <w:rPr>
          <w:sz w:val="22"/>
          <w:szCs w:val="22"/>
          <w:lang w:val="sr-Latn-ME"/>
        </w:rPr>
        <w:t xml:space="preserve"> </w:t>
      </w:r>
      <w:r w:rsidRPr="00337257">
        <w:rPr>
          <w:sz w:val="22"/>
          <w:szCs w:val="22"/>
        </w:rPr>
        <w:t>karcinomom</w:t>
      </w:r>
      <w:r w:rsidRPr="00863BB0">
        <w:rPr>
          <w:sz w:val="22"/>
          <w:szCs w:val="22"/>
          <w:lang w:val="sr-Latn-ME"/>
        </w:rPr>
        <w:t xml:space="preserve"> </w:t>
      </w:r>
      <w:r w:rsidRPr="00337257">
        <w:rPr>
          <w:sz w:val="22"/>
          <w:szCs w:val="22"/>
        </w:rPr>
        <w:t>skvamoznih</w:t>
      </w:r>
      <w:r w:rsidRPr="00863BB0">
        <w:rPr>
          <w:sz w:val="22"/>
          <w:szCs w:val="22"/>
          <w:lang w:val="sr-Latn-ME"/>
        </w:rPr>
        <w:t xml:space="preserve"> </w:t>
      </w:r>
      <w:r w:rsidRPr="00863BB0">
        <w:rPr>
          <w:rFonts w:eastAsia="TimesNewRoman"/>
          <w:sz w:val="22"/>
          <w:szCs w:val="22"/>
          <w:lang w:val="sr-Latn-ME"/>
        </w:rPr>
        <w:t>ć</w:t>
      </w:r>
      <w:r w:rsidRPr="00337257">
        <w:rPr>
          <w:sz w:val="22"/>
          <w:szCs w:val="22"/>
        </w:rPr>
        <w:t>elija</w:t>
      </w:r>
      <w:r w:rsidRPr="00863BB0">
        <w:rPr>
          <w:sz w:val="22"/>
          <w:szCs w:val="22"/>
          <w:lang w:val="sr-Latn-ME"/>
        </w:rPr>
        <w:t xml:space="preserve"> </w:t>
      </w:r>
      <w:r w:rsidRPr="00337257">
        <w:rPr>
          <w:sz w:val="22"/>
          <w:szCs w:val="22"/>
        </w:rPr>
        <w:t>glave</w:t>
      </w:r>
      <w:r w:rsidRPr="00863BB0">
        <w:rPr>
          <w:sz w:val="22"/>
          <w:szCs w:val="22"/>
          <w:lang w:val="sr-Latn-ME"/>
        </w:rPr>
        <w:t xml:space="preserve"> </w:t>
      </w:r>
      <w:r w:rsidRPr="00337257">
        <w:rPr>
          <w:sz w:val="22"/>
          <w:szCs w:val="22"/>
        </w:rPr>
        <w:t>i</w:t>
      </w:r>
      <w:r w:rsidRPr="00863BB0">
        <w:rPr>
          <w:sz w:val="22"/>
          <w:szCs w:val="22"/>
          <w:lang w:val="sr-Latn-ME"/>
        </w:rPr>
        <w:t xml:space="preserve"> </w:t>
      </w:r>
      <w:r w:rsidRPr="00337257">
        <w:rPr>
          <w:sz w:val="22"/>
          <w:szCs w:val="22"/>
        </w:rPr>
        <w:t>vrata</w:t>
      </w:r>
      <w:r w:rsidRPr="00863BB0">
        <w:rPr>
          <w:sz w:val="22"/>
          <w:szCs w:val="22"/>
          <w:lang w:val="sr-Latn-ME"/>
        </w:rPr>
        <w:t>.</w:t>
      </w:r>
    </w:p>
    <w:p w14:paraId="1D90EBB2" w14:textId="77777777" w:rsidR="00725627" w:rsidRPr="003C4185" w:rsidRDefault="00725627" w:rsidP="00725627">
      <w:pPr>
        <w:pStyle w:val="ListParagraph"/>
        <w:tabs>
          <w:tab w:val="clear" w:pos="284"/>
          <w:tab w:val="left" w:pos="42"/>
        </w:tabs>
        <w:autoSpaceDE w:val="0"/>
        <w:autoSpaceDN w:val="0"/>
        <w:adjustRightInd w:val="0"/>
        <w:ind w:left="42"/>
        <w:rPr>
          <w:rFonts w:ascii="Times New Roman" w:hAnsi="Times New Roman"/>
          <w:sz w:val="22"/>
          <w:szCs w:val="22"/>
        </w:rPr>
      </w:pPr>
    </w:p>
    <w:p w14:paraId="0872A013" w14:textId="77777777" w:rsidR="00725627" w:rsidRPr="00863BB0" w:rsidRDefault="00725627" w:rsidP="00480FB1">
      <w:pPr>
        <w:tabs>
          <w:tab w:val="left" w:pos="540"/>
          <w:tab w:val="left" w:pos="569"/>
        </w:tabs>
        <w:rPr>
          <w:bCs/>
          <w:sz w:val="22"/>
          <w:szCs w:val="22"/>
          <w:lang w:val="sr-Latn-ME"/>
        </w:rPr>
      </w:pPr>
    </w:p>
    <w:p w14:paraId="0F65DC8B" w14:textId="77777777" w:rsidR="00411B4B" w:rsidRPr="00BB3077" w:rsidRDefault="00411B4B" w:rsidP="00480FB1">
      <w:pPr>
        <w:tabs>
          <w:tab w:val="left" w:pos="540"/>
          <w:tab w:val="left" w:pos="569"/>
        </w:tabs>
        <w:rPr>
          <w:b/>
          <w:bCs/>
          <w:sz w:val="22"/>
          <w:szCs w:val="22"/>
          <w:lang w:val="sr-Latn-ME"/>
        </w:rPr>
      </w:pPr>
      <w:r w:rsidRPr="00BB3077">
        <w:rPr>
          <w:b/>
          <w:bCs/>
          <w:sz w:val="22"/>
          <w:szCs w:val="22"/>
          <w:lang w:val="sr-Latn-ME"/>
        </w:rPr>
        <w:lastRenderedPageBreak/>
        <w:t xml:space="preserve">4.2. </w:t>
      </w:r>
      <w:r w:rsidR="00480FB1" w:rsidRPr="00BB3077">
        <w:rPr>
          <w:b/>
          <w:bCs/>
          <w:sz w:val="22"/>
          <w:szCs w:val="22"/>
          <w:lang w:val="sr-Latn-ME"/>
        </w:rPr>
        <w:tab/>
      </w:r>
      <w:r w:rsidRPr="000B639B">
        <w:rPr>
          <w:b/>
          <w:bCs/>
          <w:sz w:val="22"/>
          <w:szCs w:val="22"/>
          <w:lang w:val="de-DE"/>
        </w:rPr>
        <w:t>Doziranje</w:t>
      </w:r>
      <w:r w:rsidRPr="00BB3077">
        <w:rPr>
          <w:b/>
          <w:bCs/>
          <w:sz w:val="22"/>
          <w:szCs w:val="22"/>
          <w:lang w:val="sr-Latn-ME"/>
        </w:rPr>
        <w:t xml:space="preserve"> </w:t>
      </w:r>
      <w:r w:rsidRPr="000B639B">
        <w:rPr>
          <w:b/>
          <w:bCs/>
          <w:sz w:val="22"/>
          <w:szCs w:val="22"/>
          <w:lang w:val="de-DE"/>
        </w:rPr>
        <w:t>i</w:t>
      </w:r>
      <w:r w:rsidRPr="00BB3077">
        <w:rPr>
          <w:b/>
          <w:bCs/>
          <w:sz w:val="22"/>
          <w:szCs w:val="22"/>
          <w:lang w:val="sr-Latn-ME"/>
        </w:rPr>
        <w:t xml:space="preserve"> </w:t>
      </w:r>
      <w:r w:rsidRPr="000B639B">
        <w:rPr>
          <w:b/>
          <w:bCs/>
          <w:sz w:val="22"/>
          <w:szCs w:val="22"/>
          <w:lang w:val="de-DE"/>
        </w:rPr>
        <w:t>na</w:t>
      </w:r>
      <w:r w:rsidRPr="00BB3077">
        <w:rPr>
          <w:b/>
          <w:bCs/>
          <w:sz w:val="22"/>
          <w:szCs w:val="22"/>
          <w:lang w:val="sr-Latn-ME"/>
        </w:rPr>
        <w:t>č</w:t>
      </w:r>
      <w:r w:rsidRPr="000B639B">
        <w:rPr>
          <w:b/>
          <w:bCs/>
          <w:sz w:val="22"/>
          <w:szCs w:val="22"/>
          <w:lang w:val="de-DE"/>
        </w:rPr>
        <w:t>in</w:t>
      </w:r>
      <w:r w:rsidRPr="00BB3077">
        <w:rPr>
          <w:b/>
          <w:bCs/>
          <w:sz w:val="22"/>
          <w:szCs w:val="22"/>
          <w:lang w:val="sr-Latn-ME"/>
        </w:rPr>
        <w:t xml:space="preserve"> </w:t>
      </w:r>
      <w:r w:rsidRPr="000B639B">
        <w:rPr>
          <w:b/>
          <w:bCs/>
          <w:sz w:val="22"/>
          <w:szCs w:val="22"/>
          <w:lang w:val="de-DE"/>
        </w:rPr>
        <w:t>primjene</w:t>
      </w:r>
    </w:p>
    <w:p w14:paraId="51CA8342" w14:textId="77777777" w:rsidR="0072020E" w:rsidRPr="00BB3077" w:rsidRDefault="0072020E" w:rsidP="00480FB1">
      <w:pPr>
        <w:tabs>
          <w:tab w:val="left" w:pos="540"/>
          <w:tab w:val="left" w:pos="569"/>
        </w:tabs>
        <w:rPr>
          <w:bCs/>
          <w:sz w:val="22"/>
          <w:szCs w:val="22"/>
          <w:lang w:val="sr-Latn-ME"/>
        </w:rPr>
      </w:pPr>
    </w:p>
    <w:p w14:paraId="3A465F76" w14:textId="40674B2C" w:rsidR="00863BB0" w:rsidRPr="00BB3077" w:rsidRDefault="009D254D" w:rsidP="00863BB0">
      <w:pPr>
        <w:autoSpaceDE w:val="0"/>
        <w:autoSpaceDN w:val="0"/>
        <w:adjustRightInd w:val="0"/>
        <w:rPr>
          <w:sz w:val="22"/>
          <w:szCs w:val="22"/>
          <w:lang w:val="sr-Latn-ME"/>
        </w:rPr>
      </w:pPr>
      <w:r>
        <w:rPr>
          <w:sz w:val="22"/>
          <w:szCs w:val="22"/>
          <w:lang w:val="de-DE"/>
        </w:rPr>
        <w:t>Docetaxel Hospira</w:t>
      </w:r>
      <w:r w:rsidR="00863BB0" w:rsidRPr="00BB3077">
        <w:rPr>
          <w:sz w:val="22"/>
          <w:szCs w:val="22"/>
          <w:lang w:val="sr-Latn-ME"/>
        </w:rPr>
        <w:t xml:space="preserve"> </w:t>
      </w:r>
      <w:r w:rsidR="00863BB0" w:rsidRPr="00863BB0">
        <w:rPr>
          <w:sz w:val="22"/>
          <w:szCs w:val="22"/>
          <w:lang w:val="de-DE"/>
        </w:rPr>
        <w:t>je</w:t>
      </w:r>
      <w:r w:rsidR="00863BB0" w:rsidRPr="00BB3077">
        <w:rPr>
          <w:sz w:val="22"/>
          <w:szCs w:val="22"/>
          <w:lang w:val="sr-Latn-ME"/>
        </w:rPr>
        <w:t xml:space="preserve"> </w:t>
      </w:r>
      <w:r w:rsidR="00863BB0" w:rsidRPr="00863BB0">
        <w:rPr>
          <w:sz w:val="22"/>
          <w:szCs w:val="22"/>
          <w:lang w:val="de-DE"/>
        </w:rPr>
        <w:t>namijenjen</w:t>
      </w:r>
      <w:r w:rsidR="00863BB0" w:rsidRPr="00BB3077">
        <w:rPr>
          <w:sz w:val="22"/>
          <w:szCs w:val="22"/>
          <w:lang w:val="sr-Latn-ME"/>
        </w:rPr>
        <w:t xml:space="preserve"> </w:t>
      </w:r>
      <w:r w:rsidR="00863BB0" w:rsidRPr="00863BB0">
        <w:rPr>
          <w:sz w:val="22"/>
          <w:szCs w:val="22"/>
          <w:lang w:val="de-DE"/>
        </w:rPr>
        <w:t>isklju</w:t>
      </w:r>
      <w:r w:rsidR="00863BB0" w:rsidRPr="00BB3077">
        <w:rPr>
          <w:sz w:val="22"/>
          <w:szCs w:val="22"/>
          <w:lang w:val="sr-Latn-ME"/>
        </w:rPr>
        <w:t>č</w:t>
      </w:r>
      <w:r w:rsidR="00863BB0" w:rsidRPr="00863BB0">
        <w:rPr>
          <w:sz w:val="22"/>
          <w:szCs w:val="22"/>
          <w:lang w:val="de-DE"/>
        </w:rPr>
        <w:t>ivo</w:t>
      </w:r>
      <w:r w:rsidR="00863BB0" w:rsidRPr="00BB3077">
        <w:rPr>
          <w:sz w:val="22"/>
          <w:szCs w:val="22"/>
          <w:lang w:val="sr-Latn-ME"/>
        </w:rPr>
        <w:t xml:space="preserve"> </w:t>
      </w:r>
      <w:r w:rsidR="00863BB0" w:rsidRPr="00863BB0">
        <w:rPr>
          <w:sz w:val="22"/>
          <w:szCs w:val="22"/>
          <w:lang w:val="de-DE"/>
        </w:rPr>
        <w:t>za</w:t>
      </w:r>
      <w:r w:rsidR="00863BB0" w:rsidRPr="00BB3077">
        <w:rPr>
          <w:sz w:val="22"/>
          <w:szCs w:val="22"/>
          <w:lang w:val="sr-Latn-ME"/>
        </w:rPr>
        <w:t xml:space="preserve"> </w:t>
      </w:r>
      <w:r w:rsidR="00863BB0" w:rsidRPr="00863BB0">
        <w:rPr>
          <w:sz w:val="22"/>
          <w:szCs w:val="22"/>
          <w:lang w:val="de-DE"/>
        </w:rPr>
        <w:t>intravensku</w:t>
      </w:r>
      <w:r w:rsidR="00863BB0" w:rsidRPr="00BB3077">
        <w:rPr>
          <w:sz w:val="22"/>
          <w:szCs w:val="22"/>
          <w:lang w:val="sr-Latn-ME"/>
        </w:rPr>
        <w:t xml:space="preserve"> </w:t>
      </w:r>
      <w:r w:rsidR="00863BB0" w:rsidRPr="00863BB0">
        <w:rPr>
          <w:sz w:val="22"/>
          <w:szCs w:val="22"/>
          <w:lang w:val="de-DE"/>
        </w:rPr>
        <w:t>upotrebu</w:t>
      </w:r>
      <w:r w:rsidR="00863BB0" w:rsidRPr="00BB3077">
        <w:rPr>
          <w:sz w:val="22"/>
          <w:szCs w:val="22"/>
          <w:lang w:val="sr-Latn-ME"/>
        </w:rPr>
        <w:t>.</w:t>
      </w:r>
    </w:p>
    <w:p w14:paraId="38C8FD78" w14:textId="77777777" w:rsidR="00863BB0" w:rsidRPr="00BB3077" w:rsidRDefault="00863BB0" w:rsidP="00863BB0">
      <w:pPr>
        <w:autoSpaceDE w:val="0"/>
        <w:autoSpaceDN w:val="0"/>
        <w:adjustRightInd w:val="0"/>
        <w:rPr>
          <w:sz w:val="22"/>
          <w:szCs w:val="22"/>
          <w:lang w:val="sr-Latn-ME"/>
        </w:rPr>
      </w:pPr>
    </w:p>
    <w:p w14:paraId="11B0C900" w14:textId="7A87440C" w:rsidR="00863BB0" w:rsidRPr="00BB3077" w:rsidRDefault="00863BB0" w:rsidP="00863BB0">
      <w:pPr>
        <w:autoSpaceDE w:val="0"/>
        <w:autoSpaceDN w:val="0"/>
        <w:adjustRightInd w:val="0"/>
        <w:rPr>
          <w:sz w:val="22"/>
          <w:szCs w:val="22"/>
          <w:lang w:val="sr-Latn-ME"/>
        </w:rPr>
      </w:pPr>
      <w:r w:rsidRPr="00863BB0">
        <w:rPr>
          <w:sz w:val="22"/>
          <w:szCs w:val="22"/>
          <w:lang w:val="de-DE"/>
        </w:rPr>
        <w:t>Primjena</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bi</w:t>
      </w:r>
      <w:r w:rsidRPr="00BB3077">
        <w:rPr>
          <w:sz w:val="22"/>
          <w:szCs w:val="22"/>
          <w:lang w:val="sr-Latn-ME"/>
        </w:rPr>
        <w:t xml:space="preserve"> </w:t>
      </w:r>
      <w:r w:rsidRPr="00863BB0">
        <w:rPr>
          <w:sz w:val="22"/>
          <w:szCs w:val="22"/>
          <w:lang w:val="de-DE"/>
        </w:rPr>
        <w:t>trebalo</w:t>
      </w:r>
      <w:r w:rsidRPr="00BB3077">
        <w:rPr>
          <w:sz w:val="22"/>
          <w:szCs w:val="22"/>
          <w:lang w:val="sr-Latn-ME"/>
        </w:rPr>
        <w:t xml:space="preserve"> </w:t>
      </w:r>
      <w:r w:rsidRPr="00863BB0">
        <w:rPr>
          <w:sz w:val="22"/>
          <w:szCs w:val="22"/>
          <w:lang w:val="de-DE"/>
        </w:rPr>
        <w:t>da</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vr</w:t>
      </w:r>
      <w:r w:rsidRPr="00BB3077">
        <w:rPr>
          <w:sz w:val="22"/>
          <w:szCs w:val="22"/>
          <w:lang w:val="sr-Latn-ME"/>
        </w:rPr>
        <w:t>š</w:t>
      </w:r>
      <w:r w:rsidRPr="00863BB0">
        <w:rPr>
          <w:sz w:val="22"/>
          <w:szCs w:val="22"/>
          <w:lang w:val="de-DE"/>
        </w:rPr>
        <w:t>i</w:t>
      </w:r>
      <w:r w:rsidRPr="00BB3077">
        <w:rPr>
          <w:sz w:val="22"/>
          <w:szCs w:val="22"/>
          <w:lang w:val="sr-Latn-ME"/>
        </w:rPr>
        <w:t xml:space="preserve"> </w:t>
      </w:r>
      <w:r w:rsidRPr="00863BB0">
        <w:rPr>
          <w:sz w:val="22"/>
          <w:szCs w:val="22"/>
          <w:lang w:val="de-DE"/>
        </w:rPr>
        <w:t>isklju</w:t>
      </w:r>
      <w:r w:rsidRPr="00BB3077">
        <w:rPr>
          <w:rFonts w:eastAsia="TimesNewRoman"/>
          <w:sz w:val="22"/>
          <w:szCs w:val="22"/>
          <w:lang w:val="sr-Latn-ME"/>
        </w:rPr>
        <w:t>č</w:t>
      </w:r>
      <w:r w:rsidRPr="00863BB0">
        <w:rPr>
          <w:sz w:val="22"/>
          <w:szCs w:val="22"/>
          <w:lang w:val="de-DE"/>
        </w:rPr>
        <w:t>ivo</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bolnicama</w:t>
      </w:r>
      <w:r w:rsidRPr="00BB3077">
        <w:rPr>
          <w:sz w:val="22"/>
          <w:szCs w:val="22"/>
          <w:lang w:val="sr-Latn-ME"/>
        </w:rPr>
        <w:t xml:space="preserve"> </w:t>
      </w:r>
      <w:r w:rsidRPr="00863BB0">
        <w:rPr>
          <w:sz w:val="22"/>
          <w:szCs w:val="22"/>
          <w:lang w:val="de-DE"/>
        </w:rPr>
        <w:t>specijalizovanim</w:t>
      </w:r>
      <w:r w:rsidRPr="00BB3077">
        <w:rPr>
          <w:sz w:val="22"/>
          <w:szCs w:val="22"/>
          <w:lang w:val="sr-Latn-ME"/>
        </w:rPr>
        <w:t xml:space="preserve"> </w:t>
      </w:r>
      <w:r w:rsidRPr="00863BB0">
        <w:rPr>
          <w:sz w:val="22"/>
          <w:szCs w:val="22"/>
          <w:lang w:val="de-DE"/>
        </w:rPr>
        <w:t>za</w:t>
      </w:r>
      <w:r w:rsidRPr="00BB3077">
        <w:rPr>
          <w:sz w:val="22"/>
          <w:szCs w:val="22"/>
          <w:lang w:val="sr-Latn-ME"/>
        </w:rPr>
        <w:t xml:space="preserve"> </w:t>
      </w:r>
      <w:r w:rsidRPr="00863BB0">
        <w:rPr>
          <w:sz w:val="22"/>
          <w:szCs w:val="22"/>
          <w:lang w:val="de-DE"/>
        </w:rPr>
        <w:t>primjenu</w:t>
      </w:r>
      <w:r w:rsidRPr="00BB3077">
        <w:rPr>
          <w:sz w:val="22"/>
          <w:szCs w:val="22"/>
          <w:lang w:val="sr-Latn-ME"/>
        </w:rPr>
        <w:t xml:space="preserve"> </w:t>
      </w:r>
      <w:r w:rsidRPr="00863BB0">
        <w:rPr>
          <w:sz w:val="22"/>
          <w:szCs w:val="22"/>
          <w:lang w:val="de-DE"/>
        </w:rPr>
        <w:t>citotoksi</w:t>
      </w:r>
      <w:r w:rsidRPr="00BB3077">
        <w:rPr>
          <w:rFonts w:eastAsia="TimesNewRoman"/>
          <w:sz w:val="22"/>
          <w:szCs w:val="22"/>
          <w:lang w:val="sr-Latn-ME"/>
        </w:rPr>
        <w:t>č</w:t>
      </w:r>
      <w:r w:rsidRPr="00863BB0">
        <w:rPr>
          <w:sz w:val="22"/>
          <w:szCs w:val="22"/>
          <w:lang w:val="de-DE"/>
        </w:rPr>
        <w:t>ne</w:t>
      </w:r>
      <w:r w:rsidRPr="00BB3077">
        <w:rPr>
          <w:sz w:val="22"/>
          <w:szCs w:val="22"/>
          <w:lang w:val="sr-Latn-ME"/>
        </w:rPr>
        <w:t xml:space="preserve"> </w:t>
      </w:r>
      <w:r w:rsidRPr="00863BB0">
        <w:rPr>
          <w:sz w:val="22"/>
          <w:szCs w:val="22"/>
          <w:lang w:val="de-DE"/>
        </w:rPr>
        <w:t>hemioterapije</w:t>
      </w:r>
      <w:r w:rsidRPr="00BB3077">
        <w:rPr>
          <w:sz w:val="22"/>
          <w:szCs w:val="22"/>
          <w:lang w:val="sr-Latn-ME"/>
        </w:rPr>
        <w:t xml:space="preserve">, </w:t>
      </w:r>
      <w:r w:rsidRPr="00863BB0">
        <w:rPr>
          <w:sz w:val="22"/>
          <w:szCs w:val="22"/>
          <w:lang w:val="de-DE"/>
        </w:rPr>
        <w:t>i</w:t>
      </w:r>
      <w:r w:rsidRPr="00BB3077">
        <w:rPr>
          <w:sz w:val="22"/>
          <w:szCs w:val="22"/>
          <w:lang w:val="sr-Latn-ME"/>
        </w:rPr>
        <w:t xml:space="preserve"> </w:t>
      </w:r>
      <w:r w:rsidRPr="00863BB0">
        <w:rPr>
          <w:sz w:val="22"/>
          <w:szCs w:val="22"/>
          <w:lang w:val="de-DE"/>
        </w:rPr>
        <w:t>samo</w:t>
      </w:r>
      <w:r w:rsidRPr="00BB3077">
        <w:rPr>
          <w:sz w:val="22"/>
          <w:szCs w:val="22"/>
          <w:lang w:val="sr-Latn-ME"/>
        </w:rPr>
        <w:t xml:space="preserve"> </w:t>
      </w:r>
      <w:r w:rsidRPr="00863BB0">
        <w:rPr>
          <w:sz w:val="22"/>
          <w:szCs w:val="22"/>
          <w:lang w:val="de-DE"/>
        </w:rPr>
        <w:t>pod</w:t>
      </w:r>
      <w:r w:rsidRPr="00BB3077">
        <w:rPr>
          <w:sz w:val="22"/>
          <w:szCs w:val="22"/>
          <w:lang w:val="sr-Latn-ME"/>
        </w:rPr>
        <w:t xml:space="preserve"> </w:t>
      </w:r>
      <w:r w:rsidRPr="00863BB0">
        <w:rPr>
          <w:sz w:val="22"/>
          <w:szCs w:val="22"/>
          <w:lang w:val="de-DE"/>
        </w:rPr>
        <w:t>kontrolom</w:t>
      </w:r>
      <w:r w:rsidRPr="00BB3077">
        <w:rPr>
          <w:sz w:val="22"/>
          <w:szCs w:val="22"/>
          <w:lang w:val="sr-Latn-ME"/>
        </w:rPr>
        <w:t xml:space="preserve"> </w:t>
      </w:r>
      <w:r w:rsidRPr="00863BB0">
        <w:rPr>
          <w:sz w:val="22"/>
          <w:szCs w:val="22"/>
          <w:lang w:val="de-DE"/>
        </w:rPr>
        <w:t>ljekara</w:t>
      </w:r>
      <w:r w:rsidRPr="00BB3077">
        <w:rPr>
          <w:sz w:val="22"/>
          <w:szCs w:val="22"/>
          <w:lang w:val="sr-Latn-ME"/>
        </w:rPr>
        <w:t xml:space="preserve"> </w:t>
      </w:r>
      <w:r w:rsidRPr="00863BB0">
        <w:rPr>
          <w:sz w:val="22"/>
          <w:szCs w:val="22"/>
          <w:lang w:val="de-DE"/>
        </w:rPr>
        <w:t>kvalifikovanog</w:t>
      </w:r>
      <w:r w:rsidRPr="00BB3077">
        <w:rPr>
          <w:sz w:val="22"/>
          <w:szCs w:val="22"/>
          <w:lang w:val="sr-Latn-ME"/>
        </w:rPr>
        <w:t xml:space="preserve"> </w:t>
      </w:r>
      <w:r w:rsidRPr="00863BB0">
        <w:rPr>
          <w:sz w:val="22"/>
          <w:szCs w:val="22"/>
          <w:lang w:val="de-DE"/>
        </w:rPr>
        <w:t>za</w:t>
      </w:r>
      <w:r w:rsidRPr="00BB3077">
        <w:rPr>
          <w:sz w:val="22"/>
          <w:szCs w:val="22"/>
          <w:lang w:val="sr-Latn-ME"/>
        </w:rPr>
        <w:t xml:space="preserve"> </w:t>
      </w:r>
      <w:r w:rsidRPr="00863BB0">
        <w:rPr>
          <w:sz w:val="22"/>
          <w:szCs w:val="22"/>
          <w:lang w:val="de-DE"/>
        </w:rPr>
        <w:t>lije</w:t>
      </w:r>
      <w:r w:rsidRPr="00BB3077">
        <w:rPr>
          <w:rFonts w:eastAsia="TimesNewRoman"/>
          <w:sz w:val="22"/>
          <w:szCs w:val="22"/>
          <w:lang w:val="sr-Latn-ME"/>
        </w:rPr>
        <w:t>č</w:t>
      </w:r>
      <w:r w:rsidRPr="00863BB0">
        <w:rPr>
          <w:sz w:val="22"/>
          <w:szCs w:val="22"/>
          <w:lang w:val="de-DE"/>
        </w:rPr>
        <w:t>enje</w:t>
      </w:r>
      <w:r w:rsidRPr="00BB3077">
        <w:rPr>
          <w:sz w:val="22"/>
          <w:szCs w:val="22"/>
          <w:lang w:val="sr-Latn-ME"/>
        </w:rPr>
        <w:t xml:space="preserve"> </w:t>
      </w:r>
      <w:r w:rsidRPr="00863BB0">
        <w:rPr>
          <w:sz w:val="22"/>
          <w:szCs w:val="22"/>
          <w:lang w:val="de-DE"/>
        </w:rPr>
        <w:t>hemioterapijom</w:t>
      </w:r>
      <w:r w:rsidRPr="00BB3077">
        <w:rPr>
          <w:sz w:val="22"/>
          <w:szCs w:val="22"/>
          <w:lang w:val="sr-Latn-ME"/>
        </w:rPr>
        <w:t xml:space="preserve"> (</w:t>
      </w:r>
      <w:r w:rsidRPr="00863BB0">
        <w:rPr>
          <w:sz w:val="22"/>
          <w:szCs w:val="22"/>
          <w:lang w:val="de-DE"/>
        </w:rPr>
        <w:t>vidjeti</w:t>
      </w:r>
      <w:r w:rsidRPr="00BB3077">
        <w:rPr>
          <w:sz w:val="22"/>
          <w:szCs w:val="22"/>
          <w:lang w:val="sr-Latn-ME"/>
        </w:rPr>
        <w:t xml:space="preserve"> </w:t>
      </w:r>
      <w:r w:rsidR="006A399E">
        <w:rPr>
          <w:sz w:val="22"/>
          <w:szCs w:val="22"/>
          <w:lang w:val="de-DE"/>
        </w:rPr>
        <w:t>dio</w:t>
      </w:r>
      <w:r w:rsidRPr="00BB3077">
        <w:rPr>
          <w:sz w:val="22"/>
          <w:szCs w:val="22"/>
          <w:lang w:val="sr-Latn-ME"/>
        </w:rPr>
        <w:t xml:space="preserve"> 6.6).</w:t>
      </w:r>
    </w:p>
    <w:p w14:paraId="67E0E88D" w14:textId="77777777" w:rsidR="00863BB0" w:rsidRPr="00BB3077" w:rsidRDefault="00863BB0" w:rsidP="00480FB1">
      <w:pPr>
        <w:tabs>
          <w:tab w:val="left" w:pos="540"/>
          <w:tab w:val="left" w:pos="569"/>
        </w:tabs>
        <w:rPr>
          <w:bCs/>
          <w:sz w:val="22"/>
          <w:szCs w:val="22"/>
          <w:u w:val="single"/>
          <w:lang w:val="sr-Latn-ME"/>
        </w:rPr>
      </w:pPr>
    </w:p>
    <w:p w14:paraId="611A4EBF" w14:textId="0F8E79BC" w:rsidR="00452E9D" w:rsidRPr="00BB3077" w:rsidRDefault="00452E9D" w:rsidP="00480FB1">
      <w:pPr>
        <w:tabs>
          <w:tab w:val="left" w:pos="540"/>
          <w:tab w:val="left" w:pos="569"/>
        </w:tabs>
        <w:rPr>
          <w:bCs/>
          <w:sz w:val="22"/>
          <w:szCs w:val="22"/>
          <w:u w:val="single"/>
          <w:lang w:val="sr-Latn-ME"/>
        </w:rPr>
      </w:pPr>
      <w:r w:rsidRPr="000B639B">
        <w:rPr>
          <w:bCs/>
          <w:sz w:val="22"/>
          <w:szCs w:val="22"/>
          <w:u w:val="single"/>
          <w:lang w:val="de-DE"/>
        </w:rPr>
        <w:t>Doziranje</w:t>
      </w:r>
    </w:p>
    <w:p w14:paraId="494BD213" w14:textId="0A57E206" w:rsidR="00452E9D" w:rsidRPr="00BB3077" w:rsidRDefault="00452E9D" w:rsidP="00480FB1">
      <w:pPr>
        <w:tabs>
          <w:tab w:val="left" w:pos="540"/>
          <w:tab w:val="left" w:pos="569"/>
        </w:tabs>
        <w:rPr>
          <w:bCs/>
          <w:sz w:val="22"/>
          <w:szCs w:val="22"/>
          <w:u w:val="single"/>
          <w:lang w:val="sr-Latn-ME"/>
        </w:rPr>
      </w:pPr>
    </w:p>
    <w:p w14:paraId="6DE3E74E" w14:textId="704119E6" w:rsidR="00863BB0" w:rsidRPr="00BB3077" w:rsidRDefault="00863BB0" w:rsidP="00863BB0">
      <w:pPr>
        <w:autoSpaceDE w:val="0"/>
        <w:autoSpaceDN w:val="0"/>
        <w:adjustRightInd w:val="0"/>
        <w:rPr>
          <w:sz w:val="22"/>
          <w:szCs w:val="22"/>
          <w:lang w:val="sr-Latn-ME"/>
        </w:rPr>
      </w:pPr>
      <w:r w:rsidRPr="00863BB0">
        <w:rPr>
          <w:sz w:val="22"/>
          <w:szCs w:val="22"/>
          <w:lang w:val="de-DE"/>
        </w:rPr>
        <w:t>Za</w:t>
      </w:r>
      <w:r w:rsidRPr="00BB3077">
        <w:rPr>
          <w:sz w:val="22"/>
          <w:szCs w:val="22"/>
          <w:lang w:val="sr-Latn-ME"/>
        </w:rPr>
        <w:t xml:space="preserve"> </w:t>
      </w:r>
      <w:r w:rsidRPr="00863BB0">
        <w:rPr>
          <w:sz w:val="22"/>
          <w:szCs w:val="22"/>
          <w:lang w:val="de-DE"/>
        </w:rPr>
        <w:t>karcinom</w:t>
      </w:r>
      <w:r w:rsidRPr="00BB3077">
        <w:rPr>
          <w:sz w:val="22"/>
          <w:szCs w:val="22"/>
          <w:lang w:val="sr-Latn-ME"/>
        </w:rPr>
        <w:t xml:space="preserve"> </w:t>
      </w:r>
      <w:r w:rsidRPr="00863BB0">
        <w:rPr>
          <w:sz w:val="22"/>
          <w:szCs w:val="22"/>
          <w:lang w:val="de-DE"/>
        </w:rPr>
        <w:t>dojke</w:t>
      </w:r>
      <w:r w:rsidRPr="00BB3077">
        <w:rPr>
          <w:sz w:val="22"/>
          <w:szCs w:val="22"/>
          <w:lang w:val="sr-Latn-ME"/>
        </w:rPr>
        <w:t xml:space="preserve">, </w:t>
      </w:r>
      <w:r w:rsidRPr="00863BB0">
        <w:rPr>
          <w:sz w:val="22"/>
          <w:szCs w:val="22"/>
          <w:lang w:val="de-DE"/>
        </w:rPr>
        <w:t>nemikrocelularni</w:t>
      </w:r>
      <w:r w:rsidRPr="00BB3077">
        <w:rPr>
          <w:sz w:val="22"/>
          <w:szCs w:val="22"/>
          <w:lang w:val="sr-Latn-ME"/>
        </w:rPr>
        <w:t xml:space="preserve"> </w:t>
      </w:r>
      <w:r w:rsidRPr="00863BB0">
        <w:rPr>
          <w:sz w:val="22"/>
          <w:szCs w:val="22"/>
          <w:lang w:val="de-DE"/>
        </w:rPr>
        <w:t>karcinom</w:t>
      </w:r>
      <w:r w:rsidRPr="00BB3077">
        <w:rPr>
          <w:sz w:val="22"/>
          <w:szCs w:val="22"/>
          <w:lang w:val="sr-Latn-ME"/>
        </w:rPr>
        <w:t xml:space="preserve"> </w:t>
      </w:r>
      <w:r w:rsidRPr="00863BB0">
        <w:rPr>
          <w:sz w:val="22"/>
          <w:szCs w:val="22"/>
          <w:lang w:val="de-DE"/>
        </w:rPr>
        <w:t>plu</w:t>
      </w:r>
      <w:r w:rsidRPr="00BB3077">
        <w:rPr>
          <w:rFonts w:eastAsia="TimesNewRoman"/>
          <w:sz w:val="22"/>
          <w:szCs w:val="22"/>
          <w:lang w:val="sr-Latn-ME"/>
        </w:rPr>
        <w:t>ć</w:t>
      </w:r>
      <w:r w:rsidRPr="00863BB0">
        <w:rPr>
          <w:sz w:val="22"/>
          <w:szCs w:val="22"/>
          <w:lang w:val="de-DE"/>
        </w:rPr>
        <w:t>a</w:t>
      </w:r>
      <w:r w:rsidRPr="00BB3077">
        <w:rPr>
          <w:sz w:val="22"/>
          <w:szCs w:val="22"/>
          <w:lang w:val="sr-Latn-ME"/>
        </w:rPr>
        <w:t xml:space="preserve">, </w:t>
      </w:r>
      <w:r w:rsidRPr="00863BB0">
        <w:rPr>
          <w:sz w:val="22"/>
          <w:szCs w:val="22"/>
          <w:lang w:val="de-DE"/>
        </w:rPr>
        <w:t>karcinom</w:t>
      </w:r>
      <w:r w:rsidRPr="00BB3077">
        <w:rPr>
          <w:sz w:val="22"/>
          <w:szCs w:val="22"/>
          <w:lang w:val="sr-Latn-ME"/>
        </w:rPr>
        <w:t xml:space="preserve"> ž</w:t>
      </w:r>
      <w:r w:rsidRPr="00863BB0">
        <w:rPr>
          <w:sz w:val="22"/>
          <w:szCs w:val="22"/>
          <w:lang w:val="de-DE"/>
        </w:rPr>
        <w:t>eluca</w:t>
      </w:r>
      <w:r w:rsidRPr="00BB3077">
        <w:rPr>
          <w:sz w:val="22"/>
          <w:szCs w:val="22"/>
          <w:lang w:val="sr-Latn-ME"/>
        </w:rPr>
        <w:t xml:space="preserve"> </w:t>
      </w:r>
      <w:r w:rsidRPr="00863BB0">
        <w:rPr>
          <w:sz w:val="22"/>
          <w:szCs w:val="22"/>
          <w:lang w:val="de-DE"/>
        </w:rPr>
        <w:t>i</w:t>
      </w:r>
      <w:r w:rsidRPr="00BB3077">
        <w:rPr>
          <w:sz w:val="22"/>
          <w:szCs w:val="22"/>
          <w:lang w:val="sr-Latn-ME"/>
        </w:rPr>
        <w:t xml:space="preserve"> </w:t>
      </w:r>
      <w:r w:rsidRPr="00863BB0">
        <w:rPr>
          <w:sz w:val="22"/>
          <w:szCs w:val="22"/>
          <w:lang w:val="de-DE"/>
        </w:rPr>
        <w:t>karcinome</w:t>
      </w:r>
      <w:r w:rsidRPr="00BB3077">
        <w:rPr>
          <w:sz w:val="22"/>
          <w:szCs w:val="22"/>
          <w:lang w:val="sr-Latn-ME"/>
        </w:rPr>
        <w:t xml:space="preserve"> </w:t>
      </w:r>
      <w:r w:rsidRPr="00863BB0">
        <w:rPr>
          <w:sz w:val="22"/>
          <w:szCs w:val="22"/>
          <w:lang w:val="de-DE"/>
        </w:rPr>
        <w:t>glave</w:t>
      </w:r>
      <w:r w:rsidRPr="00BB3077">
        <w:rPr>
          <w:sz w:val="22"/>
          <w:szCs w:val="22"/>
          <w:lang w:val="sr-Latn-ME"/>
        </w:rPr>
        <w:t xml:space="preserve"> </w:t>
      </w:r>
      <w:r w:rsidRPr="00863BB0">
        <w:rPr>
          <w:sz w:val="22"/>
          <w:szCs w:val="22"/>
          <w:lang w:val="de-DE"/>
        </w:rPr>
        <w:t>i</w:t>
      </w:r>
      <w:r w:rsidRPr="00BB3077">
        <w:rPr>
          <w:sz w:val="22"/>
          <w:szCs w:val="22"/>
          <w:lang w:val="sr-Latn-ME"/>
        </w:rPr>
        <w:t xml:space="preserve"> </w:t>
      </w:r>
      <w:r w:rsidRPr="00863BB0">
        <w:rPr>
          <w:sz w:val="22"/>
          <w:szCs w:val="22"/>
          <w:lang w:val="de-DE"/>
        </w:rPr>
        <w:t>vrata</w:t>
      </w:r>
      <w:r w:rsidRPr="00BB3077">
        <w:rPr>
          <w:sz w:val="22"/>
          <w:szCs w:val="22"/>
          <w:lang w:val="sr-Latn-ME"/>
        </w:rPr>
        <w:t xml:space="preserve">, </w:t>
      </w:r>
      <w:r w:rsidRPr="00863BB0">
        <w:rPr>
          <w:sz w:val="22"/>
          <w:szCs w:val="22"/>
          <w:lang w:val="de-DE"/>
        </w:rPr>
        <w:t>premedikacija</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sastoji</w:t>
      </w:r>
      <w:r w:rsidRPr="00BB3077">
        <w:rPr>
          <w:sz w:val="22"/>
          <w:szCs w:val="22"/>
          <w:lang w:val="sr-Latn-ME"/>
        </w:rPr>
        <w:t xml:space="preserve"> </w:t>
      </w:r>
      <w:r w:rsidRPr="00863BB0">
        <w:rPr>
          <w:sz w:val="22"/>
          <w:szCs w:val="22"/>
          <w:lang w:val="de-DE"/>
        </w:rPr>
        <w:t>od</w:t>
      </w:r>
      <w:r w:rsidRPr="00BB3077">
        <w:rPr>
          <w:sz w:val="22"/>
          <w:szCs w:val="22"/>
          <w:lang w:val="sr-Latn-ME"/>
        </w:rPr>
        <w:t xml:space="preserve"> </w:t>
      </w:r>
      <w:r w:rsidRPr="00863BB0">
        <w:rPr>
          <w:sz w:val="22"/>
          <w:szCs w:val="22"/>
          <w:lang w:val="de-DE"/>
        </w:rPr>
        <w:t>oralne</w:t>
      </w:r>
      <w:r w:rsidRPr="00BB3077">
        <w:rPr>
          <w:sz w:val="22"/>
          <w:szCs w:val="22"/>
          <w:lang w:val="sr-Latn-ME"/>
        </w:rPr>
        <w:t xml:space="preserve"> </w:t>
      </w:r>
      <w:r w:rsidRPr="00863BB0">
        <w:rPr>
          <w:sz w:val="22"/>
          <w:szCs w:val="22"/>
          <w:lang w:val="de-DE"/>
        </w:rPr>
        <w:t>primjene</w:t>
      </w:r>
      <w:r w:rsidRPr="00BB3077">
        <w:rPr>
          <w:sz w:val="22"/>
          <w:szCs w:val="22"/>
          <w:lang w:val="sr-Latn-ME"/>
        </w:rPr>
        <w:t xml:space="preserve"> </w:t>
      </w:r>
      <w:r w:rsidRPr="00863BB0">
        <w:rPr>
          <w:sz w:val="22"/>
          <w:szCs w:val="22"/>
          <w:lang w:val="de-DE"/>
        </w:rPr>
        <w:t>kortikosteroida</w:t>
      </w:r>
      <w:r w:rsidRPr="00BB3077">
        <w:rPr>
          <w:sz w:val="22"/>
          <w:szCs w:val="22"/>
          <w:lang w:val="sr-Latn-ME"/>
        </w:rPr>
        <w:t xml:space="preserve">, </w:t>
      </w:r>
      <w:r w:rsidRPr="00863BB0">
        <w:rPr>
          <w:sz w:val="22"/>
          <w:szCs w:val="22"/>
          <w:lang w:val="de-DE"/>
        </w:rPr>
        <w:t>kao</w:t>
      </w:r>
      <w:r w:rsidRPr="00BB3077">
        <w:rPr>
          <w:sz w:val="22"/>
          <w:szCs w:val="22"/>
          <w:lang w:val="sr-Latn-ME"/>
        </w:rPr>
        <w:t xml:space="preserve"> š</w:t>
      </w:r>
      <w:r w:rsidRPr="00863BB0">
        <w:rPr>
          <w:sz w:val="22"/>
          <w:szCs w:val="22"/>
          <w:lang w:val="de-DE"/>
        </w:rPr>
        <w:t>to</w:t>
      </w:r>
      <w:r w:rsidRPr="00BB3077">
        <w:rPr>
          <w:sz w:val="22"/>
          <w:szCs w:val="22"/>
          <w:lang w:val="sr-Latn-ME"/>
        </w:rPr>
        <w:t xml:space="preserve"> </w:t>
      </w:r>
      <w:r w:rsidRPr="00863BB0">
        <w:rPr>
          <w:sz w:val="22"/>
          <w:szCs w:val="22"/>
          <w:lang w:val="de-DE"/>
        </w:rPr>
        <w:t>je</w:t>
      </w:r>
      <w:r w:rsidRPr="00BB3077">
        <w:rPr>
          <w:sz w:val="22"/>
          <w:szCs w:val="22"/>
          <w:lang w:val="sr-Latn-ME"/>
        </w:rPr>
        <w:t xml:space="preserve"> </w:t>
      </w:r>
      <w:r w:rsidRPr="00863BB0">
        <w:rPr>
          <w:sz w:val="22"/>
          <w:szCs w:val="22"/>
          <w:lang w:val="de-DE"/>
        </w:rPr>
        <w:t>deksametazon</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dozi</w:t>
      </w:r>
      <w:r w:rsidRPr="00BB3077">
        <w:rPr>
          <w:sz w:val="22"/>
          <w:szCs w:val="22"/>
          <w:lang w:val="sr-Latn-ME"/>
        </w:rPr>
        <w:t xml:space="preserve"> </w:t>
      </w:r>
      <w:r w:rsidRPr="00863BB0">
        <w:rPr>
          <w:sz w:val="22"/>
          <w:szCs w:val="22"/>
          <w:lang w:val="de-DE"/>
        </w:rPr>
        <w:t>od</w:t>
      </w:r>
      <w:r w:rsidRPr="00BB3077">
        <w:rPr>
          <w:sz w:val="22"/>
          <w:szCs w:val="22"/>
          <w:lang w:val="sr-Latn-ME"/>
        </w:rPr>
        <w:t xml:space="preserve"> 16 </w:t>
      </w:r>
      <w:r w:rsidRPr="00863BB0">
        <w:rPr>
          <w:sz w:val="22"/>
          <w:szCs w:val="22"/>
          <w:lang w:val="de-DE"/>
        </w:rPr>
        <w:t>mg</w:t>
      </w:r>
      <w:r w:rsidRPr="00BB3077">
        <w:rPr>
          <w:sz w:val="22"/>
          <w:szCs w:val="22"/>
          <w:lang w:val="sr-Latn-ME"/>
        </w:rPr>
        <w:t xml:space="preserve"> </w:t>
      </w:r>
      <w:r w:rsidRPr="00863BB0">
        <w:rPr>
          <w:sz w:val="22"/>
          <w:szCs w:val="22"/>
          <w:lang w:val="de-DE"/>
        </w:rPr>
        <w:t>dnevno</w:t>
      </w:r>
      <w:r w:rsidRPr="00BB3077">
        <w:rPr>
          <w:sz w:val="22"/>
          <w:szCs w:val="22"/>
          <w:lang w:val="sr-Latn-ME"/>
        </w:rPr>
        <w:t xml:space="preserve"> (</w:t>
      </w:r>
      <w:r w:rsidRPr="00863BB0">
        <w:rPr>
          <w:sz w:val="22"/>
          <w:szCs w:val="22"/>
          <w:lang w:val="de-DE"/>
        </w:rPr>
        <w:t>npr</w:t>
      </w:r>
      <w:r w:rsidRPr="00BB3077">
        <w:rPr>
          <w:sz w:val="22"/>
          <w:szCs w:val="22"/>
          <w:lang w:val="sr-Latn-ME"/>
        </w:rPr>
        <w:t xml:space="preserve">. 8 </w:t>
      </w:r>
      <w:r w:rsidRPr="00863BB0">
        <w:rPr>
          <w:sz w:val="22"/>
          <w:szCs w:val="22"/>
          <w:lang w:val="de-DE"/>
        </w:rPr>
        <w:t>mg</w:t>
      </w:r>
      <w:r w:rsidRPr="00BB3077">
        <w:rPr>
          <w:sz w:val="22"/>
          <w:szCs w:val="22"/>
          <w:lang w:val="sr-Latn-ME"/>
        </w:rPr>
        <w:t xml:space="preserve"> </w:t>
      </w:r>
      <w:r w:rsidRPr="00863BB0">
        <w:rPr>
          <w:sz w:val="22"/>
          <w:szCs w:val="22"/>
          <w:lang w:val="de-DE"/>
        </w:rPr>
        <w:t>dva</w:t>
      </w:r>
      <w:r w:rsidRPr="00BB3077">
        <w:rPr>
          <w:sz w:val="22"/>
          <w:szCs w:val="22"/>
          <w:lang w:val="sr-Latn-ME"/>
        </w:rPr>
        <w:t xml:space="preserve"> </w:t>
      </w:r>
      <w:r w:rsidRPr="00863BB0">
        <w:rPr>
          <w:sz w:val="22"/>
          <w:szCs w:val="22"/>
          <w:lang w:val="de-DE"/>
        </w:rPr>
        <w:t>puta</w:t>
      </w:r>
      <w:r w:rsidRPr="00BB3077">
        <w:rPr>
          <w:sz w:val="22"/>
          <w:szCs w:val="22"/>
          <w:lang w:val="sr-Latn-ME"/>
        </w:rPr>
        <w:t xml:space="preserve"> </w:t>
      </w:r>
      <w:r w:rsidRPr="00863BB0">
        <w:rPr>
          <w:sz w:val="22"/>
          <w:szCs w:val="22"/>
          <w:lang w:val="de-DE"/>
        </w:rPr>
        <w:t>dnevno</w:t>
      </w:r>
      <w:r w:rsidRPr="00BB3077">
        <w:rPr>
          <w:sz w:val="22"/>
          <w:szCs w:val="22"/>
          <w:lang w:val="sr-Latn-ME"/>
        </w:rPr>
        <w:t xml:space="preserve">) </w:t>
      </w:r>
      <w:r w:rsidRPr="00863BB0">
        <w:rPr>
          <w:sz w:val="22"/>
          <w:szCs w:val="22"/>
          <w:lang w:val="de-DE"/>
        </w:rPr>
        <w:t>tokom</w:t>
      </w:r>
      <w:r w:rsidRPr="00BB3077">
        <w:rPr>
          <w:sz w:val="22"/>
          <w:szCs w:val="22"/>
          <w:lang w:val="sr-Latn-ME"/>
        </w:rPr>
        <w:t xml:space="preserve"> 3 </w:t>
      </w:r>
      <w:r w:rsidRPr="00863BB0">
        <w:rPr>
          <w:sz w:val="22"/>
          <w:szCs w:val="22"/>
          <w:lang w:val="de-DE"/>
        </w:rPr>
        <w:t>dana</w:t>
      </w:r>
      <w:r w:rsidRPr="00BB3077">
        <w:rPr>
          <w:sz w:val="22"/>
          <w:szCs w:val="22"/>
          <w:lang w:val="sr-Latn-ME"/>
        </w:rPr>
        <w:t xml:space="preserve">, </w:t>
      </w:r>
      <w:r w:rsidRPr="00863BB0">
        <w:rPr>
          <w:sz w:val="22"/>
          <w:szCs w:val="22"/>
          <w:lang w:val="de-DE"/>
        </w:rPr>
        <w:t>po</w:t>
      </w:r>
      <w:r w:rsidRPr="00BB3077">
        <w:rPr>
          <w:rFonts w:eastAsia="TimesNewRoman"/>
          <w:sz w:val="22"/>
          <w:szCs w:val="22"/>
          <w:lang w:val="sr-Latn-ME"/>
        </w:rPr>
        <w:t>č</w:t>
      </w:r>
      <w:r w:rsidRPr="00863BB0">
        <w:rPr>
          <w:sz w:val="22"/>
          <w:szCs w:val="22"/>
          <w:lang w:val="de-DE"/>
        </w:rPr>
        <w:t>ev</w:t>
      </w:r>
      <w:r w:rsidRPr="00BB3077">
        <w:rPr>
          <w:sz w:val="22"/>
          <w:szCs w:val="22"/>
          <w:lang w:val="sr-Latn-ME"/>
        </w:rPr>
        <w:t>š</w:t>
      </w:r>
      <w:r w:rsidRPr="00863BB0">
        <w:rPr>
          <w:sz w:val="22"/>
          <w:szCs w:val="22"/>
          <w:lang w:val="de-DE"/>
        </w:rPr>
        <w:t>i</w:t>
      </w:r>
      <w:r w:rsidRPr="00BB3077">
        <w:rPr>
          <w:sz w:val="22"/>
          <w:szCs w:val="22"/>
          <w:lang w:val="sr-Latn-ME"/>
        </w:rPr>
        <w:t xml:space="preserve"> 1 </w:t>
      </w:r>
      <w:r w:rsidRPr="00863BB0">
        <w:rPr>
          <w:sz w:val="22"/>
          <w:szCs w:val="22"/>
          <w:lang w:val="de-DE"/>
        </w:rPr>
        <w:t>dan</w:t>
      </w:r>
      <w:r w:rsidRPr="00BB3077">
        <w:rPr>
          <w:sz w:val="22"/>
          <w:szCs w:val="22"/>
          <w:lang w:val="sr-Latn-ME"/>
        </w:rPr>
        <w:t xml:space="preserve"> </w:t>
      </w:r>
      <w:r w:rsidRPr="00863BB0">
        <w:rPr>
          <w:sz w:val="22"/>
          <w:szCs w:val="22"/>
          <w:lang w:val="de-DE"/>
        </w:rPr>
        <w:t>prije</w:t>
      </w:r>
      <w:r w:rsidRPr="00BB3077">
        <w:rPr>
          <w:sz w:val="22"/>
          <w:szCs w:val="22"/>
          <w:lang w:val="sr-Latn-ME"/>
        </w:rPr>
        <w:t xml:space="preserve"> </w:t>
      </w:r>
      <w:r w:rsidRPr="00863BB0">
        <w:rPr>
          <w:sz w:val="22"/>
          <w:szCs w:val="22"/>
          <w:lang w:val="de-DE"/>
        </w:rPr>
        <w:t>primjene</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osim</w:t>
      </w:r>
      <w:r w:rsidRPr="00BB3077">
        <w:rPr>
          <w:sz w:val="22"/>
          <w:szCs w:val="22"/>
          <w:lang w:val="sr-Latn-ME"/>
        </w:rPr>
        <w:t xml:space="preserve"> </w:t>
      </w:r>
      <w:r w:rsidRPr="00863BB0">
        <w:rPr>
          <w:sz w:val="22"/>
          <w:szCs w:val="22"/>
          <w:lang w:val="de-DE"/>
        </w:rPr>
        <w:t>ukoliko</w:t>
      </w:r>
      <w:r w:rsidRPr="00BB3077">
        <w:rPr>
          <w:sz w:val="22"/>
          <w:szCs w:val="22"/>
          <w:lang w:val="sr-Latn-ME"/>
        </w:rPr>
        <w:t xml:space="preserve"> </w:t>
      </w:r>
      <w:r w:rsidRPr="00863BB0">
        <w:rPr>
          <w:sz w:val="22"/>
          <w:szCs w:val="22"/>
          <w:lang w:val="de-DE"/>
        </w:rPr>
        <w:t>nije</w:t>
      </w:r>
      <w:r w:rsidRPr="00BB3077">
        <w:rPr>
          <w:sz w:val="22"/>
          <w:szCs w:val="22"/>
          <w:lang w:val="sr-Latn-ME"/>
        </w:rPr>
        <w:t xml:space="preserve"> </w:t>
      </w:r>
      <w:r w:rsidRPr="00863BB0">
        <w:rPr>
          <w:sz w:val="22"/>
          <w:szCs w:val="22"/>
          <w:lang w:val="de-DE"/>
        </w:rPr>
        <w:t>kontraindikovano</w:t>
      </w:r>
      <w:r w:rsidRPr="00BB3077">
        <w:rPr>
          <w:sz w:val="22"/>
          <w:szCs w:val="22"/>
          <w:lang w:val="sr-Latn-ME"/>
        </w:rPr>
        <w:t xml:space="preserve"> (</w:t>
      </w:r>
      <w:r w:rsidRPr="00863BB0">
        <w:rPr>
          <w:sz w:val="22"/>
          <w:szCs w:val="22"/>
          <w:lang w:val="de-DE"/>
        </w:rPr>
        <w:t>vidjeti</w:t>
      </w:r>
      <w:r w:rsidRPr="00BB3077">
        <w:rPr>
          <w:sz w:val="22"/>
          <w:szCs w:val="22"/>
          <w:lang w:val="sr-Latn-ME"/>
        </w:rPr>
        <w:t xml:space="preserve"> </w:t>
      </w:r>
      <w:r w:rsidR="006A399E">
        <w:rPr>
          <w:sz w:val="22"/>
          <w:szCs w:val="22"/>
          <w:lang w:val="de-DE"/>
        </w:rPr>
        <w:t>dio</w:t>
      </w:r>
      <w:r w:rsidRPr="00BB3077">
        <w:rPr>
          <w:sz w:val="22"/>
          <w:szCs w:val="22"/>
          <w:lang w:val="sr-Latn-ME"/>
        </w:rPr>
        <w:t xml:space="preserve"> 4.4). </w:t>
      </w:r>
    </w:p>
    <w:p w14:paraId="5B2D7E17" w14:textId="77777777" w:rsidR="00863BB0" w:rsidRPr="00BB3077" w:rsidRDefault="00863BB0" w:rsidP="00863BB0">
      <w:pPr>
        <w:autoSpaceDE w:val="0"/>
        <w:autoSpaceDN w:val="0"/>
        <w:adjustRightInd w:val="0"/>
        <w:rPr>
          <w:sz w:val="22"/>
          <w:szCs w:val="22"/>
          <w:lang w:val="sr-Latn-ME"/>
        </w:rPr>
      </w:pPr>
    </w:p>
    <w:p w14:paraId="7B4B21C7" w14:textId="610E1B5D" w:rsidR="00863BB0" w:rsidRPr="00BB3077" w:rsidRDefault="00863BB0" w:rsidP="00863BB0">
      <w:pPr>
        <w:autoSpaceDE w:val="0"/>
        <w:autoSpaceDN w:val="0"/>
        <w:adjustRightInd w:val="0"/>
        <w:rPr>
          <w:sz w:val="22"/>
          <w:szCs w:val="22"/>
          <w:lang w:val="sr-Latn-ME"/>
        </w:rPr>
      </w:pPr>
      <w:r w:rsidRPr="00863BB0">
        <w:rPr>
          <w:sz w:val="22"/>
          <w:szCs w:val="22"/>
          <w:lang w:val="de-DE"/>
        </w:rPr>
        <w:t>Pri</w:t>
      </w:r>
      <w:r w:rsidRPr="00BB3077">
        <w:rPr>
          <w:sz w:val="22"/>
          <w:szCs w:val="22"/>
          <w:lang w:val="sr-Latn-ME"/>
        </w:rPr>
        <w:t xml:space="preserve"> </w:t>
      </w:r>
      <w:r w:rsidRPr="00863BB0">
        <w:rPr>
          <w:sz w:val="22"/>
          <w:szCs w:val="22"/>
          <w:lang w:val="de-DE"/>
        </w:rPr>
        <w:t>lije</w:t>
      </w:r>
      <w:r w:rsidRPr="00BB3077">
        <w:rPr>
          <w:rFonts w:eastAsia="TimesNewRoman"/>
          <w:sz w:val="22"/>
          <w:szCs w:val="22"/>
          <w:lang w:val="sr-Latn-ME"/>
        </w:rPr>
        <w:t>č</w:t>
      </w:r>
      <w:r w:rsidRPr="00863BB0">
        <w:rPr>
          <w:sz w:val="22"/>
          <w:szCs w:val="22"/>
          <w:lang w:val="de-DE"/>
        </w:rPr>
        <w:t>enju</w:t>
      </w:r>
      <w:r w:rsidRPr="00BB3077">
        <w:rPr>
          <w:sz w:val="22"/>
          <w:szCs w:val="22"/>
          <w:lang w:val="sr-Latn-ME"/>
        </w:rPr>
        <w:t xml:space="preserve"> </w:t>
      </w:r>
      <w:r w:rsidRPr="00863BB0">
        <w:rPr>
          <w:sz w:val="22"/>
          <w:szCs w:val="22"/>
          <w:lang w:val="de-DE"/>
        </w:rPr>
        <w:t>metastatskog</w:t>
      </w:r>
      <w:r w:rsidRPr="00BB3077">
        <w:rPr>
          <w:sz w:val="22"/>
          <w:szCs w:val="22"/>
          <w:lang w:val="sr-Latn-ME"/>
        </w:rPr>
        <w:t xml:space="preserve"> </w:t>
      </w:r>
      <w:r w:rsidRPr="00863BB0">
        <w:rPr>
          <w:sz w:val="22"/>
          <w:szCs w:val="22"/>
          <w:lang w:val="de-DE"/>
        </w:rPr>
        <w:t>karcinoma</w:t>
      </w:r>
      <w:r w:rsidRPr="00BB3077">
        <w:rPr>
          <w:sz w:val="22"/>
          <w:szCs w:val="22"/>
          <w:lang w:val="sr-Latn-ME"/>
        </w:rPr>
        <w:t xml:space="preserve"> </w:t>
      </w:r>
      <w:r w:rsidRPr="00863BB0">
        <w:rPr>
          <w:sz w:val="22"/>
          <w:szCs w:val="22"/>
          <w:lang w:val="de-DE"/>
        </w:rPr>
        <w:t>prostate</w:t>
      </w:r>
      <w:r w:rsidRPr="00BB3077">
        <w:rPr>
          <w:sz w:val="22"/>
          <w:szCs w:val="22"/>
          <w:lang w:val="sr-Latn-ME"/>
        </w:rPr>
        <w:t xml:space="preserve"> </w:t>
      </w:r>
      <w:r w:rsidRPr="00863BB0">
        <w:rPr>
          <w:sz w:val="22"/>
          <w:szCs w:val="22"/>
          <w:lang w:val="de-DE"/>
        </w:rPr>
        <w:t>rezistentnog</w:t>
      </w:r>
      <w:r w:rsidRPr="00BB3077">
        <w:rPr>
          <w:sz w:val="22"/>
          <w:szCs w:val="22"/>
          <w:lang w:val="sr-Latn-ME"/>
        </w:rPr>
        <w:t xml:space="preserve"> </w:t>
      </w:r>
      <w:r w:rsidRPr="00863BB0">
        <w:rPr>
          <w:sz w:val="22"/>
          <w:szCs w:val="22"/>
          <w:lang w:val="de-DE"/>
        </w:rPr>
        <w:t>na</w:t>
      </w:r>
      <w:r w:rsidRPr="00BB3077">
        <w:rPr>
          <w:sz w:val="22"/>
          <w:szCs w:val="22"/>
          <w:lang w:val="sr-Latn-ME"/>
        </w:rPr>
        <w:t xml:space="preserve"> </w:t>
      </w:r>
      <w:r w:rsidRPr="00863BB0">
        <w:rPr>
          <w:sz w:val="22"/>
          <w:szCs w:val="22"/>
          <w:lang w:val="de-DE"/>
        </w:rPr>
        <w:t>kastraciju</w:t>
      </w:r>
      <w:r w:rsidRPr="00BB3077">
        <w:rPr>
          <w:sz w:val="22"/>
          <w:szCs w:val="22"/>
          <w:lang w:val="sr-Latn-ME"/>
        </w:rPr>
        <w:t xml:space="preserve">, </w:t>
      </w:r>
      <w:r w:rsidRPr="00863BB0">
        <w:rPr>
          <w:sz w:val="22"/>
          <w:szCs w:val="22"/>
          <w:lang w:val="de-DE"/>
        </w:rPr>
        <w:t>kod</w:t>
      </w:r>
      <w:r w:rsidRPr="00BB3077">
        <w:rPr>
          <w:sz w:val="22"/>
          <w:szCs w:val="22"/>
          <w:lang w:val="sr-Latn-ME"/>
        </w:rPr>
        <w:t xml:space="preserve"> </w:t>
      </w:r>
      <w:r w:rsidRPr="00863BB0">
        <w:rPr>
          <w:sz w:val="22"/>
          <w:szCs w:val="22"/>
          <w:lang w:val="de-DE"/>
        </w:rPr>
        <w:t>istovremene</w:t>
      </w:r>
      <w:r w:rsidRPr="00BB3077">
        <w:rPr>
          <w:sz w:val="22"/>
          <w:szCs w:val="22"/>
          <w:lang w:val="sr-Latn-ME"/>
        </w:rPr>
        <w:t xml:space="preserve"> </w:t>
      </w:r>
      <w:r w:rsidRPr="00863BB0">
        <w:rPr>
          <w:sz w:val="22"/>
          <w:szCs w:val="22"/>
          <w:lang w:val="de-DE"/>
        </w:rPr>
        <w:t>primjene</w:t>
      </w:r>
      <w:r w:rsidRPr="00BB3077">
        <w:rPr>
          <w:sz w:val="22"/>
          <w:szCs w:val="22"/>
          <w:lang w:val="sr-Latn-ME"/>
        </w:rPr>
        <w:t xml:space="preserve"> </w:t>
      </w:r>
      <w:r w:rsidRPr="00863BB0">
        <w:rPr>
          <w:sz w:val="22"/>
          <w:szCs w:val="22"/>
          <w:lang w:val="de-DE"/>
        </w:rPr>
        <w:t>prednizona</w:t>
      </w:r>
      <w:r w:rsidRPr="00BB3077">
        <w:rPr>
          <w:sz w:val="22"/>
          <w:szCs w:val="22"/>
          <w:lang w:val="sr-Latn-ME"/>
        </w:rPr>
        <w:t xml:space="preserve"> </w:t>
      </w:r>
      <w:r w:rsidRPr="00863BB0">
        <w:rPr>
          <w:sz w:val="22"/>
          <w:szCs w:val="22"/>
          <w:lang w:val="de-DE"/>
        </w:rPr>
        <w:t>ili</w:t>
      </w:r>
      <w:r w:rsidRPr="00BB3077">
        <w:rPr>
          <w:sz w:val="22"/>
          <w:szCs w:val="22"/>
          <w:lang w:val="sr-Latn-ME"/>
        </w:rPr>
        <w:t xml:space="preserve"> </w:t>
      </w:r>
      <w:r w:rsidRPr="00863BB0">
        <w:rPr>
          <w:sz w:val="22"/>
          <w:szCs w:val="22"/>
          <w:lang w:val="de-DE"/>
        </w:rPr>
        <w:t>prednizolona</w:t>
      </w:r>
      <w:r w:rsidRPr="00BB3077">
        <w:rPr>
          <w:sz w:val="22"/>
          <w:szCs w:val="22"/>
          <w:lang w:val="sr-Latn-ME"/>
        </w:rPr>
        <w:t xml:space="preserve">, </w:t>
      </w:r>
      <w:r w:rsidRPr="00863BB0">
        <w:rPr>
          <w:sz w:val="22"/>
          <w:szCs w:val="22"/>
          <w:lang w:val="de-DE"/>
        </w:rPr>
        <w:t>preporu</w:t>
      </w:r>
      <w:r w:rsidRPr="00BB3077">
        <w:rPr>
          <w:rFonts w:eastAsia="TimesNewRoman"/>
          <w:sz w:val="22"/>
          <w:szCs w:val="22"/>
          <w:lang w:val="sr-Latn-ME"/>
        </w:rPr>
        <w:t>č</w:t>
      </w:r>
      <w:r w:rsidRPr="00863BB0">
        <w:rPr>
          <w:sz w:val="22"/>
          <w:szCs w:val="22"/>
          <w:lang w:val="de-DE"/>
        </w:rPr>
        <w:t>uje</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premedikacija</w:t>
      </w:r>
      <w:r w:rsidRPr="00BB3077">
        <w:rPr>
          <w:sz w:val="22"/>
          <w:szCs w:val="22"/>
          <w:lang w:val="sr-Latn-ME"/>
        </w:rPr>
        <w:t xml:space="preserve"> </w:t>
      </w:r>
      <w:r w:rsidRPr="00863BB0">
        <w:rPr>
          <w:sz w:val="22"/>
          <w:szCs w:val="22"/>
          <w:lang w:val="de-DE"/>
        </w:rPr>
        <w:t>peroralnim</w:t>
      </w:r>
      <w:r w:rsidRPr="00BB3077">
        <w:rPr>
          <w:sz w:val="22"/>
          <w:szCs w:val="22"/>
          <w:lang w:val="sr-Latn-ME"/>
        </w:rPr>
        <w:t xml:space="preserve"> </w:t>
      </w:r>
      <w:r w:rsidRPr="00863BB0">
        <w:rPr>
          <w:sz w:val="22"/>
          <w:szCs w:val="22"/>
          <w:lang w:val="de-DE"/>
        </w:rPr>
        <w:t>deksametazonom</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dozi</w:t>
      </w:r>
      <w:r w:rsidRPr="00BB3077">
        <w:rPr>
          <w:sz w:val="22"/>
          <w:szCs w:val="22"/>
          <w:lang w:val="sr-Latn-ME"/>
        </w:rPr>
        <w:t xml:space="preserve"> </w:t>
      </w:r>
      <w:r w:rsidRPr="00863BB0">
        <w:rPr>
          <w:sz w:val="22"/>
          <w:szCs w:val="22"/>
          <w:lang w:val="de-DE"/>
        </w:rPr>
        <w:t>od</w:t>
      </w:r>
      <w:r w:rsidRPr="00BB3077">
        <w:rPr>
          <w:sz w:val="22"/>
          <w:szCs w:val="22"/>
          <w:lang w:val="sr-Latn-ME"/>
        </w:rPr>
        <w:t xml:space="preserve"> 8 </w:t>
      </w:r>
      <w:r w:rsidRPr="00863BB0">
        <w:rPr>
          <w:sz w:val="22"/>
          <w:szCs w:val="22"/>
          <w:lang w:val="de-DE"/>
        </w:rPr>
        <w:t>mg</w:t>
      </w:r>
      <w:r w:rsidRPr="00BB3077">
        <w:rPr>
          <w:sz w:val="22"/>
          <w:szCs w:val="22"/>
          <w:lang w:val="sr-Latn-ME"/>
        </w:rPr>
        <w:t xml:space="preserve">, 12 </w:t>
      </w:r>
      <w:r w:rsidRPr="00863BB0">
        <w:rPr>
          <w:sz w:val="22"/>
          <w:szCs w:val="22"/>
          <w:lang w:val="de-DE"/>
        </w:rPr>
        <w:t>h</w:t>
      </w:r>
      <w:r w:rsidRPr="00BB3077">
        <w:rPr>
          <w:sz w:val="22"/>
          <w:szCs w:val="22"/>
          <w:lang w:val="sr-Latn-ME"/>
        </w:rPr>
        <w:t>, 3</w:t>
      </w:r>
      <w:r w:rsidRPr="00863BB0">
        <w:rPr>
          <w:sz w:val="22"/>
          <w:szCs w:val="22"/>
          <w:lang w:val="de-DE"/>
        </w:rPr>
        <w:t>h</w:t>
      </w:r>
      <w:r w:rsidRPr="00BB3077">
        <w:rPr>
          <w:sz w:val="22"/>
          <w:szCs w:val="22"/>
          <w:lang w:val="sr-Latn-ME"/>
        </w:rPr>
        <w:t xml:space="preserve"> </w:t>
      </w:r>
      <w:r w:rsidRPr="00863BB0">
        <w:rPr>
          <w:sz w:val="22"/>
          <w:szCs w:val="22"/>
          <w:lang w:val="de-DE"/>
        </w:rPr>
        <w:t>i</w:t>
      </w:r>
      <w:r w:rsidRPr="00BB3077">
        <w:rPr>
          <w:sz w:val="22"/>
          <w:szCs w:val="22"/>
          <w:lang w:val="sr-Latn-ME"/>
        </w:rPr>
        <w:t xml:space="preserve"> 1 </w:t>
      </w:r>
      <w:r w:rsidRPr="00863BB0">
        <w:rPr>
          <w:sz w:val="22"/>
          <w:szCs w:val="22"/>
          <w:lang w:val="de-DE"/>
        </w:rPr>
        <w:t>h</w:t>
      </w:r>
      <w:r w:rsidRPr="00BB3077">
        <w:rPr>
          <w:sz w:val="22"/>
          <w:szCs w:val="22"/>
          <w:lang w:val="sr-Latn-ME"/>
        </w:rPr>
        <w:t xml:space="preserve"> </w:t>
      </w:r>
      <w:r w:rsidRPr="00863BB0">
        <w:rPr>
          <w:sz w:val="22"/>
          <w:szCs w:val="22"/>
          <w:lang w:val="de-DE"/>
        </w:rPr>
        <w:t>prije</w:t>
      </w:r>
      <w:r w:rsidRPr="00BB3077">
        <w:rPr>
          <w:sz w:val="22"/>
          <w:szCs w:val="22"/>
          <w:lang w:val="sr-Latn-ME"/>
        </w:rPr>
        <w:t xml:space="preserve"> </w:t>
      </w:r>
      <w:r w:rsidRPr="00863BB0">
        <w:rPr>
          <w:sz w:val="22"/>
          <w:szCs w:val="22"/>
          <w:lang w:val="de-DE"/>
        </w:rPr>
        <w:t>infuzije</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vidjeti</w:t>
      </w:r>
      <w:r w:rsidRPr="00BB3077">
        <w:rPr>
          <w:sz w:val="22"/>
          <w:szCs w:val="22"/>
          <w:lang w:val="sr-Latn-ME"/>
        </w:rPr>
        <w:t xml:space="preserve"> </w:t>
      </w:r>
      <w:r w:rsidR="006A399E">
        <w:rPr>
          <w:sz w:val="22"/>
          <w:szCs w:val="22"/>
          <w:lang w:val="de-DE"/>
        </w:rPr>
        <w:t>dio</w:t>
      </w:r>
      <w:r w:rsidRPr="00BB3077">
        <w:rPr>
          <w:sz w:val="22"/>
          <w:szCs w:val="22"/>
          <w:lang w:val="sr-Latn-ME"/>
        </w:rPr>
        <w:t xml:space="preserve"> 4.4).</w:t>
      </w:r>
    </w:p>
    <w:p w14:paraId="0C5BBEF1" w14:textId="77777777" w:rsidR="00863BB0" w:rsidRPr="00BB3077" w:rsidRDefault="00863BB0" w:rsidP="00863BB0">
      <w:pPr>
        <w:autoSpaceDE w:val="0"/>
        <w:autoSpaceDN w:val="0"/>
        <w:adjustRightInd w:val="0"/>
        <w:rPr>
          <w:sz w:val="22"/>
          <w:szCs w:val="22"/>
          <w:lang w:val="sr-Latn-ME"/>
        </w:rPr>
      </w:pPr>
    </w:p>
    <w:p w14:paraId="36B8C98A" w14:textId="30CC22E5" w:rsidR="00863BB0" w:rsidRPr="004F747D" w:rsidRDefault="00863BB0" w:rsidP="00863BB0">
      <w:pPr>
        <w:pStyle w:val="NormalIndent"/>
        <w:spacing w:after="0"/>
        <w:ind w:left="0"/>
        <w:rPr>
          <w:szCs w:val="22"/>
          <w:lang w:val="sr-Latn-ME"/>
        </w:rPr>
      </w:pPr>
      <w:r w:rsidRPr="004F747D">
        <w:rPr>
          <w:szCs w:val="22"/>
          <w:lang w:val="sr-Latn-ME"/>
        </w:rPr>
        <w:t>Pri liječenju metastatskog karcinoma prostate osjetljivog na hormone, nezavisno od istovremene primjene prednizona ili prednizolona, preporučuje se premedikacija peroralnim deksametazonom u dozi od 8 mg</w:t>
      </w:r>
      <w:r>
        <w:rPr>
          <w:szCs w:val="22"/>
          <w:lang w:val="sr-Latn-ME"/>
        </w:rPr>
        <w:t>,</w:t>
      </w:r>
      <w:r w:rsidRPr="004F747D">
        <w:rPr>
          <w:szCs w:val="22"/>
          <w:lang w:val="sr-Latn-ME"/>
        </w:rPr>
        <w:t xml:space="preserve"> 12 h, 3 h i 1 h prije infuzije docetaksela (vidjeti </w:t>
      </w:r>
      <w:r w:rsidR="006A399E">
        <w:rPr>
          <w:szCs w:val="22"/>
          <w:lang w:val="sr-Latn-ME"/>
        </w:rPr>
        <w:t>dio</w:t>
      </w:r>
      <w:r w:rsidRPr="004F747D">
        <w:rPr>
          <w:szCs w:val="22"/>
          <w:lang w:val="sr-Latn-ME"/>
        </w:rPr>
        <w:t xml:space="preserve"> 4.4). </w:t>
      </w:r>
    </w:p>
    <w:p w14:paraId="6A18907E" w14:textId="77777777" w:rsidR="00863BB0" w:rsidRPr="00BB3077" w:rsidRDefault="00863BB0" w:rsidP="00863BB0">
      <w:pPr>
        <w:autoSpaceDE w:val="0"/>
        <w:autoSpaceDN w:val="0"/>
        <w:adjustRightInd w:val="0"/>
        <w:rPr>
          <w:sz w:val="22"/>
          <w:szCs w:val="22"/>
          <w:lang w:val="sr-Latn-ME"/>
        </w:rPr>
      </w:pPr>
    </w:p>
    <w:p w14:paraId="4B6C180D" w14:textId="77777777" w:rsidR="00863BB0" w:rsidRPr="00BB3077" w:rsidRDefault="00863BB0" w:rsidP="00863BB0">
      <w:pPr>
        <w:autoSpaceDE w:val="0"/>
        <w:autoSpaceDN w:val="0"/>
        <w:adjustRightInd w:val="0"/>
        <w:rPr>
          <w:sz w:val="22"/>
          <w:szCs w:val="22"/>
          <w:lang w:val="sr-Latn-ME"/>
        </w:rPr>
      </w:pPr>
      <w:r w:rsidRPr="00863BB0">
        <w:rPr>
          <w:sz w:val="22"/>
          <w:szCs w:val="22"/>
          <w:lang w:val="de-DE"/>
        </w:rPr>
        <w:t>U</w:t>
      </w:r>
      <w:r w:rsidRPr="00BB3077">
        <w:rPr>
          <w:sz w:val="22"/>
          <w:szCs w:val="22"/>
          <w:lang w:val="sr-Latn-ME"/>
        </w:rPr>
        <w:t xml:space="preserve"> </w:t>
      </w:r>
      <w:r w:rsidRPr="00863BB0">
        <w:rPr>
          <w:sz w:val="22"/>
          <w:szCs w:val="22"/>
          <w:lang w:val="de-DE"/>
        </w:rPr>
        <w:t>profilaksi</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mo</w:t>
      </w:r>
      <w:r w:rsidRPr="00BB3077">
        <w:rPr>
          <w:sz w:val="22"/>
          <w:szCs w:val="22"/>
          <w:lang w:val="sr-Latn-ME"/>
        </w:rPr>
        <w:t>ž</w:t>
      </w:r>
      <w:r w:rsidRPr="00863BB0">
        <w:rPr>
          <w:sz w:val="22"/>
          <w:szCs w:val="22"/>
          <w:lang w:val="de-DE"/>
        </w:rPr>
        <w:t>e</w:t>
      </w:r>
      <w:r w:rsidRPr="00BB3077">
        <w:rPr>
          <w:sz w:val="22"/>
          <w:szCs w:val="22"/>
          <w:lang w:val="sr-Latn-ME"/>
        </w:rPr>
        <w:t xml:space="preserve"> </w:t>
      </w:r>
      <w:r w:rsidRPr="00863BB0">
        <w:rPr>
          <w:sz w:val="22"/>
          <w:szCs w:val="22"/>
          <w:lang w:val="de-DE"/>
        </w:rPr>
        <w:t>koristiti</w:t>
      </w:r>
      <w:r w:rsidRPr="00BB3077">
        <w:rPr>
          <w:sz w:val="22"/>
          <w:szCs w:val="22"/>
          <w:lang w:val="sr-Latn-ME"/>
        </w:rPr>
        <w:t xml:space="preserve"> </w:t>
      </w:r>
      <w:r w:rsidRPr="00863BB0">
        <w:rPr>
          <w:sz w:val="22"/>
          <w:szCs w:val="22"/>
          <w:lang w:val="de-DE"/>
        </w:rPr>
        <w:t>G</w:t>
      </w:r>
      <w:r w:rsidRPr="00BB3077">
        <w:rPr>
          <w:sz w:val="22"/>
          <w:szCs w:val="22"/>
          <w:lang w:val="sr-Latn-ME"/>
        </w:rPr>
        <w:t>-</w:t>
      </w:r>
      <w:r w:rsidRPr="00863BB0">
        <w:rPr>
          <w:sz w:val="22"/>
          <w:szCs w:val="22"/>
          <w:lang w:val="de-DE"/>
        </w:rPr>
        <w:t>CSF</w:t>
      </w:r>
      <w:r w:rsidRPr="00BB3077">
        <w:rPr>
          <w:sz w:val="22"/>
          <w:szCs w:val="22"/>
          <w:lang w:val="sr-Latn-ME"/>
        </w:rPr>
        <w:t xml:space="preserve">, </w:t>
      </w:r>
      <w:r w:rsidRPr="00863BB0">
        <w:rPr>
          <w:sz w:val="22"/>
          <w:szCs w:val="22"/>
          <w:lang w:val="de-DE"/>
        </w:rPr>
        <w:t>kako</w:t>
      </w:r>
      <w:r w:rsidRPr="00BB3077">
        <w:rPr>
          <w:sz w:val="22"/>
          <w:szCs w:val="22"/>
          <w:lang w:val="sr-Latn-ME"/>
        </w:rPr>
        <w:t xml:space="preserve"> </w:t>
      </w:r>
      <w:r w:rsidRPr="00863BB0">
        <w:rPr>
          <w:sz w:val="22"/>
          <w:szCs w:val="22"/>
          <w:lang w:val="de-DE"/>
        </w:rPr>
        <w:t>bi</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smanjio</w:t>
      </w:r>
      <w:r w:rsidRPr="00BB3077">
        <w:rPr>
          <w:sz w:val="22"/>
          <w:szCs w:val="22"/>
          <w:lang w:val="sr-Latn-ME"/>
        </w:rPr>
        <w:t xml:space="preserve"> </w:t>
      </w:r>
      <w:r w:rsidRPr="00863BB0">
        <w:rPr>
          <w:sz w:val="22"/>
          <w:szCs w:val="22"/>
          <w:lang w:val="de-DE"/>
        </w:rPr>
        <w:t>rizik</w:t>
      </w:r>
      <w:r w:rsidRPr="00BB3077">
        <w:rPr>
          <w:sz w:val="22"/>
          <w:szCs w:val="22"/>
          <w:lang w:val="sr-Latn-ME"/>
        </w:rPr>
        <w:t xml:space="preserve"> </w:t>
      </w:r>
      <w:r w:rsidRPr="00863BB0">
        <w:rPr>
          <w:sz w:val="22"/>
          <w:szCs w:val="22"/>
          <w:lang w:val="de-DE"/>
        </w:rPr>
        <w:t>od</w:t>
      </w:r>
      <w:r w:rsidRPr="00BB3077">
        <w:rPr>
          <w:sz w:val="22"/>
          <w:szCs w:val="22"/>
          <w:lang w:val="sr-Latn-ME"/>
        </w:rPr>
        <w:t xml:space="preserve"> </w:t>
      </w:r>
      <w:r w:rsidRPr="00863BB0">
        <w:rPr>
          <w:sz w:val="22"/>
          <w:szCs w:val="22"/>
          <w:lang w:val="de-DE"/>
        </w:rPr>
        <w:t>hematolo</w:t>
      </w:r>
      <w:r w:rsidRPr="00BB3077">
        <w:rPr>
          <w:sz w:val="22"/>
          <w:szCs w:val="22"/>
          <w:lang w:val="sr-Latn-ME"/>
        </w:rPr>
        <w:t>š</w:t>
      </w:r>
      <w:r w:rsidRPr="00863BB0">
        <w:rPr>
          <w:sz w:val="22"/>
          <w:szCs w:val="22"/>
          <w:lang w:val="de-DE"/>
        </w:rPr>
        <w:t>ke</w:t>
      </w:r>
      <w:r w:rsidRPr="00BB3077">
        <w:rPr>
          <w:sz w:val="22"/>
          <w:szCs w:val="22"/>
          <w:lang w:val="sr-Latn-ME"/>
        </w:rPr>
        <w:t xml:space="preserve"> </w:t>
      </w:r>
      <w:r w:rsidRPr="00863BB0">
        <w:rPr>
          <w:sz w:val="22"/>
          <w:szCs w:val="22"/>
          <w:lang w:val="de-DE"/>
        </w:rPr>
        <w:t>toksi</w:t>
      </w:r>
      <w:r w:rsidRPr="00BB3077">
        <w:rPr>
          <w:rFonts w:eastAsia="TimesNewRoman"/>
          <w:sz w:val="22"/>
          <w:szCs w:val="22"/>
          <w:lang w:val="sr-Latn-ME"/>
        </w:rPr>
        <w:t>č</w:t>
      </w:r>
      <w:r w:rsidRPr="00863BB0">
        <w:rPr>
          <w:sz w:val="22"/>
          <w:szCs w:val="22"/>
          <w:lang w:val="de-DE"/>
        </w:rPr>
        <w:t>nosti</w:t>
      </w:r>
      <w:r w:rsidRPr="00BB3077">
        <w:rPr>
          <w:sz w:val="22"/>
          <w:szCs w:val="22"/>
          <w:lang w:val="sr-Latn-ME"/>
        </w:rPr>
        <w:t>.</w:t>
      </w:r>
    </w:p>
    <w:p w14:paraId="0CE3823E" w14:textId="77777777" w:rsidR="00863BB0" w:rsidRPr="00BB3077" w:rsidRDefault="00863BB0" w:rsidP="00863BB0">
      <w:pPr>
        <w:autoSpaceDE w:val="0"/>
        <w:autoSpaceDN w:val="0"/>
        <w:adjustRightInd w:val="0"/>
        <w:rPr>
          <w:sz w:val="22"/>
          <w:szCs w:val="22"/>
          <w:lang w:val="sr-Latn-ME"/>
        </w:rPr>
      </w:pPr>
    </w:p>
    <w:p w14:paraId="0F083DFF" w14:textId="77777777" w:rsidR="00863BB0" w:rsidRPr="00BB3077" w:rsidRDefault="00863BB0" w:rsidP="00863BB0">
      <w:pPr>
        <w:autoSpaceDE w:val="0"/>
        <w:autoSpaceDN w:val="0"/>
        <w:adjustRightInd w:val="0"/>
        <w:rPr>
          <w:sz w:val="22"/>
          <w:szCs w:val="22"/>
          <w:lang w:val="sr-Latn-ME"/>
        </w:rPr>
      </w:pPr>
      <w:r w:rsidRPr="00863BB0">
        <w:rPr>
          <w:sz w:val="22"/>
          <w:szCs w:val="22"/>
          <w:lang w:val="de-DE"/>
        </w:rPr>
        <w:t>Docetaksel</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primjenjuje</w:t>
      </w:r>
      <w:r w:rsidRPr="00BB3077">
        <w:rPr>
          <w:sz w:val="22"/>
          <w:szCs w:val="22"/>
          <w:lang w:val="sr-Latn-ME"/>
        </w:rPr>
        <w:t xml:space="preserve"> </w:t>
      </w:r>
      <w:r w:rsidRPr="00863BB0">
        <w:rPr>
          <w:sz w:val="22"/>
          <w:szCs w:val="22"/>
          <w:lang w:val="de-DE"/>
        </w:rPr>
        <w:t>kao</w:t>
      </w:r>
      <w:r w:rsidRPr="00BB3077">
        <w:rPr>
          <w:sz w:val="22"/>
          <w:szCs w:val="22"/>
          <w:lang w:val="sr-Latn-ME"/>
        </w:rPr>
        <w:t xml:space="preserve"> </w:t>
      </w:r>
      <w:r w:rsidRPr="00863BB0">
        <w:rPr>
          <w:sz w:val="22"/>
          <w:szCs w:val="22"/>
          <w:lang w:val="de-DE"/>
        </w:rPr>
        <w:t>jednosatna</w:t>
      </w:r>
      <w:r w:rsidRPr="00BB3077">
        <w:rPr>
          <w:sz w:val="22"/>
          <w:szCs w:val="22"/>
          <w:lang w:val="sr-Latn-ME"/>
        </w:rPr>
        <w:t xml:space="preserve"> </w:t>
      </w:r>
      <w:r w:rsidRPr="00863BB0">
        <w:rPr>
          <w:sz w:val="22"/>
          <w:szCs w:val="22"/>
          <w:lang w:val="de-DE"/>
        </w:rPr>
        <w:t>infuzija</w:t>
      </w:r>
      <w:r w:rsidRPr="00BB3077">
        <w:rPr>
          <w:sz w:val="22"/>
          <w:szCs w:val="22"/>
          <w:lang w:val="sr-Latn-ME"/>
        </w:rPr>
        <w:t xml:space="preserve"> </w:t>
      </w:r>
      <w:r w:rsidRPr="00863BB0">
        <w:rPr>
          <w:sz w:val="22"/>
          <w:szCs w:val="22"/>
          <w:lang w:val="de-DE"/>
        </w:rPr>
        <w:t>na</w:t>
      </w:r>
      <w:r w:rsidRPr="00BB3077">
        <w:rPr>
          <w:sz w:val="22"/>
          <w:szCs w:val="22"/>
          <w:lang w:val="sr-Latn-ME"/>
        </w:rPr>
        <w:t xml:space="preserve"> </w:t>
      </w:r>
      <w:r w:rsidRPr="00863BB0">
        <w:rPr>
          <w:sz w:val="22"/>
          <w:szCs w:val="22"/>
          <w:lang w:val="de-DE"/>
        </w:rPr>
        <w:t>svake</w:t>
      </w:r>
      <w:r w:rsidRPr="00BB3077">
        <w:rPr>
          <w:sz w:val="22"/>
          <w:szCs w:val="22"/>
          <w:lang w:val="sr-Latn-ME"/>
        </w:rPr>
        <w:t xml:space="preserve"> </w:t>
      </w:r>
      <w:r w:rsidRPr="00863BB0">
        <w:rPr>
          <w:sz w:val="22"/>
          <w:szCs w:val="22"/>
          <w:lang w:val="de-DE"/>
        </w:rPr>
        <w:t>tri</w:t>
      </w:r>
      <w:r w:rsidRPr="00BB3077">
        <w:rPr>
          <w:sz w:val="22"/>
          <w:szCs w:val="22"/>
          <w:lang w:val="sr-Latn-ME"/>
        </w:rPr>
        <w:t xml:space="preserve"> </w:t>
      </w:r>
      <w:r w:rsidRPr="00863BB0">
        <w:rPr>
          <w:sz w:val="22"/>
          <w:szCs w:val="22"/>
          <w:lang w:val="de-DE"/>
        </w:rPr>
        <w:t>nedjelje</w:t>
      </w:r>
      <w:r w:rsidRPr="00BB3077">
        <w:rPr>
          <w:sz w:val="22"/>
          <w:szCs w:val="22"/>
          <w:lang w:val="sr-Latn-ME"/>
        </w:rPr>
        <w:t>.</w:t>
      </w:r>
    </w:p>
    <w:p w14:paraId="4A3F1F53" w14:textId="77777777" w:rsidR="00863BB0" w:rsidRPr="00BB3077" w:rsidRDefault="00863BB0" w:rsidP="00863BB0">
      <w:pPr>
        <w:autoSpaceDE w:val="0"/>
        <w:autoSpaceDN w:val="0"/>
        <w:adjustRightInd w:val="0"/>
        <w:rPr>
          <w:sz w:val="22"/>
          <w:szCs w:val="22"/>
          <w:lang w:val="sr-Latn-ME"/>
        </w:rPr>
      </w:pPr>
    </w:p>
    <w:p w14:paraId="72A19C20" w14:textId="77777777" w:rsidR="00863BB0" w:rsidRPr="00BB3077" w:rsidRDefault="00863BB0" w:rsidP="00863BB0">
      <w:pPr>
        <w:autoSpaceDE w:val="0"/>
        <w:autoSpaceDN w:val="0"/>
        <w:adjustRightInd w:val="0"/>
        <w:rPr>
          <w:i/>
          <w:sz w:val="22"/>
          <w:szCs w:val="22"/>
          <w:u w:val="single"/>
          <w:lang w:val="sr-Latn-ME"/>
        </w:rPr>
      </w:pPr>
      <w:r w:rsidRPr="00863BB0">
        <w:rPr>
          <w:i/>
          <w:sz w:val="22"/>
          <w:szCs w:val="22"/>
          <w:u w:val="single"/>
          <w:lang w:val="de-DE"/>
        </w:rPr>
        <w:t>Karcinom</w:t>
      </w:r>
      <w:r w:rsidRPr="00BB3077">
        <w:rPr>
          <w:i/>
          <w:sz w:val="22"/>
          <w:szCs w:val="22"/>
          <w:u w:val="single"/>
          <w:lang w:val="sr-Latn-ME"/>
        </w:rPr>
        <w:t xml:space="preserve"> </w:t>
      </w:r>
      <w:r w:rsidRPr="00863BB0">
        <w:rPr>
          <w:i/>
          <w:sz w:val="22"/>
          <w:szCs w:val="22"/>
          <w:u w:val="single"/>
          <w:lang w:val="de-DE"/>
        </w:rPr>
        <w:t>dojke</w:t>
      </w:r>
    </w:p>
    <w:p w14:paraId="3CEF63D2" w14:textId="77777777" w:rsidR="00863BB0" w:rsidRPr="00BB3077" w:rsidRDefault="00863BB0" w:rsidP="00863BB0">
      <w:pPr>
        <w:autoSpaceDE w:val="0"/>
        <w:autoSpaceDN w:val="0"/>
        <w:adjustRightInd w:val="0"/>
        <w:rPr>
          <w:sz w:val="22"/>
          <w:szCs w:val="22"/>
          <w:u w:val="single"/>
          <w:lang w:val="sr-Latn-ME"/>
        </w:rPr>
      </w:pPr>
    </w:p>
    <w:p w14:paraId="46D55438" w14:textId="77777777" w:rsidR="00863BB0" w:rsidRPr="00BB3077" w:rsidRDefault="00863BB0" w:rsidP="00863BB0">
      <w:pPr>
        <w:autoSpaceDE w:val="0"/>
        <w:autoSpaceDN w:val="0"/>
        <w:adjustRightInd w:val="0"/>
        <w:rPr>
          <w:sz w:val="22"/>
          <w:szCs w:val="22"/>
          <w:lang w:val="sr-Latn-ME"/>
        </w:rPr>
      </w:pPr>
      <w:bookmarkStart w:id="0" w:name="_Hlk28257648"/>
      <w:r w:rsidRPr="00863BB0">
        <w:rPr>
          <w:sz w:val="22"/>
          <w:szCs w:val="22"/>
          <w:lang w:val="de-DE"/>
        </w:rPr>
        <w:t>U</w:t>
      </w:r>
      <w:r w:rsidRPr="00BB3077">
        <w:rPr>
          <w:sz w:val="22"/>
          <w:szCs w:val="22"/>
          <w:lang w:val="sr-Latn-ME"/>
        </w:rPr>
        <w:t xml:space="preserve"> </w:t>
      </w:r>
      <w:r w:rsidRPr="00863BB0">
        <w:rPr>
          <w:sz w:val="22"/>
          <w:szCs w:val="22"/>
          <w:lang w:val="de-DE"/>
        </w:rPr>
        <w:t>adjuvantnoj</w:t>
      </w:r>
      <w:r w:rsidRPr="00BB3077">
        <w:rPr>
          <w:sz w:val="22"/>
          <w:szCs w:val="22"/>
          <w:lang w:val="sr-Latn-ME"/>
        </w:rPr>
        <w:t xml:space="preserve"> </w:t>
      </w:r>
      <w:r w:rsidRPr="00863BB0">
        <w:rPr>
          <w:sz w:val="22"/>
          <w:szCs w:val="22"/>
          <w:lang w:val="de-DE"/>
        </w:rPr>
        <w:t>terapiji</w:t>
      </w:r>
      <w:r w:rsidRPr="00BB3077">
        <w:rPr>
          <w:sz w:val="22"/>
          <w:szCs w:val="22"/>
          <w:lang w:val="sr-Latn-ME"/>
        </w:rPr>
        <w:t xml:space="preserve"> </w:t>
      </w:r>
      <w:r w:rsidRPr="00863BB0">
        <w:rPr>
          <w:sz w:val="22"/>
          <w:szCs w:val="22"/>
          <w:lang w:val="de-DE"/>
        </w:rPr>
        <w:t>operabilnog</w:t>
      </w:r>
      <w:r w:rsidRPr="00BB3077">
        <w:rPr>
          <w:sz w:val="22"/>
          <w:szCs w:val="22"/>
          <w:lang w:val="sr-Latn-ME"/>
        </w:rPr>
        <w:t xml:space="preserve"> </w:t>
      </w:r>
      <w:r w:rsidRPr="00863BB0">
        <w:rPr>
          <w:sz w:val="22"/>
          <w:szCs w:val="22"/>
          <w:lang w:val="de-DE"/>
        </w:rPr>
        <w:t>nodus</w:t>
      </w:r>
      <w:r w:rsidRPr="00BB3077">
        <w:rPr>
          <w:sz w:val="22"/>
          <w:szCs w:val="22"/>
          <w:lang w:val="sr-Latn-ME"/>
        </w:rPr>
        <w:t>-</w:t>
      </w:r>
      <w:r w:rsidRPr="00863BB0">
        <w:rPr>
          <w:sz w:val="22"/>
          <w:szCs w:val="22"/>
          <w:lang w:val="de-DE"/>
        </w:rPr>
        <w:t>pozitivnog</w:t>
      </w:r>
      <w:r w:rsidRPr="00BB3077">
        <w:rPr>
          <w:sz w:val="22"/>
          <w:szCs w:val="22"/>
          <w:lang w:val="sr-Latn-ME"/>
        </w:rPr>
        <w:t xml:space="preserve"> </w:t>
      </w:r>
      <w:r w:rsidRPr="00863BB0">
        <w:rPr>
          <w:sz w:val="22"/>
          <w:szCs w:val="22"/>
          <w:lang w:val="de-DE"/>
        </w:rPr>
        <w:t>i</w:t>
      </w:r>
      <w:r w:rsidRPr="00BB3077">
        <w:rPr>
          <w:sz w:val="22"/>
          <w:szCs w:val="22"/>
          <w:lang w:val="sr-Latn-ME"/>
        </w:rPr>
        <w:t xml:space="preserve"> </w:t>
      </w:r>
      <w:r w:rsidRPr="00863BB0">
        <w:rPr>
          <w:sz w:val="22"/>
          <w:szCs w:val="22"/>
          <w:lang w:val="de-DE"/>
        </w:rPr>
        <w:t>nodus</w:t>
      </w:r>
      <w:r w:rsidRPr="00BB3077">
        <w:rPr>
          <w:sz w:val="22"/>
          <w:szCs w:val="22"/>
          <w:lang w:val="sr-Latn-ME"/>
        </w:rPr>
        <w:t>-</w:t>
      </w:r>
      <w:r w:rsidRPr="00863BB0">
        <w:rPr>
          <w:sz w:val="22"/>
          <w:szCs w:val="22"/>
          <w:lang w:val="de-DE"/>
        </w:rPr>
        <w:t>negativnog</w:t>
      </w:r>
      <w:r w:rsidRPr="00BB3077">
        <w:rPr>
          <w:sz w:val="22"/>
          <w:szCs w:val="22"/>
          <w:lang w:val="sr-Latn-ME"/>
        </w:rPr>
        <w:t xml:space="preserve"> </w:t>
      </w:r>
      <w:r w:rsidRPr="00863BB0">
        <w:rPr>
          <w:sz w:val="22"/>
          <w:szCs w:val="22"/>
          <w:lang w:val="de-DE"/>
        </w:rPr>
        <w:t>karcinoma</w:t>
      </w:r>
      <w:r w:rsidRPr="00BB3077">
        <w:rPr>
          <w:sz w:val="22"/>
          <w:szCs w:val="22"/>
          <w:lang w:val="sr-Latn-ME"/>
        </w:rPr>
        <w:t xml:space="preserve"> </w:t>
      </w:r>
      <w:r w:rsidRPr="00863BB0">
        <w:rPr>
          <w:sz w:val="22"/>
          <w:szCs w:val="22"/>
          <w:lang w:val="de-DE"/>
        </w:rPr>
        <w:t>dojke</w:t>
      </w:r>
      <w:r w:rsidRPr="00BB3077">
        <w:rPr>
          <w:sz w:val="22"/>
          <w:szCs w:val="22"/>
          <w:lang w:val="sr-Latn-ME"/>
        </w:rPr>
        <w:t xml:space="preserve">, </w:t>
      </w:r>
      <w:r w:rsidRPr="00863BB0">
        <w:rPr>
          <w:sz w:val="22"/>
          <w:szCs w:val="22"/>
          <w:lang w:val="de-DE"/>
        </w:rPr>
        <w:t>preporu</w:t>
      </w:r>
      <w:r w:rsidRPr="00BB3077">
        <w:rPr>
          <w:rFonts w:eastAsia="TimesNewRoman"/>
          <w:sz w:val="22"/>
          <w:szCs w:val="22"/>
          <w:lang w:val="sr-Latn-ME"/>
        </w:rPr>
        <w:t>č</w:t>
      </w:r>
      <w:r w:rsidRPr="00863BB0">
        <w:rPr>
          <w:sz w:val="22"/>
          <w:szCs w:val="22"/>
          <w:lang w:val="de-DE"/>
        </w:rPr>
        <w:t>ena</w:t>
      </w:r>
      <w:r w:rsidRPr="00BB3077">
        <w:rPr>
          <w:sz w:val="22"/>
          <w:szCs w:val="22"/>
          <w:lang w:val="sr-Latn-ME"/>
        </w:rPr>
        <w:t xml:space="preserve"> </w:t>
      </w:r>
      <w:r w:rsidRPr="00863BB0">
        <w:rPr>
          <w:sz w:val="22"/>
          <w:szCs w:val="22"/>
          <w:lang w:val="de-DE"/>
        </w:rPr>
        <w:t>doza</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je</w:t>
      </w:r>
      <w:r w:rsidRPr="00BB3077">
        <w:rPr>
          <w:sz w:val="22"/>
          <w:szCs w:val="22"/>
          <w:lang w:val="sr-Latn-ME"/>
        </w:rPr>
        <w:t xml:space="preserve"> 75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primijenjena</w:t>
      </w:r>
      <w:r w:rsidRPr="00BB3077">
        <w:rPr>
          <w:sz w:val="22"/>
          <w:szCs w:val="22"/>
          <w:lang w:val="sr-Latn-ME"/>
        </w:rPr>
        <w:t xml:space="preserve"> 1 </w:t>
      </w:r>
      <w:r w:rsidRPr="00863BB0">
        <w:rPr>
          <w:sz w:val="22"/>
          <w:szCs w:val="22"/>
          <w:lang w:val="de-DE"/>
        </w:rPr>
        <w:t>sat</w:t>
      </w:r>
      <w:r w:rsidRPr="00BB3077">
        <w:rPr>
          <w:sz w:val="22"/>
          <w:szCs w:val="22"/>
          <w:lang w:val="sr-Latn-ME"/>
        </w:rPr>
        <w:t xml:space="preserve"> </w:t>
      </w:r>
      <w:r w:rsidRPr="00863BB0">
        <w:rPr>
          <w:sz w:val="22"/>
          <w:szCs w:val="22"/>
          <w:lang w:val="de-DE"/>
        </w:rPr>
        <w:t>poslije</w:t>
      </w:r>
      <w:r w:rsidRPr="00BB3077">
        <w:rPr>
          <w:sz w:val="22"/>
          <w:szCs w:val="22"/>
          <w:lang w:val="sr-Latn-ME"/>
        </w:rPr>
        <w:t xml:space="preserve"> </w:t>
      </w:r>
      <w:r w:rsidRPr="00863BB0">
        <w:rPr>
          <w:sz w:val="22"/>
          <w:szCs w:val="22"/>
          <w:lang w:val="de-DE"/>
        </w:rPr>
        <w:t>doksorubicina</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dozi</w:t>
      </w:r>
      <w:r w:rsidRPr="00BB3077">
        <w:rPr>
          <w:sz w:val="22"/>
          <w:szCs w:val="22"/>
          <w:lang w:val="sr-Latn-ME"/>
        </w:rPr>
        <w:t xml:space="preserve"> </w:t>
      </w:r>
      <w:r w:rsidRPr="00863BB0">
        <w:rPr>
          <w:sz w:val="22"/>
          <w:szCs w:val="22"/>
          <w:lang w:val="de-DE"/>
        </w:rPr>
        <w:t>od</w:t>
      </w:r>
      <w:r w:rsidRPr="00BB3077">
        <w:rPr>
          <w:sz w:val="22"/>
          <w:szCs w:val="22"/>
          <w:lang w:val="sr-Latn-ME"/>
        </w:rPr>
        <w:t xml:space="preserve"> 50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i</w:t>
      </w:r>
      <w:r w:rsidRPr="00BB3077">
        <w:rPr>
          <w:sz w:val="22"/>
          <w:szCs w:val="22"/>
          <w:lang w:val="sr-Latn-ME"/>
        </w:rPr>
        <w:t xml:space="preserve"> </w:t>
      </w:r>
      <w:r w:rsidRPr="00863BB0">
        <w:rPr>
          <w:sz w:val="22"/>
          <w:szCs w:val="22"/>
          <w:lang w:val="de-DE"/>
        </w:rPr>
        <w:t>ciklofosfamida</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dozi</w:t>
      </w:r>
      <w:r w:rsidRPr="00BB3077">
        <w:rPr>
          <w:sz w:val="22"/>
          <w:szCs w:val="22"/>
          <w:lang w:val="sr-Latn-ME"/>
        </w:rPr>
        <w:t xml:space="preserve"> </w:t>
      </w:r>
      <w:r w:rsidRPr="00863BB0">
        <w:rPr>
          <w:sz w:val="22"/>
          <w:szCs w:val="22"/>
          <w:lang w:val="de-DE"/>
        </w:rPr>
        <w:t>od</w:t>
      </w:r>
      <w:r w:rsidRPr="00BB3077">
        <w:rPr>
          <w:sz w:val="22"/>
          <w:szCs w:val="22"/>
          <w:lang w:val="sr-Latn-ME"/>
        </w:rPr>
        <w:t xml:space="preserve"> 500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na</w:t>
      </w:r>
      <w:r w:rsidRPr="00BB3077">
        <w:rPr>
          <w:sz w:val="22"/>
          <w:szCs w:val="22"/>
          <w:lang w:val="sr-Latn-ME"/>
        </w:rPr>
        <w:t xml:space="preserve"> </w:t>
      </w:r>
      <w:r w:rsidRPr="00863BB0">
        <w:rPr>
          <w:sz w:val="22"/>
          <w:szCs w:val="22"/>
          <w:lang w:val="de-DE"/>
        </w:rPr>
        <w:t>svake</w:t>
      </w:r>
      <w:r w:rsidRPr="00BB3077">
        <w:rPr>
          <w:sz w:val="22"/>
          <w:szCs w:val="22"/>
          <w:lang w:val="sr-Latn-ME"/>
        </w:rPr>
        <w:t xml:space="preserve"> 3 </w:t>
      </w:r>
      <w:r w:rsidRPr="00863BB0">
        <w:rPr>
          <w:sz w:val="22"/>
          <w:szCs w:val="22"/>
          <w:lang w:val="de-DE"/>
        </w:rPr>
        <w:t>nedjelje</w:t>
      </w:r>
      <w:r w:rsidRPr="00BB3077">
        <w:rPr>
          <w:sz w:val="22"/>
          <w:szCs w:val="22"/>
          <w:lang w:val="sr-Latn-ME"/>
        </w:rPr>
        <w:t xml:space="preserve">, </w:t>
      </w:r>
      <w:r w:rsidRPr="00863BB0">
        <w:rPr>
          <w:sz w:val="22"/>
          <w:szCs w:val="22"/>
          <w:lang w:val="de-DE"/>
        </w:rPr>
        <w:t>tokom</w:t>
      </w:r>
      <w:r w:rsidRPr="00BB3077">
        <w:rPr>
          <w:sz w:val="22"/>
          <w:szCs w:val="22"/>
          <w:lang w:val="sr-Latn-ME"/>
        </w:rPr>
        <w:t xml:space="preserve"> 6 </w:t>
      </w:r>
      <w:r w:rsidRPr="00863BB0">
        <w:rPr>
          <w:sz w:val="22"/>
          <w:szCs w:val="22"/>
          <w:lang w:val="de-DE"/>
        </w:rPr>
        <w:t>ciklusa</w:t>
      </w:r>
      <w:r w:rsidRPr="00BB3077">
        <w:rPr>
          <w:sz w:val="22"/>
          <w:szCs w:val="22"/>
          <w:lang w:val="sr-Latn-ME"/>
        </w:rPr>
        <w:t xml:space="preserve"> (</w:t>
      </w:r>
      <w:r w:rsidRPr="00863BB0">
        <w:rPr>
          <w:sz w:val="22"/>
          <w:szCs w:val="22"/>
          <w:lang w:val="de-DE"/>
        </w:rPr>
        <w:t>TAC</w:t>
      </w:r>
      <w:r w:rsidRPr="00BB3077">
        <w:rPr>
          <w:sz w:val="22"/>
          <w:szCs w:val="22"/>
          <w:lang w:val="sr-Latn-ME"/>
        </w:rPr>
        <w:t xml:space="preserve"> </w:t>
      </w:r>
      <w:r w:rsidRPr="00863BB0">
        <w:rPr>
          <w:sz w:val="22"/>
          <w:szCs w:val="22"/>
          <w:lang w:val="de-DE"/>
        </w:rPr>
        <w:t>re</w:t>
      </w:r>
      <w:r w:rsidRPr="00BB3077">
        <w:rPr>
          <w:sz w:val="22"/>
          <w:szCs w:val="22"/>
          <w:lang w:val="sr-Latn-ME"/>
        </w:rPr>
        <w:t>ž</w:t>
      </w:r>
      <w:r w:rsidRPr="00863BB0">
        <w:rPr>
          <w:sz w:val="22"/>
          <w:szCs w:val="22"/>
          <w:lang w:val="de-DE"/>
        </w:rPr>
        <w:t>im</w:t>
      </w:r>
      <w:r w:rsidRPr="00BB3077">
        <w:rPr>
          <w:sz w:val="22"/>
          <w:szCs w:val="22"/>
          <w:lang w:val="sr-Latn-ME"/>
        </w:rPr>
        <w:t>) (</w:t>
      </w:r>
      <w:r w:rsidRPr="00863BB0">
        <w:rPr>
          <w:sz w:val="22"/>
          <w:szCs w:val="22"/>
          <w:lang w:val="de-DE"/>
        </w:rPr>
        <w:t>vidjeti</w:t>
      </w:r>
      <w:r w:rsidRPr="00BB3077">
        <w:rPr>
          <w:sz w:val="22"/>
          <w:szCs w:val="22"/>
          <w:lang w:val="sr-Latn-ME"/>
        </w:rPr>
        <w:t xml:space="preserve"> </w:t>
      </w:r>
      <w:r w:rsidRPr="00863BB0">
        <w:rPr>
          <w:sz w:val="22"/>
          <w:szCs w:val="22"/>
          <w:lang w:val="de-DE"/>
        </w:rPr>
        <w:t>i</w:t>
      </w:r>
      <w:r w:rsidRPr="00BB3077">
        <w:rPr>
          <w:sz w:val="22"/>
          <w:szCs w:val="22"/>
          <w:lang w:val="sr-Latn-ME"/>
        </w:rPr>
        <w:t xml:space="preserve"> „</w:t>
      </w:r>
      <w:r w:rsidRPr="00863BB0">
        <w:rPr>
          <w:sz w:val="22"/>
          <w:szCs w:val="22"/>
          <w:lang w:val="de-DE"/>
        </w:rPr>
        <w:t>Pode</w:t>
      </w:r>
      <w:r w:rsidRPr="00BB3077">
        <w:rPr>
          <w:sz w:val="22"/>
          <w:szCs w:val="22"/>
          <w:lang w:val="sr-Latn-ME"/>
        </w:rPr>
        <w:t>š</w:t>
      </w:r>
      <w:r w:rsidRPr="00863BB0">
        <w:rPr>
          <w:sz w:val="22"/>
          <w:szCs w:val="22"/>
          <w:lang w:val="de-DE"/>
        </w:rPr>
        <w:t>avanje</w:t>
      </w:r>
      <w:r w:rsidRPr="00BB3077">
        <w:rPr>
          <w:sz w:val="22"/>
          <w:szCs w:val="22"/>
          <w:lang w:val="sr-Latn-ME"/>
        </w:rPr>
        <w:t xml:space="preserve"> </w:t>
      </w:r>
      <w:r w:rsidRPr="00863BB0">
        <w:rPr>
          <w:sz w:val="22"/>
          <w:szCs w:val="22"/>
          <w:lang w:val="de-DE"/>
        </w:rPr>
        <w:t>doze</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toku</w:t>
      </w:r>
      <w:r w:rsidRPr="00BB3077">
        <w:rPr>
          <w:sz w:val="22"/>
          <w:szCs w:val="22"/>
          <w:lang w:val="sr-Latn-ME"/>
        </w:rPr>
        <w:t xml:space="preserve"> </w:t>
      </w:r>
      <w:r w:rsidRPr="00863BB0">
        <w:rPr>
          <w:sz w:val="22"/>
          <w:szCs w:val="22"/>
          <w:lang w:val="de-DE"/>
        </w:rPr>
        <w:t>terapije</w:t>
      </w:r>
      <w:r w:rsidRPr="00BB3077">
        <w:rPr>
          <w:sz w:val="22"/>
          <w:szCs w:val="22"/>
          <w:lang w:val="sr-Latn-ME"/>
        </w:rPr>
        <w:t>“).</w:t>
      </w:r>
    </w:p>
    <w:bookmarkEnd w:id="0"/>
    <w:p w14:paraId="010CB586" w14:textId="77777777" w:rsidR="00863BB0" w:rsidRPr="00BB3077" w:rsidRDefault="00863BB0" w:rsidP="00863BB0">
      <w:pPr>
        <w:autoSpaceDE w:val="0"/>
        <w:autoSpaceDN w:val="0"/>
        <w:adjustRightInd w:val="0"/>
        <w:rPr>
          <w:sz w:val="22"/>
          <w:szCs w:val="22"/>
          <w:lang w:val="sr-Latn-ME"/>
        </w:rPr>
      </w:pPr>
    </w:p>
    <w:p w14:paraId="5F9C8C9A" w14:textId="77777777" w:rsidR="00863BB0" w:rsidRPr="00BB3077" w:rsidRDefault="00863BB0" w:rsidP="00863BB0">
      <w:pPr>
        <w:autoSpaceDE w:val="0"/>
        <w:autoSpaceDN w:val="0"/>
        <w:adjustRightInd w:val="0"/>
        <w:rPr>
          <w:sz w:val="22"/>
          <w:szCs w:val="22"/>
          <w:lang w:val="sr-Latn-ME"/>
        </w:rPr>
      </w:pPr>
      <w:r w:rsidRPr="00863BB0">
        <w:rPr>
          <w:sz w:val="22"/>
          <w:szCs w:val="22"/>
          <w:lang w:val="de-DE"/>
        </w:rPr>
        <w:t>Za</w:t>
      </w:r>
      <w:r w:rsidRPr="00BB3077">
        <w:rPr>
          <w:sz w:val="22"/>
          <w:szCs w:val="22"/>
          <w:lang w:val="sr-Latn-ME"/>
        </w:rPr>
        <w:t xml:space="preserve"> </w:t>
      </w:r>
      <w:r w:rsidRPr="00863BB0">
        <w:rPr>
          <w:sz w:val="22"/>
          <w:szCs w:val="22"/>
          <w:lang w:val="de-DE"/>
        </w:rPr>
        <w:t>lije</w:t>
      </w:r>
      <w:r w:rsidRPr="00BB3077">
        <w:rPr>
          <w:rFonts w:eastAsia="TimesNewRoman"/>
          <w:sz w:val="22"/>
          <w:szCs w:val="22"/>
          <w:lang w:val="sr-Latn-ME"/>
        </w:rPr>
        <w:t>č</w:t>
      </w:r>
      <w:r w:rsidRPr="00863BB0">
        <w:rPr>
          <w:sz w:val="22"/>
          <w:szCs w:val="22"/>
          <w:lang w:val="de-DE"/>
        </w:rPr>
        <w:t>enje</w:t>
      </w:r>
      <w:r w:rsidRPr="00BB3077">
        <w:rPr>
          <w:sz w:val="22"/>
          <w:szCs w:val="22"/>
          <w:lang w:val="sr-Latn-ME"/>
        </w:rPr>
        <w:t xml:space="preserve"> </w:t>
      </w:r>
      <w:r w:rsidRPr="00863BB0">
        <w:rPr>
          <w:sz w:val="22"/>
          <w:szCs w:val="22"/>
          <w:lang w:val="de-DE"/>
        </w:rPr>
        <w:t>pacijenata</w:t>
      </w:r>
      <w:r w:rsidRPr="00BB3077">
        <w:rPr>
          <w:sz w:val="22"/>
          <w:szCs w:val="22"/>
          <w:lang w:val="sr-Latn-ME"/>
        </w:rPr>
        <w:t xml:space="preserve"> </w:t>
      </w:r>
      <w:r w:rsidRPr="00863BB0">
        <w:rPr>
          <w:sz w:val="22"/>
          <w:szCs w:val="22"/>
          <w:lang w:val="de-DE"/>
        </w:rPr>
        <w:t>sa</w:t>
      </w:r>
      <w:r w:rsidRPr="00BB3077">
        <w:rPr>
          <w:sz w:val="22"/>
          <w:szCs w:val="22"/>
          <w:lang w:val="sr-Latn-ME"/>
        </w:rPr>
        <w:t xml:space="preserve"> </w:t>
      </w:r>
      <w:r w:rsidRPr="00863BB0">
        <w:rPr>
          <w:sz w:val="22"/>
          <w:szCs w:val="22"/>
          <w:lang w:val="de-DE"/>
        </w:rPr>
        <w:t>lokalno</w:t>
      </w:r>
      <w:r w:rsidRPr="00BB3077">
        <w:rPr>
          <w:sz w:val="22"/>
          <w:szCs w:val="22"/>
          <w:lang w:val="sr-Latn-ME"/>
        </w:rPr>
        <w:t xml:space="preserve"> </w:t>
      </w:r>
      <w:r w:rsidRPr="00863BB0">
        <w:rPr>
          <w:sz w:val="22"/>
          <w:szCs w:val="22"/>
          <w:lang w:val="de-DE"/>
        </w:rPr>
        <w:t>uznapredovalim</w:t>
      </w:r>
      <w:r w:rsidRPr="00BB3077">
        <w:rPr>
          <w:sz w:val="22"/>
          <w:szCs w:val="22"/>
          <w:lang w:val="sr-Latn-ME"/>
        </w:rPr>
        <w:t xml:space="preserve"> </w:t>
      </w:r>
      <w:r w:rsidRPr="00863BB0">
        <w:rPr>
          <w:sz w:val="22"/>
          <w:szCs w:val="22"/>
          <w:lang w:val="de-DE"/>
        </w:rPr>
        <w:t>ili</w:t>
      </w:r>
      <w:r w:rsidRPr="00BB3077">
        <w:rPr>
          <w:sz w:val="22"/>
          <w:szCs w:val="22"/>
          <w:lang w:val="sr-Latn-ME"/>
        </w:rPr>
        <w:t xml:space="preserve"> </w:t>
      </w:r>
      <w:r w:rsidRPr="00863BB0">
        <w:rPr>
          <w:sz w:val="22"/>
          <w:szCs w:val="22"/>
          <w:lang w:val="de-DE"/>
        </w:rPr>
        <w:t>metastatskim</w:t>
      </w:r>
      <w:r w:rsidRPr="00BB3077">
        <w:rPr>
          <w:sz w:val="22"/>
          <w:szCs w:val="22"/>
          <w:lang w:val="sr-Latn-ME"/>
        </w:rPr>
        <w:t xml:space="preserve"> </w:t>
      </w:r>
      <w:r w:rsidRPr="00863BB0">
        <w:rPr>
          <w:sz w:val="22"/>
          <w:szCs w:val="22"/>
          <w:lang w:val="de-DE"/>
        </w:rPr>
        <w:t>karcinomom</w:t>
      </w:r>
      <w:r w:rsidRPr="00BB3077">
        <w:rPr>
          <w:sz w:val="22"/>
          <w:szCs w:val="22"/>
          <w:lang w:val="sr-Latn-ME"/>
        </w:rPr>
        <w:t xml:space="preserve"> </w:t>
      </w:r>
      <w:r w:rsidRPr="00863BB0">
        <w:rPr>
          <w:sz w:val="22"/>
          <w:szCs w:val="22"/>
          <w:lang w:val="de-DE"/>
        </w:rPr>
        <w:t>dojke</w:t>
      </w:r>
      <w:r w:rsidRPr="00BB3077">
        <w:rPr>
          <w:sz w:val="22"/>
          <w:szCs w:val="22"/>
          <w:lang w:val="sr-Latn-ME"/>
        </w:rPr>
        <w:t xml:space="preserve">, </w:t>
      </w:r>
      <w:r w:rsidRPr="00863BB0">
        <w:rPr>
          <w:sz w:val="22"/>
          <w:szCs w:val="22"/>
          <w:lang w:val="de-DE"/>
        </w:rPr>
        <w:t>preporu</w:t>
      </w:r>
      <w:r w:rsidRPr="00BB3077">
        <w:rPr>
          <w:rFonts w:eastAsia="TimesNewRoman"/>
          <w:sz w:val="22"/>
          <w:szCs w:val="22"/>
          <w:lang w:val="sr-Latn-ME"/>
        </w:rPr>
        <w:t>č</w:t>
      </w:r>
      <w:r w:rsidRPr="00863BB0">
        <w:rPr>
          <w:sz w:val="22"/>
          <w:szCs w:val="22"/>
          <w:lang w:val="de-DE"/>
        </w:rPr>
        <w:t>ena</w:t>
      </w:r>
      <w:r w:rsidRPr="00BB3077">
        <w:rPr>
          <w:sz w:val="22"/>
          <w:szCs w:val="22"/>
          <w:lang w:val="sr-Latn-ME"/>
        </w:rPr>
        <w:t xml:space="preserve"> </w:t>
      </w:r>
      <w:r w:rsidRPr="00863BB0">
        <w:rPr>
          <w:sz w:val="22"/>
          <w:szCs w:val="22"/>
          <w:lang w:val="de-DE"/>
        </w:rPr>
        <w:t>doza</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je</w:t>
      </w:r>
      <w:r w:rsidRPr="00BB3077">
        <w:rPr>
          <w:sz w:val="22"/>
          <w:szCs w:val="22"/>
          <w:lang w:val="sr-Latn-ME"/>
        </w:rPr>
        <w:t xml:space="preserve"> 100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kao</w:t>
      </w:r>
      <w:r w:rsidRPr="00BB3077">
        <w:rPr>
          <w:sz w:val="22"/>
          <w:szCs w:val="22"/>
          <w:lang w:val="sr-Latn-ME"/>
        </w:rPr>
        <w:t xml:space="preserve"> </w:t>
      </w:r>
      <w:r w:rsidRPr="00863BB0">
        <w:rPr>
          <w:sz w:val="22"/>
          <w:szCs w:val="22"/>
          <w:lang w:val="de-DE"/>
        </w:rPr>
        <w:t>monoterapija</w:t>
      </w:r>
      <w:r w:rsidRPr="00BB3077">
        <w:rPr>
          <w:sz w:val="22"/>
          <w:szCs w:val="22"/>
          <w:lang w:val="sr-Latn-ME"/>
        </w:rPr>
        <w:t xml:space="preserve">. </w:t>
      </w:r>
      <w:r w:rsidRPr="00863BB0">
        <w:rPr>
          <w:sz w:val="22"/>
          <w:szCs w:val="22"/>
          <w:lang w:val="de-DE"/>
        </w:rPr>
        <w:t>Kao</w:t>
      </w:r>
      <w:r w:rsidRPr="00BB3077">
        <w:rPr>
          <w:sz w:val="22"/>
          <w:szCs w:val="22"/>
          <w:lang w:val="sr-Latn-ME"/>
        </w:rPr>
        <w:t xml:space="preserve"> </w:t>
      </w:r>
      <w:r w:rsidRPr="00863BB0">
        <w:rPr>
          <w:sz w:val="22"/>
          <w:szCs w:val="22"/>
          <w:lang w:val="de-DE"/>
        </w:rPr>
        <w:t>prva</w:t>
      </w:r>
      <w:r w:rsidRPr="00BB3077">
        <w:rPr>
          <w:sz w:val="22"/>
          <w:szCs w:val="22"/>
          <w:lang w:val="sr-Latn-ME"/>
        </w:rPr>
        <w:t xml:space="preserve"> </w:t>
      </w:r>
      <w:r w:rsidRPr="00863BB0">
        <w:rPr>
          <w:sz w:val="22"/>
          <w:szCs w:val="22"/>
          <w:lang w:val="de-DE"/>
        </w:rPr>
        <w:t>linija</w:t>
      </w:r>
      <w:r w:rsidRPr="00BB3077">
        <w:rPr>
          <w:sz w:val="22"/>
          <w:szCs w:val="22"/>
          <w:lang w:val="sr-Latn-ME"/>
        </w:rPr>
        <w:t xml:space="preserve"> </w:t>
      </w:r>
      <w:r w:rsidRPr="00863BB0">
        <w:rPr>
          <w:sz w:val="22"/>
          <w:szCs w:val="22"/>
          <w:lang w:val="de-DE"/>
        </w:rPr>
        <w:t>terapije</w:t>
      </w:r>
      <w:r w:rsidRPr="00BB3077">
        <w:rPr>
          <w:sz w:val="22"/>
          <w:szCs w:val="22"/>
          <w:lang w:val="sr-Latn-ME"/>
        </w:rPr>
        <w:t xml:space="preserve">, </w:t>
      </w:r>
      <w:r w:rsidRPr="00863BB0">
        <w:rPr>
          <w:sz w:val="22"/>
          <w:szCs w:val="22"/>
          <w:lang w:val="de-DE"/>
        </w:rPr>
        <w:t>docetaksel</w:t>
      </w:r>
      <w:r w:rsidRPr="00BB3077">
        <w:rPr>
          <w:sz w:val="22"/>
          <w:szCs w:val="22"/>
          <w:lang w:val="sr-Latn-ME"/>
        </w:rPr>
        <w:t xml:space="preserve"> </w:t>
      </w:r>
      <w:r w:rsidRPr="00863BB0">
        <w:rPr>
          <w:sz w:val="22"/>
          <w:szCs w:val="22"/>
          <w:lang w:val="de-DE"/>
        </w:rPr>
        <w:t>se</w:t>
      </w:r>
      <w:r w:rsidRPr="00BB3077">
        <w:rPr>
          <w:sz w:val="22"/>
          <w:szCs w:val="22"/>
          <w:lang w:val="sr-Latn-ME"/>
        </w:rPr>
        <w:t xml:space="preserve"> </w:t>
      </w:r>
      <w:r w:rsidRPr="00863BB0">
        <w:rPr>
          <w:sz w:val="22"/>
          <w:szCs w:val="22"/>
          <w:lang w:val="de-DE"/>
        </w:rPr>
        <w:t>daje</w:t>
      </w:r>
      <w:r w:rsidRPr="00BB3077">
        <w:rPr>
          <w:sz w:val="22"/>
          <w:szCs w:val="22"/>
          <w:lang w:val="sr-Latn-ME"/>
        </w:rPr>
        <w:t xml:space="preserve"> </w:t>
      </w:r>
      <w:r w:rsidRPr="00863BB0">
        <w:rPr>
          <w:sz w:val="22"/>
          <w:szCs w:val="22"/>
          <w:lang w:val="de-DE"/>
        </w:rPr>
        <w:t>u</w:t>
      </w:r>
      <w:r w:rsidRPr="00BB3077">
        <w:rPr>
          <w:sz w:val="22"/>
          <w:szCs w:val="22"/>
          <w:lang w:val="sr-Latn-ME"/>
        </w:rPr>
        <w:t xml:space="preserve"> </w:t>
      </w:r>
      <w:r w:rsidRPr="00863BB0">
        <w:rPr>
          <w:sz w:val="22"/>
          <w:szCs w:val="22"/>
          <w:lang w:val="de-DE"/>
        </w:rPr>
        <w:t>dozi</w:t>
      </w:r>
      <w:r w:rsidRPr="00BB3077">
        <w:rPr>
          <w:sz w:val="22"/>
          <w:szCs w:val="22"/>
          <w:lang w:val="sr-Latn-ME"/>
        </w:rPr>
        <w:t xml:space="preserve"> </w:t>
      </w:r>
      <w:r w:rsidRPr="00863BB0">
        <w:rPr>
          <w:sz w:val="22"/>
          <w:szCs w:val="22"/>
          <w:lang w:val="de-DE"/>
        </w:rPr>
        <w:t>od</w:t>
      </w:r>
      <w:r w:rsidRPr="00BB3077">
        <w:rPr>
          <w:sz w:val="22"/>
          <w:szCs w:val="22"/>
          <w:lang w:val="sr-Latn-ME"/>
        </w:rPr>
        <w:t xml:space="preserve"> 75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u</w:t>
      </w:r>
      <w:r w:rsidRPr="00BB3077">
        <w:rPr>
          <w:sz w:val="22"/>
          <w:szCs w:val="22"/>
          <w:lang w:val="sr-Latn-ME"/>
        </w:rPr>
        <w:t xml:space="preserve"> </w:t>
      </w:r>
      <w:r w:rsidRPr="00863BB0">
        <w:rPr>
          <w:sz w:val="22"/>
          <w:szCs w:val="22"/>
          <w:lang w:val="de-DE"/>
        </w:rPr>
        <w:t>kombinaciji</w:t>
      </w:r>
      <w:r w:rsidRPr="00BB3077">
        <w:rPr>
          <w:sz w:val="22"/>
          <w:szCs w:val="22"/>
          <w:lang w:val="sr-Latn-ME"/>
        </w:rPr>
        <w:t xml:space="preserve"> </w:t>
      </w:r>
      <w:r w:rsidRPr="00863BB0">
        <w:rPr>
          <w:sz w:val="22"/>
          <w:szCs w:val="22"/>
          <w:lang w:val="de-DE"/>
        </w:rPr>
        <w:t>sa</w:t>
      </w:r>
      <w:r w:rsidRPr="00BB3077">
        <w:rPr>
          <w:sz w:val="22"/>
          <w:szCs w:val="22"/>
          <w:lang w:val="sr-Latn-ME"/>
        </w:rPr>
        <w:t xml:space="preserve"> </w:t>
      </w:r>
      <w:r w:rsidRPr="00863BB0">
        <w:rPr>
          <w:sz w:val="22"/>
          <w:szCs w:val="22"/>
          <w:lang w:val="de-DE"/>
        </w:rPr>
        <w:t>doksorubicinom</w:t>
      </w:r>
      <w:r w:rsidRPr="00BB3077">
        <w:rPr>
          <w:sz w:val="22"/>
          <w:szCs w:val="22"/>
          <w:lang w:val="sr-Latn-ME"/>
        </w:rPr>
        <w:t xml:space="preserve"> (50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²).</w:t>
      </w:r>
    </w:p>
    <w:p w14:paraId="13CACF42" w14:textId="77777777" w:rsidR="00863BB0" w:rsidRPr="00BB3077" w:rsidRDefault="00863BB0" w:rsidP="00863BB0">
      <w:pPr>
        <w:autoSpaceDE w:val="0"/>
        <w:autoSpaceDN w:val="0"/>
        <w:adjustRightInd w:val="0"/>
        <w:rPr>
          <w:sz w:val="22"/>
          <w:szCs w:val="22"/>
          <w:lang w:val="sr-Latn-ME"/>
        </w:rPr>
      </w:pPr>
    </w:p>
    <w:p w14:paraId="667DD7B6" w14:textId="77777777" w:rsidR="00863BB0" w:rsidRPr="00BB3077" w:rsidRDefault="00863BB0" w:rsidP="00863BB0">
      <w:pPr>
        <w:autoSpaceDE w:val="0"/>
        <w:autoSpaceDN w:val="0"/>
        <w:adjustRightInd w:val="0"/>
        <w:rPr>
          <w:sz w:val="22"/>
          <w:szCs w:val="22"/>
          <w:lang w:val="sr-Latn-ME"/>
        </w:rPr>
      </w:pPr>
      <w:r w:rsidRPr="00863BB0">
        <w:rPr>
          <w:sz w:val="22"/>
          <w:szCs w:val="22"/>
          <w:lang w:val="de-DE"/>
        </w:rPr>
        <w:t>U</w:t>
      </w:r>
      <w:r w:rsidRPr="00BB3077">
        <w:rPr>
          <w:sz w:val="22"/>
          <w:szCs w:val="22"/>
          <w:lang w:val="sr-Latn-ME"/>
        </w:rPr>
        <w:t xml:space="preserve"> </w:t>
      </w:r>
      <w:r w:rsidRPr="00863BB0">
        <w:rPr>
          <w:sz w:val="22"/>
          <w:szCs w:val="22"/>
          <w:lang w:val="de-DE"/>
        </w:rPr>
        <w:t>kombinaciji</w:t>
      </w:r>
      <w:r w:rsidRPr="00BB3077">
        <w:rPr>
          <w:sz w:val="22"/>
          <w:szCs w:val="22"/>
          <w:lang w:val="sr-Latn-ME"/>
        </w:rPr>
        <w:t xml:space="preserve"> </w:t>
      </w:r>
      <w:r w:rsidRPr="00863BB0">
        <w:rPr>
          <w:sz w:val="22"/>
          <w:szCs w:val="22"/>
          <w:lang w:val="de-DE"/>
        </w:rPr>
        <w:t>sa</w:t>
      </w:r>
      <w:r w:rsidRPr="00BB3077">
        <w:rPr>
          <w:sz w:val="22"/>
          <w:szCs w:val="22"/>
          <w:lang w:val="sr-Latn-ME"/>
        </w:rPr>
        <w:t xml:space="preserve"> </w:t>
      </w:r>
      <w:r w:rsidRPr="00863BB0">
        <w:rPr>
          <w:sz w:val="22"/>
          <w:szCs w:val="22"/>
          <w:lang w:val="de-DE"/>
        </w:rPr>
        <w:t>trastuzumabom</w:t>
      </w:r>
      <w:r w:rsidRPr="00BB3077">
        <w:rPr>
          <w:sz w:val="22"/>
          <w:szCs w:val="22"/>
          <w:lang w:val="sr-Latn-ME"/>
        </w:rPr>
        <w:t xml:space="preserve">, </w:t>
      </w:r>
      <w:r w:rsidRPr="00863BB0">
        <w:rPr>
          <w:sz w:val="22"/>
          <w:szCs w:val="22"/>
          <w:lang w:val="de-DE"/>
        </w:rPr>
        <w:t>preporu</w:t>
      </w:r>
      <w:r w:rsidRPr="00BB3077">
        <w:rPr>
          <w:rFonts w:eastAsia="TimesNewRoman"/>
          <w:sz w:val="22"/>
          <w:szCs w:val="22"/>
          <w:lang w:val="sr-Latn-ME"/>
        </w:rPr>
        <w:t>č</w:t>
      </w:r>
      <w:r w:rsidRPr="00863BB0">
        <w:rPr>
          <w:sz w:val="22"/>
          <w:szCs w:val="22"/>
          <w:lang w:val="de-DE"/>
        </w:rPr>
        <w:t>ena</w:t>
      </w:r>
      <w:r w:rsidRPr="00BB3077">
        <w:rPr>
          <w:sz w:val="22"/>
          <w:szCs w:val="22"/>
          <w:lang w:val="sr-Latn-ME"/>
        </w:rPr>
        <w:t xml:space="preserve"> </w:t>
      </w:r>
      <w:r w:rsidRPr="00863BB0">
        <w:rPr>
          <w:sz w:val="22"/>
          <w:szCs w:val="22"/>
          <w:lang w:val="de-DE"/>
        </w:rPr>
        <w:t>doza</w:t>
      </w:r>
      <w:r w:rsidRPr="00BB3077">
        <w:rPr>
          <w:sz w:val="22"/>
          <w:szCs w:val="22"/>
          <w:lang w:val="sr-Latn-ME"/>
        </w:rPr>
        <w:t xml:space="preserve"> </w:t>
      </w:r>
      <w:r w:rsidRPr="00863BB0">
        <w:rPr>
          <w:sz w:val="22"/>
          <w:szCs w:val="22"/>
          <w:lang w:val="de-DE"/>
        </w:rPr>
        <w:t>docetaksela</w:t>
      </w:r>
      <w:r w:rsidRPr="00BB3077">
        <w:rPr>
          <w:sz w:val="22"/>
          <w:szCs w:val="22"/>
          <w:lang w:val="sr-Latn-ME"/>
        </w:rPr>
        <w:t xml:space="preserve"> </w:t>
      </w:r>
      <w:r w:rsidRPr="00863BB0">
        <w:rPr>
          <w:sz w:val="22"/>
          <w:szCs w:val="22"/>
          <w:lang w:val="de-DE"/>
        </w:rPr>
        <w:t>je</w:t>
      </w:r>
      <w:r w:rsidRPr="00BB3077">
        <w:rPr>
          <w:sz w:val="22"/>
          <w:szCs w:val="22"/>
          <w:lang w:val="sr-Latn-ME"/>
        </w:rPr>
        <w:t xml:space="preserve"> 100 </w:t>
      </w:r>
      <w:r w:rsidRPr="00863BB0">
        <w:rPr>
          <w:sz w:val="22"/>
          <w:szCs w:val="22"/>
          <w:lang w:val="de-DE"/>
        </w:rPr>
        <w:t>mg</w:t>
      </w:r>
      <w:r w:rsidRPr="00BB3077">
        <w:rPr>
          <w:sz w:val="22"/>
          <w:szCs w:val="22"/>
          <w:lang w:val="sr-Latn-ME"/>
        </w:rPr>
        <w:t>/</w:t>
      </w:r>
      <w:r w:rsidRPr="00863BB0">
        <w:rPr>
          <w:sz w:val="22"/>
          <w:szCs w:val="22"/>
          <w:lang w:val="de-DE"/>
        </w:rPr>
        <w:t>m</w:t>
      </w:r>
      <w:r w:rsidRPr="00BB3077">
        <w:rPr>
          <w:sz w:val="22"/>
          <w:szCs w:val="22"/>
          <w:lang w:val="sr-Latn-ME"/>
        </w:rPr>
        <w:t xml:space="preserve">², </w:t>
      </w:r>
      <w:r w:rsidRPr="00863BB0">
        <w:rPr>
          <w:sz w:val="22"/>
          <w:szCs w:val="22"/>
          <w:lang w:val="de-DE"/>
        </w:rPr>
        <w:t>na</w:t>
      </w:r>
      <w:r w:rsidRPr="00BB3077">
        <w:rPr>
          <w:sz w:val="22"/>
          <w:szCs w:val="22"/>
          <w:lang w:val="sr-Latn-ME"/>
        </w:rPr>
        <w:t xml:space="preserve"> </w:t>
      </w:r>
      <w:r w:rsidRPr="00863BB0">
        <w:rPr>
          <w:sz w:val="22"/>
          <w:szCs w:val="22"/>
          <w:lang w:val="de-DE"/>
        </w:rPr>
        <w:t>svake</w:t>
      </w:r>
      <w:r w:rsidRPr="00BB3077">
        <w:rPr>
          <w:sz w:val="22"/>
          <w:szCs w:val="22"/>
          <w:lang w:val="sr-Latn-ME"/>
        </w:rPr>
        <w:t xml:space="preserve"> 3 </w:t>
      </w:r>
      <w:r w:rsidRPr="00863BB0">
        <w:rPr>
          <w:sz w:val="22"/>
          <w:szCs w:val="22"/>
          <w:lang w:val="de-DE"/>
        </w:rPr>
        <w:t>nedjelje</w:t>
      </w:r>
      <w:r w:rsidRPr="00BB3077">
        <w:rPr>
          <w:sz w:val="22"/>
          <w:szCs w:val="22"/>
          <w:lang w:val="sr-Latn-ME"/>
        </w:rPr>
        <w:t xml:space="preserve">, </w:t>
      </w:r>
      <w:r w:rsidRPr="00863BB0">
        <w:rPr>
          <w:sz w:val="22"/>
          <w:szCs w:val="22"/>
          <w:lang w:val="de-DE"/>
        </w:rPr>
        <w:t>dok</w:t>
      </w:r>
      <w:r w:rsidRPr="00BB3077">
        <w:rPr>
          <w:sz w:val="22"/>
          <w:szCs w:val="22"/>
          <w:lang w:val="sr-Latn-ME"/>
        </w:rPr>
        <w:t xml:space="preserve"> </w:t>
      </w:r>
      <w:r w:rsidRPr="00863BB0">
        <w:rPr>
          <w:sz w:val="22"/>
          <w:szCs w:val="22"/>
          <w:lang w:val="de-DE"/>
        </w:rPr>
        <w:t>se</w:t>
      </w:r>
    </w:p>
    <w:p w14:paraId="04C95EED" w14:textId="77777777" w:rsidR="00863BB0" w:rsidRPr="00BB3077" w:rsidRDefault="00863BB0" w:rsidP="00863BB0">
      <w:pPr>
        <w:autoSpaceDE w:val="0"/>
        <w:autoSpaceDN w:val="0"/>
        <w:adjustRightInd w:val="0"/>
        <w:rPr>
          <w:sz w:val="22"/>
          <w:szCs w:val="22"/>
          <w:lang w:val="sr-Latn-ME"/>
        </w:rPr>
      </w:pPr>
      <w:r w:rsidRPr="00304B3E">
        <w:rPr>
          <w:sz w:val="22"/>
          <w:szCs w:val="22"/>
          <w:lang w:val="de-DE"/>
        </w:rPr>
        <w:t>trastuzumab</w:t>
      </w:r>
      <w:r w:rsidRPr="00BB3077">
        <w:rPr>
          <w:sz w:val="22"/>
          <w:szCs w:val="22"/>
          <w:lang w:val="sr-Latn-ME"/>
        </w:rPr>
        <w:t xml:space="preserve"> </w:t>
      </w:r>
      <w:r w:rsidRPr="00304B3E">
        <w:rPr>
          <w:sz w:val="22"/>
          <w:szCs w:val="22"/>
          <w:lang w:val="de-DE"/>
        </w:rPr>
        <w:t>primjenjuje</w:t>
      </w:r>
      <w:r w:rsidRPr="00BB3077">
        <w:rPr>
          <w:sz w:val="22"/>
          <w:szCs w:val="22"/>
          <w:lang w:val="sr-Latn-ME"/>
        </w:rPr>
        <w:t xml:space="preserve"> </w:t>
      </w:r>
      <w:r w:rsidRPr="00304B3E">
        <w:rPr>
          <w:sz w:val="22"/>
          <w:szCs w:val="22"/>
          <w:lang w:val="de-DE"/>
        </w:rPr>
        <w:t>svake</w:t>
      </w:r>
      <w:r w:rsidRPr="00BB3077">
        <w:rPr>
          <w:sz w:val="22"/>
          <w:szCs w:val="22"/>
          <w:lang w:val="sr-Latn-ME"/>
        </w:rPr>
        <w:t xml:space="preserve"> </w:t>
      </w:r>
      <w:r w:rsidRPr="00304B3E">
        <w:rPr>
          <w:sz w:val="22"/>
          <w:szCs w:val="22"/>
          <w:lang w:val="de-DE"/>
        </w:rPr>
        <w:t>nedjelje</w:t>
      </w:r>
      <w:r w:rsidRPr="00BB3077">
        <w:rPr>
          <w:sz w:val="22"/>
          <w:szCs w:val="22"/>
          <w:lang w:val="sr-Latn-ME"/>
        </w:rPr>
        <w:t xml:space="preserve">. </w:t>
      </w:r>
      <w:r w:rsidRPr="00304B3E">
        <w:rPr>
          <w:sz w:val="22"/>
          <w:szCs w:val="22"/>
          <w:lang w:val="de-DE"/>
        </w:rPr>
        <w:t>U</w:t>
      </w:r>
      <w:r w:rsidRPr="00BB3077">
        <w:rPr>
          <w:sz w:val="22"/>
          <w:szCs w:val="22"/>
          <w:lang w:val="sr-Latn-ME"/>
        </w:rPr>
        <w:t xml:space="preserve"> </w:t>
      </w:r>
      <w:r w:rsidRPr="00304B3E">
        <w:rPr>
          <w:sz w:val="22"/>
          <w:szCs w:val="22"/>
          <w:lang w:val="de-DE"/>
        </w:rPr>
        <w:t>studiji</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potrebe</w:t>
      </w:r>
      <w:r w:rsidRPr="00BB3077">
        <w:rPr>
          <w:sz w:val="22"/>
          <w:szCs w:val="22"/>
          <w:lang w:val="sr-Latn-ME"/>
        </w:rPr>
        <w:t xml:space="preserve"> </w:t>
      </w:r>
      <w:r w:rsidRPr="00304B3E">
        <w:rPr>
          <w:sz w:val="22"/>
          <w:szCs w:val="22"/>
          <w:lang w:val="de-DE"/>
        </w:rPr>
        <w:t>registracije</w:t>
      </w:r>
      <w:r w:rsidRPr="00BB3077">
        <w:rPr>
          <w:sz w:val="22"/>
          <w:szCs w:val="22"/>
          <w:lang w:val="sr-Latn-ME"/>
        </w:rPr>
        <w:t xml:space="preserve"> </w:t>
      </w:r>
      <w:r w:rsidRPr="00304B3E">
        <w:rPr>
          <w:sz w:val="22"/>
          <w:szCs w:val="22"/>
          <w:lang w:val="de-DE"/>
        </w:rPr>
        <w:t>lijeka</w:t>
      </w:r>
      <w:r w:rsidRPr="00BB3077">
        <w:rPr>
          <w:sz w:val="22"/>
          <w:szCs w:val="22"/>
          <w:lang w:val="sr-Latn-ME"/>
        </w:rPr>
        <w:t xml:space="preserve"> </w:t>
      </w:r>
      <w:r w:rsidRPr="00304B3E">
        <w:rPr>
          <w:sz w:val="22"/>
          <w:szCs w:val="22"/>
          <w:lang w:val="de-DE"/>
        </w:rPr>
        <w:t>inicijalna</w:t>
      </w:r>
      <w:r w:rsidRPr="00BB3077">
        <w:rPr>
          <w:sz w:val="22"/>
          <w:szCs w:val="22"/>
          <w:lang w:val="sr-Latn-ME"/>
        </w:rPr>
        <w:t xml:space="preserve"> </w:t>
      </w:r>
      <w:r w:rsidRPr="00304B3E">
        <w:rPr>
          <w:sz w:val="22"/>
          <w:szCs w:val="22"/>
          <w:lang w:val="de-DE"/>
        </w:rPr>
        <w:t>infuzija</w:t>
      </w:r>
      <w:r w:rsidRPr="00BB3077">
        <w:rPr>
          <w:sz w:val="22"/>
          <w:szCs w:val="22"/>
          <w:lang w:val="sr-Latn-ME"/>
        </w:rPr>
        <w:t xml:space="preserve"> </w:t>
      </w:r>
      <w:r w:rsidRPr="00304B3E">
        <w:rPr>
          <w:sz w:val="22"/>
          <w:szCs w:val="22"/>
          <w:lang w:val="de-DE"/>
        </w:rPr>
        <w:t>docetaksela</w:t>
      </w:r>
      <w:r w:rsidRPr="00BB3077">
        <w:rPr>
          <w:sz w:val="22"/>
          <w:szCs w:val="22"/>
          <w:lang w:val="sr-Latn-ME"/>
        </w:rPr>
        <w:t xml:space="preserve"> </w:t>
      </w:r>
      <w:r w:rsidRPr="00304B3E">
        <w:rPr>
          <w:sz w:val="22"/>
          <w:szCs w:val="22"/>
          <w:lang w:val="de-DE"/>
        </w:rPr>
        <w:t>primijenjena</w:t>
      </w:r>
      <w:r w:rsidRPr="00BB3077">
        <w:rPr>
          <w:sz w:val="22"/>
          <w:szCs w:val="22"/>
          <w:lang w:val="sr-Latn-ME"/>
        </w:rPr>
        <w:t xml:space="preserve"> </w:t>
      </w:r>
      <w:r w:rsidRPr="00304B3E">
        <w:rPr>
          <w:sz w:val="22"/>
          <w:szCs w:val="22"/>
          <w:lang w:val="de-DE"/>
        </w:rPr>
        <w:t>je</w:t>
      </w:r>
      <w:r w:rsidRPr="00BB3077">
        <w:rPr>
          <w:sz w:val="22"/>
          <w:szCs w:val="22"/>
          <w:lang w:val="sr-Latn-ME"/>
        </w:rPr>
        <w:t xml:space="preserve"> </w:t>
      </w:r>
      <w:r w:rsidRPr="00304B3E">
        <w:rPr>
          <w:sz w:val="22"/>
          <w:szCs w:val="22"/>
          <w:lang w:val="de-DE"/>
        </w:rPr>
        <w:t>dan</w:t>
      </w:r>
      <w:r w:rsidRPr="00BB3077">
        <w:rPr>
          <w:sz w:val="22"/>
          <w:szCs w:val="22"/>
          <w:lang w:val="sr-Latn-ME"/>
        </w:rPr>
        <w:t xml:space="preserve"> </w:t>
      </w:r>
      <w:r w:rsidRPr="00304B3E">
        <w:rPr>
          <w:sz w:val="22"/>
          <w:szCs w:val="22"/>
          <w:lang w:val="de-DE"/>
        </w:rPr>
        <w:t>poslije</w:t>
      </w:r>
      <w:r w:rsidRPr="00BB3077">
        <w:rPr>
          <w:sz w:val="22"/>
          <w:szCs w:val="22"/>
          <w:lang w:val="sr-Latn-ME"/>
        </w:rPr>
        <w:t xml:space="preserve"> </w:t>
      </w:r>
      <w:r w:rsidRPr="00304B3E">
        <w:rPr>
          <w:sz w:val="22"/>
          <w:szCs w:val="22"/>
          <w:lang w:val="de-DE"/>
        </w:rPr>
        <w:t>prve</w:t>
      </w:r>
      <w:r w:rsidRPr="00BB3077">
        <w:rPr>
          <w:sz w:val="22"/>
          <w:szCs w:val="22"/>
          <w:lang w:val="sr-Latn-ME"/>
        </w:rPr>
        <w:t xml:space="preserve"> </w:t>
      </w:r>
      <w:r w:rsidRPr="00304B3E">
        <w:rPr>
          <w:sz w:val="22"/>
          <w:szCs w:val="22"/>
          <w:lang w:val="de-DE"/>
        </w:rPr>
        <w:t>doze</w:t>
      </w:r>
      <w:r w:rsidRPr="00BB3077">
        <w:rPr>
          <w:sz w:val="22"/>
          <w:szCs w:val="22"/>
          <w:lang w:val="sr-Latn-ME"/>
        </w:rPr>
        <w:t xml:space="preserve"> </w:t>
      </w:r>
      <w:r w:rsidRPr="00304B3E">
        <w:rPr>
          <w:sz w:val="22"/>
          <w:szCs w:val="22"/>
          <w:lang w:val="de-DE"/>
        </w:rPr>
        <w:t>trastuzumaba</w:t>
      </w:r>
      <w:r w:rsidRPr="00BB3077">
        <w:rPr>
          <w:sz w:val="22"/>
          <w:szCs w:val="22"/>
          <w:lang w:val="sr-Latn-ME"/>
        </w:rPr>
        <w:t xml:space="preserve">. </w:t>
      </w:r>
      <w:r w:rsidRPr="00304B3E">
        <w:rPr>
          <w:sz w:val="22"/>
          <w:szCs w:val="22"/>
          <w:lang w:val="de-DE"/>
        </w:rPr>
        <w:t>Naredne</w:t>
      </w:r>
      <w:r w:rsidRPr="00BB3077">
        <w:rPr>
          <w:sz w:val="22"/>
          <w:szCs w:val="22"/>
          <w:lang w:val="sr-Latn-ME"/>
        </w:rPr>
        <w:t xml:space="preserve"> </w:t>
      </w:r>
      <w:r w:rsidRPr="00304B3E">
        <w:rPr>
          <w:sz w:val="22"/>
          <w:szCs w:val="22"/>
          <w:lang w:val="de-DE"/>
        </w:rPr>
        <w:t>doze</w:t>
      </w:r>
      <w:r w:rsidRPr="00BB3077">
        <w:rPr>
          <w:sz w:val="22"/>
          <w:szCs w:val="22"/>
          <w:lang w:val="sr-Latn-ME"/>
        </w:rPr>
        <w:t xml:space="preserve"> </w:t>
      </w:r>
      <w:r w:rsidRPr="00304B3E">
        <w:rPr>
          <w:sz w:val="22"/>
          <w:szCs w:val="22"/>
          <w:lang w:val="de-DE"/>
        </w:rPr>
        <w:t>docetaksela</w:t>
      </w:r>
      <w:r w:rsidRPr="00BB3077">
        <w:rPr>
          <w:sz w:val="22"/>
          <w:szCs w:val="22"/>
          <w:lang w:val="sr-Latn-ME"/>
        </w:rPr>
        <w:t xml:space="preserve"> </w:t>
      </w:r>
      <w:r w:rsidRPr="00304B3E">
        <w:rPr>
          <w:sz w:val="22"/>
          <w:szCs w:val="22"/>
          <w:lang w:val="de-DE"/>
        </w:rPr>
        <w:t>primijenjene</w:t>
      </w:r>
      <w:r w:rsidRPr="00BB3077">
        <w:rPr>
          <w:sz w:val="22"/>
          <w:szCs w:val="22"/>
          <w:lang w:val="sr-Latn-ME"/>
        </w:rPr>
        <w:t xml:space="preserve"> </w:t>
      </w:r>
      <w:r w:rsidRPr="00304B3E">
        <w:rPr>
          <w:sz w:val="22"/>
          <w:szCs w:val="22"/>
          <w:lang w:val="de-DE"/>
        </w:rPr>
        <w:t>su</w:t>
      </w:r>
      <w:r w:rsidRPr="00BB3077">
        <w:rPr>
          <w:sz w:val="22"/>
          <w:szCs w:val="22"/>
          <w:lang w:val="sr-Latn-ME"/>
        </w:rPr>
        <w:t xml:space="preserve"> </w:t>
      </w:r>
      <w:r w:rsidRPr="00304B3E">
        <w:rPr>
          <w:sz w:val="22"/>
          <w:szCs w:val="22"/>
          <w:lang w:val="de-DE"/>
        </w:rPr>
        <w:t>neposredno</w:t>
      </w:r>
      <w:r w:rsidRPr="00BB3077">
        <w:rPr>
          <w:sz w:val="22"/>
          <w:szCs w:val="22"/>
          <w:lang w:val="sr-Latn-ME"/>
        </w:rPr>
        <w:t xml:space="preserve"> </w:t>
      </w:r>
      <w:r w:rsidRPr="00304B3E">
        <w:rPr>
          <w:sz w:val="22"/>
          <w:szCs w:val="22"/>
          <w:lang w:val="de-DE"/>
        </w:rPr>
        <w:t>po</w:t>
      </w:r>
      <w:r w:rsidRPr="00BB3077">
        <w:rPr>
          <w:sz w:val="22"/>
          <w:szCs w:val="22"/>
          <w:lang w:val="sr-Latn-ME"/>
        </w:rPr>
        <w:t xml:space="preserve"> </w:t>
      </w:r>
      <w:r w:rsidRPr="00304B3E">
        <w:rPr>
          <w:sz w:val="22"/>
          <w:szCs w:val="22"/>
          <w:lang w:val="de-DE"/>
        </w:rPr>
        <w:t>zavr</w:t>
      </w:r>
      <w:r w:rsidRPr="00BB3077">
        <w:rPr>
          <w:sz w:val="22"/>
          <w:szCs w:val="22"/>
          <w:lang w:val="sr-Latn-ME"/>
        </w:rPr>
        <w:t>š</w:t>
      </w:r>
      <w:r w:rsidRPr="00304B3E">
        <w:rPr>
          <w:sz w:val="22"/>
          <w:szCs w:val="22"/>
          <w:lang w:val="de-DE"/>
        </w:rPr>
        <w:t>etku</w:t>
      </w:r>
      <w:r w:rsidRPr="00BB3077">
        <w:rPr>
          <w:sz w:val="22"/>
          <w:szCs w:val="22"/>
          <w:lang w:val="sr-Latn-ME"/>
        </w:rPr>
        <w:t xml:space="preserve"> </w:t>
      </w:r>
      <w:r w:rsidRPr="00304B3E">
        <w:rPr>
          <w:sz w:val="22"/>
          <w:szCs w:val="22"/>
          <w:lang w:val="de-DE"/>
        </w:rPr>
        <w:t>infuzije</w:t>
      </w:r>
      <w:r w:rsidRPr="00BB3077">
        <w:rPr>
          <w:sz w:val="22"/>
          <w:szCs w:val="22"/>
          <w:lang w:val="sr-Latn-ME"/>
        </w:rPr>
        <w:t xml:space="preserve"> </w:t>
      </w:r>
      <w:r w:rsidRPr="00304B3E">
        <w:rPr>
          <w:sz w:val="22"/>
          <w:szCs w:val="22"/>
          <w:lang w:val="de-DE"/>
        </w:rPr>
        <w:t>trastuzumaba</w:t>
      </w:r>
      <w:r w:rsidRPr="00BB3077">
        <w:rPr>
          <w:sz w:val="22"/>
          <w:szCs w:val="22"/>
          <w:lang w:val="sr-Latn-ME"/>
        </w:rPr>
        <w:t xml:space="preserve">, </w:t>
      </w:r>
      <w:r w:rsidRPr="00304B3E">
        <w:rPr>
          <w:sz w:val="22"/>
          <w:szCs w:val="22"/>
          <w:lang w:val="de-DE"/>
        </w:rPr>
        <w:t>ukoliko</w:t>
      </w:r>
      <w:r w:rsidRPr="00BB3077">
        <w:rPr>
          <w:sz w:val="22"/>
          <w:szCs w:val="22"/>
          <w:lang w:val="sr-Latn-ME"/>
        </w:rPr>
        <w:t xml:space="preserve"> </w:t>
      </w:r>
      <w:r w:rsidRPr="00304B3E">
        <w:rPr>
          <w:sz w:val="22"/>
          <w:szCs w:val="22"/>
          <w:lang w:val="de-DE"/>
        </w:rPr>
        <w:t>je</w:t>
      </w:r>
      <w:r w:rsidRPr="00BB3077">
        <w:rPr>
          <w:sz w:val="22"/>
          <w:szCs w:val="22"/>
          <w:lang w:val="sr-Latn-ME"/>
        </w:rPr>
        <w:t xml:space="preserve"> </w:t>
      </w:r>
      <w:r w:rsidRPr="00304B3E">
        <w:rPr>
          <w:sz w:val="22"/>
          <w:szCs w:val="22"/>
          <w:lang w:val="de-DE"/>
        </w:rPr>
        <w:t>prethodnu</w:t>
      </w:r>
      <w:r w:rsidRPr="00BB3077">
        <w:rPr>
          <w:sz w:val="22"/>
          <w:szCs w:val="22"/>
          <w:lang w:val="sr-Latn-ME"/>
        </w:rPr>
        <w:t xml:space="preserve"> </w:t>
      </w:r>
      <w:r w:rsidRPr="00304B3E">
        <w:rPr>
          <w:sz w:val="22"/>
          <w:szCs w:val="22"/>
          <w:lang w:val="de-DE"/>
        </w:rPr>
        <w:t>dozu</w:t>
      </w:r>
      <w:r w:rsidRPr="00BB3077">
        <w:rPr>
          <w:sz w:val="22"/>
          <w:szCs w:val="22"/>
          <w:lang w:val="sr-Latn-ME"/>
        </w:rPr>
        <w:t xml:space="preserve"> </w:t>
      </w:r>
      <w:r w:rsidRPr="00304B3E">
        <w:rPr>
          <w:sz w:val="22"/>
          <w:szCs w:val="22"/>
          <w:lang w:val="de-DE"/>
        </w:rPr>
        <w:t>trastuzumaba</w:t>
      </w:r>
      <w:r w:rsidRPr="00BB3077">
        <w:rPr>
          <w:sz w:val="22"/>
          <w:szCs w:val="22"/>
          <w:lang w:val="sr-Latn-ME"/>
        </w:rPr>
        <w:t xml:space="preserve"> </w:t>
      </w:r>
      <w:r w:rsidRPr="00304B3E">
        <w:rPr>
          <w:sz w:val="22"/>
          <w:szCs w:val="22"/>
          <w:lang w:val="de-DE"/>
        </w:rPr>
        <w:t>pacijent</w:t>
      </w:r>
      <w:r w:rsidRPr="00BB3077">
        <w:rPr>
          <w:sz w:val="22"/>
          <w:szCs w:val="22"/>
          <w:lang w:val="sr-Latn-ME"/>
        </w:rPr>
        <w:t xml:space="preserve"> </w:t>
      </w:r>
      <w:r w:rsidRPr="00304B3E">
        <w:rPr>
          <w:sz w:val="22"/>
          <w:szCs w:val="22"/>
          <w:lang w:val="de-DE"/>
        </w:rPr>
        <w:t>dobro</w:t>
      </w:r>
      <w:r w:rsidRPr="00BB3077">
        <w:rPr>
          <w:sz w:val="22"/>
          <w:szCs w:val="22"/>
          <w:lang w:val="sr-Latn-ME"/>
        </w:rPr>
        <w:t xml:space="preserve"> </w:t>
      </w:r>
      <w:r w:rsidRPr="00304B3E">
        <w:rPr>
          <w:sz w:val="22"/>
          <w:szCs w:val="22"/>
          <w:lang w:val="de-DE"/>
        </w:rPr>
        <w:t>podnio</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detalje</w:t>
      </w:r>
      <w:r w:rsidRPr="00BB3077">
        <w:rPr>
          <w:sz w:val="22"/>
          <w:szCs w:val="22"/>
          <w:lang w:val="sr-Latn-ME"/>
        </w:rPr>
        <w:t xml:space="preserve"> </w:t>
      </w:r>
      <w:r w:rsidRPr="00304B3E">
        <w:rPr>
          <w:sz w:val="22"/>
          <w:szCs w:val="22"/>
          <w:lang w:val="de-DE"/>
        </w:rPr>
        <w:t>u</w:t>
      </w:r>
      <w:r w:rsidRPr="00BB3077">
        <w:rPr>
          <w:sz w:val="22"/>
          <w:szCs w:val="22"/>
          <w:lang w:val="sr-Latn-ME"/>
        </w:rPr>
        <w:t xml:space="preserve"> </w:t>
      </w:r>
      <w:r w:rsidRPr="00304B3E">
        <w:rPr>
          <w:sz w:val="22"/>
          <w:szCs w:val="22"/>
          <w:lang w:val="de-DE"/>
        </w:rPr>
        <w:t>vezi</w:t>
      </w:r>
      <w:r w:rsidRPr="00BB3077">
        <w:rPr>
          <w:sz w:val="22"/>
          <w:szCs w:val="22"/>
          <w:lang w:val="sr-Latn-ME"/>
        </w:rPr>
        <w:t xml:space="preserve"> </w:t>
      </w:r>
      <w:r w:rsidRPr="00304B3E">
        <w:rPr>
          <w:sz w:val="22"/>
          <w:szCs w:val="22"/>
          <w:lang w:val="de-DE"/>
        </w:rPr>
        <w:t>sa</w:t>
      </w:r>
      <w:r w:rsidRPr="00BB3077">
        <w:rPr>
          <w:sz w:val="22"/>
          <w:szCs w:val="22"/>
          <w:lang w:val="sr-Latn-ME"/>
        </w:rPr>
        <w:t xml:space="preserve"> </w:t>
      </w:r>
      <w:r w:rsidRPr="00304B3E">
        <w:rPr>
          <w:sz w:val="22"/>
          <w:szCs w:val="22"/>
          <w:lang w:val="de-DE"/>
        </w:rPr>
        <w:t>doziranjem</w:t>
      </w:r>
      <w:r w:rsidRPr="00BB3077">
        <w:rPr>
          <w:sz w:val="22"/>
          <w:szCs w:val="22"/>
          <w:lang w:val="sr-Latn-ME"/>
        </w:rPr>
        <w:t xml:space="preserve"> </w:t>
      </w:r>
      <w:r w:rsidRPr="00304B3E">
        <w:rPr>
          <w:sz w:val="22"/>
          <w:szCs w:val="22"/>
          <w:lang w:val="de-DE"/>
        </w:rPr>
        <w:t>i</w:t>
      </w:r>
      <w:r w:rsidRPr="00BB3077">
        <w:rPr>
          <w:sz w:val="22"/>
          <w:szCs w:val="22"/>
          <w:lang w:val="sr-Latn-ME"/>
        </w:rPr>
        <w:t xml:space="preserve"> </w:t>
      </w:r>
      <w:r w:rsidRPr="00304B3E">
        <w:rPr>
          <w:sz w:val="22"/>
          <w:szCs w:val="22"/>
          <w:lang w:val="de-DE"/>
        </w:rPr>
        <w:t>primjenom</w:t>
      </w:r>
      <w:r w:rsidRPr="00BB3077">
        <w:rPr>
          <w:sz w:val="22"/>
          <w:szCs w:val="22"/>
          <w:lang w:val="sr-Latn-ME"/>
        </w:rPr>
        <w:t xml:space="preserve"> </w:t>
      </w:r>
      <w:r w:rsidRPr="00304B3E">
        <w:rPr>
          <w:sz w:val="22"/>
          <w:szCs w:val="22"/>
          <w:lang w:val="de-DE"/>
        </w:rPr>
        <w:t>trastuzumaba</w:t>
      </w:r>
      <w:r w:rsidRPr="00BB3077">
        <w:rPr>
          <w:sz w:val="22"/>
          <w:szCs w:val="22"/>
          <w:lang w:val="sr-Latn-ME"/>
        </w:rPr>
        <w:t xml:space="preserve"> </w:t>
      </w:r>
      <w:r w:rsidRPr="00304B3E">
        <w:rPr>
          <w:sz w:val="22"/>
          <w:szCs w:val="22"/>
          <w:lang w:val="de-DE"/>
        </w:rPr>
        <w:t>pogledajte</w:t>
      </w:r>
      <w:r w:rsidRPr="00BB3077">
        <w:rPr>
          <w:sz w:val="22"/>
          <w:szCs w:val="22"/>
          <w:lang w:val="sr-Latn-ME"/>
        </w:rPr>
        <w:t xml:space="preserve"> </w:t>
      </w:r>
      <w:r w:rsidRPr="00304B3E">
        <w:rPr>
          <w:sz w:val="22"/>
          <w:szCs w:val="22"/>
          <w:lang w:val="de-DE"/>
        </w:rPr>
        <w:t>sa</w:t>
      </w:r>
      <w:r w:rsidRPr="00BB3077">
        <w:rPr>
          <w:sz w:val="22"/>
          <w:szCs w:val="22"/>
          <w:lang w:val="sr-Latn-ME"/>
        </w:rPr>
        <w:t>ž</w:t>
      </w:r>
      <w:r w:rsidRPr="00304B3E">
        <w:rPr>
          <w:sz w:val="22"/>
          <w:szCs w:val="22"/>
          <w:lang w:val="de-DE"/>
        </w:rPr>
        <w:t>etak</w:t>
      </w:r>
      <w:r w:rsidRPr="00BB3077">
        <w:rPr>
          <w:sz w:val="22"/>
          <w:szCs w:val="22"/>
          <w:lang w:val="sr-Latn-ME"/>
        </w:rPr>
        <w:t xml:space="preserve"> </w:t>
      </w:r>
      <w:r w:rsidRPr="00304B3E">
        <w:rPr>
          <w:sz w:val="22"/>
          <w:szCs w:val="22"/>
          <w:lang w:val="de-DE"/>
        </w:rPr>
        <w:t>karakteristika</w:t>
      </w:r>
      <w:r w:rsidRPr="00BB3077">
        <w:rPr>
          <w:sz w:val="22"/>
          <w:szCs w:val="22"/>
          <w:lang w:val="sr-Latn-ME"/>
        </w:rPr>
        <w:t xml:space="preserve"> </w:t>
      </w:r>
      <w:r w:rsidRPr="00304B3E">
        <w:rPr>
          <w:sz w:val="22"/>
          <w:szCs w:val="22"/>
          <w:lang w:val="de-DE"/>
        </w:rPr>
        <w:t>lijeka</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trastuzumab</w:t>
      </w:r>
      <w:r w:rsidRPr="00BB3077">
        <w:rPr>
          <w:sz w:val="22"/>
          <w:szCs w:val="22"/>
          <w:lang w:val="sr-Latn-ME"/>
        </w:rPr>
        <w:t>.</w:t>
      </w:r>
    </w:p>
    <w:p w14:paraId="3C4B5C9A" w14:textId="77777777" w:rsidR="00863BB0" w:rsidRPr="00BB3077" w:rsidRDefault="00863BB0" w:rsidP="00863BB0">
      <w:pPr>
        <w:autoSpaceDE w:val="0"/>
        <w:autoSpaceDN w:val="0"/>
        <w:adjustRightInd w:val="0"/>
        <w:rPr>
          <w:sz w:val="22"/>
          <w:szCs w:val="22"/>
          <w:lang w:val="sr-Latn-ME"/>
        </w:rPr>
      </w:pPr>
    </w:p>
    <w:p w14:paraId="322C43C2" w14:textId="77777777" w:rsidR="00863BB0" w:rsidRPr="00BB3077" w:rsidRDefault="00863BB0" w:rsidP="00863BB0">
      <w:pPr>
        <w:autoSpaceDE w:val="0"/>
        <w:autoSpaceDN w:val="0"/>
        <w:adjustRightInd w:val="0"/>
        <w:rPr>
          <w:sz w:val="22"/>
          <w:szCs w:val="22"/>
          <w:lang w:val="sr-Latn-ME"/>
        </w:rPr>
      </w:pPr>
      <w:r w:rsidRPr="00304B3E">
        <w:rPr>
          <w:sz w:val="22"/>
          <w:szCs w:val="22"/>
          <w:lang w:val="de-DE"/>
        </w:rPr>
        <w:t>U</w:t>
      </w:r>
      <w:r w:rsidRPr="00BB3077">
        <w:rPr>
          <w:sz w:val="22"/>
          <w:szCs w:val="22"/>
          <w:lang w:val="sr-Latn-ME"/>
        </w:rPr>
        <w:t xml:space="preserve"> </w:t>
      </w:r>
      <w:r w:rsidRPr="00304B3E">
        <w:rPr>
          <w:sz w:val="22"/>
          <w:szCs w:val="22"/>
          <w:lang w:val="de-DE"/>
        </w:rPr>
        <w:t>kombinaciji</w:t>
      </w:r>
      <w:r w:rsidRPr="00BB3077">
        <w:rPr>
          <w:sz w:val="22"/>
          <w:szCs w:val="22"/>
          <w:lang w:val="sr-Latn-ME"/>
        </w:rPr>
        <w:t xml:space="preserve"> </w:t>
      </w:r>
      <w:r w:rsidRPr="00304B3E">
        <w:rPr>
          <w:sz w:val="22"/>
          <w:szCs w:val="22"/>
          <w:lang w:val="de-DE"/>
        </w:rPr>
        <w:t>sa</w:t>
      </w:r>
      <w:r w:rsidRPr="00BB3077">
        <w:rPr>
          <w:sz w:val="22"/>
          <w:szCs w:val="22"/>
          <w:lang w:val="sr-Latn-ME"/>
        </w:rPr>
        <w:t xml:space="preserve"> </w:t>
      </w:r>
      <w:r w:rsidRPr="00304B3E">
        <w:rPr>
          <w:sz w:val="22"/>
          <w:szCs w:val="22"/>
          <w:lang w:val="de-DE"/>
        </w:rPr>
        <w:t>kapecitabinom</w:t>
      </w:r>
      <w:r w:rsidRPr="00BB3077">
        <w:rPr>
          <w:sz w:val="22"/>
          <w:szCs w:val="22"/>
          <w:lang w:val="sr-Latn-ME"/>
        </w:rPr>
        <w:t xml:space="preserve">, </w:t>
      </w:r>
      <w:r w:rsidRPr="00304B3E">
        <w:rPr>
          <w:sz w:val="22"/>
          <w:szCs w:val="22"/>
          <w:lang w:val="de-DE"/>
        </w:rPr>
        <w:t>preporu</w:t>
      </w:r>
      <w:r w:rsidRPr="00BB3077">
        <w:rPr>
          <w:rFonts w:eastAsia="TimesNewRoman"/>
          <w:sz w:val="22"/>
          <w:szCs w:val="22"/>
          <w:lang w:val="sr-Latn-ME"/>
        </w:rPr>
        <w:t>č</w:t>
      </w:r>
      <w:r w:rsidRPr="00304B3E">
        <w:rPr>
          <w:sz w:val="22"/>
          <w:szCs w:val="22"/>
          <w:lang w:val="de-DE"/>
        </w:rPr>
        <w:t>ena</w:t>
      </w:r>
      <w:r w:rsidRPr="00BB3077">
        <w:rPr>
          <w:sz w:val="22"/>
          <w:szCs w:val="22"/>
          <w:lang w:val="sr-Latn-ME"/>
        </w:rPr>
        <w:t xml:space="preserve"> </w:t>
      </w:r>
      <w:r w:rsidRPr="00304B3E">
        <w:rPr>
          <w:sz w:val="22"/>
          <w:szCs w:val="22"/>
          <w:lang w:val="de-DE"/>
        </w:rPr>
        <w:t>doza</w:t>
      </w:r>
      <w:r w:rsidRPr="00BB3077">
        <w:rPr>
          <w:sz w:val="22"/>
          <w:szCs w:val="22"/>
          <w:lang w:val="sr-Latn-ME"/>
        </w:rPr>
        <w:t xml:space="preserve"> </w:t>
      </w:r>
      <w:r w:rsidRPr="00304B3E">
        <w:rPr>
          <w:sz w:val="22"/>
          <w:szCs w:val="22"/>
          <w:lang w:val="de-DE"/>
        </w:rPr>
        <w:t>docetaksela</w:t>
      </w:r>
      <w:r w:rsidRPr="00BB3077">
        <w:rPr>
          <w:sz w:val="22"/>
          <w:szCs w:val="22"/>
          <w:lang w:val="sr-Latn-ME"/>
        </w:rPr>
        <w:t xml:space="preserve"> </w:t>
      </w:r>
      <w:r w:rsidRPr="00304B3E">
        <w:rPr>
          <w:sz w:val="22"/>
          <w:szCs w:val="22"/>
          <w:lang w:val="de-DE"/>
        </w:rPr>
        <w:t>je</w:t>
      </w:r>
      <w:r w:rsidRPr="00BB3077">
        <w:rPr>
          <w:sz w:val="22"/>
          <w:szCs w:val="22"/>
          <w:lang w:val="sr-Latn-ME"/>
        </w:rPr>
        <w:t xml:space="preserve"> 75 </w:t>
      </w:r>
      <w:r w:rsidRPr="00304B3E">
        <w:rPr>
          <w:sz w:val="22"/>
          <w:szCs w:val="22"/>
          <w:lang w:val="de-DE"/>
        </w:rPr>
        <w:t>mg</w:t>
      </w:r>
      <w:r w:rsidRPr="00BB3077">
        <w:rPr>
          <w:sz w:val="22"/>
          <w:szCs w:val="22"/>
          <w:lang w:val="sr-Latn-ME"/>
        </w:rPr>
        <w:t>/</w:t>
      </w:r>
      <w:r w:rsidRPr="00304B3E">
        <w:rPr>
          <w:sz w:val="22"/>
          <w:szCs w:val="22"/>
          <w:lang w:val="de-DE"/>
        </w:rPr>
        <w:t>m</w:t>
      </w:r>
      <w:r w:rsidRPr="00BB3077">
        <w:rPr>
          <w:sz w:val="22"/>
          <w:szCs w:val="22"/>
          <w:lang w:val="sr-Latn-ME"/>
        </w:rPr>
        <w:t xml:space="preserve">², </w:t>
      </w:r>
      <w:r w:rsidRPr="00304B3E">
        <w:rPr>
          <w:sz w:val="22"/>
          <w:szCs w:val="22"/>
          <w:lang w:val="de-DE"/>
        </w:rPr>
        <w:t>na</w:t>
      </w:r>
      <w:r w:rsidRPr="00BB3077">
        <w:rPr>
          <w:sz w:val="22"/>
          <w:szCs w:val="22"/>
          <w:lang w:val="sr-Latn-ME"/>
        </w:rPr>
        <w:t xml:space="preserve"> </w:t>
      </w:r>
      <w:r w:rsidRPr="00304B3E">
        <w:rPr>
          <w:sz w:val="22"/>
          <w:szCs w:val="22"/>
          <w:lang w:val="de-DE"/>
        </w:rPr>
        <w:t>svake</w:t>
      </w:r>
      <w:r w:rsidRPr="00BB3077">
        <w:rPr>
          <w:sz w:val="22"/>
          <w:szCs w:val="22"/>
          <w:lang w:val="sr-Latn-ME"/>
        </w:rPr>
        <w:t xml:space="preserve"> </w:t>
      </w:r>
      <w:r w:rsidRPr="00304B3E">
        <w:rPr>
          <w:sz w:val="22"/>
          <w:szCs w:val="22"/>
          <w:lang w:val="de-DE"/>
        </w:rPr>
        <w:t>tri</w:t>
      </w:r>
      <w:r w:rsidRPr="00BB3077">
        <w:rPr>
          <w:sz w:val="22"/>
          <w:szCs w:val="22"/>
          <w:lang w:val="sr-Latn-ME"/>
        </w:rPr>
        <w:t xml:space="preserve"> </w:t>
      </w:r>
      <w:r w:rsidRPr="00304B3E">
        <w:rPr>
          <w:sz w:val="22"/>
          <w:szCs w:val="22"/>
          <w:lang w:val="de-DE"/>
        </w:rPr>
        <w:t>nedjelje</w:t>
      </w:r>
      <w:r w:rsidRPr="00BB3077">
        <w:rPr>
          <w:sz w:val="22"/>
          <w:szCs w:val="22"/>
          <w:lang w:val="sr-Latn-ME"/>
        </w:rPr>
        <w:t xml:space="preserve">, </w:t>
      </w:r>
      <w:r w:rsidRPr="00304B3E">
        <w:rPr>
          <w:sz w:val="22"/>
          <w:szCs w:val="22"/>
          <w:lang w:val="de-DE"/>
        </w:rPr>
        <w:t>uz</w:t>
      </w:r>
      <w:r w:rsidRPr="00BB3077">
        <w:rPr>
          <w:sz w:val="22"/>
          <w:szCs w:val="22"/>
          <w:lang w:val="sr-Latn-ME"/>
        </w:rPr>
        <w:t xml:space="preserve"> </w:t>
      </w:r>
      <w:r w:rsidRPr="00304B3E">
        <w:rPr>
          <w:sz w:val="22"/>
          <w:szCs w:val="22"/>
          <w:lang w:val="de-DE"/>
        </w:rPr>
        <w:t>kapecitabin</w:t>
      </w:r>
      <w:r w:rsidRPr="00BB3077">
        <w:rPr>
          <w:sz w:val="22"/>
          <w:szCs w:val="22"/>
          <w:lang w:val="sr-Latn-ME"/>
        </w:rPr>
        <w:t xml:space="preserve"> </w:t>
      </w:r>
      <w:r w:rsidRPr="00304B3E">
        <w:rPr>
          <w:sz w:val="22"/>
          <w:szCs w:val="22"/>
          <w:lang w:val="de-DE"/>
        </w:rPr>
        <w:t>u</w:t>
      </w:r>
      <w:r w:rsidRPr="00BB3077">
        <w:rPr>
          <w:sz w:val="22"/>
          <w:szCs w:val="22"/>
          <w:lang w:val="sr-Latn-ME"/>
        </w:rPr>
        <w:t xml:space="preserve"> </w:t>
      </w:r>
      <w:r w:rsidRPr="00304B3E">
        <w:rPr>
          <w:sz w:val="22"/>
          <w:szCs w:val="22"/>
          <w:lang w:val="de-DE"/>
        </w:rPr>
        <w:t>dozi</w:t>
      </w:r>
      <w:r w:rsidRPr="00BB3077">
        <w:rPr>
          <w:sz w:val="22"/>
          <w:szCs w:val="22"/>
          <w:lang w:val="sr-Latn-ME"/>
        </w:rPr>
        <w:t xml:space="preserve"> 1250 </w:t>
      </w:r>
      <w:r w:rsidRPr="00304B3E">
        <w:rPr>
          <w:sz w:val="22"/>
          <w:szCs w:val="22"/>
          <w:lang w:val="de-DE"/>
        </w:rPr>
        <w:t>mg</w:t>
      </w:r>
      <w:r w:rsidRPr="00BB3077">
        <w:rPr>
          <w:sz w:val="22"/>
          <w:szCs w:val="22"/>
          <w:lang w:val="sr-Latn-ME"/>
        </w:rPr>
        <w:t>/</w:t>
      </w:r>
      <w:r w:rsidRPr="00304B3E">
        <w:rPr>
          <w:sz w:val="22"/>
          <w:szCs w:val="22"/>
          <w:lang w:val="de-DE"/>
        </w:rPr>
        <w:t>m</w:t>
      </w:r>
      <w:r w:rsidRPr="00BB3077">
        <w:rPr>
          <w:sz w:val="22"/>
          <w:szCs w:val="22"/>
          <w:lang w:val="sr-Latn-ME"/>
        </w:rPr>
        <w:t xml:space="preserve">² </w:t>
      </w:r>
      <w:r w:rsidRPr="00304B3E">
        <w:rPr>
          <w:sz w:val="22"/>
          <w:szCs w:val="22"/>
          <w:lang w:val="de-DE"/>
        </w:rPr>
        <w:t>dva</w:t>
      </w:r>
      <w:r w:rsidRPr="00BB3077">
        <w:rPr>
          <w:sz w:val="22"/>
          <w:szCs w:val="22"/>
          <w:lang w:val="sr-Latn-ME"/>
        </w:rPr>
        <w:t xml:space="preserve"> </w:t>
      </w:r>
      <w:r w:rsidRPr="00304B3E">
        <w:rPr>
          <w:sz w:val="22"/>
          <w:szCs w:val="22"/>
          <w:lang w:val="de-DE"/>
        </w:rPr>
        <w:t>puta</w:t>
      </w:r>
      <w:r w:rsidRPr="00BB3077">
        <w:rPr>
          <w:sz w:val="22"/>
          <w:szCs w:val="22"/>
          <w:lang w:val="sr-Latn-ME"/>
        </w:rPr>
        <w:t xml:space="preserve"> </w:t>
      </w:r>
      <w:r w:rsidRPr="00304B3E">
        <w:rPr>
          <w:sz w:val="22"/>
          <w:szCs w:val="22"/>
          <w:lang w:val="de-DE"/>
        </w:rPr>
        <w:t>dnevno</w:t>
      </w:r>
      <w:r w:rsidRPr="00BB3077">
        <w:rPr>
          <w:sz w:val="22"/>
          <w:szCs w:val="22"/>
          <w:lang w:val="sr-Latn-ME"/>
        </w:rPr>
        <w:t xml:space="preserve"> (</w:t>
      </w:r>
      <w:r w:rsidRPr="00304B3E">
        <w:rPr>
          <w:sz w:val="22"/>
          <w:szCs w:val="22"/>
          <w:lang w:val="de-DE"/>
        </w:rPr>
        <w:t>unutar</w:t>
      </w:r>
      <w:r w:rsidRPr="00BB3077">
        <w:rPr>
          <w:sz w:val="22"/>
          <w:szCs w:val="22"/>
          <w:lang w:val="sr-Latn-ME"/>
        </w:rPr>
        <w:t xml:space="preserve"> 30 </w:t>
      </w:r>
      <w:r w:rsidRPr="00304B3E">
        <w:rPr>
          <w:sz w:val="22"/>
          <w:szCs w:val="22"/>
          <w:lang w:val="de-DE"/>
        </w:rPr>
        <w:t>minuta</w:t>
      </w:r>
      <w:r w:rsidRPr="00BB3077">
        <w:rPr>
          <w:sz w:val="22"/>
          <w:szCs w:val="22"/>
          <w:lang w:val="sr-Latn-ME"/>
        </w:rPr>
        <w:t xml:space="preserve"> </w:t>
      </w:r>
      <w:r w:rsidRPr="00304B3E">
        <w:rPr>
          <w:sz w:val="22"/>
          <w:szCs w:val="22"/>
          <w:lang w:val="de-DE"/>
        </w:rPr>
        <w:t>poslije</w:t>
      </w:r>
      <w:r w:rsidRPr="00BB3077">
        <w:rPr>
          <w:sz w:val="22"/>
          <w:szCs w:val="22"/>
          <w:lang w:val="sr-Latn-ME"/>
        </w:rPr>
        <w:t xml:space="preserve"> </w:t>
      </w:r>
      <w:r w:rsidRPr="00304B3E">
        <w:rPr>
          <w:sz w:val="22"/>
          <w:szCs w:val="22"/>
          <w:lang w:val="de-DE"/>
        </w:rPr>
        <w:t>obroka</w:t>
      </w:r>
      <w:r w:rsidRPr="00BB3077">
        <w:rPr>
          <w:sz w:val="22"/>
          <w:szCs w:val="22"/>
          <w:lang w:val="sr-Latn-ME"/>
        </w:rPr>
        <w:t xml:space="preserve">) </w:t>
      </w:r>
      <w:r w:rsidRPr="00304B3E">
        <w:rPr>
          <w:sz w:val="22"/>
          <w:szCs w:val="22"/>
          <w:lang w:val="de-DE"/>
        </w:rPr>
        <w:t>tokom</w:t>
      </w:r>
      <w:r w:rsidRPr="00BB3077">
        <w:rPr>
          <w:sz w:val="22"/>
          <w:szCs w:val="22"/>
          <w:lang w:val="sr-Latn-ME"/>
        </w:rPr>
        <w:t xml:space="preserve"> 2 </w:t>
      </w:r>
      <w:r w:rsidRPr="00304B3E">
        <w:rPr>
          <w:sz w:val="22"/>
          <w:szCs w:val="22"/>
          <w:lang w:val="de-DE"/>
        </w:rPr>
        <w:t>nedjelje</w:t>
      </w:r>
      <w:r w:rsidRPr="00BB3077">
        <w:rPr>
          <w:sz w:val="22"/>
          <w:szCs w:val="22"/>
          <w:lang w:val="sr-Latn-ME"/>
        </w:rPr>
        <w:t xml:space="preserve">, </w:t>
      </w:r>
      <w:r w:rsidRPr="00304B3E">
        <w:rPr>
          <w:sz w:val="22"/>
          <w:szCs w:val="22"/>
          <w:lang w:val="de-DE"/>
        </w:rPr>
        <w:t>nakon</w:t>
      </w:r>
      <w:r w:rsidRPr="00BB3077">
        <w:rPr>
          <w:sz w:val="22"/>
          <w:szCs w:val="22"/>
          <w:lang w:val="sr-Latn-ME"/>
        </w:rPr>
        <w:t xml:space="preserve"> </w:t>
      </w:r>
      <w:r w:rsidRPr="00BB3077">
        <w:rPr>
          <w:rFonts w:eastAsia="TimesNewRoman"/>
          <w:sz w:val="22"/>
          <w:szCs w:val="22"/>
          <w:lang w:val="sr-Latn-ME"/>
        </w:rPr>
        <w:t>č</w:t>
      </w:r>
      <w:r w:rsidRPr="00304B3E">
        <w:rPr>
          <w:sz w:val="22"/>
          <w:szCs w:val="22"/>
          <w:lang w:val="de-DE"/>
        </w:rPr>
        <w:t>ega</w:t>
      </w:r>
      <w:r w:rsidRPr="00BB3077">
        <w:rPr>
          <w:sz w:val="22"/>
          <w:szCs w:val="22"/>
          <w:lang w:val="sr-Latn-ME"/>
        </w:rPr>
        <w:t xml:space="preserve"> </w:t>
      </w:r>
      <w:r w:rsidRPr="00304B3E">
        <w:rPr>
          <w:sz w:val="22"/>
          <w:szCs w:val="22"/>
          <w:lang w:val="de-DE"/>
        </w:rPr>
        <w:t>slijedi</w:t>
      </w:r>
      <w:r w:rsidRPr="00BB3077">
        <w:rPr>
          <w:sz w:val="22"/>
          <w:szCs w:val="22"/>
          <w:lang w:val="sr-Latn-ME"/>
        </w:rPr>
        <w:t xml:space="preserve"> </w:t>
      </w:r>
      <w:r w:rsidRPr="00304B3E">
        <w:rPr>
          <w:sz w:val="22"/>
          <w:szCs w:val="22"/>
          <w:lang w:val="de-DE"/>
        </w:rPr>
        <w:t>period</w:t>
      </w:r>
      <w:r w:rsidRPr="00BB3077">
        <w:rPr>
          <w:sz w:val="22"/>
          <w:szCs w:val="22"/>
          <w:lang w:val="sr-Latn-ME"/>
        </w:rPr>
        <w:t xml:space="preserve"> </w:t>
      </w:r>
      <w:r w:rsidRPr="00304B3E">
        <w:rPr>
          <w:sz w:val="22"/>
          <w:szCs w:val="22"/>
          <w:lang w:val="de-DE"/>
        </w:rPr>
        <w:t>pauze</w:t>
      </w:r>
      <w:r w:rsidRPr="00BB3077">
        <w:rPr>
          <w:sz w:val="22"/>
          <w:szCs w:val="22"/>
          <w:lang w:val="sr-Latn-ME"/>
        </w:rPr>
        <w:t xml:space="preserve"> </w:t>
      </w:r>
      <w:r w:rsidRPr="00304B3E">
        <w:rPr>
          <w:sz w:val="22"/>
          <w:szCs w:val="22"/>
          <w:lang w:val="de-DE"/>
        </w:rPr>
        <w:t>od</w:t>
      </w:r>
      <w:r w:rsidRPr="00BB3077">
        <w:rPr>
          <w:sz w:val="22"/>
          <w:szCs w:val="22"/>
          <w:lang w:val="sr-Latn-ME"/>
        </w:rPr>
        <w:t xml:space="preserve"> </w:t>
      </w:r>
      <w:r w:rsidRPr="00304B3E">
        <w:rPr>
          <w:sz w:val="22"/>
          <w:szCs w:val="22"/>
          <w:lang w:val="de-DE"/>
        </w:rPr>
        <w:t>jedne</w:t>
      </w:r>
      <w:r w:rsidRPr="00BB3077">
        <w:rPr>
          <w:sz w:val="22"/>
          <w:szCs w:val="22"/>
          <w:lang w:val="sr-Latn-ME"/>
        </w:rPr>
        <w:t xml:space="preserve"> </w:t>
      </w:r>
      <w:r w:rsidRPr="00304B3E">
        <w:rPr>
          <w:sz w:val="22"/>
          <w:szCs w:val="22"/>
          <w:lang w:val="de-DE"/>
        </w:rPr>
        <w:t>nedjelje</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izra</w:t>
      </w:r>
      <w:r w:rsidRPr="00BB3077">
        <w:rPr>
          <w:rFonts w:eastAsia="TimesNewRoman"/>
          <w:sz w:val="22"/>
          <w:szCs w:val="22"/>
          <w:lang w:val="sr-Latn-ME"/>
        </w:rPr>
        <w:t>č</w:t>
      </w:r>
      <w:r w:rsidRPr="00304B3E">
        <w:rPr>
          <w:sz w:val="22"/>
          <w:szCs w:val="22"/>
          <w:lang w:val="de-DE"/>
        </w:rPr>
        <w:t>unavanje</w:t>
      </w:r>
      <w:r w:rsidRPr="00BB3077">
        <w:rPr>
          <w:sz w:val="22"/>
          <w:szCs w:val="22"/>
          <w:lang w:val="sr-Latn-ME"/>
        </w:rPr>
        <w:t xml:space="preserve"> </w:t>
      </w:r>
      <w:r w:rsidRPr="00304B3E">
        <w:rPr>
          <w:sz w:val="22"/>
          <w:szCs w:val="22"/>
          <w:lang w:val="de-DE"/>
        </w:rPr>
        <w:t>doze</w:t>
      </w:r>
      <w:r w:rsidRPr="00BB3077">
        <w:rPr>
          <w:sz w:val="22"/>
          <w:szCs w:val="22"/>
          <w:lang w:val="sr-Latn-ME"/>
        </w:rPr>
        <w:t xml:space="preserve"> </w:t>
      </w:r>
      <w:r w:rsidRPr="00304B3E">
        <w:rPr>
          <w:sz w:val="22"/>
          <w:szCs w:val="22"/>
          <w:lang w:val="de-DE"/>
        </w:rPr>
        <w:t>kapecitabina</w:t>
      </w:r>
      <w:r w:rsidRPr="00BB3077">
        <w:rPr>
          <w:sz w:val="22"/>
          <w:szCs w:val="22"/>
          <w:lang w:val="sr-Latn-ME"/>
        </w:rPr>
        <w:t xml:space="preserve"> </w:t>
      </w:r>
      <w:r w:rsidRPr="00304B3E">
        <w:rPr>
          <w:sz w:val="22"/>
          <w:szCs w:val="22"/>
          <w:lang w:val="de-DE"/>
        </w:rPr>
        <w:t>prema</w:t>
      </w:r>
      <w:r w:rsidRPr="00BB3077">
        <w:rPr>
          <w:sz w:val="22"/>
          <w:szCs w:val="22"/>
          <w:lang w:val="sr-Latn-ME"/>
        </w:rPr>
        <w:t xml:space="preserve"> </w:t>
      </w:r>
      <w:r w:rsidRPr="00304B3E">
        <w:rPr>
          <w:sz w:val="22"/>
          <w:szCs w:val="22"/>
          <w:lang w:val="de-DE"/>
        </w:rPr>
        <w:t>tjelesnoj</w:t>
      </w:r>
      <w:r w:rsidRPr="00BB3077">
        <w:rPr>
          <w:sz w:val="22"/>
          <w:szCs w:val="22"/>
          <w:lang w:val="sr-Latn-ME"/>
        </w:rPr>
        <w:t xml:space="preserve"> </w:t>
      </w:r>
      <w:r w:rsidRPr="00304B3E">
        <w:rPr>
          <w:sz w:val="22"/>
          <w:szCs w:val="22"/>
          <w:lang w:val="de-DE"/>
        </w:rPr>
        <w:t>povr</w:t>
      </w:r>
      <w:r w:rsidRPr="00BB3077">
        <w:rPr>
          <w:sz w:val="22"/>
          <w:szCs w:val="22"/>
          <w:lang w:val="sr-Latn-ME"/>
        </w:rPr>
        <w:t>š</w:t>
      </w:r>
      <w:r w:rsidRPr="00304B3E">
        <w:rPr>
          <w:sz w:val="22"/>
          <w:szCs w:val="22"/>
          <w:lang w:val="de-DE"/>
        </w:rPr>
        <w:t>ini</w:t>
      </w:r>
      <w:r w:rsidRPr="00BB3077">
        <w:rPr>
          <w:sz w:val="22"/>
          <w:szCs w:val="22"/>
          <w:lang w:val="sr-Latn-ME"/>
        </w:rPr>
        <w:t xml:space="preserve"> </w:t>
      </w:r>
      <w:r w:rsidRPr="00304B3E">
        <w:rPr>
          <w:sz w:val="22"/>
          <w:szCs w:val="22"/>
          <w:lang w:val="de-DE"/>
        </w:rPr>
        <w:t>pogledati</w:t>
      </w:r>
      <w:r w:rsidRPr="00BB3077">
        <w:rPr>
          <w:sz w:val="22"/>
          <w:szCs w:val="22"/>
          <w:lang w:val="sr-Latn-ME"/>
        </w:rPr>
        <w:t xml:space="preserve"> </w:t>
      </w:r>
      <w:r w:rsidRPr="00304B3E">
        <w:rPr>
          <w:sz w:val="22"/>
          <w:szCs w:val="22"/>
          <w:lang w:val="de-DE"/>
        </w:rPr>
        <w:t>sa</w:t>
      </w:r>
      <w:r w:rsidRPr="00BB3077">
        <w:rPr>
          <w:sz w:val="22"/>
          <w:szCs w:val="22"/>
          <w:lang w:val="sr-Latn-ME"/>
        </w:rPr>
        <w:t>ž</w:t>
      </w:r>
      <w:r w:rsidRPr="00304B3E">
        <w:rPr>
          <w:sz w:val="22"/>
          <w:szCs w:val="22"/>
          <w:lang w:val="de-DE"/>
        </w:rPr>
        <w:t>etak</w:t>
      </w:r>
      <w:r w:rsidRPr="00BB3077">
        <w:rPr>
          <w:sz w:val="22"/>
          <w:szCs w:val="22"/>
          <w:lang w:val="sr-Latn-ME"/>
        </w:rPr>
        <w:t xml:space="preserve"> </w:t>
      </w:r>
      <w:r w:rsidRPr="00304B3E">
        <w:rPr>
          <w:sz w:val="22"/>
          <w:szCs w:val="22"/>
          <w:lang w:val="de-DE"/>
        </w:rPr>
        <w:t>karakteristika</w:t>
      </w:r>
      <w:r w:rsidRPr="00BB3077">
        <w:rPr>
          <w:sz w:val="22"/>
          <w:szCs w:val="22"/>
          <w:lang w:val="sr-Latn-ME"/>
        </w:rPr>
        <w:t xml:space="preserve"> </w:t>
      </w:r>
      <w:r w:rsidRPr="00304B3E">
        <w:rPr>
          <w:sz w:val="22"/>
          <w:szCs w:val="22"/>
          <w:lang w:val="de-DE"/>
        </w:rPr>
        <w:t>lijeka</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kapecitabin</w:t>
      </w:r>
      <w:r w:rsidRPr="00BB3077">
        <w:rPr>
          <w:sz w:val="22"/>
          <w:szCs w:val="22"/>
          <w:lang w:val="sr-Latn-ME"/>
        </w:rPr>
        <w:t>.</w:t>
      </w:r>
    </w:p>
    <w:p w14:paraId="67302BB6" w14:textId="77777777" w:rsidR="00863BB0" w:rsidRPr="00BB3077" w:rsidRDefault="00863BB0" w:rsidP="00863BB0">
      <w:pPr>
        <w:autoSpaceDE w:val="0"/>
        <w:autoSpaceDN w:val="0"/>
        <w:adjustRightInd w:val="0"/>
        <w:rPr>
          <w:sz w:val="22"/>
          <w:szCs w:val="22"/>
          <w:lang w:val="sr-Latn-ME"/>
        </w:rPr>
      </w:pPr>
    </w:p>
    <w:p w14:paraId="3E09D4D6" w14:textId="77777777" w:rsidR="00863BB0" w:rsidRPr="00BB3077" w:rsidRDefault="00863BB0" w:rsidP="00863BB0">
      <w:pPr>
        <w:autoSpaceDE w:val="0"/>
        <w:autoSpaceDN w:val="0"/>
        <w:adjustRightInd w:val="0"/>
        <w:rPr>
          <w:i/>
          <w:sz w:val="22"/>
          <w:szCs w:val="22"/>
          <w:u w:val="single"/>
          <w:lang w:val="sr-Latn-ME"/>
        </w:rPr>
      </w:pPr>
      <w:r w:rsidRPr="00304B3E">
        <w:rPr>
          <w:i/>
          <w:sz w:val="22"/>
          <w:szCs w:val="22"/>
          <w:u w:val="single"/>
          <w:lang w:val="de-DE"/>
        </w:rPr>
        <w:t>Nemikrocelularni</w:t>
      </w:r>
      <w:r w:rsidRPr="00BB3077">
        <w:rPr>
          <w:i/>
          <w:sz w:val="22"/>
          <w:szCs w:val="22"/>
          <w:u w:val="single"/>
          <w:lang w:val="sr-Latn-ME"/>
        </w:rPr>
        <w:t xml:space="preserve"> </w:t>
      </w:r>
      <w:r w:rsidRPr="00304B3E">
        <w:rPr>
          <w:i/>
          <w:sz w:val="22"/>
          <w:szCs w:val="22"/>
          <w:u w:val="single"/>
          <w:lang w:val="de-DE"/>
        </w:rPr>
        <w:t>karcinom</w:t>
      </w:r>
      <w:r w:rsidRPr="00BB3077">
        <w:rPr>
          <w:i/>
          <w:sz w:val="22"/>
          <w:szCs w:val="22"/>
          <w:u w:val="single"/>
          <w:lang w:val="sr-Latn-ME"/>
        </w:rPr>
        <w:t xml:space="preserve"> </w:t>
      </w:r>
      <w:r w:rsidRPr="00304B3E">
        <w:rPr>
          <w:i/>
          <w:sz w:val="22"/>
          <w:szCs w:val="22"/>
          <w:u w:val="single"/>
          <w:lang w:val="de-DE"/>
        </w:rPr>
        <w:t>plu</w:t>
      </w:r>
      <w:r w:rsidRPr="00BB3077">
        <w:rPr>
          <w:i/>
          <w:sz w:val="22"/>
          <w:szCs w:val="22"/>
          <w:u w:val="single"/>
          <w:lang w:val="sr-Latn-ME"/>
        </w:rPr>
        <w:t>ć</w:t>
      </w:r>
      <w:r w:rsidRPr="00304B3E">
        <w:rPr>
          <w:i/>
          <w:sz w:val="22"/>
          <w:szCs w:val="22"/>
          <w:u w:val="single"/>
          <w:lang w:val="de-DE"/>
        </w:rPr>
        <w:t>a</w:t>
      </w:r>
    </w:p>
    <w:p w14:paraId="1A36E8EA" w14:textId="77777777" w:rsidR="00863BB0" w:rsidRPr="00BB3077" w:rsidRDefault="00863BB0" w:rsidP="00863BB0">
      <w:pPr>
        <w:autoSpaceDE w:val="0"/>
        <w:autoSpaceDN w:val="0"/>
        <w:adjustRightInd w:val="0"/>
        <w:rPr>
          <w:sz w:val="22"/>
          <w:szCs w:val="22"/>
          <w:u w:val="single"/>
          <w:lang w:val="sr-Latn-ME"/>
        </w:rPr>
      </w:pPr>
    </w:p>
    <w:p w14:paraId="47922450" w14:textId="77777777" w:rsidR="00863BB0" w:rsidRPr="00BB3077" w:rsidRDefault="00863BB0" w:rsidP="00863BB0">
      <w:pPr>
        <w:autoSpaceDE w:val="0"/>
        <w:autoSpaceDN w:val="0"/>
        <w:adjustRightInd w:val="0"/>
        <w:rPr>
          <w:sz w:val="22"/>
          <w:szCs w:val="22"/>
          <w:lang w:val="sr-Latn-ME"/>
        </w:rPr>
      </w:pPr>
      <w:r w:rsidRPr="00304B3E">
        <w:rPr>
          <w:sz w:val="22"/>
          <w:szCs w:val="22"/>
          <w:lang w:val="de-DE"/>
        </w:rPr>
        <w:t>Kod</w:t>
      </w:r>
      <w:r w:rsidRPr="00BB3077">
        <w:rPr>
          <w:sz w:val="22"/>
          <w:szCs w:val="22"/>
          <w:lang w:val="sr-Latn-ME"/>
        </w:rPr>
        <w:t xml:space="preserve"> </w:t>
      </w:r>
      <w:r w:rsidRPr="00304B3E">
        <w:rPr>
          <w:sz w:val="22"/>
          <w:szCs w:val="22"/>
          <w:lang w:val="de-DE"/>
        </w:rPr>
        <w:t>pacijenata</w:t>
      </w:r>
      <w:r w:rsidRPr="00BB3077">
        <w:rPr>
          <w:sz w:val="22"/>
          <w:szCs w:val="22"/>
          <w:lang w:val="sr-Latn-ME"/>
        </w:rPr>
        <w:t xml:space="preserve"> </w:t>
      </w:r>
      <w:r w:rsidRPr="00304B3E">
        <w:rPr>
          <w:sz w:val="22"/>
          <w:szCs w:val="22"/>
          <w:lang w:val="de-DE"/>
        </w:rPr>
        <w:t>sa</w:t>
      </w:r>
      <w:r w:rsidRPr="00BB3077">
        <w:rPr>
          <w:sz w:val="22"/>
          <w:szCs w:val="22"/>
          <w:lang w:val="sr-Latn-ME"/>
        </w:rPr>
        <w:t xml:space="preserve"> </w:t>
      </w:r>
      <w:r w:rsidRPr="00304B3E">
        <w:rPr>
          <w:sz w:val="22"/>
          <w:szCs w:val="22"/>
          <w:lang w:val="de-DE"/>
        </w:rPr>
        <w:t>nemikrocelularnim</w:t>
      </w:r>
      <w:r w:rsidRPr="00BB3077">
        <w:rPr>
          <w:sz w:val="22"/>
          <w:szCs w:val="22"/>
          <w:lang w:val="sr-Latn-ME"/>
        </w:rPr>
        <w:t xml:space="preserve"> </w:t>
      </w:r>
      <w:r w:rsidRPr="00304B3E">
        <w:rPr>
          <w:sz w:val="22"/>
          <w:szCs w:val="22"/>
          <w:lang w:val="de-DE"/>
        </w:rPr>
        <w:t>karcinomom</w:t>
      </w:r>
      <w:r w:rsidRPr="00BB3077">
        <w:rPr>
          <w:sz w:val="22"/>
          <w:szCs w:val="22"/>
          <w:lang w:val="sr-Latn-ME"/>
        </w:rPr>
        <w:t xml:space="preserve"> </w:t>
      </w:r>
      <w:r w:rsidRPr="00304B3E">
        <w:rPr>
          <w:sz w:val="22"/>
          <w:szCs w:val="22"/>
          <w:lang w:val="de-DE"/>
        </w:rPr>
        <w:t>plu</w:t>
      </w:r>
      <w:r w:rsidRPr="00BB3077">
        <w:rPr>
          <w:rFonts w:eastAsia="TimesNewRoman"/>
          <w:sz w:val="22"/>
          <w:szCs w:val="22"/>
          <w:lang w:val="sr-Latn-ME"/>
        </w:rPr>
        <w:t>ć</w:t>
      </w:r>
      <w:r w:rsidRPr="00304B3E">
        <w:rPr>
          <w:sz w:val="22"/>
          <w:szCs w:val="22"/>
          <w:lang w:val="de-DE"/>
        </w:rPr>
        <w:t>a</w:t>
      </w:r>
      <w:r w:rsidRPr="00BB3077">
        <w:rPr>
          <w:sz w:val="22"/>
          <w:szCs w:val="22"/>
          <w:lang w:val="sr-Latn-ME"/>
        </w:rPr>
        <w:t xml:space="preserve"> </w:t>
      </w:r>
      <w:r w:rsidRPr="00304B3E">
        <w:rPr>
          <w:sz w:val="22"/>
          <w:szCs w:val="22"/>
          <w:lang w:val="de-DE"/>
        </w:rPr>
        <w:t>koji</w:t>
      </w:r>
      <w:r w:rsidRPr="00BB3077">
        <w:rPr>
          <w:sz w:val="22"/>
          <w:szCs w:val="22"/>
          <w:lang w:val="sr-Latn-ME"/>
        </w:rPr>
        <w:t xml:space="preserve"> </w:t>
      </w:r>
      <w:r w:rsidRPr="00304B3E">
        <w:rPr>
          <w:sz w:val="22"/>
          <w:szCs w:val="22"/>
          <w:lang w:val="de-DE"/>
        </w:rPr>
        <w:t>prethodno</w:t>
      </w:r>
      <w:r w:rsidRPr="00BB3077">
        <w:rPr>
          <w:sz w:val="22"/>
          <w:szCs w:val="22"/>
          <w:lang w:val="sr-Latn-ME"/>
        </w:rPr>
        <w:t xml:space="preserve"> </w:t>
      </w:r>
      <w:r w:rsidRPr="00304B3E">
        <w:rPr>
          <w:sz w:val="22"/>
          <w:szCs w:val="22"/>
          <w:lang w:val="de-DE"/>
        </w:rPr>
        <w:t>nijesu</w:t>
      </w:r>
      <w:r w:rsidRPr="00BB3077">
        <w:rPr>
          <w:sz w:val="22"/>
          <w:szCs w:val="22"/>
          <w:lang w:val="sr-Latn-ME"/>
        </w:rPr>
        <w:t xml:space="preserve"> </w:t>
      </w:r>
      <w:r w:rsidRPr="00304B3E">
        <w:rPr>
          <w:sz w:val="22"/>
          <w:szCs w:val="22"/>
          <w:lang w:val="de-DE"/>
        </w:rPr>
        <w:t>lije</w:t>
      </w:r>
      <w:r w:rsidRPr="00BB3077">
        <w:rPr>
          <w:rFonts w:eastAsia="TimesNewRoman"/>
          <w:sz w:val="22"/>
          <w:szCs w:val="22"/>
          <w:lang w:val="sr-Latn-ME"/>
        </w:rPr>
        <w:t>č</w:t>
      </w:r>
      <w:r w:rsidRPr="00304B3E">
        <w:rPr>
          <w:sz w:val="22"/>
          <w:szCs w:val="22"/>
          <w:lang w:val="de-DE"/>
        </w:rPr>
        <w:t>eni</w:t>
      </w:r>
      <w:r w:rsidRPr="00BB3077">
        <w:rPr>
          <w:sz w:val="22"/>
          <w:szCs w:val="22"/>
          <w:lang w:val="sr-Latn-ME"/>
        </w:rPr>
        <w:t xml:space="preserve"> </w:t>
      </w:r>
      <w:r w:rsidRPr="00304B3E">
        <w:rPr>
          <w:sz w:val="22"/>
          <w:szCs w:val="22"/>
          <w:lang w:val="de-DE"/>
        </w:rPr>
        <w:t>hemioterapijom</w:t>
      </w:r>
      <w:r w:rsidRPr="00BB3077">
        <w:rPr>
          <w:sz w:val="22"/>
          <w:szCs w:val="22"/>
          <w:lang w:val="sr-Latn-ME"/>
        </w:rPr>
        <w:t xml:space="preserve">, </w:t>
      </w:r>
      <w:r w:rsidRPr="00304B3E">
        <w:rPr>
          <w:sz w:val="22"/>
          <w:szCs w:val="22"/>
          <w:lang w:val="de-DE"/>
        </w:rPr>
        <w:t>preporu</w:t>
      </w:r>
      <w:r w:rsidRPr="00BB3077">
        <w:rPr>
          <w:rFonts w:eastAsia="TimesNewRoman"/>
          <w:sz w:val="22"/>
          <w:szCs w:val="22"/>
          <w:lang w:val="sr-Latn-ME"/>
        </w:rPr>
        <w:t>č</w:t>
      </w:r>
      <w:r w:rsidRPr="00304B3E">
        <w:rPr>
          <w:sz w:val="22"/>
          <w:szCs w:val="22"/>
          <w:lang w:val="de-DE"/>
        </w:rPr>
        <w:t>eni</w:t>
      </w:r>
      <w:r w:rsidRPr="00BB3077">
        <w:rPr>
          <w:sz w:val="22"/>
          <w:szCs w:val="22"/>
          <w:lang w:val="sr-Latn-ME"/>
        </w:rPr>
        <w:t xml:space="preserve"> </w:t>
      </w:r>
      <w:r w:rsidRPr="00304B3E">
        <w:rPr>
          <w:sz w:val="22"/>
          <w:szCs w:val="22"/>
          <w:lang w:val="de-DE"/>
        </w:rPr>
        <w:t>re</w:t>
      </w:r>
      <w:r w:rsidRPr="00BB3077">
        <w:rPr>
          <w:sz w:val="22"/>
          <w:szCs w:val="22"/>
          <w:lang w:val="sr-Latn-ME"/>
        </w:rPr>
        <w:t>ž</w:t>
      </w:r>
      <w:r w:rsidRPr="00304B3E">
        <w:rPr>
          <w:sz w:val="22"/>
          <w:szCs w:val="22"/>
          <w:lang w:val="de-DE"/>
        </w:rPr>
        <w:t>im</w:t>
      </w:r>
      <w:r w:rsidRPr="00BB3077">
        <w:rPr>
          <w:sz w:val="22"/>
          <w:szCs w:val="22"/>
          <w:lang w:val="sr-Latn-ME"/>
        </w:rPr>
        <w:t xml:space="preserve"> </w:t>
      </w:r>
      <w:r w:rsidRPr="00304B3E">
        <w:rPr>
          <w:sz w:val="22"/>
          <w:szCs w:val="22"/>
          <w:lang w:val="de-DE"/>
        </w:rPr>
        <w:t>doziranja</w:t>
      </w:r>
      <w:r w:rsidRPr="00BB3077">
        <w:rPr>
          <w:sz w:val="22"/>
          <w:szCs w:val="22"/>
          <w:lang w:val="sr-Latn-ME"/>
        </w:rPr>
        <w:t xml:space="preserve"> </w:t>
      </w:r>
      <w:r w:rsidRPr="00304B3E">
        <w:rPr>
          <w:sz w:val="22"/>
          <w:szCs w:val="22"/>
          <w:lang w:val="de-DE"/>
        </w:rPr>
        <w:t>je</w:t>
      </w:r>
      <w:r w:rsidRPr="00BB3077">
        <w:rPr>
          <w:sz w:val="22"/>
          <w:szCs w:val="22"/>
          <w:lang w:val="sr-Latn-ME"/>
        </w:rPr>
        <w:t xml:space="preserve"> </w:t>
      </w:r>
      <w:r w:rsidRPr="00304B3E">
        <w:rPr>
          <w:sz w:val="22"/>
          <w:szCs w:val="22"/>
          <w:lang w:val="de-DE"/>
        </w:rPr>
        <w:t>docetaksel</w:t>
      </w:r>
      <w:r w:rsidRPr="00BB3077">
        <w:rPr>
          <w:sz w:val="22"/>
          <w:szCs w:val="22"/>
          <w:lang w:val="sr-Latn-ME"/>
        </w:rPr>
        <w:t xml:space="preserve"> </w:t>
      </w:r>
      <w:r w:rsidRPr="00304B3E">
        <w:rPr>
          <w:sz w:val="22"/>
          <w:szCs w:val="22"/>
          <w:lang w:val="de-DE"/>
        </w:rPr>
        <w:t>u</w:t>
      </w:r>
      <w:r w:rsidRPr="00BB3077">
        <w:rPr>
          <w:sz w:val="22"/>
          <w:szCs w:val="22"/>
          <w:lang w:val="sr-Latn-ME"/>
        </w:rPr>
        <w:t xml:space="preserve"> </w:t>
      </w:r>
      <w:r w:rsidRPr="00304B3E">
        <w:rPr>
          <w:sz w:val="22"/>
          <w:szCs w:val="22"/>
          <w:lang w:val="de-DE"/>
        </w:rPr>
        <w:t>dozi</w:t>
      </w:r>
      <w:r w:rsidRPr="00BB3077">
        <w:rPr>
          <w:sz w:val="22"/>
          <w:szCs w:val="22"/>
          <w:lang w:val="sr-Latn-ME"/>
        </w:rPr>
        <w:t xml:space="preserve"> </w:t>
      </w:r>
      <w:r w:rsidRPr="00304B3E">
        <w:rPr>
          <w:sz w:val="22"/>
          <w:szCs w:val="22"/>
          <w:lang w:val="de-DE"/>
        </w:rPr>
        <w:t>od</w:t>
      </w:r>
      <w:r w:rsidRPr="00BB3077">
        <w:rPr>
          <w:sz w:val="22"/>
          <w:szCs w:val="22"/>
          <w:lang w:val="sr-Latn-ME"/>
        </w:rPr>
        <w:t xml:space="preserve"> 75 </w:t>
      </w:r>
      <w:r w:rsidRPr="00304B3E">
        <w:rPr>
          <w:sz w:val="22"/>
          <w:szCs w:val="22"/>
          <w:lang w:val="de-DE"/>
        </w:rPr>
        <w:t>mg</w:t>
      </w:r>
      <w:r w:rsidRPr="00BB3077">
        <w:rPr>
          <w:sz w:val="22"/>
          <w:szCs w:val="22"/>
          <w:lang w:val="sr-Latn-ME"/>
        </w:rPr>
        <w:t>/</w:t>
      </w:r>
      <w:r w:rsidRPr="00304B3E">
        <w:rPr>
          <w:sz w:val="22"/>
          <w:szCs w:val="22"/>
          <w:lang w:val="de-DE"/>
        </w:rPr>
        <w:t>m</w:t>
      </w:r>
      <w:r w:rsidRPr="00BB3077">
        <w:rPr>
          <w:sz w:val="22"/>
          <w:szCs w:val="22"/>
          <w:lang w:val="sr-Latn-ME"/>
        </w:rPr>
        <w:t xml:space="preserve">², </w:t>
      </w:r>
      <w:r w:rsidRPr="00304B3E">
        <w:rPr>
          <w:sz w:val="22"/>
          <w:szCs w:val="22"/>
          <w:lang w:val="de-DE"/>
        </w:rPr>
        <w:t>nakon</w:t>
      </w:r>
      <w:r w:rsidRPr="00BB3077">
        <w:rPr>
          <w:sz w:val="22"/>
          <w:szCs w:val="22"/>
          <w:lang w:val="sr-Latn-ME"/>
        </w:rPr>
        <w:t xml:space="preserve"> </w:t>
      </w:r>
      <w:r w:rsidRPr="00BB3077">
        <w:rPr>
          <w:rFonts w:eastAsia="TimesNewRoman"/>
          <w:sz w:val="22"/>
          <w:szCs w:val="22"/>
          <w:lang w:val="sr-Latn-ME"/>
        </w:rPr>
        <w:t>č</w:t>
      </w:r>
      <w:r w:rsidRPr="00304B3E">
        <w:rPr>
          <w:sz w:val="22"/>
          <w:szCs w:val="22"/>
          <w:lang w:val="de-DE"/>
        </w:rPr>
        <w:t>ega</w:t>
      </w:r>
      <w:r w:rsidRPr="00BB3077">
        <w:rPr>
          <w:sz w:val="22"/>
          <w:szCs w:val="22"/>
          <w:lang w:val="sr-Latn-ME"/>
        </w:rPr>
        <w:t xml:space="preserve"> </w:t>
      </w:r>
      <w:r w:rsidRPr="00304B3E">
        <w:rPr>
          <w:sz w:val="22"/>
          <w:szCs w:val="22"/>
          <w:lang w:val="de-DE"/>
        </w:rPr>
        <w:t>odmah</w:t>
      </w:r>
      <w:r w:rsidRPr="00BB3077">
        <w:rPr>
          <w:sz w:val="22"/>
          <w:szCs w:val="22"/>
          <w:lang w:val="sr-Latn-ME"/>
        </w:rPr>
        <w:t xml:space="preserve"> </w:t>
      </w:r>
      <w:r w:rsidRPr="00304B3E">
        <w:rPr>
          <w:sz w:val="22"/>
          <w:szCs w:val="22"/>
          <w:lang w:val="de-DE"/>
        </w:rPr>
        <w:t>slijedi</w:t>
      </w:r>
      <w:r w:rsidRPr="00BB3077">
        <w:rPr>
          <w:sz w:val="22"/>
          <w:szCs w:val="22"/>
          <w:lang w:val="sr-Latn-ME"/>
        </w:rPr>
        <w:t xml:space="preserve"> </w:t>
      </w:r>
      <w:r w:rsidRPr="00304B3E">
        <w:rPr>
          <w:sz w:val="22"/>
          <w:szCs w:val="22"/>
          <w:lang w:val="de-DE"/>
        </w:rPr>
        <w:t>cisplatin</w:t>
      </w:r>
      <w:r w:rsidRPr="00BB3077">
        <w:rPr>
          <w:sz w:val="22"/>
          <w:szCs w:val="22"/>
          <w:lang w:val="sr-Latn-ME"/>
        </w:rPr>
        <w:t xml:space="preserve"> </w:t>
      </w:r>
      <w:r w:rsidRPr="00304B3E">
        <w:rPr>
          <w:sz w:val="22"/>
          <w:szCs w:val="22"/>
          <w:lang w:val="de-DE"/>
        </w:rPr>
        <w:t>u</w:t>
      </w:r>
      <w:r w:rsidRPr="00BB3077">
        <w:rPr>
          <w:sz w:val="22"/>
          <w:szCs w:val="22"/>
          <w:lang w:val="sr-Latn-ME"/>
        </w:rPr>
        <w:t xml:space="preserve"> </w:t>
      </w:r>
      <w:r w:rsidRPr="00304B3E">
        <w:rPr>
          <w:sz w:val="22"/>
          <w:szCs w:val="22"/>
          <w:lang w:val="de-DE"/>
        </w:rPr>
        <w:t>dozi</w:t>
      </w:r>
      <w:r w:rsidRPr="00BB3077">
        <w:rPr>
          <w:sz w:val="22"/>
          <w:szCs w:val="22"/>
          <w:lang w:val="sr-Latn-ME"/>
        </w:rPr>
        <w:t xml:space="preserve"> </w:t>
      </w:r>
      <w:r w:rsidRPr="00304B3E">
        <w:rPr>
          <w:sz w:val="22"/>
          <w:szCs w:val="22"/>
          <w:lang w:val="de-DE"/>
        </w:rPr>
        <w:t>od</w:t>
      </w:r>
      <w:r w:rsidRPr="00BB3077">
        <w:rPr>
          <w:sz w:val="22"/>
          <w:szCs w:val="22"/>
          <w:lang w:val="sr-Latn-ME"/>
        </w:rPr>
        <w:t xml:space="preserve"> 75 </w:t>
      </w:r>
      <w:r w:rsidRPr="00304B3E">
        <w:rPr>
          <w:sz w:val="22"/>
          <w:szCs w:val="22"/>
          <w:lang w:val="de-DE"/>
        </w:rPr>
        <w:t>mg</w:t>
      </w:r>
      <w:r w:rsidRPr="00BB3077">
        <w:rPr>
          <w:sz w:val="22"/>
          <w:szCs w:val="22"/>
          <w:lang w:val="sr-Latn-ME"/>
        </w:rPr>
        <w:t>/</w:t>
      </w:r>
      <w:r w:rsidRPr="00304B3E">
        <w:rPr>
          <w:sz w:val="22"/>
          <w:szCs w:val="22"/>
          <w:lang w:val="de-DE"/>
        </w:rPr>
        <w:t>m</w:t>
      </w:r>
      <w:r w:rsidRPr="00BB3077">
        <w:rPr>
          <w:sz w:val="22"/>
          <w:szCs w:val="22"/>
          <w:lang w:val="sr-Latn-ME"/>
        </w:rPr>
        <w:t xml:space="preserve">² </w:t>
      </w:r>
      <w:r w:rsidRPr="00304B3E">
        <w:rPr>
          <w:sz w:val="22"/>
          <w:szCs w:val="22"/>
          <w:lang w:val="de-DE"/>
        </w:rPr>
        <w:t>aplikovan</w:t>
      </w:r>
      <w:r w:rsidRPr="00BB3077">
        <w:rPr>
          <w:sz w:val="22"/>
          <w:szCs w:val="22"/>
          <w:lang w:val="sr-Latn-ME"/>
        </w:rPr>
        <w:t xml:space="preserve"> </w:t>
      </w:r>
      <w:r w:rsidRPr="00304B3E">
        <w:rPr>
          <w:sz w:val="22"/>
          <w:szCs w:val="22"/>
          <w:lang w:val="de-DE"/>
        </w:rPr>
        <w:t>tokom</w:t>
      </w:r>
      <w:r w:rsidRPr="00BB3077">
        <w:rPr>
          <w:sz w:val="22"/>
          <w:szCs w:val="22"/>
          <w:lang w:val="sr-Latn-ME"/>
        </w:rPr>
        <w:t xml:space="preserve"> 30-60 </w:t>
      </w:r>
      <w:r w:rsidRPr="00304B3E">
        <w:rPr>
          <w:sz w:val="22"/>
          <w:szCs w:val="22"/>
          <w:lang w:val="de-DE"/>
        </w:rPr>
        <w:t>minuta</w:t>
      </w:r>
      <w:r w:rsidRPr="00BB3077">
        <w:rPr>
          <w:sz w:val="22"/>
          <w:szCs w:val="22"/>
          <w:lang w:val="sr-Latn-ME"/>
        </w:rPr>
        <w:t xml:space="preserve">. </w:t>
      </w:r>
      <w:r w:rsidRPr="00304B3E">
        <w:rPr>
          <w:sz w:val="22"/>
          <w:szCs w:val="22"/>
          <w:lang w:val="de-DE"/>
        </w:rPr>
        <w:t>Za</w:t>
      </w:r>
      <w:r w:rsidRPr="00BB3077">
        <w:rPr>
          <w:sz w:val="22"/>
          <w:szCs w:val="22"/>
          <w:lang w:val="sr-Latn-ME"/>
        </w:rPr>
        <w:t xml:space="preserve"> </w:t>
      </w:r>
      <w:r w:rsidRPr="00304B3E">
        <w:rPr>
          <w:sz w:val="22"/>
          <w:szCs w:val="22"/>
          <w:lang w:val="de-DE"/>
        </w:rPr>
        <w:t>terapiju</w:t>
      </w:r>
      <w:r w:rsidRPr="00BB3077">
        <w:rPr>
          <w:sz w:val="22"/>
          <w:szCs w:val="22"/>
          <w:lang w:val="sr-Latn-ME"/>
        </w:rPr>
        <w:t xml:space="preserve"> </w:t>
      </w:r>
      <w:r w:rsidRPr="00304B3E">
        <w:rPr>
          <w:sz w:val="22"/>
          <w:szCs w:val="22"/>
          <w:lang w:val="de-DE"/>
        </w:rPr>
        <w:t>poslije</w:t>
      </w:r>
      <w:r w:rsidRPr="00BB3077">
        <w:rPr>
          <w:sz w:val="22"/>
          <w:szCs w:val="22"/>
          <w:lang w:val="sr-Latn-ME"/>
        </w:rPr>
        <w:t xml:space="preserve"> </w:t>
      </w:r>
      <w:r w:rsidRPr="00304B3E">
        <w:rPr>
          <w:sz w:val="22"/>
          <w:szCs w:val="22"/>
          <w:lang w:val="de-DE"/>
        </w:rPr>
        <w:t>neuspjele</w:t>
      </w:r>
      <w:r w:rsidRPr="00BB3077">
        <w:rPr>
          <w:sz w:val="22"/>
          <w:szCs w:val="22"/>
          <w:lang w:val="sr-Latn-ME"/>
        </w:rPr>
        <w:t xml:space="preserve"> </w:t>
      </w:r>
      <w:r w:rsidRPr="00304B3E">
        <w:rPr>
          <w:sz w:val="22"/>
          <w:szCs w:val="22"/>
          <w:lang w:val="de-DE"/>
        </w:rPr>
        <w:t>prethodne</w:t>
      </w:r>
      <w:r w:rsidRPr="00BB3077">
        <w:rPr>
          <w:sz w:val="22"/>
          <w:szCs w:val="22"/>
          <w:lang w:val="sr-Latn-ME"/>
        </w:rPr>
        <w:t xml:space="preserve"> </w:t>
      </w:r>
      <w:r w:rsidRPr="00304B3E">
        <w:rPr>
          <w:sz w:val="22"/>
          <w:szCs w:val="22"/>
          <w:lang w:val="de-DE"/>
        </w:rPr>
        <w:t>hemioterapije</w:t>
      </w:r>
      <w:r w:rsidRPr="00BB3077">
        <w:rPr>
          <w:sz w:val="22"/>
          <w:szCs w:val="22"/>
          <w:lang w:val="sr-Latn-ME"/>
        </w:rPr>
        <w:t xml:space="preserve"> </w:t>
      </w:r>
      <w:r w:rsidRPr="00304B3E">
        <w:rPr>
          <w:sz w:val="22"/>
          <w:szCs w:val="22"/>
          <w:lang w:val="de-DE"/>
        </w:rPr>
        <w:t>na</w:t>
      </w:r>
      <w:r w:rsidRPr="00BB3077">
        <w:rPr>
          <w:sz w:val="22"/>
          <w:szCs w:val="22"/>
          <w:lang w:val="sr-Latn-ME"/>
        </w:rPr>
        <w:t xml:space="preserve"> </w:t>
      </w:r>
      <w:r w:rsidRPr="00304B3E">
        <w:rPr>
          <w:sz w:val="22"/>
          <w:szCs w:val="22"/>
          <w:lang w:val="de-DE"/>
        </w:rPr>
        <w:t>bazi</w:t>
      </w:r>
      <w:r w:rsidRPr="00BB3077">
        <w:rPr>
          <w:sz w:val="22"/>
          <w:szCs w:val="22"/>
          <w:lang w:val="sr-Latn-ME"/>
        </w:rPr>
        <w:t xml:space="preserve"> </w:t>
      </w:r>
      <w:r w:rsidRPr="00304B3E">
        <w:rPr>
          <w:sz w:val="22"/>
          <w:szCs w:val="22"/>
          <w:lang w:val="de-DE"/>
        </w:rPr>
        <w:t>platine</w:t>
      </w:r>
      <w:r w:rsidRPr="00BB3077">
        <w:rPr>
          <w:sz w:val="22"/>
          <w:szCs w:val="22"/>
          <w:lang w:val="sr-Latn-ME"/>
        </w:rPr>
        <w:t xml:space="preserve">, </w:t>
      </w:r>
      <w:r w:rsidRPr="00304B3E">
        <w:rPr>
          <w:sz w:val="22"/>
          <w:szCs w:val="22"/>
          <w:lang w:val="de-DE"/>
        </w:rPr>
        <w:t>preporu</w:t>
      </w:r>
      <w:r w:rsidRPr="00BB3077">
        <w:rPr>
          <w:rFonts w:eastAsia="TimesNewRoman"/>
          <w:sz w:val="22"/>
          <w:szCs w:val="22"/>
          <w:lang w:val="sr-Latn-ME"/>
        </w:rPr>
        <w:t>č</w:t>
      </w:r>
      <w:r w:rsidRPr="00304B3E">
        <w:rPr>
          <w:sz w:val="22"/>
          <w:szCs w:val="22"/>
          <w:lang w:val="de-DE"/>
        </w:rPr>
        <w:t>ena</w:t>
      </w:r>
      <w:r w:rsidRPr="00BB3077">
        <w:rPr>
          <w:sz w:val="22"/>
          <w:szCs w:val="22"/>
          <w:lang w:val="sr-Latn-ME"/>
        </w:rPr>
        <w:t xml:space="preserve"> </w:t>
      </w:r>
      <w:r w:rsidRPr="00304B3E">
        <w:rPr>
          <w:sz w:val="22"/>
          <w:szCs w:val="22"/>
          <w:lang w:val="de-DE"/>
        </w:rPr>
        <w:t>doza</w:t>
      </w:r>
      <w:r w:rsidRPr="00BB3077">
        <w:rPr>
          <w:sz w:val="22"/>
          <w:szCs w:val="22"/>
          <w:lang w:val="sr-Latn-ME"/>
        </w:rPr>
        <w:t xml:space="preserve"> </w:t>
      </w:r>
      <w:r w:rsidRPr="00304B3E">
        <w:rPr>
          <w:sz w:val="22"/>
          <w:szCs w:val="22"/>
          <w:lang w:val="de-DE"/>
        </w:rPr>
        <w:t>je</w:t>
      </w:r>
      <w:r w:rsidRPr="00BB3077">
        <w:rPr>
          <w:sz w:val="22"/>
          <w:szCs w:val="22"/>
          <w:lang w:val="sr-Latn-ME"/>
        </w:rPr>
        <w:t xml:space="preserve"> 75 </w:t>
      </w:r>
      <w:r w:rsidRPr="00304B3E">
        <w:rPr>
          <w:sz w:val="22"/>
          <w:szCs w:val="22"/>
          <w:lang w:val="de-DE"/>
        </w:rPr>
        <w:t>mg</w:t>
      </w:r>
      <w:r w:rsidRPr="00BB3077">
        <w:rPr>
          <w:sz w:val="22"/>
          <w:szCs w:val="22"/>
          <w:lang w:val="sr-Latn-ME"/>
        </w:rPr>
        <w:t>/</w:t>
      </w:r>
      <w:r w:rsidRPr="00304B3E">
        <w:rPr>
          <w:sz w:val="22"/>
          <w:szCs w:val="22"/>
          <w:lang w:val="de-DE"/>
        </w:rPr>
        <w:t>m</w:t>
      </w:r>
      <w:r w:rsidRPr="00BB3077">
        <w:rPr>
          <w:sz w:val="22"/>
          <w:szCs w:val="22"/>
          <w:lang w:val="sr-Latn-ME"/>
        </w:rPr>
        <w:t xml:space="preserve">² </w:t>
      </w:r>
      <w:r w:rsidRPr="00304B3E">
        <w:rPr>
          <w:sz w:val="22"/>
          <w:szCs w:val="22"/>
          <w:lang w:val="de-DE"/>
        </w:rPr>
        <w:t>docetaksela</w:t>
      </w:r>
      <w:r w:rsidRPr="00BB3077">
        <w:rPr>
          <w:sz w:val="22"/>
          <w:szCs w:val="22"/>
          <w:lang w:val="sr-Latn-ME"/>
        </w:rPr>
        <w:t xml:space="preserve"> </w:t>
      </w:r>
      <w:r w:rsidRPr="00304B3E">
        <w:rPr>
          <w:sz w:val="22"/>
          <w:szCs w:val="22"/>
          <w:lang w:val="de-DE"/>
        </w:rPr>
        <w:t>kao</w:t>
      </w:r>
      <w:r w:rsidRPr="00BB3077">
        <w:rPr>
          <w:sz w:val="22"/>
          <w:szCs w:val="22"/>
          <w:lang w:val="sr-Latn-ME"/>
        </w:rPr>
        <w:t xml:space="preserve"> </w:t>
      </w:r>
      <w:r w:rsidRPr="00304B3E">
        <w:rPr>
          <w:sz w:val="22"/>
          <w:szCs w:val="22"/>
          <w:lang w:val="de-DE"/>
        </w:rPr>
        <w:t>monoterapija</w:t>
      </w:r>
      <w:r w:rsidRPr="00BB3077">
        <w:rPr>
          <w:sz w:val="22"/>
          <w:szCs w:val="22"/>
          <w:lang w:val="sr-Latn-ME"/>
        </w:rPr>
        <w:t>.</w:t>
      </w:r>
    </w:p>
    <w:p w14:paraId="6886ADCF" w14:textId="1F7F3AF4" w:rsidR="00863BB0" w:rsidRPr="00BB3077" w:rsidRDefault="00863BB0" w:rsidP="00480FB1">
      <w:pPr>
        <w:tabs>
          <w:tab w:val="left" w:pos="540"/>
          <w:tab w:val="left" w:pos="569"/>
        </w:tabs>
        <w:rPr>
          <w:bCs/>
          <w:sz w:val="22"/>
          <w:szCs w:val="22"/>
          <w:u w:val="single"/>
          <w:lang w:val="sr-Latn-ME"/>
        </w:rPr>
      </w:pPr>
    </w:p>
    <w:p w14:paraId="56D5357F" w14:textId="77777777" w:rsidR="00863BB0" w:rsidRPr="00863BB0" w:rsidRDefault="00863BB0" w:rsidP="00863BB0">
      <w:pPr>
        <w:autoSpaceDE w:val="0"/>
        <w:autoSpaceDN w:val="0"/>
        <w:adjustRightInd w:val="0"/>
        <w:rPr>
          <w:i/>
          <w:sz w:val="22"/>
          <w:szCs w:val="22"/>
          <w:u w:val="single"/>
          <w:lang w:val="de-DE"/>
        </w:rPr>
      </w:pPr>
      <w:r w:rsidRPr="00863BB0">
        <w:rPr>
          <w:i/>
          <w:sz w:val="22"/>
          <w:szCs w:val="22"/>
          <w:u w:val="single"/>
          <w:lang w:val="de-DE"/>
        </w:rPr>
        <w:t>Karcinom prostate</w:t>
      </w:r>
    </w:p>
    <w:p w14:paraId="4C72334F" w14:textId="77777777" w:rsidR="00863BB0" w:rsidRPr="00863BB0" w:rsidRDefault="00863BB0" w:rsidP="00863BB0">
      <w:pPr>
        <w:autoSpaceDE w:val="0"/>
        <w:autoSpaceDN w:val="0"/>
        <w:adjustRightInd w:val="0"/>
        <w:rPr>
          <w:sz w:val="22"/>
          <w:szCs w:val="22"/>
          <w:u w:val="single"/>
          <w:lang w:val="de-DE"/>
        </w:rPr>
      </w:pPr>
    </w:p>
    <w:p w14:paraId="5427464C" w14:textId="77777777" w:rsidR="00863BB0" w:rsidRPr="00863BB0" w:rsidRDefault="00863BB0" w:rsidP="00863BB0">
      <w:pPr>
        <w:autoSpaceDE w:val="0"/>
        <w:autoSpaceDN w:val="0"/>
        <w:adjustRightInd w:val="0"/>
        <w:rPr>
          <w:i/>
          <w:sz w:val="22"/>
          <w:szCs w:val="22"/>
          <w:lang w:val="de-DE"/>
        </w:rPr>
      </w:pPr>
      <w:r w:rsidRPr="00863BB0">
        <w:rPr>
          <w:i/>
          <w:sz w:val="22"/>
          <w:szCs w:val="22"/>
          <w:lang w:val="de-DE"/>
        </w:rPr>
        <w:t>Metastatski karcinom prostate rezistentan na kastraciju</w:t>
      </w:r>
    </w:p>
    <w:p w14:paraId="01C0C155" w14:textId="5A924804" w:rsidR="00863BB0" w:rsidRPr="00863BB0" w:rsidRDefault="00863BB0" w:rsidP="00863BB0">
      <w:pPr>
        <w:autoSpaceDE w:val="0"/>
        <w:autoSpaceDN w:val="0"/>
        <w:adjustRightInd w:val="0"/>
        <w:rPr>
          <w:sz w:val="22"/>
          <w:szCs w:val="22"/>
          <w:lang w:val="de-DE"/>
        </w:rPr>
      </w:pPr>
      <w:r w:rsidRPr="00863BB0">
        <w:rPr>
          <w:sz w:val="22"/>
          <w:szCs w:val="22"/>
          <w:lang w:val="de-DE"/>
        </w:rPr>
        <w:t>Preporu</w:t>
      </w:r>
      <w:r w:rsidRPr="00863BB0">
        <w:rPr>
          <w:rFonts w:eastAsia="TimesNewRoman"/>
          <w:sz w:val="22"/>
          <w:szCs w:val="22"/>
          <w:lang w:val="de-DE"/>
        </w:rPr>
        <w:t>č</w:t>
      </w:r>
      <w:r w:rsidRPr="00863BB0">
        <w:rPr>
          <w:sz w:val="22"/>
          <w:szCs w:val="22"/>
          <w:lang w:val="de-DE"/>
        </w:rPr>
        <w:t xml:space="preserve">ena doza docetaksela je 75 mg/m². Prednizon ili prednizolon se kontinuirano primjenjuju u dozi od 5 mg oralno dva puta na dan (vidjeti </w:t>
      </w:r>
      <w:r w:rsidR="006A399E">
        <w:rPr>
          <w:sz w:val="22"/>
          <w:szCs w:val="22"/>
          <w:lang w:val="de-DE"/>
        </w:rPr>
        <w:t>dio</w:t>
      </w:r>
      <w:r w:rsidRPr="00863BB0">
        <w:rPr>
          <w:sz w:val="22"/>
          <w:szCs w:val="22"/>
          <w:lang w:val="de-DE"/>
        </w:rPr>
        <w:t xml:space="preserve"> 5.1).</w:t>
      </w:r>
    </w:p>
    <w:p w14:paraId="5AC586AF" w14:textId="77777777" w:rsidR="00863BB0" w:rsidRPr="00863BB0" w:rsidRDefault="00863BB0" w:rsidP="00863BB0">
      <w:pPr>
        <w:autoSpaceDE w:val="0"/>
        <w:autoSpaceDN w:val="0"/>
        <w:adjustRightInd w:val="0"/>
        <w:rPr>
          <w:sz w:val="22"/>
          <w:szCs w:val="22"/>
          <w:lang w:val="de-DE"/>
        </w:rPr>
      </w:pPr>
    </w:p>
    <w:p w14:paraId="66CCD93E" w14:textId="77777777" w:rsidR="00863BB0" w:rsidRPr="00863BB0" w:rsidRDefault="00863BB0" w:rsidP="00863BB0">
      <w:pPr>
        <w:autoSpaceDE w:val="0"/>
        <w:autoSpaceDN w:val="0"/>
        <w:adjustRightInd w:val="0"/>
        <w:rPr>
          <w:i/>
          <w:sz w:val="22"/>
          <w:szCs w:val="22"/>
          <w:lang w:val="de-DE"/>
        </w:rPr>
      </w:pPr>
      <w:r w:rsidRPr="00863BB0">
        <w:rPr>
          <w:i/>
          <w:sz w:val="22"/>
          <w:szCs w:val="22"/>
          <w:lang w:val="de-DE"/>
        </w:rPr>
        <w:t>Metastatski karcinom prostate osjetljiv na hormone</w:t>
      </w:r>
    </w:p>
    <w:p w14:paraId="5BB6FF0E" w14:textId="77777777" w:rsidR="00863BB0" w:rsidRPr="00863BB0" w:rsidRDefault="00863BB0" w:rsidP="00863BB0">
      <w:pPr>
        <w:autoSpaceDE w:val="0"/>
        <w:autoSpaceDN w:val="0"/>
        <w:adjustRightInd w:val="0"/>
        <w:rPr>
          <w:sz w:val="22"/>
          <w:szCs w:val="22"/>
          <w:lang w:val="de-DE"/>
        </w:rPr>
      </w:pPr>
      <w:r w:rsidRPr="00863BB0">
        <w:rPr>
          <w:sz w:val="22"/>
          <w:szCs w:val="22"/>
          <w:lang w:val="de-DE"/>
        </w:rPr>
        <w:t>Preporučena doza docetaksela je 75 mg/m</w:t>
      </w:r>
      <w:r w:rsidRPr="00863BB0">
        <w:rPr>
          <w:sz w:val="22"/>
          <w:szCs w:val="22"/>
          <w:vertAlign w:val="superscript"/>
          <w:lang w:val="de-DE"/>
        </w:rPr>
        <w:t>2</w:t>
      </w:r>
      <w:r w:rsidRPr="00863BB0">
        <w:rPr>
          <w:sz w:val="22"/>
          <w:szCs w:val="22"/>
          <w:lang w:val="de-DE"/>
        </w:rPr>
        <w:t xml:space="preserve"> na svake 3 nedjelje tokom 6 ciklusa. Prednizon ili prednizolon mogu da se kontinuirano primjenjuju u dozi od 5 mg oralno dva puta na dan. </w:t>
      </w:r>
    </w:p>
    <w:p w14:paraId="1663ACA2" w14:textId="77777777" w:rsidR="00863BB0" w:rsidRPr="00863BB0" w:rsidRDefault="00863BB0" w:rsidP="00863BB0">
      <w:pPr>
        <w:autoSpaceDE w:val="0"/>
        <w:autoSpaceDN w:val="0"/>
        <w:adjustRightInd w:val="0"/>
        <w:rPr>
          <w:sz w:val="22"/>
          <w:szCs w:val="22"/>
          <w:lang w:val="de-DE"/>
        </w:rPr>
      </w:pPr>
    </w:p>
    <w:p w14:paraId="08E26F96" w14:textId="77777777" w:rsidR="00863BB0" w:rsidRPr="00863BB0" w:rsidRDefault="00863BB0" w:rsidP="00863BB0">
      <w:pPr>
        <w:autoSpaceDE w:val="0"/>
        <w:autoSpaceDN w:val="0"/>
        <w:adjustRightInd w:val="0"/>
        <w:rPr>
          <w:i/>
          <w:sz w:val="22"/>
          <w:szCs w:val="22"/>
          <w:u w:val="single"/>
          <w:lang w:val="de-DE"/>
        </w:rPr>
      </w:pPr>
      <w:r w:rsidRPr="00863BB0">
        <w:rPr>
          <w:i/>
          <w:sz w:val="22"/>
          <w:szCs w:val="22"/>
          <w:u w:val="single"/>
          <w:lang w:val="de-DE"/>
        </w:rPr>
        <w:t>Adenokarcinom želuca</w:t>
      </w:r>
    </w:p>
    <w:p w14:paraId="71DF91D3" w14:textId="77777777" w:rsidR="00863BB0" w:rsidRPr="00863BB0" w:rsidRDefault="00863BB0" w:rsidP="00863BB0">
      <w:pPr>
        <w:autoSpaceDE w:val="0"/>
        <w:autoSpaceDN w:val="0"/>
        <w:adjustRightInd w:val="0"/>
        <w:rPr>
          <w:sz w:val="22"/>
          <w:szCs w:val="22"/>
          <w:u w:val="single"/>
          <w:lang w:val="de-DE"/>
        </w:rPr>
      </w:pPr>
    </w:p>
    <w:p w14:paraId="28EA3EAB" w14:textId="77777777" w:rsidR="00863BB0" w:rsidRPr="00863BB0" w:rsidRDefault="00863BB0" w:rsidP="00863BB0">
      <w:pPr>
        <w:autoSpaceDE w:val="0"/>
        <w:autoSpaceDN w:val="0"/>
        <w:adjustRightInd w:val="0"/>
        <w:rPr>
          <w:sz w:val="22"/>
          <w:szCs w:val="22"/>
          <w:lang w:val="de-DE"/>
        </w:rPr>
      </w:pPr>
      <w:r w:rsidRPr="00863BB0">
        <w:rPr>
          <w:sz w:val="22"/>
          <w:szCs w:val="22"/>
          <w:lang w:val="de-DE"/>
        </w:rPr>
        <w:t>Preporu</w:t>
      </w:r>
      <w:r w:rsidRPr="00863BB0">
        <w:rPr>
          <w:rFonts w:eastAsia="TimesNewRoman"/>
          <w:sz w:val="22"/>
          <w:szCs w:val="22"/>
          <w:lang w:val="de-DE"/>
        </w:rPr>
        <w:t>č</w:t>
      </w:r>
      <w:r w:rsidRPr="00863BB0">
        <w:rPr>
          <w:sz w:val="22"/>
          <w:szCs w:val="22"/>
          <w:lang w:val="de-DE"/>
        </w:rPr>
        <w:t xml:space="preserve">ena doza docetaksela je 75 mg/m², u obliku jednosatne infuzije, nakon </w:t>
      </w:r>
      <w:r w:rsidRPr="00863BB0">
        <w:rPr>
          <w:rFonts w:eastAsia="TimesNewRoman"/>
          <w:sz w:val="22"/>
          <w:szCs w:val="22"/>
          <w:lang w:val="de-DE"/>
        </w:rPr>
        <w:t>č</w:t>
      </w:r>
      <w:r w:rsidRPr="00863BB0">
        <w:rPr>
          <w:sz w:val="22"/>
          <w:szCs w:val="22"/>
          <w:lang w:val="de-DE"/>
        </w:rPr>
        <w:t>ega slijedi cisplatin u dozi od 75 mg/m², kao infuzija u trajanju od 1 do 3 sata (oba lijeka se daju samo prvog dana), a potom se tokom 5 dana, po završetku infuzije cisplatina, daje 5-fluorouracil u dozi od 750 mg/m² na dan u obliku 24-satne kontinuirane infuzije. Terapija se ponavlja na svake tri nedjelje. Prije primjene cisplatina pacijentu se mora dati premedikacija antiemeticima i obezbijediti odgovaraju</w:t>
      </w:r>
      <w:r w:rsidRPr="00863BB0">
        <w:rPr>
          <w:rFonts w:eastAsia="TimesNewRoman"/>
          <w:sz w:val="22"/>
          <w:szCs w:val="22"/>
          <w:lang w:val="de-DE"/>
        </w:rPr>
        <w:t>ć</w:t>
      </w:r>
      <w:r w:rsidRPr="00863BB0">
        <w:rPr>
          <w:sz w:val="22"/>
          <w:szCs w:val="22"/>
          <w:lang w:val="de-DE"/>
        </w:rPr>
        <w:t xml:space="preserve">a hidratacija. </w:t>
      </w:r>
      <w:bookmarkStart w:id="1" w:name="_Hlk28257656"/>
      <w:r w:rsidRPr="00863BB0">
        <w:rPr>
          <w:sz w:val="22"/>
          <w:szCs w:val="22"/>
          <w:lang w:val="de-DE"/>
        </w:rPr>
        <w:t>Za smanjenje rizika od hematološke toksi</w:t>
      </w:r>
      <w:r w:rsidRPr="00863BB0">
        <w:rPr>
          <w:rFonts w:eastAsia="TimesNewRoman"/>
          <w:sz w:val="22"/>
          <w:szCs w:val="22"/>
          <w:lang w:val="de-DE"/>
        </w:rPr>
        <w:t>č</w:t>
      </w:r>
      <w:r w:rsidRPr="00863BB0">
        <w:rPr>
          <w:sz w:val="22"/>
          <w:szCs w:val="22"/>
          <w:lang w:val="de-DE"/>
        </w:rPr>
        <w:t>nosti profilakti</w:t>
      </w:r>
      <w:r w:rsidRPr="00863BB0">
        <w:rPr>
          <w:rFonts w:eastAsia="TimesNewRoman"/>
          <w:sz w:val="22"/>
          <w:szCs w:val="22"/>
          <w:lang w:val="de-DE"/>
        </w:rPr>
        <w:t>č</w:t>
      </w:r>
      <w:r w:rsidRPr="00863BB0">
        <w:rPr>
          <w:sz w:val="22"/>
          <w:szCs w:val="22"/>
          <w:lang w:val="de-DE"/>
        </w:rPr>
        <w:t>ki treba davati G-CSF (pogledajte i „Podešavanja doze u toku terapije“).</w:t>
      </w:r>
    </w:p>
    <w:bookmarkEnd w:id="1"/>
    <w:p w14:paraId="3D72F911" w14:textId="77777777" w:rsidR="00863BB0" w:rsidRPr="00863BB0" w:rsidRDefault="00863BB0" w:rsidP="00863BB0">
      <w:pPr>
        <w:autoSpaceDE w:val="0"/>
        <w:autoSpaceDN w:val="0"/>
        <w:adjustRightInd w:val="0"/>
        <w:rPr>
          <w:i/>
          <w:sz w:val="22"/>
          <w:szCs w:val="22"/>
          <w:lang w:val="de-DE"/>
        </w:rPr>
      </w:pPr>
    </w:p>
    <w:p w14:paraId="7EC9DDEF" w14:textId="77777777" w:rsidR="00863BB0" w:rsidRPr="00863BB0" w:rsidRDefault="00863BB0" w:rsidP="00863BB0">
      <w:pPr>
        <w:autoSpaceDE w:val="0"/>
        <w:autoSpaceDN w:val="0"/>
        <w:adjustRightInd w:val="0"/>
        <w:rPr>
          <w:i/>
          <w:sz w:val="22"/>
          <w:szCs w:val="22"/>
          <w:u w:val="single"/>
          <w:lang w:val="de-DE"/>
        </w:rPr>
      </w:pPr>
      <w:r w:rsidRPr="00863BB0">
        <w:rPr>
          <w:i/>
          <w:sz w:val="22"/>
          <w:szCs w:val="22"/>
          <w:u w:val="single"/>
          <w:lang w:val="de-DE"/>
        </w:rPr>
        <w:t>Karcinom glave i vrata</w:t>
      </w:r>
    </w:p>
    <w:p w14:paraId="21541515" w14:textId="77777777" w:rsidR="00863BB0" w:rsidRPr="00863BB0" w:rsidRDefault="00863BB0" w:rsidP="00863BB0">
      <w:pPr>
        <w:autoSpaceDE w:val="0"/>
        <w:autoSpaceDN w:val="0"/>
        <w:adjustRightInd w:val="0"/>
        <w:rPr>
          <w:sz w:val="22"/>
          <w:szCs w:val="22"/>
          <w:u w:val="single"/>
          <w:lang w:val="de-DE"/>
        </w:rPr>
      </w:pPr>
    </w:p>
    <w:p w14:paraId="31B998D4" w14:textId="77777777" w:rsidR="00863BB0" w:rsidRPr="00863BB0" w:rsidRDefault="00863BB0" w:rsidP="00863BB0">
      <w:pPr>
        <w:autoSpaceDE w:val="0"/>
        <w:autoSpaceDN w:val="0"/>
        <w:adjustRightInd w:val="0"/>
        <w:rPr>
          <w:sz w:val="22"/>
          <w:szCs w:val="22"/>
          <w:lang w:val="de-DE"/>
        </w:rPr>
      </w:pPr>
      <w:r w:rsidRPr="00863BB0">
        <w:rPr>
          <w:sz w:val="22"/>
          <w:szCs w:val="22"/>
          <w:lang w:val="de-DE"/>
        </w:rPr>
        <w:t>Pacijenti moraju da prime premedikaciju antiemeticima, kao i odgovaraju</w:t>
      </w:r>
      <w:r w:rsidRPr="00863BB0">
        <w:rPr>
          <w:rFonts w:eastAsia="TimesNewRoman"/>
          <w:sz w:val="22"/>
          <w:szCs w:val="22"/>
          <w:lang w:val="de-DE"/>
        </w:rPr>
        <w:t>ć</w:t>
      </w:r>
      <w:r w:rsidRPr="00863BB0">
        <w:rPr>
          <w:sz w:val="22"/>
          <w:szCs w:val="22"/>
          <w:lang w:val="de-DE"/>
        </w:rPr>
        <w:t>u hidrataciju (prije i poslije primjene cisplatina). Za ublažavanje rizika od hematološke toksi</w:t>
      </w:r>
      <w:r w:rsidRPr="00863BB0">
        <w:rPr>
          <w:rFonts w:eastAsia="TimesNewRoman"/>
          <w:sz w:val="22"/>
          <w:szCs w:val="22"/>
          <w:lang w:val="de-DE"/>
        </w:rPr>
        <w:t>č</w:t>
      </w:r>
      <w:r w:rsidRPr="00863BB0">
        <w:rPr>
          <w:sz w:val="22"/>
          <w:szCs w:val="22"/>
          <w:lang w:val="de-DE"/>
        </w:rPr>
        <w:t>nosti može se profilakti</w:t>
      </w:r>
      <w:r w:rsidRPr="00863BB0">
        <w:rPr>
          <w:rFonts w:eastAsia="TimesNewRoman"/>
          <w:sz w:val="22"/>
          <w:szCs w:val="22"/>
          <w:lang w:val="de-DE"/>
        </w:rPr>
        <w:t>č</w:t>
      </w:r>
      <w:r w:rsidRPr="00863BB0">
        <w:rPr>
          <w:sz w:val="22"/>
          <w:szCs w:val="22"/>
          <w:lang w:val="de-DE"/>
        </w:rPr>
        <w:t>ki dati G-CSF. Svi pacijenti iz grupa koje su dobijale docetaksel, u okviru studija TAX 323 i TAX 324, profilakti</w:t>
      </w:r>
      <w:r w:rsidRPr="00863BB0">
        <w:rPr>
          <w:rFonts w:eastAsia="TimesNewRoman"/>
          <w:sz w:val="22"/>
          <w:szCs w:val="22"/>
          <w:lang w:val="de-DE"/>
        </w:rPr>
        <w:t>č</w:t>
      </w:r>
      <w:r w:rsidRPr="00863BB0">
        <w:rPr>
          <w:sz w:val="22"/>
          <w:szCs w:val="22"/>
          <w:lang w:val="de-DE"/>
        </w:rPr>
        <w:t>ki su primali antibiotioike.</w:t>
      </w:r>
    </w:p>
    <w:p w14:paraId="3828BA75" w14:textId="77777777" w:rsidR="00863BB0" w:rsidRPr="00863BB0" w:rsidRDefault="00863BB0" w:rsidP="00863BB0">
      <w:pPr>
        <w:autoSpaceDE w:val="0"/>
        <w:autoSpaceDN w:val="0"/>
        <w:adjustRightInd w:val="0"/>
        <w:rPr>
          <w:sz w:val="22"/>
          <w:szCs w:val="22"/>
          <w:lang w:val="de-DE"/>
        </w:rPr>
      </w:pPr>
    </w:p>
    <w:p w14:paraId="0D85F240" w14:textId="77777777" w:rsidR="00863BB0" w:rsidRPr="00863BB0" w:rsidRDefault="00863BB0" w:rsidP="00863BB0">
      <w:pPr>
        <w:autoSpaceDE w:val="0"/>
        <w:autoSpaceDN w:val="0"/>
        <w:adjustRightInd w:val="0"/>
        <w:rPr>
          <w:sz w:val="22"/>
          <w:szCs w:val="22"/>
          <w:lang w:val="de-DE"/>
        </w:rPr>
      </w:pPr>
      <w:r w:rsidRPr="00863BB0">
        <w:rPr>
          <w:sz w:val="22"/>
          <w:szCs w:val="22"/>
          <w:lang w:val="de-DE"/>
        </w:rPr>
        <w:t>• Indukciona hemioterapija nakon koje slijedi radioterapija (TAX 323)</w:t>
      </w:r>
    </w:p>
    <w:p w14:paraId="66AB2942" w14:textId="77777777" w:rsidR="00863BB0" w:rsidRPr="00863BB0" w:rsidRDefault="00863BB0" w:rsidP="00863BB0">
      <w:pPr>
        <w:autoSpaceDE w:val="0"/>
        <w:autoSpaceDN w:val="0"/>
        <w:adjustRightInd w:val="0"/>
        <w:ind w:left="38"/>
        <w:rPr>
          <w:sz w:val="22"/>
          <w:szCs w:val="22"/>
          <w:lang w:val="de-DE"/>
        </w:rPr>
      </w:pPr>
      <w:r w:rsidRPr="00863BB0">
        <w:rPr>
          <w:sz w:val="22"/>
          <w:szCs w:val="22"/>
          <w:lang w:val="de-DE"/>
        </w:rPr>
        <w:t xml:space="preserve">Za indukcionu terapiju inoperabilnog lokalno uznapredovalog karcinoma skvamoznih </w:t>
      </w:r>
      <w:r w:rsidRPr="00863BB0">
        <w:rPr>
          <w:rFonts w:eastAsia="TimesNewRoman"/>
          <w:sz w:val="22"/>
          <w:szCs w:val="22"/>
          <w:lang w:val="de-DE"/>
        </w:rPr>
        <w:t>ć</w:t>
      </w:r>
      <w:r w:rsidRPr="00863BB0">
        <w:rPr>
          <w:sz w:val="22"/>
          <w:szCs w:val="22"/>
          <w:lang w:val="de-DE"/>
        </w:rPr>
        <w:t>elija glave i vrata (SCHNC) preporu</w:t>
      </w:r>
      <w:r w:rsidRPr="00863BB0">
        <w:rPr>
          <w:rFonts w:eastAsia="TimesNewRoman"/>
          <w:sz w:val="22"/>
          <w:szCs w:val="22"/>
          <w:lang w:val="de-DE"/>
        </w:rPr>
        <w:t>č</w:t>
      </w:r>
      <w:r w:rsidRPr="00863BB0">
        <w:rPr>
          <w:sz w:val="22"/>
          <w:szCs w:val="22"/>
          <w:lang w:val="de-DE"/>
        </w:rPr>
        <w:t>ena doza docetaksela iznosi 75 mg/m², kao jednosatna infuzija, poslije koje slijedi cisplatin u dozi od 75 mg/m² kao jedno</w:t>
      </w:r>
      <w:r w:rsidRPr="00863BB0">
        <w:rPr>
          <w:rFonts w:eastAsia="TimesNewRoman"/>
          <w:sz w:val="22"/>
          <w:szCs w:val="22"/>
          <w:lang w:val="de-DE"/>
        </w:rPr>
        <w:t>č</w:t>
      </w:r>
      <w:r w:rsidRPr="00863BB0">
        <w:rPr>
          <w:sz w:val="22"/>
          <w:szCs w:val="22"/>
          <w:lang w:val="de-DE"/>
        </w:rPr>
        <w:t xml:space="preserve">asovna infuzija, tokom prvog dana, nakon </w:t>
      </w:r>
      <w:r w:rsidRPr="00863BB0">
        <w:rPr>
          <w:rFonts w:eastAsia="TimesNewRoman"/>
          <w:sz w:val="22"/>
          <w:szCs w:val="22"/>
          <w:lang w:val="de-DE"/>
        </w:rPr>
        <w:t>č</w:t>
      </w:r>
      <w:r w:rsidRPr="00863BB0">
        <w:rPr>
          <w:sz w:val="22"/>
          <w:szCs w:val="22"/>
          <w:lang w:val="de-DE"/>
        </w:rPr>
        <w:t>ega slijedi terapija 5-fluorouracilom u kontinuiranoj infuziji u dozi od 750 mg/m² na dan, tokom 5 dana. Ovakav režim se primjenjuje svake 3 nedjelje tokom 4 ciklusa. Poslije hemioterapije pacijenti treba da primaju radioterapiju.</w:t>
      </w:r>
    </w:p>
    <w:p w14:paraId="4F5AC907" w14:textId="77777777" w:rsidR="00863BB0" w:rsidRPr="00863BB0" w:rsidRDefault="00863BB0" w:rsidP="00863BB0">
      <w:pPr>
        <w:autoSpaceDE w:val="0"/>
        <w:autoSpaceDN w:val="0"/>
        <w:adjustRightInd w:val="0"/>
        <w:rPr>
          <w:sz w:val="22"/>
          <w:szCs w:val="22"/>
          <w:lang w:val="de-DE"/>
        </w:rPr>
      </w:pPr>
    </w:p>
    <w:p w14:paraId="68DEFBA4" w14:textId="77777777" w:rsidR="00863BB0" w:rsidRPr="00863BB0" w:rsidRDefault="00863BB0" w:rsidP="00863BB0">
      <w:pPr>
        <w:autoSpaceDE w:val="0"/>
        <w:autoSpaceDN w:val="0"/>
        <w:adjustRightInd w:val="0"/>
        <w:rPr>
          <w:sz w:val="22"/>
          <w:szCs w:val="22"/>
          <w:lang w:val="de-DE"/>
        </w:rPr>
      </w:pPr>
      <w:r w:rsidRPr="00863BB0">
        <w:rPr>
          <w:sz w:val="22"/>
          <w:szCs w:val="22"/>
          <w:lang w:val="de-DE"/>
        </w:rPr>
        <w:t>• Indukciona hemioterapija nakon koje slijedi hemioradioterapija (TAX 324)</w:t>
      </w:r>
    </w:p>
    <w:p w14:paraId="4D68A436" w14:textId="77777777" w:rsidR="00863BB0" w:rsidRPr="00863BB0" w:rsidRDefault="00863BB0" w:rsidP="00863BB0">
      <w:pPr>
        <w:autoSpaceDE w:val="0"/>
        <w:autoSpaceDN w:val="0"/>
        <w:adjustRightInd w:val="0"/>
        <w:ind w:left="38"/>
        <w:rPr>
          <w:sz w:val="22"/>
          <w:szCs w:val="22"/>
          <w:lang w:val="de-DE"/>
        </w:rPr>
      </w:pPr>
      <w:r w:rsidRPr="00863BB0">
        <w:rPr>
          <w:sz w:val="22"/>
          <w:szCs w:val="22"/>
          <w:lang w:val="de-DE"/>
        </w:rPr>
        <w:t>Za indukcionu terapiju kod pacijenata sa lokalno uznapredovalim (tehni</w:t>
      </w:r>
      <w:r w:rsidRPr="00863BB0">
        <w:rPr>
          <w:rFonts w:eastAsia="TimesNewRoman"/>
          <w:sz w:val="22"/>
          <w:szCs w:val="22"/>
          <w:lang w:val="de-DE"/>
        </w:rPr>
        <w:t>č</w:t>
      </w:r>
      <w:r w:rsidRPr="00863BB0">
        <w:rPr>
          <w:sz w:val="22"/>
          <w:szCs w:val="22"/>
          <w:lang w:val="de-DE"/>
        </w:rPr>
        <w:t>ki neresktabilnim, sa malom vjerovatno</w:t>
      </w:r>
      <w:r w:rsidRPr="00863BB0">
        <w:rPr>
          <w:rFonts w:eastAsia="TimesNewRoman"/>
          <w:sz w:val="22"/>
          <w:szCs w:val="22"/>
          <w:lang w:val="de-DE"/>
        </w:rPr>
        <w:t>ć</w:t>
      </w:r>
      <w:r w:rsidRPr="00863BB0">
        <w:rPr>
          <w:sz w:val="22"/>
          <w:szCs w:val="22"/>
          <w:lang w:val="de-DE"/>
        </w:rPr>
        <w:t>om za uspješan hirurški zahvat i sa ciljem o</w:t>
      </w:r>
      <w:r w:rsidRPr="00863BB0">
        <w:rPr>
          <w:rFonts w:eastAsia="TimesNewRoman"/>
          <w:sz w:val="22"/>
          <w:szCs w:val="22"/>
          <w:lang w:val="de-DE"/>
        </w:rPr>
        <w:t>č</w:t>
      </w:r>
      <w:r w:rsidRPr="00863BB0">
        <w:rPr>
          <w:sz w:val="22"/>
          <w:szCs w:val="22"/>
          <w:lang w:val="de-DE"/>
        </w:rPr>
        <w:t xml:space="preserve">uvanja organa) karcinomom skvamoznih </w:t>
      </w:r>
      <w:r w:rsidRPr="00863BB0">
        <w:rPr>
          <w:rFonts w:eastAsia="TimesNewRoman"/>
          <w:sz w:val="22"/>
          <w:szCs w:val="22"/>
          <w:lang w:val="de-DE"/>
        </w:rPr>
        <w:t>ć</w:t>
      </w:r>
      <w:r w:rsidRPr="00863BB0">
        <w:rPr>
          <w:sz w:val="22"/>
          <w:szCs w:val="22"/>
          <w:lang w:val="de-DE"/>
        </w:rPr>
        <w:t>elija glave i vrata (SCCHN), preporu</w:t>
      </w:r>
      <w:r w:rsidRPr="00863BB0">
        <w:rPr>
          <w:rFonts w:eastAsia="TimesNewRoman"/>
          <w:sz w:val="22"/>
          <w:szCs w:val="22"/>
          <w:lang w:val="de-DE"/>
        </w:rPr>
        <w:t>č</w:t>
      </w:r>
      <w:r w:rsidRPr="00863BB0">
        <w:rPr>
          <w:sz w:val="22"/>
          <w:szCs w:val="22"/>
          <w:lang w:val="de-DE"/>
        </w:rPr>
        <w:t xml:space="preserve">ena doza docetaksela je 75 mg/m², primijenjena kao jednosatna infuzija prvog dana, nakon koje slijedi infuzija cisplatina u dozi od 100 mg/m², u trajanju od 30 minuta do 3 sata, a potom, od dana 1 do dana 4, kontinuirana infuzija 5-fluorouracila u dozi od 1000 mg/m² na dan. Ovakav režim se primjenjuje na svake tri nedjelje, u 3 ciklusa. Nakon hemioterapije, pacijenti treba da prime hemioradioterapiju. </w:t>
      </w:r>
    </w:p>
    <w:p w14:paraId="42707918" w14:textId="77777777" w:rsidR="00863BB0" w:rsidRPr="00863BB0" w:rsidRDefault="00863BB0" w:rsidP="00863BB0">
      <w:pPr>
        <w:autoSpaceDE w:val="0"/>
        <w:autoSpaceDN w:val="0"/>
        <w:adjustRightInd w:val="0"/>
        <w:rPr>
          <w:sz w:val="22"/>
          <w:szCs w:val="22"/>
          <w:lang w:val="de-DE"/>
        </w:rPr>
      </w:pPr>
    </w:p>
    <w:p w14:paraId="6FE26083" w14:textId="77777777" w:rsidR="00863BB0" w:rsidRPr="00863BB0" w:rsidRDefault="00863BB0" w:rsidP="00863BB0">
      <w:pPr>
        <w:autoSpaceDE w:val="0"/>
        <w:autoSpaceDN w:val="0"/>
        <w:adjustRightInd w:val="0"/>
        <w:rPr>
          <w:sz w:val="22"/>
          <w:szCs w:val="22"/>
          <w:lang w:val="de-DE"/>
        </w:rPr>
      </w:pPr>
      <w:r w:rsidRPr="00863BB0">
        <w:rPr>
          <w:sz w:val="22"/>
          <w:szCs w:val="22"/>
          <w:lang w:val="de-DE"/>
        </w:rPr>
        <w:t>Za modifikovanje doziranja cisplatina i 5-fluorouracila pogledati sažetak karakteristika lijeka za ove ljekove.</w:t>
      </w:r>
    </w:p>
    <w:p w14:paraId="5A9D76C7" w14:textId="77777777" w:rsidR="00863BB0" w:rsidRPr="00863BB0" w:rsidRDefault="00863BB0" w:rsidP="00863BB0">
      <w:pPr>
        <w:autoSpaceDE w:val="0"/>
        <w:autoSpaceDN w:val="0"/>
        <w:adjustRightInd w:val="0"/>
        <w:rPr>
          <w:sz w:val="22"/>
          <w:szCs w:val="22"/>
          <w:lang w:val="de-DE"/>
        </w:rPr>
      </w:pPr>
    </w:p>
    <w:p w14:paraId="65E28D6D" w14:textId="77777777" w:rsidR="00863BB0" w:rsidRPr="00863BB0" w:rsidRDefault="00863BB0" w:rsidP="00863BB0">
      <w:pPr>
        <w:autoSpaceDE w:val="0"/>
        <w:autoSpaceDN w:val="0"/>
        <w:adjustRightInd w:val="0"/>
        <w:rPr>
          <w:iCs/>
          <w:sz w:val="22"/>
          <w:szCs w:val="22"/>
          <w:u w:val="single"/>
          <w:lang w:val="de-DE"/>
        </w:rPr>
      </w:pPr>
      <w:bookmarkStart w:id="2" w:name="_Hlk28257690"/>
      <w:r w:rsidRPr="00863BB0">
        <w:rPr>
          <w:iCs/>
          <w:sz w:val="22"/>
          <w:szCs w:val="22"/>
          <w:u w:val="single"/>
          <w:lang w:val="de-DE"/>
        </w:rPr>
        <w:t>Prilago</w:t>
      </w:r>
      <w:r w:rsidRPr="00863BB0">
        <w:rPr>
          <w:rFonts w:eastAsia="TimesNewRoman"/>
          <w:iCs/>
          <w:sz w:val="22"/>
          <w:szCs w:val="22"/>
          <w:u w:val="single"/>
          <w:lang w:val="de-DE"/>
        </w:rPr>
        <w:t>đ</w:t>
      </w:r>
      <w:r w:rsidRPr="00863BB0">
        <w:rPr>
          <w:iCs/>
          <w:sz w:val="22"/>
          <w:szCs w:val="22"/>
          <w:u w:val="single"/>
          <w:lang w:val="de-DE"/>
        </w:rPr>
        <w:t>avanje doze u toku terapije</w:t>
      </w:r>
      <w:bookmarkEnd w:id="2"/>
    </w:p>
    <w:p w14:paraId="3F588655" w14:textId="77777777" w:rsidR="00863BB0" w:rsidRPr="00863BB0" w:rsidRDefault="00863BB0" w:rsidP="00863BB0">
      <w:pPr>
        <w:autoSpaceDE w:val="0"/>
        <w:autoSpaceDN w:val="0"/>
        <w:adjustRightInd w:val="0"/>
        <w:rPr>
          <w:sz w:val="22"/>
          <w:szCs w:val="22"/>
          <w:lang w:val="de-DE"/>
        </w:rPr>
      </w:pPr>
    </w:p>
    <w:p w14:paraId="42264EC2" w14:textId="77777777" w:rsidR="00863BB0" w:rsidRPr="00863BB0" w:rsidRDefault="00863BB0" w:rsidP="00863BB0">
      <w:pPr>
        <w:autoSpaceDE w:val="0"/>
        <w:autoSpaceDN w:val="0"/>
        <w:adjustRightInd w:val="0"/>
        <w:rPr>
          <w:i/>
          <w:sz w:val="22"/>
          <w:szCs w:val="22"/>
          <w:u w:val="single"/>
          <w:lang w:val="de-DE"/>
        </w:rPr>
      </w:pPr>
      <w:r w:rsidRPr="00863BB0">
        <w:rPr>
          <w:i/>
          <w:sz w:val="22"/>
          <w:szCs w:val="22"/>
          <w:u w:val="single"/>
          <w:lang w:val="de-DE"/>
        </w:rPr>
        <w:t>Opšte preporuke</w:t>
      </w:r>
    </w:p>
    <w:p w14:paraId="52A8472F" w14:textId="77777777" w:rsidR="00863BB0" w:rsidRPr="00863BB0" w:rsidRDefault="00863BB0" w:rsidP="00863BB0">
      <w:pPr>
        <w:autoSpaceDE w:val="0"/>
        <w:autoSpaceDN w:val="0"/>
        <w:adjustRightInd w:val="0"/>
        <w:rPr>
          <w:sz w:val="22"/>
          <w:szCs w:val="22"/>
          <w:u w:val="single"/>
          <w:lang w:val="de-DE"/>
        </w:rPr>
      </w:pPr>
    </w:p>
    <w:p w14:paraId="1CBFC6B2" w14:textId="77777777" w:rsidR="00863BB0" w:rsidRPr="00863BB0" w:rsidRDefault="00863BB0" w:rsidP="00863BB0">
      <w:pPr>
        <w:autoSpaceDE w:val="0"/>
        <w:autoSpaceDN w:val="0"/>
        <w:adjustRightInd w:val="0"/>
        <w:rPr>
          <w:sz w:val="22"/>
          <w:szCs w:val="22"/>
          <w:lang w:val="de-DE"/>
        </w:rPr>
      </w:pPr>
      <w:r w:rsidRPr="00863BB0">
        <w:rPr>
          <w:sz w:val="22"/>
          <w:szCs w:val="22"/>
          <w:lang w:val="de-DE"/>
        </w:rPr>
        <w:t xml:space="preserve">Docetaksel treba primijeniti ako je broj neutrofila </w:t>
      </w:r>
      <w:r w:rsidRPr="00863BB0">
        <w:rPr>
          <w:rFonts w:eastAsia="TimesNewRoman"/>
          <w:sz w:val="22"/>
          <w:szCs w:val="22"/>
          <w:lang w:val="de-DE"/>
        </w:rPr>
        <w:t xml:space="preserve">≥ </w:t>
      </w:r>
      <w:r w:rsidRPr="00863BB0">
        <w:rPr>
          <w:sz w:val="22"/>
          <w:szCs w:val="22"/>
          <w:lang w:val="de-DE"/>
        </w:rPr>
        <w:t xml:space="preserve">1500 </w:t>
      </w:r>
      <w:r w:rsidRPr="00863BB0">
        <w:rPr>
          <w:rFonts w:eastAsia="TimesNewRoman"/>
          <w:sz w:val="22"/>
          <w:szCs w:val="22"/>
          <w:lang w:val="de-DE"/>
        </w:rPr>
        <w:t>ć</w:t>
      </w:r>
      <w:r w:rsidRPr="00863BB0">
        <w:rPr>
          <w:sz w:val="22"/>
          <w:szCs w:val="22"/>
          <w:lang w:val="de-DE"/>
        </w:rPr>
        <w:t xml:space="preserve">elija/mm³. </w:t>
      </w:r>
    </w:p>
    <w:p w14:paraId="04364E5E" w14:textId="77777777" w:rsidR="00863BB0" w:rsidRPr="00863BB0" w:rsidRDefault="00863BB0" w:rsidP="00863BB0">
      <w:pPr>
        <w:autoSpaceDE w:val="0"/>
        <w:autoSpaceDN w:val="0"/>
        <w:adjustRightInd w:val="0"/>
        <w:rPr>
          <w:sz w:val="22"/>
          <w:szCs w:val="22"/>
          <w:lang w:val="de-DE"/>
        </w:rPr>
      </w:pPr>
    </w:p>
    <w:p w14:paraId="32692C5D" w14:textId="77777777" w:rsidR="00863BB0" w:rsidRPr="00863BB0" w:rsidRDefault="00863BB0" w:rsidP="00863BB0">
      <w:pPr>
        <w:autoSpaceDE w:val="0"/>
        <w:autoSpaceDN w:val="0"/>
        <w:adjustRightInd w:val="0"/>
        <w:rPr>
          <w:sz w:val="22"/>
          <w:szCs w:val="22"/>
          <w:lang w:val="de-DE"/>
        </w:rPr>
      </w:pPr>
      <w:r w:rsidRPr="00863BB0">
        <w:rPr>
          <w:sz w:val="22"/>
          <w:szCs w:val="22"/>
          <w:lang w:val="de-DE"/>
        </w:rPr>
        <w:t xml:space="preserve">Kod pacijenata kod kojih se u toku terapije docetakselom javila febrilna neutropenija, broj neutrofila &lt; 500 </w:t>
      </w:r>
      <w:r w:rsidRPr="00863BB0">
        <w:rPr>
          <w:rFonts w:eastAsia="TimesNewRoman"/>
          <w:sz w:val="22"/>
          <w:szCs w:val="22"/>
          <w:lang w:val="de-DE"/>
        </w:rPr>
        <w:t>ć</w:t>
      </w:r>
      <w:r w:rsidRPr="00863BB0">
        <w:rPr>
          <w:sz w:val="22"/>
          <w:szCs w:val="22"/>
          <w:lang w:val="de-DE"/>
        </w:rPr>
        <w:t xml:space="preserve">elija/mm³ u trajanju duže od nedjelju dana, teške ili kumulativne kožne reakcije ili teška periferna neuropatija, doza docetaksela se mora smanjiti sa 100 mg/m² na 75 mg/m² i/ili sa 75 mg/m² </w:t>
      </w:r>
      <w:r w:rsidRPr="00863BB0">
        <w:rPr>
          <w:sz w:val="22"/>
          <w:szCs w:val="22"/>
          <w:lang w:val="de-DE"/>
        </w:rPr>
        <w:lastRenderedPageBreak/>
        <w:t>na 60 mg/m². Ukoliko se kod pacijenta navedene neželjene reakcije javljaju i pri primjeni doze od 60 mg/m², terapija se mora prekinuti.</w:t>
      </w:r>
    </w:p>
    <w:p w14:paraId="07D7B8D1" w14:textId="77777777" w:rsidR="00863BB0" w:rsidRPr="00863BB0" w:rsidRDefault="00863BB0" w:rsidP="00863BB0">
      <w:pPr>
        <w:autoSpaceDE w:val="0"/>
        <w:autoSpaceDN w:val="0"/>
        <w:adjustRightInd w:val="0"/>
        <w:rPr>
          <w:sz w:val="22"/>
          <w:szCs w:val="22"/>
          <w:lang w:val="de-DE"/>
        </w:rPr>
      </w:pPr>
    </w:p>
    <w:p w14:paraId="79D9D2E9" w14:textId="77777777" w:rsidR="00863BB0" w:rsidRPr="00863BB0" w:rsidRDefault="00863BB0" w:rsidP="00863BB0">
      <w:pPr>
        <w:autoSpaceDE w:val="0"/>
        <w:autoSpaceDN w:val="0"/>
        <w:adjustRightInd w:val="0"/>
        <w:rPr>
          <w:i/>
          <w:sz w:val="22"/>
          <w:szCs w:val="22"/>
          <w:u w:val="single"/>
          <w:lang w:val="de-DE"/>
        </w:rPr>
      </w:pPr>
      <w:r w:rsidRPr="00863BB0">
        <w:rPr>
          <w:i/>
          <w:sz w:val="22"/>
          <w:szCs w:val="22"/>
          <w:u w:val="single"/>
          <w:lang w:val="de-DE"/>
        </w:rPr>
        <w:t>Adjuvantna terapija kod karcinoma dojke</w:t>
      </w:r>
    </w:p>
    <w:p w14:paraId="347D1C32" w14:textId="77777777" w:rsidR="00863BB0" w:rsidRPr="00863BB0" w:rsidRDefault="00863BB0" w:rsidP="00863BB0">
      <w:pPr>
        <w:autoSpaceDE w:val="0"/>
        <w:autoSpaceDN w:val="0"/>
        <w:adjustRightInd w:val="0"/>
        <w:rPr>
          <w:sz w:val="22"/>
          <w:szCs w:val="22"/>
          <w:lang w:val="de-DE"/>
        </w:rPr>
      </w:pPr>
      <w:r w:rsidRPr="00863BB0">
        <w:rPr>
          <w:sz w:val="22"/>
          <w:szCs w:val="22"/>
          <w:lang w:val="de-DE"/>
        </w:rPr>
        <w:t>Potrebno je razmotriti G-CSF kao primarnu profilaksu kod pacijentkinja koje su primale adjuvantnu terapiju docetakselom, doksorubicinom i ciklofosfamidom (TAC) u liječenju karcinoma dojke.</w:t>
      </w:r>
    </w:p>
    <w:p w14:paraId="3EAF8534" w14:textId="77777777" w:rsidR="00863BB0" w:rsidRPr="00C07CF9" w:rsidRDefault="00863BB0" w:rsidP="00863BB0">
      <w:pPr>
        <w:autoSpaceDE w:val="0"/>
        <w:autoSpaceDN w:val="0"/>
        <w:adjustRightInd w:val="0"/>
        <w:rPr>
          <w:sz w:val="22"/>
          <w:szCs w:val="22"/>
        </w:rPr>
      </w:pPr>
      <w:r w:rsidRPr="00863BB0">
        <w:rPr>
          <w:sz w:val="22"/>
          <w:szCs w:val="22"/>
          <w:lang w:val="de-DE"/>
        </w:rPr>
        <w:t xml:space="preserve">Pacijentkinjama koje su imale febrilnu neutropeniju i/ili neutropenijsku infekciju, dozu docetaksela treba smanjiti na 60 mg/m² u svim naknadnim ciklusima (pogledajte djelovdjelovedjelove 4.4 i 4.8). </w:t>
      </w:r>
      <w:r w:rsidRPr="00C07CF9">
        <w:rPr>
          <w:sz w:val="22"/>
          <w:szCs w:val="22"/>
        </w:rPr>
        <w:t>Pacijentima kod kojih se pojavi stomatitis stepena 3 ili 4 treba smanjiti dozu na 60 mg/m².</w:t>
      </w:r>
    </w:p>
    <w:p w14:paraId="6E95E9F7" w14:textId="77777777" w:rsidR="00863BB0" w:rsidRPr="00C07CF9" w:rsidRDefault="00863BB0" w:rsidP="00863BB0">
      <w:pPr>
        <w:autoSpaceDE w:val="0"/>
        <w:autoSpaceDN w:val="0"/>
        <w:adjustRightInd w:val="0"/>
        <w:rPr>
          <w:sz w:val="22"/>
          <w:szCs w:val="22"/>
        </w:rPr>
      </w:pPr>
    </w:p>
    <w:p w14:paraId="083D8CEA" w14:textId="77777777" w:rsidR="00863BB0" w:rsidRPr="00C07CF9" w:rsidRDefault="00863BB0" w:rsidP="00863BB0">
      <w:pPr>
        <w:autoSpaceDE w:val="0"/>
        <w:autoSpaceDN w:val="0"/>
        <w:adjustRightInd w:val="0"/>
        <w:rPr>
          <w:bCs/>
          <w:i/>
          <w:sz w:val="22"/>
          <w:szCs w:val="22"/>
          <w:u w:val="single"/>
        </w:rPr>
      </w:pPr>
      <w:r w:rsidRPr="00C07CF9">
        <w:rPr>
          <w:bCs/>
          <w:i/>
          <w:sz w:val="22"/>
          <w:szCs w:val="22"/>
          <w:u w:val="single"/>
        </w:rPr>
        <w:t>U kombinaciji sa cisplatinom</w:t>
      </w:r>
    </w:p>
    <w:p w14:paraId="3C539AF0" w14:textId="77777777" w:rsidR="00863BB0" w:rsidRPr="00C07CF9" w:rsidRDefault="00863BB0" w:rsidP="00863BB0">
      <w:pPr>
        <w:autoSpaceDE w:val="0"/>
        <w:autoSpaceDN w:val="0"/>
        <w:adjustRightInd w:val="0"/>
        <w:rPr>
          <w:i/>
          <w:iCs/>
          <w:sz w:val="22"/>
          <w:szCs w:val="22"/>
        </w:rPr>
      </w:pPr>
    </w:p>
    <w:p w14:paraId="6E6BD049" w14:textId="77777777" w:rsidR="00863BB0" w:rsidRPr="00C07CF9" w:rsidRDefault="00863BB0" w:rsidP="00863BB0">
      <w:pPr>
        <w:autoSpaceDE w:val="0"/>
        <w:autoSpaceDN w:val="0"/>
        <w:adjustRightInd w:val="0"/>
        <w:rPr>
          <w:sz w:val="22"/>
          <w:szCs w:val="22"/>
        </w:rPr>
      </w:pPr>
      <w:r w:rsidRPr="00C07CF9">
        <w:rPr>
          <w:sz w:val="22"/>
          <w:szCs w:val="22"/>
        </w:rPr>
        <w:t xml:space="preserve">Pacijentima koji su inicijalno primali docetaksel u dozi od 75 mg/m² u kombinaciji sa cisplatinom, kod kojih je u posljednjem ciklusu najniži broj trombocita bio &lt;25000 </w:t>
      </w:r>
      <w:r w:rsidRPr="00C07CF9">
        <w:rPr>
          <w:rFonts w:eastAsia="TimesNewRoman"/>
          <w:sz w:val="22"/>
          <w:szCs w:val="22"/>
        </w:rPr>
        <w:t>ć</w:t>
      </w:r>
      <w:r w:rsidRPr="00C07CF9">
        <w:rPr>
          <w:sz w:val="22"/>
          <w:szCs w:val="22"/>
        </w:rPr>
        <w:t>elija/mm³, ili pacijentima kod kojih se javi febrilna neutropenija ili pacijentima sa ozbiljnim manifestacijama ne-hematološke toksi</w:t>
      </w:r>
      <w:r w:rsidRPr="00C07CF9">
        <w:rPr>
          <w:rFonts w:eastAsia="TimesNewRoman"/>
          <w:sz w:val="22"/>
          <w:szCs w:val="22"/>
        </w:rPr>
        <w:t>č</w:t>
      </w:r>
      <w:r w:rsidRPr="00C07CF9">
        <w:rPr>
          <w:sz w:val="22"/>
          <w:szCs w:val="22"/>
        </w:rPr>
        <w:t>nosti, dozu docetaksela za naredne cikluse treba smanjiti na 65 mg/m². Za modifikovanje doziranja cisplatina pogledati odgovarajući sažetak karakteristika lijeka za cisplatin.</w:t>
      </w:r>
    </w:p>
    <w:p w14:paraId="39227E53" w14:textId="77777777" w:rsidR="00863BB0" w:rsidRPr="00C07CF9" w:rsidRDefault="00863BB0" w:rsidP="00863BB0">
      <w:pPr>
        <w:autoSpaceDE w:val="0"/>
        <w:autoSpaceDN w:val="0"/>
        <w:adjustRightInd w:val="0"/>
        <w:rPr>
          <w:b/>
          <w:bCs/>
          <w:sz w:val="22"/>
          <w:szCs w:val="22"/>
        </w:rPr>
      </w:pPr>
    </w:p>
    <w:p w14:paraId="7B550F17" w14:textId="77777777" w:rsidR="00863BB0" w:rsidRPr="00C07CF9" w:rsidRDefault="00863BB0" w:rsidP="00863BB0">
      <w:pPr>
        <w:autoSpaceDE w:val="0"/>
        <w:autoSpaceDN w:val="0"/>
        <w:adjustRightInd w:val="0"/>
        <w:rPr>
          <w:bCs/>
          <w:i/>
          <w:sz w:val="22"/>
          <w:szCs w:val="22"/>
          <w:u w:val="single"/>
        </w:rPr>
      </w:pPr>
      <w:r w:rsidRPr="00C07CF9">
        <w:rPr>
          <w:bCs/>
          <w:i/>
          <w:sz w:val="22"/>
          <w:szCs w:val="22"/>
          <w:u w:val="single"/>
        </w:rPr>
        <w:t>U kombinaciji sa kapecitabinom</w:t>
      </w:r>
    </w:p>
    <w:p w14:paraId="0930D680" w14:textId="77777777" w:rsidR="00863BB0" w:rsidRPr="00C07CF9" w:rsidRDefault="00863BB0" w:rsidP="00863BB0">
      <w:pPr>
        <w:autoSpaceDE w:val="0"/>
        <w:autoSpaceDN w:val="0"/>
        <w:adjustRightInd w:val="0"/>
        <w:rPr>
          <w:sz w:val="22"/>
          <w:szCs w:val="22"/>
        </w:rPr>
      </w:pPr>
    </w:p>
    <w:p w14:paraId="31A1AAC4" w14:textId="77777777" w:rsidR="00863BB0" w:rsidRPr="006768AC" w:rsidRDefault="00863BB0" w:rsidP="00863BB0">
      <w:pPr>
        <w:pStyle w:val="ListParagraph"/>
        <w:numPr>
          <w:ilvl w:val="0"/>
          <w:numId w:val="13"/>
        </w:numPr>
        <w:tabs>
          <w:tab w:val="clear" w:pos="284"/>
          <w:tab w:val="left" w:pos="391"/>
        </w:tabs>
        <w:autoSpaceDE w:val="0"/>
        <w:autoSpaceDN w:val="0"/>
        <w:adjustRightInd w:val="0"/>
        <w:ind w:left="326" w:hanging="326"/>
        <w:rPr>
          <w:rFonts w:ascii="Times New Roman" w:hAnsi="Times New Roman"/>
          <w:sz w:val="22"/>
          <w:szCs w:val="22"/>
        </w:rPr>
      </w:pPr>
      <w:r w:rsidRPr="006768AC">
        <w:rPr>
          <w:rFonts w:ascii="Times New Roman" w:hAnsi="Times New Roman"/>
          <w:sz w:val="22"/>
          <w:szCs w:val="22"/>
        </w:rPr>
        <w:t>Za prilago</w:t>
      </w:r>
      <w:r w:rsidRPr="006768AC">
        <w:rPr>
          <w:rFonts w:ascii="Times New Roman" w:eastAsia="TimesNewRoman" w:hAnsi="Times New Roman"/>
          <w:sz w:val="22"/>
          <w:szCs w:val="22"/>
        </w:rPr>
        <w:t>đ</w:t>
      </w:r>
      <w:r w:rsidRPr="006768AC">
        <w:rPr>
          <w:rFonts w:ascii="Times New Roman" w:hAnsi="Times New Roman"/>
          <w:sz w:val="22"/>
          <w:szCs w:val="22"/>
        </w:rPr>
        <w:t>avanje doze kapecitabina pogledati sažetak karakteristika lijeka za kapecitabin.</w:t>
      </w:r>
    </w:p>
    <w:p w14:paraId="2220F8DF" w14:textId="77777777" w:rsidR="00863BB0" w:rsidRPr="006768AC" w:rsidRDefault="00863BB0" w:rsidP="00863BB0">
      <w:pPr>
        <w:pStyle w:val="ListParagraph"/>
        <w:numPr>
          <w:ilvl w:val="0"/>
          <w:numId w:val="13"/>
        </w:numPr>
        <w:tabs>
          <w:tab w:val="clear" w:pos="284"/>
          <w:tab w:val="left" w:pos="391"/>
        </w:tabs>
        <w:autoSpaceDE w:val="0"/>
        <w:autoSpaceDN w:val="0"/>
        <w:adjustRightInd w:val="0"/>
        <w:ind w:left="326" w:hanging="326"/>
        <w:rPr>
          <w:rFonts w:ascii="Times New Roman" w:hAnsi="Times New Roman"/>
          <w:sz w:val="22"/>
          <w:szCs w:val="22"/>
        </w:rPr>
      </w:pPr>
      <w:r w:rsidRPr="006768AC">
        <w:rPr>
          <w:rFonts w:ascii="Times New Roman" w:hAnsi="Times New Roman"/>
          <w:sz w:val="22"/>
          <w:szCs w:val="22"/>
        </w:rPr>
        <w:t>Za pacijente kod kojih se prvi put jave toksi</w:t>
      </w:r>
      <w:r w:rsidRPr="006768AC">
        <w:rPr>
          <w:rFonts w:ascii="Times New Roman" w:eastAsia="TimesNewRoman" w:hAnsi="Times New Roman"/>
          <w:sz w:val="22"/>
          <w:szCs w:val="22"/>
        </w:rPr>
        <w:t>č</w:t>
      </w:r>
      <w:r w:rsidRPr="006768AC">
        <w:rPr>
          <w:rFonts w:ascii="Times New Roman" w:hAnsi="Times New Roman"/>
          <w:sz w:val="22"/>
          <w:szCs w:val="22"/>
        </w:rPr>
        <w:t>ni efekti 2. stepena, koji ostaju prisutni i u vrijeme primjene sljede</w:t>
      </w:r>
      <w:r w:rsidRPr="006768AC">
        <w:rPr>
          <w:rFonts w:ascii="Times New Roman" w:eastAsia="TimesNewRoman" w:hAnsi="Times New Roman"/>
          <w:sz w:val="22"/>
          <w:szCs w:val="22"/>
        </w:rPr>
        <w:t>će</w:t>
      </w:r>
      <w:r w:rsidRPr="006768AC">
        <w:rPr>
          <w:rFonts w:ascii="Times New Roman" w:hAnsi="Times New Roman"/>
          <w:sz w:val="22"/>
          <w:szCs w:val="22"/>
        </w:rPr>
        <w:t>g ciklusa terapije docetaksel/kapecitabin, primjenu terapije treba odložiti dok se pokazatelji toksi</w:t>
      </w:r>
      <w:r w:rsidRPr="006768AC">
        <w:rPr>
          <w:rFonts w:ascii="Times New Roman" w:eastAsia="TimesNewRoman" w:hAnsi="Times New Roman"/>
          <w:sz w:val="22"/>
          <w:szCs w:val="22"/>
        </w:rPr>
        <w:t>č</w:t>
      </w:r>
      <w:r w:rsidRPr="006768AC">
        <w:rPr>
          <w:rFonts w:ascii="Times New Roman" w:hAnsi="Times New Roman"/>
          <w:sz w:val="22"/>
          <w:szCs w:val="22"/>
        </w:rPr>
        <w:t>nosti ne povuku do stepena 0-1, i tada primijeniti terapiju sa punim dozama ljekova.</w:t>
      </w:r>
    </w:p>
    <w:p w14:paraId="65F84A6B" w14:textId="77777777" w:rsidR="00863BB0" w:rsidRPr="006768AC" w:rsidRDefault="00863BB0" w:rsidP="00863BB0">
      <w:pPr>
        <w:pStyle w:val="ListParagraph"/>
        <w:numPr>
          <w:ilvl w:val="0"/>
          <w:numId w:val="13"/>
        </w:numPr>
        <w:tabs>
          <w:tab w:val="clear" w:pos="284"/>
          <w:tab w:val="left" w:pos="391"/>
        </w:tabs>
        <w:autoSpaceDE w:val="0"/>
        <w:autoSpaceDN w:val="0"/>
        <w:adjustRightInd w:val="0"/>
        <w:ind w:left="326" w:hanging="326"/>
        <w:rPr>
          <w:rFonts w:ascii="Times New Roman" w:hAnsi="Times New Roman"/>
          <w:sz w:val="22"/>
          <w:szCs w:val="22"/>
        </w:rPr>
      </w:pPr>
      <w:r w:rsidRPr="006768AC">
        <w:rPr>
          <w:rFonts w:ascii="Times New Roman" w:hAnsi="Times New Roman"/>
          <w:sz w:val="22"/>
          <w:szCs w:val="22"/>
        </w:rPr>
        <w:t>Kod pacijenata kod kojih se drugi put javi toksi</w:t>
      </w:r>
      <w:r w:rsidRPr="006768AC">
        <w:rPr>
          <w:rFonts w:ascii="Times New Roman" w:eastAsia="TimesNewRoman" w:hAnsi="Times New Roman"/>
          <w:sz w:val="22"/>
          <w:szCs w:val="22"/>
        </w:rPr>
        <w:t>č</w:t>
      </w:r>
      <w:r w:rsidRPr="006768AC">
        <w:rPr>
          <w:rFonts w:ascii="Times New Roman" w:hAnsi="Times New Roman"/>
          <w:sz w:val="22"/>
          <w:szCs w:val="22"/>
        </w:rPr>
        <w:t>nost 2. stepena, ili se prvi put javi toksi</w:t>
      </w:r>
      <w:r w:rsidRPr="006768AC">
        <w:rPr>
          <w:rFonts w:ascii="Times New Roman" w:eastAsia="TimesNewRoman" w:hAnsi="Times New Roman"/>
          <w:sz w:val="22"/>
          <w:szCs w:val="22"/>
        </w:rPr>
        <w:t>č</w:t>
      </w:r>
      <w:r w:rsidRPr="006768AC">
        <w:rPr>
          <w:rFonts w:ascii="Times New Roman" w:hAnsi="Times New Roman"/>
          <w:sz w:val="22"/>
          <w:szCs w:val="22"/>
        </w:rPr>
        <w:t>nost 3. stepena, u bilo kom periodu tokom terapijskog ciklusa, terapiju treba odložiti do povla</w:t>
      </w:r>
      <w:r w:rsidRPr="006768AC">
        <w:rPr>
          <w:rFonts w:ascii="Times New Roman" w:eastAsia="TimesNewRoman" w:hAnsi="Times New Roman"/>
          <w:sz w:val="22"/>
          <w:szCs w:val="22"/>
        </w:rPr>
        <w:t>č</w:t>
      </w:r>
      <w:r w:rsidRPr="006768AC">
        <w:rPr>
          <w:rFonts w:ascii="Times New Roman" w:hAnsi="Times New Roman"/>
          <w:sz w:val="22"/>
          <w:szCs w:val="22"/>
        </w:rPr>
        <w:t>enja pokazatelja do stepena 0-1, a potom nastaviti terapiju dozom od 55 mg/m² docetaksela;</w:t>
      </w:r>
    </w:p>
    <w:p w14:paraId="014BC8AF" w14:textId="77777777" w:rsidR="00863BB0" w:rsidRPr="006768AC" w:rsidRDefault="00863BB0" w:rsidP="00863BB0">
      <w:pPr>
        <w:pStyle w:val="ListParagraph"/>
        <w:numPr>
          <w:ilvl w:val="0"/>
          <w:numId w:val="13"/>
        </w:numPr>
        <w:tabs>
          <w:tab w:val="clear" w:pos="284"/>
          <w:tab w:val="left" w:pos="391"/>
        </w:tabs>
        <w:autoSpaceDE w:val="0"/>
        <w:autoSpaceDN w:val="0"/>
        <w:adjustRightInd w:val="0"/>
        <w:ind w:left="326" w:hanging="326"/>
        <w:rPr>
          <w:rFonts w:ascii="Times New Roman" w:hAnsi="Times New Roman"/>
          <w:sz w:val="22"/>
          <w:szCs w:val="22"/>
        </w:rPr>
      </w:pPr>
      <w:r w:rsidRPr="006768AC">
        <w:rPr>
          <w:rFonts w:ascii="Times New Roman" w:hAnsi="Times New Roman"/>
          <w:sz w:val="22"/>
          <w:szCs w:val="22"/>
        </w:rPr>
        <w:t>U slu</w:t>
      </w:r>
      <w:r w:rsidRPr="006768AC">
        <w:rPr>
          <w:rFonts w:ascii="Times New Roman" w:eastAsia="TimesNewRoman" w:hAnsi="Times New Roman"/>
          <w:sz w:val="22"/>
          <w:szCs w:val="22"/>
        </w:rPr>
        <w:t>č</w:t>
      </w:r>
      <w:r w:rsidRPr="006768AC">
        <w:rPr>
          <w:rFonts w:ascii="Times New Roman" w:hAnsi="Times New Roman"/>
          <w:sz w:val="22"/>
          <w:szCs w:val="22"/>
        </w:rPr>
        <w:t>aju svih narednih pojava toksi</w:t>
      </w:r>
      <w:r w:rsidRPr="006768AC">
        <w:rPr>
          <w:rFonts w:ascii="Times New Roman" w:eastAsia="TimesNewRoman" w:hAnsi="Times New Roman"/>
          <w:sz w:val="22"/>
          <w:szCs w:val="22"/>
        </w:rPr>
        <w:t>č</w:t>
      </w:r>
      <w:r w:rsidRPr="006768AC">
        <w:rPr>
          <w:rFonts w:ascii="Times New Roman" w:hAnsi="Times New Roman"/>
          <w:sz w:val="22"/>
          <w:szCs w:val="22"/>
        </w:rPr>
        <w:t>nosti ili pojave toksi</w:t>
      </w:r>
      <w:r w:rsidRPr="006768AC">
        <w:rPr>
          <w:rFonts w:ascii="Times New Roman" w:eastAsia="TimesNewRoman" w:hAnsi="Times New Roman"/>
          <w:sz w:val="22"/>
          <w:szCs w:val="22"/>
        </w:rPr>
        <w:t>č</w:t>
      </w:r>
      <w:r w:rsidRPr="006768AC">
        <w:rPr>
          <w:rFonts w:ascii="Times New Roman" w:hAnsi="Times New Roman"/>
          <w:sz w:val="22"/>
          <w:szCs w:val="22"/>
        </w:rPr>
        <w:t>nosti 4. stepena, primjena docetaksela se mora</w:t>
      </w:r>
      <w:r>
        <w:rPr>
          <w:rFonts w:ascii="Times New Roman" w:hAnsi="Times New Roman"/>
          <w:sz w:val="22"/>
          <w:szCs w:val="22"/>
        </w:rPr>
        <w:t xml:space="preserve"> </w:t>
      </w:r>
      <w:r w:rsidRPr="006768AC">
        <w:rPr>
          <w:rFonts w:ascii="Times New Roman" w:hAnsi="Times New Roman"/>
          <w:sz w:val="22"/>
          <w:szCs w:val="22"/>
        </w:rPr>
        <w:t>prekinuti.</w:t>
      </w:r>
    </w:p>
    <w:p w14:paraId="535EA4EF" w14:textId="77777777" w:rsidR="00863BB0" w:rsidRPr="00863BB0" w:rsidRDefault="00863BB0" w:rsidP="00863BB0">
      <w:pPr>
        <w:autoSpaceDE w:val="0"/>
        <w:autoSpaceDN w:val="0"/>
        <w:adjustRightInd w:val="0"/>
        <w:rPr>
          <w:sz w:val="22"/>
          <w:szCs w:val="22"/>
          <w:lang w:val="sr-Latn-ME"/>
        </w:rPr>
      </w:pPr>
    </w:p>
    <w:p w14:paraId="70EA49FA" w14:textId="77777777" w:rsidR="00863BB0" w:rsidRPr="00863BB0" w:rsidRDefault="00863BB0" w:rsidP="00863BB0">
      <w:pPr>
        <w:autoSpaceDE w:val="0"/>
        <w:autoSpaceDN w:val="0"/>
        <w:adjustRightInd w:val="0"/>
        <w:rPr>
          <w:sz w:val="22"/>
          <w:szCs w:val="22"/>
          <w:lang w:val="sr-Latn-ME"/>
        </w:rPr>
      </w:pPr>
      <w:r w:rsidRPr="00C07CF9">
        <w:rPr>
          <w:sz w:val="22"/>
          <w:szCs w:val="22"/>
        </w:rPr>
        <w:t>Za</w:t>
      </w:r>
      <w:r w:rsidRPr="00863BB0">
        <w:rPr>
          <w:sz w:val="22"/>
          <w:szCs w:val="22"/>
          <w:lang w:val="sr-Latn-ME"/>
        </w:rPr>
        <w:t xml:space="preserve"> </w:t>
      </w:r>
      <w:r w:rsidRPr="00C07CF9">
        <w:rPr>
          <w:sz w:val="22"/>
          <w:szCs w:val="22"/>
        </w:rPr>
        <w:t>prilago</w:t>
      </w:r>
      <w:r w:rsidRPr="00863BB0">
        <w:rPr>
          <w:rFonts w:eastAsia="TimesNewRoman"/>
          <w:sz w:val="22"/>
          <w:szCs w:val="22"/>
          <w:lang w:val="sr-Latn-ME"/>
        </w:rPr>
        <w:t>đ</w:t>
      </w:r>
      <w:r w:rsidRPr="00C07CF9">
        <w:rPr>
          <w:sz w:val="22"/>
          <w:szCs w:val="22"/>
        </w:rPr>
        <w:t>avanje</w:t>
      </w:r>
      <w:r w:rsidRPr="00863BB0">
        <w:rPr>
          <w:sz w:val="22"/>
          <w:szCs w:val="22"/>
          <w:lang w:val="sr-Latn-ME"/>
        </w:rPr>
        <w:t xml:space="preserve"> </w:t>
      </w:r>
      <w:r w:rsidRPr="00C07CF9">
        <w:rPr>
          <w:sz w:val="22"/>
          <w:szCs w:val="22"/>
        </w:rPr>
        <w:t>doze</w:t>
      </w:r>
      <w:r w:rsidRPr="00863BB0">
        <w:rPr>
          <w:sz w:val="22"/>
          <w:szCs w:val="22"/>
          <w:lang w:val="sr-Latn-ME"/>
        </w:rPr>
        <w:t xml:space="preserve"> </w:t>
      </w:r>
      <w:r w:rsidRPr="00C07CF9">
        <w:rPr>
          <w:sz w:val="22"/>
          <w:szCs w:val="22"/>
        </w:rPr>
        <w:t>trastuzumaba</w:t>
      </w:r>
      <w:r w:rsidRPr="00863BB0">
        <w:rPr>
          <w:sz w:val="22"/>
          <w:szCs w:val="22"/>
          <w:lang w:val="sr-Latn-ME"/>
        </w:rPr>
        <w:t xml:space="preserve"> </w:t>
      </w:r>
      <w:r w:rsidRPr="00C07CF9">
        <w:rPr>
          <w:sz w:val="22"/>
          <w:szCs w:val="22"/>
        </w:rPr>
        <w:t>pogledati</w:t>
      </w:r>
      <w:r w:rsidRPr="00863BB0">
        <w:rPr>
          <w:sz w:val="22"/>
          <w:szCs w:val="22"/>
          <w:lang w:val="sr-Latn-ME"/>
        </w:rPr>
        <w:t xml:space="preserve"> </w:t>
      </w:r>
      <w:r w:rsidRPr="00C07CF9">
        <w:rPr>
          <w:sz w:val="22"/>
          <w:szCs w:val="22"/>
        </w:rPr>
        <w:t>sa</w:t>
      </w:r>
      <w:r w:rsidRPr="00863BB0">
        <w:rPr>
          <w:sz w:val="22"/>
          <w:szCs w:val="22"/>
          <w:lang w:val="sr-Latn-ME"/>
        </w:rPr>
        <w:t>ž</w:t>
      </w:r>
      <w:r w:rsidRPr="00C07CF9">
        <w:rPr>
          <w:sz w:val="22"/>
          <w:szCs w:val="22"/>
        </w:rPr>
        <w:t>etak</w:t>
      </w:r>
      <w:r w:rsidRPr="00863BB0">
        <w:rPr>
          <w:sz w:val="22"/>
          <w:szCs w:val="22"/>
          <w:lang w:val="sr-Latn-ME"/>
        </w:rPr>
        <w:t xml:space="preserve"> </w:t>
      </w:r>
      <w:r w:rsidRPr="00C07CF9">
        <w:rPr>
          <w:sz w:val="22"/>
          <w:szCs w:val="22"/>
        </w:rPr>
        <w:t>karakteristika</w:t>
      </w:r>
      <w:r w:rsidRPr="00863BB0">
        <w:rPr>
          <w:sz w:val="22"/>
          <w:szCs w:val="22"/>
          <w:lang w:val="sr-Latn-ME"/>
        </w:rPr>
        <w:t xml:space="preserve"> </w:t>
      </w:r>
      <w:r w:rsidRPr="00C07CF9">
        <w:rPr>
          <w:sz w:val="22"/>
          <w:szCs w:val="22"/>
        </w:rPr>
        <w:t>lijeka</w:t>
      </w:r>
      <w:r w:rsidRPr="00863BB0">
        <w:rPr>
          <w:sz w:val="22"/>
          <w:szCs w:val="22"/>
          <w:lang w:val="sr-Latn-ME"/>
        </w:rPr>
        <w:t xml:space="preserve"> </w:t>
      </w:r>
      <w:r w:rsidRPr="00C07CF9">
        <w:rPr>
          <w:sz w:val="22"/>
          <w:szCs w:val="22"/>
        </w:rPr>
        <w:t>za</w:t>
      </w:r>
      <w:r w:rsidRPr="00863BB0">
        <w:rPr>
          <w:sz w:val="22"/>
          <w:szCs w:val="22"/>
          <w:lang w:val="sr-Latn-ME"/>
        </w:rPr>
        <w:t xml:space="preserve"> </w:t>
      </w:r>
      <w:r w:rsidRPr="00C07CF9">
        <w:rPr>
          <w:sz w:val="22"/>
          <w:szCs w:val="22"/>
        </w:rPr>
        <w:t>trastuzumab</w:t>
      </w:r>
      <w:r w:rsidRPr="00863BB0">
        <w:rPr>
          <w:sz w:val="22"/>
          <w:szCs w:val="22"/>
          <w:lang w:val="sr-Latn-ME"/>
        </w:rPr>
        <w:t>.</w:t>
      </w:r>
    </w:p>
    <w:p w14:paraId="6724E95D" w14:textId="77777777" w:rsidR="00863BB0" w:rsidRPr="00863BB0" w:rsidRDefault="00863BB0" w:rsidP="00863BB0">
      <w:pPr>
        <w:autoSpaceDE w:val="0"/>
        <w:autoSpaceDN w:val="0"/>
        <w:adjustRightInd w:val="0"/>
        <w:rPr>
          <w:sz w:val="22"/>
          <w:szCs w:val="22"/>
          <w:lang w:val="sr-Latn-ME"/>
        </w:rPr>
      </w:pPr>
    </w:p>
    <w:p w14:paraId="0E198435" w14:textId="77777777" w:rsidR="00863BB0" w:rsidRPr="00C07CF9" w:rsidRDefault="00863BB0" w:rsidP="00863BB0">
      <w:pPr>
        <w:autoSpaceDE w:val="0"/>
        <w:autoSpaceDN w:val="0"/>
        <w:adjustRightInd w:val="0"/>
        <w:rPr>
          <w:bCs/>
          <w:i/>
          <w:sz w:val="22"/>
          <w:szCs w:val="22"/>
          <w:u w:val="single"/>
        </w:rPr>
      </w:pPr>
      <w:r w:rsidRPr="00C07CF9">
        <w:rPr>
          <w:bCs/>
          <w:i/>
          <w:sz w:val="22"/>
          <w:szCs w:val="22"/>
          <w:u w:val="single"/>
        </w:rPr>
        <w:t>U kombinaciji sa cisplatinom i 5-fluorouracilom</w:t>
      </w:r>
    </w:p>
    <w:p w14:paraId="03F19C8E" w14:textId="77777777" w:rsidR="00863BB0" w:rsidRPr="00C07CF9" w:rsidRDefault="00863BB0" w:rsidP="00863BB0">
      <w:pPr>
        <w:autoSpaceDE w:val="0"/>
        <w:autoSpaceDN w:val="0"/>
        <w:adjustRightInd w:val="0"/>
        <w:rPr>
          <w:i/>
          <w:iCs/>
          <w:sz w:val="22"/>
          <w:szCs w:val="22"/>
        </w:rPr>
      </w:pPr>
    </w:p>
    <w:p w14:paraId="670FA902" w14:textId="4162E5AD" w:rsidR="00863BB0" w:rsidRPr="00C07CF9" w:rsidRDefault="00863BB0" w:rsidP="00863BB0">
      <w:pPr>
        <w:autoSpaceDE w:val="0"/>
        <w:autoSpaceDN w:val="0"/>
        <w:adjustRightInd w:val="0"/>
        <w:rPr>
          <w:sz w:val="22"/>
          <w:szCs w:val="22"/>
        </w:rPr>
      </w:pPr>
      <w:r w:rsidRPr="00C07CF9">
        <w:rPr>
          <w:sz w:val="22"/>
          <w:szCs w:val="22"/>
        </w:rPr>
        <w:t>Ukoliko se i pored primjene G-CSF javi epizoda febrilne neutropenije, dugotrajna neutropenija ili neutropenijska infekcija, dozu docetaksela treba smanjiti sa 75 na 60 mg/m², Ako se naknadno jave epizode komplikovane neutropenije, dozu docetaksela treba smanjiti sa 60 na 45 mg/m². U slu</w:t>
      </w:r>
      <w:r w:rsidRPr="00C07CF9">
        <w:rPr>
          <w:rFonts w:eastAsia="TimesNewRoman"/>
          <w:sz w:val="22"/>
          <w:szCs w:val="22"/>
        </w:rPr>
        <w:t>č</w:t>
      </w:r>
      <w:r w:rsidRPr="00C07CF9">
        <w:rPr>
          <w:sz w:val="22"/>
          <w:szCs w:val="22"/>
        </w:rPr>
        <w:t>aju trombocitopenije 4. stepena, dozu docetaksela treba smanjiti sa 75 na 60 mg/m². Pacijenti ne smiju primati naredne cikluse docetaksela, sve dok broj neutrofila ne dostigne nivo &gt;</w:t>
      </w:r>
      <w:r>
        <w:rPr>
          <w:sz w:val="22"/>
          <w:szCs w:val="22"/>
        </w:rPr>
        <w:t xml:space="preserve"> </w:t>
      </w:r>
      <w:r w:rsidRPr="00C07CF9">
        <w:rPr>
          <w:sz w:val="22"/>
          <w:szCs w:val="22"/>
        </w:rPr>
        <w:t xml:space="preserve">1500 </w:t>
      </w:r>
      <w:r w:rsidRPr="00C07CF9">
        <w:rPr>
          <w:rFonts w:eastAsia="TimesNewRoman"/>
          <w:sz w:val="22"/>
          <w:szCs w:val="22"/>
        </w:rPr>
        <w:t>ć</w:t>
      </w:r>
      <w:r w:rsidRPr="00C07CF9">
        <w:rPr>
          <w:sz w:val="22"/>
          <w:szCs w:val="22"/>
        </w:rPr>
        <w:t>elija/mm³, a broj trombocita ne bude &gt;</w:t>
      </w:r>
      <w:r>
        <w:rPr>
          <w:sz w:val="22"/>
          <w:szCs w:val="22"/>
        </w:rPr>
        <w:t xml:space="preserve"> </w:t>
      </w:r>
      <w:r w:rsidRPr="00C07CF9">
        <w:rPr>
          <w:sz w:val="22"/>
          <w:szCs w:val="22"/>
        </w:rPr>
        <w:t xml:space="preserve">100000 </w:t>
      </w:r>
      <w:r w:rsidRPr="00C07CF9">
        <w:rPr>
          <w:rFonts w:eastAsia="TimesNewRoman"/>
          <w:sz w:val="22"/>
          <w:szCs w:val="22"/>
        </w:rPr>
        <w:t>ć</w:t>
      </w:r>
      <w:r w:rsidRPr="00C07CF9">
        <w:rPr>
          <w:sz w:val="22"/>
          <w:szCs w:val="22"/>
        </w:rPr>
        <w:t>elija/mm³. Ukoliko se navedeni toksi</w:t>
      </w:r>
      <w:r w:rsidRPr="00C07CF9">
        <w:rPr>
          <w:rFonts w:eastAsia="TimesNewRoman"/>
          <w:sz w:val="22"/>
          <w:szCs w:val="22"/>
        </w:rPr>
        <w:t>č</w:t>
      </w:r>
      <w:r w:rsidRPr="00C07CF9">
        <w:rPr>
          <w:sz w:val="22"/>
          <w:szCs w:val="22"/>
        </w:rPr>
        <w:t xml:space="preserve">ni efekti ne povuku, terapiju treba prekinuti (vidjeti </w:t>
      </w:r>
      <w:r w:rsidR="006A399E">
        <w:rPr>
          <w:sz w:val="22"/>
          <w:szCs w:val="22"/>
        </w:rPr>
        <w:t>dio</w:t>
      </w:r>
      <w:r w:rsidRPr="00C07CF9">
        <w:rPr>
          <w:sz w:val="22"/>
          <w:szCs w:val="22"/>
        </w:rPr>
        <w:t xml:space="preserve"> 4.4).</w:t>
      </w:r>
    </w:p>
    <w:p w14:paraId="5ED39F1F" w14:textId="77777777" w:rsidR="00863BB0" w:rsidRPr="00C07CF9" w:rsidRDefault="00863BB0" w:rsidP="00863BB0">
      <w:pPr>
        <w:autoSpaceDE w:val="0"/>
        <w:autoSpaceDN w:val="0"/>
        <w:adjustRightInd w:val="0"/>
        <w:rPr>
          <w:sz w:val="22"/>
          <w:szCs w:val="22"/>
        </w:rPr>
      </w:pPr>
    </w:p>
    <w:p w14:paraId="5BF0242F" w14:textId="4FC1A1D6" w:rsidR="00863BB0" w:rsidRPr="00C07CF9" w:rsidRDefault="00863BB0" w:rsidP="00863BB0">
      <w:pPr>
        <w:autoSpaceDE w:val="0"/>
        <w:autoSpaceDN w:val="0"/>
        <w:adjustRightInd w:val="0"/>
        <w:rPr>
          <w:sz w:val="22"/>
          <w:szCs w:val="22"/>
        </w:rPr>
      </w:pPr>
      <w:r w:rsidRPr="00C07CF9">
        <w:rPr>
          <w:sz w:val="22"/>
          <w:szCs w:val="22"/>
        </w:rPr>
        <w:t>Preporuke za modifikovanje doze u slu</w:t>
      </w:r>
      <w:r w:rsidRPr="00C07CF9">
        <w:rPr>
          <w:rFonts w:eastAsia="TimesNewRoman"/>
          <w:sz w:val="22"/>
          <w:szCs w:val="22"/>
        </w:rPr>
        <w:t>č</w:t>
      </w:r>
      <w:r w:rsidRPr="00C07CF9">
        <w:rPr>
          <w:sz w:val="22"/>
          <w:szCs w:val="22"/>
        </w:rPr>
        <w:t>aju toksi</w:t>
      </w:r>
      <w:r w:rsidRPr="00C07CF9">
        <w:rPr>
          <w:rFonts w:eastAsia="TimesNewRoman"/>
          <w:sz w:val="22"/>
          <w:szCs w:val="22"/>
        </w:rPr>
        <w:t>č</w:t>
      </w:r>
      <w:r w:rsidRPr="00C07CF9">
        <w:rPr>
          <w:sz w:val="22"/>
          <w:szCs w:val="22"/>
        </w:rPr>
        <w:t>nosti kod pacijenata koji su na terapiji docetakselom u</w:t>
      </w:r>
      <w:r>
        <w:rPr>
          <w:sz w:val="22"/>
          <w:szCs w:val="22"/>
        </w:rPr>
        <w:t xml:space="preserve"> </w:t>
      </w:r>
      <w:r w:rsidRPr="00C07CF9">
        <w:rPr>
          <w:sz w:val="22"/>
          <w:szCs w:val="22"/>
        </w:rPr>
        <w:t>kombinaciji sa cisplatinom i 5-fluorouracilom (5-FU):</w:t>
      </w:r>
    </w:p>
    <w:p w14:paraId="6F055D9B" w14:textId="112A9A8C" w:rsidR="00863BB0" w:rsidRDefault="00863BB0" w:rsidP="00480FB1">
      <w:pPr>
        <w:tabs>
          <w:tab w:val="left" w:pos="540"/>
          <w:tab w:val="left" w:pos="569"/>
        </w:tabs>
        <w:rPr>
          <w:bCs/>
          <w:sz w:val="22"/>
          <w:szCs w:val="22"/>
          <w:u w:val="single"/>
        </w:rPr>
      </w:pPr>
    </w:p>
    <w:p w14:paraId="4DD56C4E" w14:textId="77777777" w:rsidR="00863BB0" w:rsidRPr="00C07CF9" w:rsidRDefault="00863BB0" w:rsidP="00863BB0">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6497"/>
      </w:tblGrid>
      <w:tr w:rsidR="00863BB0" w:rsidRPr="00B02007" w14:paraId="25BC9D3F" w14:textId="77777777" w:rsidTr="002C66FC">
        <w:trPr>
          <w:trHeight w:val="277"/>
        </w:trPr>
        <w:tc>
          <w:tcPr>
            <w:tcW w:w="2335" w:type="dxa"/>
          </w:tcPr>
          <w:p w14:paraId="0FA8D012" w14:textId="77777777" w:rsidR="00863BB0" w:rsidRPr="00C07CF9" w:rsidRDefault="00863BB0" w:rsidP="002C66FC">
            <w:pPr>
              <w:autoSpaceDE w:val="0"/>
              <w:autoSpaceDN w:val="0"/>
              <w:adjustRightInd w:val="0"/>
              <w:rPr>
                <w:b/>
                <w:bCs/>
                <w:sz w:val="22"/>
                <w:szCs w:val="22"/>
              </w:rPr>
            </w:pPr>
            <w:r w:rsidRPr="00C07CF9">
              <w:rPr>
                <w:b/>
                <w:bCs/>
                <w:sz w:val="22"/>
                <w:szCs w:val="22"/>
              </w:rPr>
              <w:t>Toksi</w:t>
            </w:r>
            <w:r w:rsidRPr="00C07CF9">
              <w:rPr>
                <w:rFonts w:eastAsia="TimesNewRoman"/>
                <w:b/>
                <w:bCs/>
                <w:sz w:val="22"/>
                <w:szCs w:val="22"/>
              </w:rPr>
              <w:t>č</w:t>
            </w:r>
            <w:r w:rsidRPr="00C07CF9">
              <w:rPr>
                <w:b/>
                <w:bCs/>
                <w:sz w:val="22"/>
                <w:szCs w:val="22"/>
              </w:rPr>
              <w:t>nost</w:t>
            </w:r>
          </w:p>
        </w:tc>
        <w:tc>
          <w:tcPr>
            <w:tcW w:w="6497" w:type="dxa"/>
          </w:tcPr>
          <w:p w14:paraId="5A42ECF2" w14:textId="77777777" w:rsidR="00863BB0" w:rsidRPr="00C07CF9" w:rsidRDefault="00863BB0" w:rsidP="002C66FC">
            <w:pPr>
              <w:autoSpaceDE w:val="0"/>
              <w:autoSpaceDN w:val="0"/>
              <w:adjustRightInd w:val="0"/>
              <w:rPr>
                <w:b/>
                <w:bCs/>
                <w:sz w:val="22"/>
                <w:szCs w:val="22"/>
              </w:rPr>
            </w:pPr>
            <w:r w:rsidRPr="00C07CF9">
              <w:rPr>
                <w:b/>
                <w:bCs/>
                <w:sz w:val="22"/>
                <w:szCs w:val="22"/>
              </w:rPr>
              <w:t>Prilago</w:t>
            </w:r>
            <w:r w:rsidRPr="00C07CF9">
              <w:rPr>
                <w:rFonts w:eastAsia="TimesNewRoman"/>
                <w:b/>
                <w:bCs/>
                <w:sz w:val="22"/>
                <w:szCs w:val="22"/>
              </w:rPr>
              <w:t>đ</w:t>
            </w:r>
            <w:r w:rsidRPr="00C07CF9">
              <w:rPr>
                <w:b/>
                <w:bCs/>
                <w:sz w:val="22"/>
                <w:szCs w:val="22"/>
              </w:rPr>
              <w:t>avanje doze</w:t>
            </w:r>
          </w:p>
          <w:p w14:paraId="5488F8C6" w14:textId="77777777" w:rsidR="00863BB0" w:rsidRPr="00C07CF9" w:rsidRDefault="00863BB0" w:rsidP="002C66FC">
            <w:pPr>
              <w:autoSpaceDE w:val="0"/>
              <w:autoSpaceDN w:val="0"/>
              <w:adjustRightInd w:val="0"/>
              <w:rPr>
                <w:b/>
                <w:bCs/>
                <w:sz w:val="22"/>
                <w:szCs w:val="22"/>
              </w:rPr>
            </w:pPr>
          </w:p>
        </w:tc>
      </w:tr>
      <w:tr w:rsidR="00863BB0" w:rsidRPr="00BB3077" w14:paraId="16F0DC0B" w14:textId="77777777" w:rsidTr="002C66FC">
        <w:trPr>
          <w:trHeight w:val="294"/>
        </w:trPr>
        <w:tc>
          <w:tcPr>
            <w:tcW w:w="2335" w:type="dxa"/>
          </w:tcPr>
          <w:p w14:paraId="4FE94125" w14:textId="77777777" w:rsidR="00863BB0" w:rsidRPr="009B663C" w:rsidRDefault="00863BB0" w:rsidP="002C66FC">
            <w:pPr>
              <w:autoSpaceDE w:val="0"/>
              <w:autoSpaceDN w:val="0"/>
              <w:adjustRightInd w:val="0"/>
              <w:rPr>
                <w:sz w:val="22"/>
                <w:szCs w:val="22"/>
              </w:rPr>
            </w:pPr>
            <w:r w:rsidRPr="009B663C">
              <w:rPr>
                <w:sz w:val="22"/>
                <w:szCs w:val="22"/>
              </w:rPr>
              <w:t>Dijareja 3. stepena</w:t>
            </w:r>
          </w:p>
        </w:tc>
        <w:tc>
          <w:tcPr>
            <w:tcW w:w="6497" w:type="dxa"/>
          </w:tcPr>
          <w:p w14:paraId="4274F851" w14:textId="77777777" w:rsidR="00863BB0" w:rsidRPr="00863BB0" w:rsidRDefault="00863BB0" w:rsidP="002C66FC">
            <w:pPr>
              <w:autoSpaceDE w:val="0"/>
              <w:autoSpaceDN w:val="0"/>
              <w:adjustRightInd w:val="0"/>
              <w:rPr>
                <w:sz w:val="22"/>
                <w:szCs w:val="22"/>
                <w:lang w:val="de-DE"/>
              </w:rPr>
            </w:pPr>
            <w:r w:rsidRPr="00863BB0">
              <w:rPr>
                <w:sz w:val="22"/>
                <w:szCs w:val="22"/>
                <w:lang w:val="de-DE"/>
              </w:rPr>
              <w:t>Prva epizoda: smanjiti dozu 5-FU za 20%.</w:t>
            </w:r>
          </w:p>
          <w:p w14:paraId="1C670708" w14:textId="77777777" w:rsidR="00863BB0" w:rsidRPr="00863BB0" w:rsidRDefault="00863BB0" w:rsidP="002C66FC">
            <w:pPr>
              <w:autoSpaceDE w:val="0"/>
              <w:autoSpaceDN w:val="0"/>
              <w:adjustRightInd w:val="0"/>
              <w:rPr>
                <w:sz w:val="22"/>
                <w:szCs w:val="22"/>
                <w:lang w:val="de-DE"/>
              </w:rPr>
            </w:pPr>
          </w:p>
          <w:p w14:paraId="37857BF3" w14:textId="77777777" w:rsidR="00863BB0" w:rsidRPr="00863BB0" w:rsidRDefault="00863BB0" w:rsidP="002C66FC">
            <w:pPr>
              <w:autoSpaceDE w:val="0"/>
              <w:autoSpaceDN w:val="0"/>
              <w:adjustRightInd w:val="0"/>
              <w:rPr>
                <w:sz w:val="22"/>
                <w:szCs w:val="22"/>
                <w:lang w:val="de-DE"/>
              </w:rPr>
            </w:pPr>
            <w:r w:rsidRPr="00863BB0">
              <w:rPr>
                <w:sz w:val="22"/>
                <w:szCs w:val="22"/>
                <w:lang w:val="de-DE"/>
              </w:rPr>
              <w:t>Druga epizoda: zatim smanjiti dozu docetaksela za 20%.</w:t>
            </w:r>
          </w:p>
        </w:tc>
      </w:tr>
      <w:tr w:rsidR="00863BB0" w:rsidRPr="00B02007" w14:paraId="4E529098" w14:textId="77777777" w:rsidTr="002C66FC">
        <w:trPr>
          <w:trHeight w:val="277"/>
        </w:trPr>
        <w:tc>
          <w:tcPr>
            <w:tcW w:w="2335" w:type="dxa"/>
          </w:tcPr>
          <w:p w14:paraId="31363F67" w14:textId="77777777" w:rsidR="00863BB0" w:rsidRPr="009B663C" w:rsidRDefault="00863BB0" w:rsidP="002C66FC">
            <w:pPr>
              <w:autoSpaceDE w:val="0"/>
              <w:autoSpaceDN w:val="0"/>
              <w:adjustRightInd w:val="0"/>
              <w:rPr>
                <w:sz w:val="22"/>
                <w:szCs w:val="22"/>
              </w:rPr>
            </w:pPr>
            <w:r w:rsidRPr="009B663C">
              <w:rPr>
                <w:sz w:val="22"/>
                <w:szCs w:val="22"/>
              </w:rPr>
              <w:t>Dijareja 4. stepena</w:t>
            </w:r>
          </w:p>
        </w:tc>
        <w:tc>
          <w:tcPr>
            <w:tcW w:w="6497" w:type="dxa"/>
          </w:tcPr>
          <w:p w14:paraId="092B2F1C" w14:textId="77777777" w:rsidR="00863BB0" w:rsidRPr="009B663C" w:rsidRDefault="00863BB0" w:rsidP="002C66FC">
            <w:pPr>
              <w:autoSpaceDE w:val="0"/>
              <w:autoSpaceDN w:val="0"/>
              <w:adjustRightInd w:val="0"/>
              <w:rPr>
                <w:sz w:val="22"/>
                <w:szCs w:val="22"/>
              </w:rPr>
            </w:pPr>
            <w:r w:rsidRPr="009B663C">
              <w:rPr>
                <w:sz w:val="22"/>
                <w:szCs w:val="22"/>
              </w:rPr>
              <w:t>Prva epizoda: smanjiti doze docetaksela i 5-FU za 20%.</w:t>
            </w:r>
          </w:p>
          <w:p w14:paraId="58BAECBC" w14:textId="77777777" w:rsidR="00863BB0" w:rsidRPr="009B663C" w:rsidRDefault="00863BB0" w:rsidP="002C66FC">
            <w:pPr>
              <w:autoSpaceDE w:val="0"/>
              <w:autoSpaceDN w:val="0"/>
              <w:adjustRightInd w:val="0"/>
              <w:rPr>
                <w:sz w:val="22"/>
                <w:szCs w:val="22"/>
              </w:rPr>
            </w:pPr>
          </w:p>
          <w:p w14:paraId="1618BE8B" w14:textId="77777777" w:rsidR="00863BB0" w:rsidRPr="009B663C" w:rsidRDefault="00863BB0" w:rsidP="002C66FC">
            <w:pPr>
              <w:autoSpaceDE w:val="0"/>
              <w:autoSpaceDN w:val="0"/>
              <w:adjustRightInd w:val="0"/>
              <w:rPr>
                <w:sz w:val="22"/>
                <w:szCs w:val="22"/>
              </w:rPr>
            </w:pPr>
            <w:r w:rsidRPr="009B663C">
              <w:rPr>
                <w:sz w:val="22"/>
                <w:szCs w:val="22"/>
              </w:rPr>
              <w:t>Druga epizoda: prekinuti terapiju.</w:t>
            </w:r>
          </w:p>
        </w:tc>
      </w:tr>
      <w:tr w:rsidR="00863BB0" w:rsidRPr="00BB3077" w14:paraId="63D3FBF4" w14:textId="77777777" w:rsidTr="002C66FC">
        <w:trPr>
          <w:trHeight w:val="294"/>
        </w:trPr>
        <w:tc>
          <w:tcPr>
            <w:tcW w:w="2335" w:type="dxa"/>
          </w:tcPr>
          <w:p w14:paraId="5081F69A" w14:textId="77777777" w:rsidR="00863BB0" w:rsidRPr="009B663C" w:rsidRDefault="00863BB0" w:rsidP="002C66FC">
            <w:pPr>
              <w:autoSpaceDE w:val="0"/>
              <w:autoSpaceDN w:val="0"/>
              <w:adjustRightInd w:val="0"/>
              <w:rPr>
                <w:sz w:val="22"/>
                <w:szCs w:val="22"/>
              </w:rPr>
            </w:pPr>
            <w:r w:rsidRPr="009B663C">
              <w:rPr>
                <w:sz w:val="22"/>
                <w:szCs w:val="22"/>
              </w:rPr>
              <w:t>Stomatitis/mukozitis 3. stepena</w:t>
            </w:r>
          </w:p>
          <w:p w14:paraId="24DE548E" w14:textId="77777777" w:rsidR="00863BB0" w:rsidRPr="009B663C" w:rsidRDefault="00863BB0" w:rsidP="002C66FC">
            <w:pPr>
              <w:autoSpaceDE w:val="0"/>
              <w:autoSpaceDN w:val="0"/>
              <w:adjustRightInd w:val="0"/>
              <w:rPr>
                <w:sz w:val="22"/>
                <w:szCs w:val="22"/>
              </w:rPr>
            </w:pPr>
          </w:p>
        </w:tc>
        <w:tc>
          <w:tcPr>
            <w:tcW w:w="6497" w:type="dxa"/>
          </w:tcPr>
          <w:p w14:paraId="005E8091" w14:textId="77777777" w:rsidR="00863BB0" w:rsidRPr="00863BB0" w:rsidRDefault="00863BB0" w:rsidP="002C66FC">
            <w:pPr>
              <w:autoSpaceDE w:val="0"/>
              <w:autoSpaceDN w:val="0"/>
              <w:adjustRightInd w:val="0"/>
              <w:rPr>
                <w:sz w:val="22"/>
                <w:szCs w:val="22"/>
                <w:lang w:val="de-DE"/>
              </w:rPr>
            </w:pPr>
            <w:r w:rsidRPr="00863BB0">
              <w:rPr>
                <w:sz w:val="22"/>
                <w:szCs w:val="22"/>
                <w:lang w:val="de-DE"/>
              </w:rPr>
              <w:lastRenderedPageBreak/>
              <w:t>Prva epizoda: dozu 5-FU smanjiti za 20 %.</w:t>
            </w:r>
          </w:p>
          <w:p w14:paraId="4476D7E6" w14:textId="77777777" w:rsidR="00863BB0" w:rsidRPr="00863BB0" w:rsidRDefault="00863BB0" w:rsidP="002C66FC">
            <w:pPr>
              <w:autoSpaceDE w:val="0"/>
              <w:autoSpaceDN w:val="0"/>
              <w:adjustRightInd w:val="0"/>
              <w:rPr>
                <w:sz w:val="22"/>
                <w:szCs w:val="22"/>
                <w:lang w:val="de-DE"/>
              </w:rPr>
            </w:pPr>
          </w:p>
          <w:p w14:paraId="1E456641" w14:textId="77777777" w:rsidR="00863BB0" w:rsidRPr="00863BB0" w:rsidRDefault="00863BB0" w:rsidP="002C66FC">
            <w:pPr>
              <w:autoSpaceDE w:val="0"/>
              <w:autoSpaceDN w:val="0"/>
              <w:adjustRightInd w:val="0"/>
              <w:rPr>
                <w:sz w:val="22"/>
                <w:szCs w:val="22"/>
                <w:lang w:val="de-DE"/>
              </w:rPr>
            </w:pPr>
            <w:r w:rsidRPr="00863BB0">
              <w:rPr>
                <w:sz w:val="22"/>
                <w:szCs w:val="22"/>
                <w:lang w:val="de-DE"/>
              </w:rPr>
              <w:lastRenderedPageBreak/>
              <w:t>Druga epizoda: isklju</w:t>
            </w:r>
            <w:r w:rsidRPr="00863BB0">
              <w:rPr>
                <w:rFonts w:eastAsia="TimesNewRoman"/>
                <w:sz w:val="22"/>
                <w:szCs w:val="22"/>
                <w:lang w:val="de-DE"/>
              </w:rPr>
              <w:t>č</w:t>
            </w:r>
            <w:r w:rsidRPr="00863BB0">
              <w:rPr>
                <w:sz w:val="22"/>
                <w:szCs w:val="22"/>
                <w:lang w:val="de-DE"/>
              </w:rPr>
              <w:t>iti samo 5-FU u svim narednim ciklusima.</w:t>
            </w:r>
          </w:p>
          <w:p w14:paraId="6770895A" w14:textId="77777777" w:rsidR="00863BB0" w:rsidRPr="00863BB0" w:rsidRDefault="00863BB0" w:rsidP="002C66FC">
            <w:pPr>
              <w:autoSpaceDE w:val="0"/>
              <w:autoSpaceDN w:val="0"/>
              <w:adjustRightInd w:val="0"/>
              <w:rPr>
                <w:sz w:val="22"/>
                <w:szCs w:val="22"/>
                <w:lang w:val="de-DE"/>
              </w:rPr>
            </w:pPr>
          </w:p>
          <w:p w14:paraId="6352354F" w14:textId="77777777" w:rsidR="00863BB0" w:rsidRPr="00863BB0" w:rsidRDefault="00863BB0" w:rsidP="002C66FC">
            <w:pPr>
              <w:autoSpaceDE w:val="0"/>
              <w:autoSpaceDN w:val="0"/>
              <w:adjustRightInd w:val="0"/>
              <w:rPr>
                <w:sz w:val="22"/>
                <w:szCs w:val="22"/>
                <w:lang w:val="de-DE"/>
              </w:rPr>
            </w:pPr>
            <w:r w:rsidRPr="00863BB0">
              <w:rPr>
                <w:sz w:val="22"/>
                <w:szCs w:val="22"/>
                <w:lang w:val="de-DE"/>
              </w:rPr>
              <w:t>Tre</w:t>
            </w:r>
            <w:r w:rsidRPr="00863BB0">
              <w:rPr>
                <w:rFonts w:eastAsia="TimesNewRoman"/>
                <w:sz w:val="22"/>
                <w:szCs w:val="22"/>
                <w:lang w:val="de-DE"/>
              </w:rPr>
              <w:t>ć</w:t>
            </w:r>
            <w:r w:rsidRPr="00863BB0">
              <w:rPr>
                <w:sz w:val="22"/>
                <w:szCs w:val="22"/>
                <w:lang w:val="de-DE"/>
              </w:rPr>
              <w:t>a epizoda: smanjiti dozu docetaksela za 20%.</w:t>
            </w:r>
          </w:p>
        </w:tc>
      </w:tr>
      <w:tr w:rsidR="00863BB0" w:rsidRPr="00B02007" w14:paraId="57027E15" w14:textId="77777777" w:rsidTr="002C66FC">
        <w:trPr>
          <w:trHeight w:val="294"/>
        </w:trPr>
        <w:tc>
          <w:tcPr>
            <w:tcW w:w="2335" w:type="dxa"/>
          </w:tcPr>
          <w:p w14:paraId="56759AD4" w14:textId="77777777" w:rsidR="00863BB0" w:rsidRPr="009B663C" w:rsidRDefault="00863BB0" w:rsidP="002C66FC">
            <w:pPr>
              <w:autoSpaceDE w:val="0"/>
              <w:autoSpaceDN w:val="0"/>
              <w:adjustRightInd w:val="0"/>
              <w:rPr>
                <w:sz w:val="22"/>
                <w:szCs w:val="22"/>
              </w:rPr>
            </w:pPr>
            <w:r w:rsidRPr="009B663C">
              <w:rPr>
                <w:sz w:val="22"/>
                <w:szCs w:val="22"/>
              </w:rPr>
              <w:lastRenderedPageBreak/>
              <w:t>Stomatitis/mukozitis 4. stepena</w:t>
            </w:r>
          </w:p>
          <w:p w14:paraId="78C19306" w14:textId="77777777" w:rsidR="00863BB0" w:rsidRPr="009B663C" w:rsidRDefault="00863BB0" w:rsidP="002C66FC">
            <w:pPr>
              <w:autoSpaceDE w:val="0"/>
              <w:autoSpaceDN w:val="0"/>
              <w:adjustRightInd w:val="0"/>
              <w:rPr>
                <w:sz w:val="22"/>
                <w:szCs w:val="22"/>
              </w:rPr>
            </w:pPr>
          </w:p>
        </w:tc>
        <w:tc>
          <w:tcPr>
            <w:tcW w:w="6497" w:type="dxa"/>
          </w:tcPr>
          <w:p w14:paraId="35324F7B" w14:textId="77777777" w:rsidR="00863BB0" w:rsidRPr="009B663C" w:rsidRDefault="00863BB0" w:rsidP="002C66FC">
            <w:pPr>
              <w:autoSpaceDE w:val="0"/>
              <w:autoSpaceDN w:val="0"/>
              <w:adjustRightInd w:val="0"/>
              <w:rPr>
                <w:sz w:val="22"/>
                <w:szCs w:val="22"/>
              </w:rPr>
            </w:pPr>
            <w:r w:rsidRPr="009B663C">
              <w:rPr>
                <w:sz w:val="22"/>
                <w:szCs w:val="22"/>
              </w:rPr>
              <w:t>Prva epizoda: isklju</w:t>
            </w:r>
            <w:r w:rsidRPr="009B663C">
              <w:rPr>
                <w:rFonts w:eastAsia="TimesNewRoman"/>
                <w:sz w:val="22"/>
                <w:szCs w:val="22"/>
              </w:rPr>
              <w:t>č</w:t>
            </w:r>
            <w:r w:rsidRPr="009B663C">
              <w:rPr>
                <w:sz w:val="22"/>
                <w:szCs w:val="22"/>
              </w:rPr>
              <w:t>iti samo 5-FU u svim narednim ciklusima.</w:t>
            </w:r>
          </w:p>
          <w:p w14:paraId="661FF6BA" w14:textId="77777777" w:rsidR="00863BB0" w:rsidRPr="009B663C" w:rsidRDefault="00863BB0" w:rsidP="002C66FC">
            <w:pPr>
              <w:autoSpaceDE w:val="0"/>
              <w:autoSpaceDN w:val="0"/>
              <w:adjustRightInd w:val="0"/>
              <w:rPr>
                <w:sz w:val="22"/>
                <w:szCs w:val="22"/>
              </w:rPr>
            </w:pPr>
          </w:p>
          <w:p w14:paraId="73491DA0" w14:textId="77777777" w:rsidR="00863BB0" w:rsidRPr="009B663C" w:rsidRDefault="00863BB0" w:rsidP="002C66FC">
            <w:pPr>
              <w:autoSpaceDE w:val="0"/>
              <w:autoSpaceDN w:val="0"/>
              <w:adjustRightInd w:val="0"/>
              <w:rPr>
                <w:sz w:val="22"/>
                <w:szCs w:val="22"/>
              </w:rPr>
            </w:pPr>
            <w:r w:rsidRPr="009B663C">
              <w:rPr>
                <w:sz w:val="22"/>
                <w:szCs w:val="22"/>
              </w:rPr>
              <w:t>Druga epizoda: smanjiti dozu docetaksela za 20%.</w:t>
            </w:r>
          </w:p>
        </w:tc>
      </w:tr>
    </w:tbl>
    <w:p w14:paraId="15ABC851" w14:textId="77777777" w:rsidR="00863BB0" w:rsidRPr="009B663C" w:rsidRDefault="00863BB0" w:rsidP="00863BB0">
      <w:pPr>
        <w:autoSpaceDE w:val="0"/>
        <w:autoSpaceDN w:val="0"/>
        <w:adjustRightInd w:val="0"/>
        <w:rPr>
          <w:sz w:val="22"/>
          <w:szCs w:val="22"/>
        </w:rPr>
      </w:pPr>
    </w:p>
    <w:p w14:paraId="7A309959" w14:textId="77777777" w:rsidR="00863BB0" w:rsidRPr="009B663C" w:rsidRDefault="00863BB0" w:rsidP="00863BB0">
      <w:pPr>
        <w:autoSpaceDE w:val="0"/>
        <w:autoSpaceDN w:val="0"/>
        <w:adjustRightInd w:val="0"/>
        <w:rPr>
          <w:sz w:val="22"/>
          <w:szCs w:val="22"/>
        </w:rPr>
      </w:pPr>
      <w:r w:rsidRPr="009B663C">
        <w:rPr>
          <w:sz w:val="22"/>
          <w:szCs w:val="22"/>
        </w:rPr>
        <w:t>Za modifikovanje doze cisplatina i 5-fluorouracila pogledati odgovarajući sažetak karakteristika lijeka.</w:t>
      </w:r>
    </w:p>
    <w:p w14:paraId="3577E7F0" w14:textId="77777777" w:rsidR="00863BB0" w:rsidRPr="009B663C" w:rsidRDefault="00863BB0" w:rsidP="00863BB0">
      <w:pPr>
        <w:autoSpaceDE w:val="0"/>
        <w:autoSpaceDN w:val="0"/>
        <w:adjustRightInd w:val="0"/>
        <w:rPr>
          <w:sz w:val="22"/>
          <w:szCs w:val="22"/>
        </w:rPr>
      </w:pPr>
    </w:p>
    <w:p w14:paraId="5409BEB9" w14:textId="77777777" w:rsidR="00863BB0" w:rsidRPr="009B663C" w:rsidRDefault="00863BB0" w:rsidP="00863BB0">
      <w:pPr>
        <w:autoSpaceDE w:val="0"/>
        <w:autoSpaceDN w:val="0"/>
        <w:adjustRightInd w:val="0"/>
        <w:rPr>
          <w:sz w:val="22"/>
          <w:szCs w:val="22"/>
        </w:rPr>
      </w:pPr>
      <w:r w:rsidRPr="009B663C">
        <w:rPr>
          <w:sz w:val="22"/>
          <w:szCs w:val="22"/>
        </w:rPr>
        <w:t>U klju</w:t>
      </w:r>
      <w:r w:rsidRPr="009B663C">
        <w:rPr>
          <w:rFonts w:eastAsia="TimesNewRoman"/>
          <w:sz w:val="22"/>
          <w:szCs w:val="22"/>
        </w:rPr>
        <w:t>č</w:t>
      </w:r>
      <w:r w:rsidRPr="009B663C">
        <w:rPr>
          <w:sz w:val="22"/>
          <w:szCs w:val="22"/>
        </w:rPr>
        <w:t>nim SCCHN studijama kod pacijenata kod kojih se javila komplikovana neutropenija (uklju</w:t>
      </w:r>
      <w:r w:rsidRPr="009B663C">
        <w:rPr>
          <w:rFonts w:eastAsia="TimesNewRoman"/>
          <w:sz w:val="22"/>
          <w:szCs w:val="22"/>
        </w:rPr>
        <w:t>č</w:t>
      </w:r>
      <w:r w:rsidRPr="009B663C">
        <w:rPr>
          <w:sz w:val="22"/>
          <w:szCs w:val="22"/>
        </w:rPr>
        <w:t>uju</w:t>
      </w:r>
      <w:r w:rsidRPr="009B663C">
        <w:rPr>
          <w:rFonts w:eastAsia="TimesNewRoman"/>
          <w:sz w:val="22"/>
          <w:szCs w:val="22"/>
        </w:rPr>
        <w:t>ć</w:t>
      </w:r>
      <w:r w:rsidRPr="009B663C">
        <w:rPr>
          <w:sz w:val="22"/>
          <w:szCs w:val="22"/>
        </w:rPr>
        <w:t>i dugotrajniju neutropeniju, febrilnu neutropeniju ili infekcije), preporuka je bila da se u svim narednim ciklusima profilakti</w:t>
      </w:r>
      <w:r w:rsidRPr="009B663C">
        <w:rPr>
          <w:rFonts w:eastAsia="TimesNewRoman"/>
          <w:sz w:val="22"/>
          <w:szCs w:val="22"/>
        </w:rPr>
        <w:t>č</w:t>
      </w:r>
      <w:r w:rsidRPr="009B663C">
        <w:rPr>
          <w:sz w:val="22"/>
          <w:szCs w:val="22"/>
        </w:rPr>
        <w:t>ki primjenjuje G-CSF (npr. od 6. do 15. dana).</w:t>
      </w:r>
    </w:p>
    <w:p w14:paraId="14E6A590" w14:textId="77777777" w:rsidR="00863BB0" w:rsidRPr="009B663C" w:rsidRDefault="00863BB0" w:rsidP="00863BB0">
      <w:pPr>
        <w:autoSpaceDE w:val="0"/>
        <w:autoSpaceDN w:val="0"/>
        <w:adjustRightInd w:val="0"/>
        <w:rPr>
          <w:sz w:val="22"/>
          <w:szCs w:val="22"/>
        </w:rPr>
      </w:pPr>
    </w:p>
    <w:p w14:paraId="6F6A3D6E" w14:textId="77777777" w:rsidR="00863BB0" w:rsidRPr="009B663C" w:rsidRDefault="00863BB0" w:rsidP="00863BB0">
      <w:pPr>
        <w:autoSpaceDE w:val="0"/>
        <w:autoSpaceDN w:val="0"/>
        <w:adjustRightInd w:val="0"/>
        <w:rPr>
          <w:bCs/>
          <w:sz w:val="22"/>
          <w:szCs w:val="22"/>
          <w:u w:val="single"/>
        </w:rPr>
      </w:pPr>
      <w:r w:rsidRPr="009B663C">
        <w:rPr>
          <w:bCs/>
          <w:sz w:val="22"/>
          <w:szCs w:val="22"/>
          <w:u w:val="single"/>
        </w:rPr>
        <w:t>Posebne populacije</w:t>
      </w:r>
    </w:p>
    <w:p w14:paraId="59C3A709" w14:textId="77777777" w:rsidR="00863BB0" w:rsidRPr="009B663C" w:rsidRDefault="00863BB0" w:rsidP="00863BB0">
      <w:pPr>
        <w:autoSpaceDE w:val="0"/>
        <w:autoSpaceDN w:val="0"/>
        <w:adjustRightInd w:val="0"/>
        <w:rPr>
          <w:sz w:val="22"/>
          <w:szCs w:val="22"/>
        </w:rPr>
      </w:pPr>
    </w:p>
    <w:p w14:paraId="41EBEAB2" w14:textId="77777777" w:rsidR="00863BB0" w:rsidRPr="009B663C" w:rsidRDefault="00863BB0" w:rsidP="00863BB0">
      <w:pPr>
        <w:autoSpaceDE w:val="0"/>
        <w:autoSpaceDN w:val="0"/>
        <w:adjustRightInd w:val="0"/>
        <w:rPr>
          <w:bCs/>
          <w:i/>
          <w:iCs/>
          <w:sz w:val="22"/>
          <w:szCs w:val="22"/>
          <w:u w:val="single"/>
        </w:rPr>
      </w:pPr>
      <w:r w:rsidRPr="009B663C">
        <w:rPr>
          <w:bCs/>
          <w:i/>
          <w:sz w:val="22"/>
          <w:szCs w:val="22"/>
          <w:u w:val="single"/>
        </w:rPr>
        <w:t>Pacijenti sa insuficijencijom jetre</w:t>
      </w:r>
      <w:r w:rsidRPr="009B663C">
        <w:rPr>
          <w:bCs/>
          <w:i/>
          <w:iCs/>
          <w:sz w:val="22"/>
          <w:szCs w:val="22"/>
          <w:u w:val="single"/>
        </w:rPr>
        <w:t xml:space="preserve"> </w:t>
      </w:r>
    </w:p>
    <w:p w14:paraId="1297941F" w14:textId="77777777" w:rsidR="00863BB0" w:rsidRPr="009B663C" w:rsidRDefault="00863BB0" w:rsidP="00863BB0">
      <w:pPr>
        <w:autoSpaceDE w:val="0"/>
        <w:autoSpaceDN w:val="0"/>
        <w:adjustRightInd w:val="0"/>
        <w:rPr>
          <w:b/>
          <w:bCs/>
          <w:i/>
          <w:iCs/>
          <w:sz w:val="22"/>
          <w:szCs w:val="22"/>
        </w:rPr>
      </w:pPr>
    </w:p>
    <w:p w14:paraId="5C1A1A7D" w14:textId="77777777" w:rsidR="00863BB0" w:rsidRPr="009B663C" w:rsidRDefault="00863BB0" w:rsidP="00863BB0">
      <w:pPr>
        <w:autoSpaceDE w:val="0"/>
        <w:autoSpaceDN w:val="0"/>
        <w:adjustRightInd w:val="0"/>
        <w:rPr>
          <w:b/>
          <w:bCs/>
          <w:i/>
          <w:iCs/>
          <w:sz w:val="22"/>
          <w:szCs w:val="22"/>
        </w:rPr>
      </w:pPr>
      <w:r w:rsidRPr="009B663C">
        <w:rPr>
          <w:sz w:val="22"/>
          <w:szCs w:val="22"/>
        </w:rPr>
        <w:t>Na osnovu farmakokineti</w:t>
      </w:r>
      <w:r w:rsidRPr="009B663C">
        <w:rPr>
          <w:rFonts w:eastAsia="TimesNewRoman"/>
          <w:sz w:val="22"/>
          <w:szCs w:val="22"/>
        </w:rPr>
        <w:t>č</w:t>
      </w:r>
      <w:r w:rsidRPr="009B663C">
        <w:rPr>
          <w:sz w:val="22"/>
          <w:szCs w:val="22"/>
        </w:rPr>
        <w:t>kih podataka o primjeni docetaksela u dozi od 100 mg/m² kao monoterapije, za pacijente kod kojih su vrijednosti transaminaza (ALT i/ili AST) 1,5 puta više od gornje granice normale (ULN), a vrijednosti alkalne fosfataze više od 2,5 puta ve</w:t>
      </w:r>
      <w:r w:rsidRPr="009B663C">
        <w:rPr>
          <w:rFonts w:eastAsia="TimesNewRoman"/>
          <w:sz w:val="22"/>
          <w:szCs w:val="22"/>
        </w:rPr>
        <w:t>ć</w:t>
      </w:r>
      <w:r w:rsidRPr="009B663C">
        <w:rPr>
          <w:sz w:val="22"/>
          <w:szCs w:val="22"/>
        </w:rPr>
        <w:t>e od ULN, preporu</w:t>
      </w:r>
      <w:r w:rsidRPr="009B663C">
        <w:rPr>
          <w:rFonts w:eastAsia="TimesNewRoman"/>
          <w:sz w:val="22"/>
          <w:szCs w:val="22"/>
        </w:rPr>
        <w:t>č</w:t>
      </w:r>
      <w:r w:rsidRPr="009B663C">
        <w:rPr>
          <w:sz w:val="22"/>
          <w:szCs w:val="22"/>
        </w:rPr>
        <w:t xml:space="preserve">ena doza docetaksela je 75 mg/m² (vidjeti </w:t>
      </w:r>
      <w:r>
        <w:rPr>
          <w:sz w:val="22"/>
          <w:szCs w:val="22"/>
        </w:rPr>
        <w:t>djelovdjelovedjelove</w:t>
      </w:r>
      <w:r w:rsidRPr="009B663C">
        <w:rPr>
          <w:sz w:val="22"/>
          <w:szCs w:val="22"/>
        </w:rPr>
        <w:t xml:space="preserve"> 4.4 i 5.2). Za pacijente sa vrijednostima serumskog bilirubina višim od gornje granice normale i/ili ALT i AST uve</w:t>
      </w:r>
      <w:r w:rsidRPr="009B663C">
        <w:rPr>
          <w:rFonts w:eastAsia="TimesNewRoman"/>
          <w:sz w:val="22"/>
          <w:szCs w:val="22"/>
        </w:rPr>
        <w:t>ć</w:t>
      </w:r>
      <w:r w:rsidRPr="009B663C">
        <w:rPr>
          <w:sz w:val="22"/>
          <w:szCs w:val="22"/>
        </w:rPr>
        <w:t>ane više od 3,5 puta u odnosu gornju granicu normale, uz nivo alkalne fosfataze uve</w:t>
      </w:r>
      <w:r w:rsidRPr="009B663C">
        <w:rPr>
          <w:rFonts w:eastAsia="TimesNewRoman"/>
          <w:sz w:val="22"/>
          <w:szCs w:val="22"/>
        </w:rPr>
        <w:t>ć</w:t>
      </w:r>
      <w:r w:rsidRPr="009B663C">
        <w:rPr>
          <w:sz w:val="22"/>
          <w:szCs w:val="22"/>
        </w:rPr>
        <w:t>an više od šest puta u odnosu na vrijednosti gornje granice normale, ne mogu se dati preporuke za smanjenje doze, a docetaksel ne bi trebalo primjenjivati osim ako nije striktno indikovan.</w:t>
      </w:r>
    </w:p>
    <w:p w14:paraId="70771436" w14:textId="77777777" w:rsidR="00863BB0" w:rsidRPr="009B663C" w:rsidRDefault="00863BB0" w:rsidP="00863BB0">
      <w:pPr>
        <w:autoSpaceDE w:val="0"/>
        <w:autoSpaceDN w:val="0"/>
        <w:adjustRightInd w:val="0"/>
        <w:rPr>
          <w:sz w:val="22"/>
          <w:szCs w:val="22"/>
        </w:rPr>
      </w:pPr>
    </w:p>
    <w:p w14:paraId="234F3D8D" w14:textId="77777777" w:rsidR="00863BB0" w:rsidRPr="009B663C" w:rsidRDefault="00863BB0" w:rsidP="00863BB0">
      <w:pPr>
        <w:autoSpaceDE w:val="0"/>
        <w:autoSpaceDN w:val="0"/>
        <w:adjustRightInd w:val="0"/>
        <w:rPr>
          <w:sz w:val="22"/>
          <w:szCs w:val="22"/>
        </w:rPr>
      </w:pPr>
      <w:r w:rsidRPr="009B663C">
        <w:rPr>
          <w:sz w:val="22"/>
          <w:szCs w:val="22"/>
        </w:rPr>
        <w:t>U klju</w:t>
      </w:r>
      <w:r w:rsidRPr="009B663C">
        <w:rPr>
          <w:rFonts w:eastAsia="TimesNewRoman"/>
          <w:sz w:val="22"/>
          <w:szCs w:val="22"/>
        </w:rPr>
        <w:t>č</w:t>
      </w:r>
      <w:r w:rsidRPr="009B663C">
        <w:rPr>
          <w:sz w:val="22"/>
          <w:szCs w:val="22"/>
        </w:rPr>
        <w:t>noj klini</w:t>
      </w:r>
      <w:r w:rsidRPr="009B663C">
        <w:rPr>
          <w:rFonts w:eastAsia="TimesNewRoman"/>
          <w:sz w:val="22"/>
          <w:szCs w:val="22"/>
        </w:rPr>
        <w:t>č</w:t>
      </w:r>
      <w:r w:rsidRPr="009B663C">
        <w:rPr>
          <w:sz w:val="22"/>
          <w:szCs w:val="22"/>
        </w:rPr>
        <w:t>koj studiji primjene docetaksela u kombinaciji sa cisplatinom i 5-fluorouracilom u terapiji pacijenata sa adenokarcinomom želuca, isklju</w:t>
      </w:r>
      <w:r w:rsidRPr="009B663C">
        <w:rPr>
          <w:rFonts w:eastAsia="TimesNewRoman"/>
          <w:sz w:val="22"/>
          <w:szCs w:val="22"/>
        </w:rPr>
        <w:t>č</w:t>
      </w:r>
      <w:r w:rsidRPr="009B663C">
        <w:rPr>
          <w:sz w:val="22"/>
          <w:szCs w:val="22"/>
        </w:rPr>
        <w:t>eni su pacijenti sa ALT i/ili AST &gt; 1,5 puta ULN, pra</w:t>
      </w:r>
      <w:r w:rsidRPr="009B663C">
        <w:rPr>
          <w:rFonts w:eastAsia="TimesNewRoman"/>
          <w:sz w:val="22"/>
          <w:szCs w:val="22"/>
        </w:rPr>
        <w:t>ć</w:t>
      </w:r>
      <w:r w:rsidRPr="009B663C">
        <w:rPr>
          <w:sz w:val="22"/>
          <w:szCs w:val="22"/>
        </w:rPr>
        <w:t>eno vrijednostima alkalne fosfataze  &gt; 2,5 puta ULN i bilirubinom &gt; 1 put ULN. Za ove pacijente ne mogu se dati preporuke za smanjenje doze, a docetaksel ne bi trebalo primjenjivati osim ako nije striktno indikovan. Nema dostupnih podataka o primjeni docetaksela u kombinaciji sa drugim ljekovima, u drugim indikacijama, kod pacijenata sa insuficijencijom jetre.</w:t>
      </w:r>
    </w:p>
    <w:p w14:paraId="31F90D49" w14:textId="77777777" w:rsidR="00863BB0" w:rsidRPr="009B663C" w:rsidRDefault="00863BB0" w:rsidP="00863BB0">
      <w:pPr>
        <w:autoSpaceDE w:val="0"/>
        <w:autoSpaceDN w:val="0"/>
        <w:adjustRightInd w:val="0"/>
        <w:rPr>
          <w:b/>
          <w:bCs/>
          <w:sz w:val="22"/>
          <w:szCs w:val="22"/>
        </w:rPr>
      </w:pPr>
    </w:p>
    <w:p w14:paraId="3A7F72CD" w14:textId="77777777" w:rsidR="00863BB0" w:rsidRPr="009B663C" w:rsidRDefault="00863BB0" w:rsidP="00863BB0">
      <w:pPr>
        <w:autoSpaceDE w:val="0"/>
        <w:autoSpaceDN w:val="0"/>
        <w:adjustRightInd w:val="0"/>
        <w:rPr>
          <w:bCs/>
          <w:i/>
          <w:sz w:val="22"/>
          <w:szCs w:val="22"/>
          <w:u w:val="single"/>
        </w:rPr>
      </w:pPr>
      <w:r w:rsidRPr="009B663C">
        <w:rPr>
          <w:bCs/>
          <w:i/>
          <w:sz w:val="22"/>
          <w:szCs w:val="22"/>
          <w:u w:val="single"/>
        </w:rPr>
        <w:t>Pedijatrijska populacija</w:t>
      </w:r>
    </w:p>
    <w:p w14:paraId="4663EEAD" w14:textId="77777777" w:rsidR="00863BB0" w:rsidRPr="009B663C" w:rsidRDefault="00863BB0" w:rsidP="00863BB0">
      <w:pPr>
        <w:autoSpaceDE w:val="0"/>
        <w:autoSpaceDN w:val="0"/>
        <w:adjustRightInd w:val="0"/>
        <w:rPr>
          <w:bCs/>
          <w:i/>
          <w:sz w:val="22"/>
          <w:szCs w:val="22"/>
        </w:rPr>
      </w:pPr>
    </w:p>
    <w:p w14:paraId="02C83247" w14:textId="77777777" w:rsidR="00863BB0" w:rsidRPr="009B663C" w:rsidRDefault="00863BB0" w:rsidP="00863BB0">
      <w:pPr>
        <w:autoSpaceDE w:val="0"/>
        <w:autoSpaceDN w:val="0"/>
        <w:adjustRightInd w:val="0"/>
        <w:rPr>
          <w:bCs/>
          <w:sz w:val="22"/>
          <w:szCs w:val="22"/>
        </w:rPr>
      </w:pPr>
      <w:r w:rsidRPr="009B663C">
        <w:rPr>
          <w:bCs/>
          <w:sz w:val="22"/>
          <w:szCs w:val="22"/>
        </w:rPr>
        <w:t>Bezbjednost i efikasnost docetaksela kod nazofaringealnog karcinoma kod djece starosti od 1 mjeseca do manje od 18 godina još uvijek nijesu utvrđene.</w:t>
      </w:r>
    </w:p>
    <w:p w14:paraId="553D6F96" w14:textId="77777777" w:rsidR="00863BB0" w:rsidRPr="009B663C" w:rsidRDefault="00863BB0" w:rsidP="00863BB0">
      <w:pPr>
        <w:autoSpaceDE w:val="0"/>
        <w:autoSpaceDN w:val="0"/>
        <w:adjustRightInd w:val="0"/>
        <w:rPr>
          <w:bCs/>
          <w:sz w:val="22"/>
          <w:szCs w:val="22"/>
        </w:rPr>
      </w:pPr>
    </w:p>
    <w:p w14:paraId="30EEA443" w14:textId="77777777" w:rsidR="00863BB0" w:rsidRPr="009B663C" w:rsidRDefault="00863BB0" w:rsidP="00863BB0">
      <w:pPr>
        <w:autoSpaceDE w:val="0"/>
        <w:autoSpaceDN w:val="0"/>
        <w:adjustRightInd w:val="0"/>
        <w:rPr>
          <w:bCs/>
          <w:sz w:val="22"/>
          <w:szCs w:val="22"/>
        </w:rPr>
      </w:pPr>
      <w:r w:rsidRPr="009B663C">
        <w:rPr>
          <w:bCs/>
          <w:sz w:val="22"/>
          <w:szCs w:val="22"/>
        </w:rPr>
        <w:t xml:space="preserve">Nema relevantne primjene </w:t>
      </w:r>
      <w:r>
        <w:rPr>
          <w:bCs/>
          <w:sz w:val="22"/>
          <w:szCs w:val="22"/>
        </w:rPr>
        <w:t>docetaksela</w:t>
      </w:r>
      <w:r w:rsidRPr="009B663C">
        <w:rPr>
          <w:bCs/>
          <w:sz w:val="22"/>
          <w:szCs w:val="22"/>
        </w:rPr>
        <w:t xml:space="preserve"> kod pedijatrijske populacije u indikacijama karcinoma dojke, nemikrocelularnog karcinoma pluća, karcinoma prostate, karcinoma želuca i karcinoma glave i vrata, ne računajući manje diferencirani nazofaringealni karcinom tipa II i III.</w:t>
      </w:r>
    </w:p>
    <w:p w14:paraId="4E2075DB" w14:textId="77777777" w:rsidR="00863BB0" w:rsidRPr="009B663C" w:rsidRDefault="00863BB0" w:rsidP="00863BB0">
      <w:pPr>
        <w:autoSpaceDE w:val="0"/>
        <w:autoSpaceDN w:val="0"/>
        <w:adjustRightInd w:val="0"/>
        <w:rPr>
          <w:bCs/>
          <w:sz w:val="22"/>
          <w:szCs w:val="22"/>
        </w:rPr>
      </w:pPr>
    </w:p>
    <w:p w14:paraId="4E563264" w14:textId="77777777" w:rsidR="00863BB0" w:rsidRPr="009B663C" w:rsidRDefault="00863BB0" w:rsidP="00863BB0">
      <w:pPr>
        <w:autoSpaceDE w:val="0"/>
        <w:autoSpaceDN w:val="0"/>
        <w:adjustRightInd w:val="0"/>
        <w:rPr>
          <w:bCs/>
          <w:i/>
          <w:sz w:val="22"/>
          <w:szCs w:val="22"/>
          <w:u w:val="single"/>
        </w:rPr>
      </w:pPr>
      <w:r w:rsidRPr="009B663C">
        <w:rPr>
          <w:bCs/>
          <w:i/>
          <w:sz w:val="22"/>
          <w:szCs w:val="22"/>
          <w:u w:val="single"/>
        </w:rPr>
        <w:t>Starije osobe</w:t>
      </w:r>
    </w:p>
    <w:p w14:paraId="5BD80C61" w14:textId="77777777" w:rsidR="00863BB0" w:rsidRPr="009B663C" w:rsidRDefault="00863BB0" w:rsidP="00863BB0">
      <w:pPr>
        <w:autoSpaceDE w:val="0"/>
        <w:autoSpaceDN w:val="0"/>
        <w:adjustRightInd w:val="0"/>
        <w:rPr>
          <w:b/>
          <w:bCs/>
          <w:sz w:val="22"/>
          <w:szCs w:val="22"/>
        </w:rPr>
      </w:pPr>
    </w:p>
    <w:p w14:paraId="0A5FCE37" w14:textId="77777777" w:rsidR="00863BB0" w:rsidRPr="009B663C" w:rsidRDefault="00863BB0" w:rsidP="00863BB0">
      <w:pPr>
        <w:autoSpaceDE w:val="0"/>
        <w:autoSpaceDN w:val="0"/>
        <w:adjustRightInd w:val="0"/>
        <w:rPr>
          <w:i/>
          <w:iCs/>
          <w:sz w:val="22"/>
          <w:szCs w:val="22"/>
        </w:rPr>
      </w:pPr>
      <w:r w:rsidRPr="009B663C">
        <w:rPr>
          <w:sz w:val="22"/>
          <w:szCs w:val="22"/>
        </w:rPr>
        <w:t>Prema populacionoj farmakokineti</w:t>
      </w:r>
      <w:r w:rsidRPr="009B663C">
        <w:rPr>
          <w:rFonts w:eastAsia="TimesNewRoman"/>
          <w:sz w:val="22"/>
          <w:szCs w:val="22"/>
        </w:rPr>
        <w:t>č</w:t>
      </w:r>
      <w:r w:rsidRPr="009B663C">
        <w:rPr>
          <w:sz w:val="22"/>
          <w:szCs w:val="22"/>
        </w:rPr>
        <w:t>koj analizi, nema posebnih uputstava za primjenu lijeka kod starijih osoba.</w:t>
      </w:r>
    </w:p>
    <w:p w14:paraId="1876D9D1" w14:textId="77777777" w:rsidR="00863BB0" w:rsidRPr="009B663C" w:rsidRDefault="00863BB0" w:rsidP="00863BB0">
      <w:pPr>
        <w:autoSpaceDE w:val="0"/>
        <w:autoSpaceDN w:val="0"/>
        <w:adjustRightInd w:val="0"/>
        <w:rPr>
          <w:sz w:val="22"/>
          <w:szCs w:val="22"/>
        </w:rPr>
      </w:pPr>
    </w:p>
    <w:p w14:paraId="228EE57E" w14:textId="77777777" w:rsidR="00863BB0" w:rsidRPr="009B663C" w:rsidRDefault="00863BB0" w:rsidP="00863BB0">
      <w:pPr>
        <w:autoSpaceDE w:val="0"/>
        <w:autoSpaceDN w:val="0"/>
        <w:adjustRightInd w:val="0"/>
        <w:rPr>
          <w:sz w:val="22"/>
          <w:szCs w:val="22"/>
        </w:rPr>
      </w:pPr>
      <w:r w:rsidRPr="009B663C">
        <w:rPr>
          <w:sz w:val="22"/>
          <w:szCs w:val="22"/>
        </w:rPr>
        <w:t>Za pacijente starosti 60 godina i više, ako se docetaksel primjenjuje u kombinaciji sa kapecitabinom, savjetuje se da se po</w:t>
      </w:r>
      <w:r w:rsidRPr="009B663C">
        <w:rPr>
          <w:rFonts w:eastAsia="TimesNewRoman"/>
          <w:sz w:val="22"/>
          <w:szCs w:val="22"/>
        </w:rPr>
        <w:t>č</w:t>
      </w:r>
      <w:r w:rsidRPr="009B663C">
        <w:rPr>
          <w:sz w:val="22"/>
          <w:szCs w:val="22"/>
        </w:rPr>
        <w:t>etna doza kapecitabina smanji na 75% od uobi</w:t>
      </w:r>
      <w:r w:rsidRPr="009B663C">
        <w:rPr>
          <w:rFonts w:eastAsia="TimesNewRoman"/>
          <w:sz w:val="22"/>
          <w:szCs w:val="22"/>
        </w:rPr>
        <w:t>č</w:t>
      </w:r>
      <w:r w:rsidRPr="009B663C">
        <w:rPr>
          <w:sz w:val="22"/>
          <w:szCs w:val="22"/>
        </w:rPr>
        <w:t>ajene doze (vidjeti sažetak karakteristika lijeka za kapecitabin).</w:t>
      </w:r>
    </w:p>
    <w:p w14:paraId="136A28C0" w14:textId="77777777" w:rsidR="00863BB0" w:rsidRPr="00863BB0" w:rsidRDefault="00863BB0" w:rsidP="00480FB1">
      <w:pPr>
        <w:tabs>
          <w:tab w:val="left" w:pos="540"/>
          <w:tab w:val="left" w:pos="569"/>
        </w:tabs>
        <w:rPr>
          <w:bCs/>
          <w:sz w:val="22"/>
          <w:szCs w:val="22"/>
          <w:u w:val="single"/>
        </w:rPr>
      </w:pPr>
    </w:p>
    <w:p w14:paraId="7CC6F0D3" w14:textId="5D46C3C1" w:rsidR="00452E9D" w:rsidRPr="0054199A" w:rsidRDefault="00452E9D" w:rsidP="00480FB1">
      <w:pPr>
        <w:tabs>
          <w:tab w:val="left" w:pos="540"/>
          <w:tab w:val="left" w:pos="569"/>
        </w:tabs>
        <w:rPr>
          <w:bCs/>
          <w:sz w:val="22"/>
          <w:szCs w:val="22"/>
          <w:u w:val="single"/>
        </w:rPr>
      </w:pPr>
      <w:r w:rsidRPr="0054199A">
        <w:rPr>
          <w:bCs/>
          <w:sz w:val="22"/>
          <w:szCs w:val="22"/>
          <w:u w:val="single"/>
        </w:rPr>
        <w:t>Način primjene</w:t>
      </w:r>
    </w:p>
    <w:p w14:paraId="7ED0B72C" w14:textId="2810210D" w:rsidR="00863BB0" w:rsidRPr="0054199A" w:rsidRDefault="00863BB0" w:rsidP="00480FB1">
      <w:pPr>
        <w:tabs>
          <w:tab w:val="left" w:pos="540"/>
          <w:tab w:val="left" w:pos="569"/>
        </w:tabs>
        <w:rPr>
          <w:bCs/>
          <w:sz w:val="22"/>
          <w:szCs w:val="22"/>
          <w:u w:val="single"/>
        </w:rPr>
      </w:pPr>
    </w:p>
    <w:p w14:paraId="1A509356" w14:textId="77777777" w:rsidR="00863BB0" w:rsidRPr="0054199A" w:rsidRDefault="00863BB0" w:rsidP="00863BB0">
      <w:pPr>
        <w:autoSpaceDE w:val="0"/>
        <w:autoSpaceDN w:val="0"/>
        <w:adjustRightInd w:val="0"/>
        <w:rPr>
          <w:sz w:val="22"/>
          <w:szCs w:val="22"/>
        </w:rPr>
      </w:pPr>
      <w:r w:rsidRPr="0054199A">
        <w:rPr>
          <w:sz w:val="22"/>
          <w:szCs w:val="22"/>
        </w:rPr>
        <w:t>Uputstva za pripremu i primjenu lijeka potražite u dujelu 6.6.</w:t>
      </w:r>
    </w:p>
    <w:p w14:paraId="0DD0B230" w14:textId="77777777" w:rsidR="00863BB0" w:rsidRPr="0054199A" w:rsidRDefault="00863BB0" w:rsidP="00480FB1">
      <w:pPr>
        <w:tabs>
          <w:tab w:val="left" w:pos="540"/>
          <w:tab w:val="left" w:pos="569"/>
        </w:tabs>
        <w:rPr>
          <w:bCs/>
          <w:sz w:val="22"/>
          <w:szCs w:val="22"/>
          <w:u w:val="single"/>
        </w:rPr>
      </w:pPr>
    </w:p>
    <w:p w14:paraId="7711CB41" w14:textId="77777777" w:rsidR="00452E9D" w:rsidRPr="0054199A" w:rsidRDefault="00452E9D" w:rsidP="00480FB1">
      <w:pPr>
        <w:tabs>
          <w:tab w:val="left" w:pos="540"/>
          <w:tab w:val="left" w:pos="569"/>
        </w:tabs>
        <w:rPr>
          <w:bCs/>
          <w:sz w:val="22"/>
          <w:szCs w:val="22"/>
        </w:rPr>
      </w:pPr>
    </w:p>
    <w:p w14:paraId="4824B29A" w14:textId="77777777" w:rsidR="00BD2B3C" w:rsidRDefault="00BD2B3C" w:rsidP="00480FB1">
      <w:pPr>
        <w:tabs>
          <w:tab w:val="left" w:pos="540"/>
          <w:tab w:val="left" w:pos="569"/>
        </w:tabs>
        <w:rPr>
          <w:b/>
          <w:bCs/>
          <w:sz w:val="22"/>
          <w:szCs w:val="22"/>
        </w:rPr>
      </w:pPr>
    </w:p>
    <w:p w14:paraId="00AF7F84" w14:textId="6D67F4BC" w:rsidR="00411B4B" w:rsidRPr="0054199A" w:rsidRDefault="00411B4B" w:rsidP="00480FB1">
      <w:pPr>
        <w:tabs>
          <w:tab w:val="left" w:pos="540"/>
          <w:tab w:val="left" w:pos="569"/>
        </w:tabs>
        <w:rPr>
          <w:b/>
          <w:bCs/>
          <w:sz w:val="22"/>
          <w:szCs w:val="22"/>
        </w:rPr>
      </w:pPr>
      <w:r w:rsidRPr="0054199A">
        <w:rPr>
          <w:b/>
          <w:bCs/>
          <w:sz w:val="22"/>
          <w:szCs w:val="22"/>
        </w:rPr>
        <w:lastRenderedPageBreak/>
        <w:t xml:space="preserve">4.3. </w:t>
      </w:r>
      <w:r w:rsidR="00480FB1" w:rsidRPr="0054199A">
        <w:rPr>
          <w:b/>
          <w:bCs/>
          <w:sz w:val="22"/>
          <w:szCs w:val="22"/>
        </w:rPr>
        <w:tab/>
      </w:r>
      <w:r w:rsidRPr="0054199A">
        <w:rPr>
          <w:b/>
          <w:bCs/>
          <w:sz w:val="22"/>
          <w:szCs w:val="22"/>
        </w:rPr>
        <w:t>Kontraindikacije</w:t>
      </w:r>
    </w:p>
    <w:p w14:paraId="274A0E54" w14:textId="77777777" w:rsidR="00BD2B3C" w:rsidRDefault="00BD2B3C" w:rsidP="008A3E52">
      <w:pPr>
        <w:autoSpaceDE w:val="0"/>
        <w:autoSpaceDN w:val="0"/>
        <w:adjustRightInd w:val="0"/>
        <w:rPr>
          <w:sz w:val="22"/>
          <w:szCs w:val="22"/>
        </w:rPr>
      </w:pPr>
    </w:p>
    <w:p w14:paraId="7FA5EA71" w14:textId="5662CC72" w:rsidR="008A3E52" w:rsidRPr="0054199A" w:rsidRDefault="008A3E52" w:rsidP="008A3E52">
      <w:pPr>
        <w:autoSpaceDE w:val="0"/>
        <w:autoSpaceDN w:val="0"/>
        <w:adjustRightInd w:val="0"/>
        <w:rPr>
          <w:sz w:val="22"/>
          <w:szCs w:val="22"/>
        </w:rPr>
      </w:pPr>
      <w:r w:rsidRPr="0054199A">
        <w:rPr>
          <w:sz w:val="22"/>
          <w:szCs w:val="22"/>
        </w:rPr>
        <w:t>Preosjetljivost na aktivnu supstancu ili neku od pomo</w:t>
      </w:r>
      <w:r w:rsidRPr="0054199A">
        <w:rPr>
          <w:rFonts w:eastAsia="TimesNewRoman"/>
          <w:sz w:val="22"/>
          <w:szCs w:val="22"/>
        </w:rPr>
        <w:t>ć</w:t>
      </w:r>
      <w:r w:rsidRPr="0054199A">
        <w:rPr>
          <w:sz w:val="22"/>
          <w:szCs w:val="22"/>
        </w:rPr>
        <w:t>nih materija lijeka navedenih u dijelu 6.1.</w:t>
      </w:r>
    </w:p>
    <w:p w14:paraId="3004F9CE" w14:textId="77777777" w:rsidR="00BD2B3C" w:rsidRDefault="00BD2B3C" w:rsidP="008A3E52">
      <w:pPr>
        <w:autoSpaceDE w:val="0"/>
        <w:autoSpaceDN w:val="0"/>
        <w:adjustRightInd w:val="0"/>
        <w:rPr>
          <w:sz w:val="22"/>
          <w:szCs w:val="22"/>
        </w:rPr>
      </w:pPr>
    </w:p>
    <w:p w14:paraId="1B1FEC9C" w14:textId="239897D1" w:rsidR="008A3E52" w:rsidRPr="0054199A" w:rsidRDefault="008A3E52" w:rsidP="008A3E52">
      <w:pPr>
        <w:autoSpaceDE w:val="0"/>
        <w:autoSpaceDN w:val="0"/>
        <w:adjustRightInd w:val="0"/>
        <w:rPr>
          <w:sz w:val="22"/>
          <w:szCs w:val="22"/>
        </w:rPr>
      </w:pPr>
      <w:r w:rsidRPr="0054199A">
        <w:rPr>
          <w:sz w:val="22"/>
          <w:szCs w:val="22"/>
        </w:rPr>
        <w:t xml:space="preserve">Docetaksel ne smije da se koristi kod pacijenata sa početnim brojem neutrofila &lt; 1500 </w:t>
      </w:r>
      <w:r w:rsidRPr="0054199A">
        <w:rPr>
          <w:rFonts w:eastAsia="TimesNewRoman"/>
          <w:sz w:val="22"/>
          <w:szCs w:val="22"/>
        </w:rPr>
        <w:t>ć</w:t>
      </w:r>
      <w:r w:rsidRPr="0054199A">
        <w:rPr>
          <w:sz w:val="22"/>
          <w:szCs w:val="22"/>
        </w:rPr>
        <w:t>elija/mm³.</w:t>
      </w:r>
    </w:p>
    <w:p w14:paraId="06EAAEF4" w14:textId="77777777" w:rsidR="00BD2B3C" w:rsidRDefault="00BD2B3C" w:rsidP="008A3E52">
      <w:pPr>
        <w:autoSpaceDE w:val="0"/>
        <w:autoSpaceDN w:val="0"/>
        <w:adjustRightInd w:val="0"/>
        <w:rPr>
          <w:sz w:val="22"/>
          <w:szCs w:val="22"/>
        </w:rPr>
      </w:pPr>
    </w:p>
    <w:p w14:paraId="32C4E461" w14:textId="09C1030C" w:rsidR="008A3E52" w:rsidRPr="0054199A" w:rsidRDefault="008A3E52" w:rsidP="008A3E52">
      <w:pPr>
        <w:autoSpaceDE w:val="0"/>
        <w:autoSpaceDN w:val="0"/>
        <w:adjustRightInd w:val="0"/>
        <w:rPr>
          <w:sz w:val="22"/>
          <w:szCs w:val="22"/>
        </w:rPr>
      </w:pPr>
      <w:r w:rsidRPr="0054199A">
        <w:rPr>
          <w:sz w:val="22"/>
          <w:szCs w:val="22"/>
        </w:rPr>
        <w:t>Docetaksel ne smije da se koristi kod pacijenata sa teškom insuficijencijom jetre jer nema dostupnih podataka (vidjeti ddjelove 4.2 i 4.4).</w:t>
      </w:r>
    </w:p>
    <w:p w14:paraId="467A308F" w14:textId="77777777" w:rsidR="008A3E52" w:rsidRPr="0054199A" w:rsidRDefault="008A3E52" w:rsidP="008A3E52">
      <w:pPr>
        <w:autoSpaceDE w:val="0"/>
        <w:autoSpaceDN w:val="0"/>
        <w:adjustRightInd w:val="0"/>
        <w:rPr>
          <w:sz w:val="22"/>
          <w:szCs w:val="22"/>
        </w:rPr>
      </w:pPr>
    </w:p>
    <w:p w14:paraId="58A5B730" w14:textId="77777777" w:rsidR="008A3E52" w:rsidRPr="0054199A" w:rsidRDefault="008A3E52" w:rsidP="008A3E52">
      <w:pPr>
        <w:pStyle w:val="Header"/>
        <w:tabs>
          <w:tab w:val="left" w:pos="284"/>
        </w:tabs>
        <w:rPr>
          <w:sz w:val="22"/>
          <w:szCs w:val="22"/>
        </w:rPr>
      </w:pPr>
      <w:r w:rsidRPr="0054199A">
        <w:rPr>
          <w:sz w:val="22"/>
          <w:szCs w:val="22"/>
        </w:rPr>
        <w:t>Potrebno je uzeti u obzir i kontraindikacije za druge ljekove, ako se ti ljekovi kombinuju sa docetakselom.</w:t>
      </w:r>
    </w:p>
    <w:p w14:paraId="67BBAB04" w14:textId="77777777" w:rsidR="0072020E" w:rsidRPr="0054199A" w:rsidRDefault="0072020E" w:rsidP="00480FB1">
      <w:pPr>
        <w:tabs>
          <w:tab w:val="left" w:pos="540"/>
          <w:tab w:val="left" w:pos="569"/>
        </w:tabs>
        <w:rPr>
          <w:bCs/>
          <w:sz w:val="22"/>
          <w:szCs w:val="22"/>
        </w:rPr>
      </w:pPr>
    </w:p>
    <w:p w14:paraId="259C9DE9" w14:textId="77777777" w:rsidR="00411B4B" w:rsidRPr="0054199A" w:rsidRDefault="00411B4B" w:rsidP="00480FB1">
      <w:pPr>
        <w:tabs>
          <w:tab w:val="left" w:pos="540"/>
          <w:tab w:val="left" w:pos="569"/>
        </w:tabs>
        <w:rPr>
          <w:b/>
          <w:bCs/>
          <w:sz w:val="22"/>
          <w:szCs w:val="22"/>
        </w:rPr>
      </w:pPr>
      <w:r w:rsidRPr="0054199A">
        <w:rPr>
          <w:b/>
          <w:bCs/>
          <w:sz w:val="22"/>
          <w:szCs w:val="22"/>
        </w:rPr>
        <w:t xml:space="preserve">4.4. </w:t>
      </w:r>
      <w:r w:rsidR="00480FB1" w:rsidRPr="0054199A">
        <w:rPr>
          <w:b/>
          <w:bCs/>
          <w:sz w:val="22"/>
          <w:szCs w:val="22"/>
        </w:rPr>
        <w:tab/>
      </w:r>
      <w:r w:rsidRPr="0054199A">
        <w:rPr>
          <w:b/>
          <w:bCs/>
          <w:sz w:val="22"/>
          <w:szCs w:val="22"/>
        </w:rPr>
        <w:t>Posebna upozorenja i mjere opreza pri upotrebi lijeka</w:t>
      </w:r>
    </w:p>
    <w:p w14:paraId="0462B057" w14:textId="77777777" w:rsidR="0072020E" w:rsidRPr="0054199A" w:rsidRDefault="0072020E" w:rsidP="00480FB1">
      <w:pPr>
        <w:tabs>
          <w:tab w:val="left" w:pos="540"/>
          <w:tab w:val="left" w:pos="569"/>
        </w:tabs>
        <w:rPr>
          <w:bCs/>
          <w:sz w:val="22"/>
          <w:szCs w:val="22"/>
        </w:rPr>
      </w:pPr>
    </w:p>
    <w:p w14:paraId="0462F481" w14:textId="77777777" w:rsidR="005F2068" w:rsidRPr="0054199A" w:rsidRDefault="005F2068" w:rsidP="005F2068">
      <w:pPr>
        <w:autoSpaceDE w:val="0"/>
        <w:autoSpaceDN w:val="0"/>
        <w:adjustRightInd w:val="0"/>
        <w:rPr>
          <w:sz w:val="22"/>
          <w:szCs w:val="22"/>
        </w:rPr>
      </w:pPr>
      <w:r w:rsidRPr="0054199A">
        <w:rPr>
          <w:sz w:val="22"/>
          <w:szCs w:val="22"/>
        </w:rPr>
        <w:t>Kod terapije karcinoma dojke i nemikrocelularnog karcinoma plu</w:t>
      </w:r>
      <w:r w:rsidRPr="0054199A">
        <w:rPr>
          <w:rFonts w:eastAsia="TimesNewRoman"/>
          <w:sz w:val="22"/>
          <w:szCs w:val="22"/>
        </w:rPr>
        <w:t>ć</w:t>
      </w:r>
      <w:r w:rsidRPr="0054199A">
        <w:rPr>
          <w:sz w:val="22"/>
          <w:szCs w:val="22"/>
        </w:rPr>
        <w:t>a, premedikacija oralnim kortikosteroidom, kao što je deksametazon u dozi od 16 mg dnevno (npr. 8 mg dva puta dnevno) u trajanju od 3 dana, po</w:t>
      </w:r>
      <w:r w:rsidRPr="0054199A">
        <w:rPr>
          <w:rFonts w:eastAsia="TimesNewRoman"/>
          <w:sz w:val="22"/>
          <w:szCs w:val="22"/>
        </w:rPr>
        <w:t>č</w:t>
      </w:r>
      <w:r w:rsidRPr="0054199A">
        <w:rPr>
          <w:sz w:val="22"/>
          <w:szCs w:val="22"/>
        </w:rPr>
        <w:t>evši dan prije primjene docetaksela, osim ako nije kontraindikovano, može da smanji u</w:t>
      </w:r>
      <w:r w:rsidRPr="0054199A">
        <w:rPr>
          <w:rFonts w:eastAsia="TimesNewRoman"/>
          <w:sz w:val="22"/>
          <w:szCs w:val="22"/>
        </w:rPr>
        <w:t>č</w:t>
      </w:r>
      <w:r w:rsidRPr="0054199A">
        <w:rPr>
          <w:sz w:val="22"/>
          <w:szCs w:val="22"/>
        </w:rPr>
        <w:t>estalost javljanja i intenzitet retencije te</w:t>
      </w:r>
      <w:r w:rsidRPr="0054199A">
        <w:rPr>
          <w:rFonts w:eastAsia="TimesNewRoman"/>
          <w:sz w:val="22"/>
          <w:szCs w:val="22"/>
        </w:rPr>
        <w:t>č</w:t>
      </w:r>
      <w:r w:rsidRPr="0054199A">
        <w:rPr>
          <w:sz w:val="22"/>
          <w:szCs w:val="22"/>
        </w:rPr>
        <w:t>nosti, kao i ozbiljnost reakcija preosjetljivosti. U slu</w:t>
      </w:r>
      <w:r w:rsidRPr="0054199A">
        <w:rPr>
          <w:rFonts w:eastAsia="TimesNewRoman"/>
          <w:sz w:val="22"/>
          <w:szCs w:val="22"/>
        </w:rPr>
        <w:t>č</w:t>
      </w:r>
      <w:r w:rsidRPr="0054199A">
        <w:rPr>
          <w:sz w:val="22"/>
          <w:szCs w:val="22"/>
        </w:rPr>
        <w:t>aju karcinoma prostate, premedikacija se sastoji od oralne primjene deksametazona u dozi od 8 mg, 12 sati, 3 sata i 1 sat prije infuzije docetaksela (vidjeti dio 4.2).</w:t>
      </w:r>
    </w:p>
    <w:p w14:paraId="634A9CAD" w14:textId="77777777" w:rsidR="005F2068" w:rsidRPr="0054199A" w:rsidRDefault="005F2068" w:rsidP="005F2068">
      <w:pPr>
        <w:autoSpaceDE w:val="0"/>
        <w:autoSpaceDN w:val="0"/>
        <w:adjustRightInd w:val="0"/>
        <w:rPr>
          <w:sz w:val="22"/>
          <w:szCs w:val="22"/>
        </w:rPr>
      </w:pPr>
    </w:p>
    <w:p w14:paraId="4069924F" w14:textId="77777777" w:rsidR="005F2068" w:rsidRPr="0054199A" w:rsidRDefault="005F2068" w:rsidP="005F2068">
      <w:pPr>
        <w:keepNext/>
        <w:autoSpaceDE w:val="0"/>
        <w:autoSpaceDN w:val="0"/>
        <w:adjustRightInd w:val="0"/>
        <w:rPr>
          <w:sz w:val="22"/>
          <w:szCs w:val="22"/>
          <w:u w:val="single"/>
        </w:rPr>
      </w:pPr>
      <w:r w:rsidRPr="0054199A">
        <w:rPr>
          <w:sz w:val="22"/>
          <w:szCs w:val="22"/>
          <w:u w:val="single"/>
        </w:rPr>
        <w:t>Hematologija</w:t>
      </w:r>
    </w:p>
    <w:p w14:paraId="2D1EA509" w14:textId="77777777" w:rsidR="005F2068" w:rsidRPr="0054199A" w:rsidRDefault="005F2068" w:rsidP="005F2068">
      <w:pPr>
        <w:autoSpaceDE w:val="0"/>
        <w:autoSpaceDN w:val="0"/>
        <w:adjustRightInd w:val="0"/>
        <w:rPr>
          <w:sz w:val="22"/>
          <w:szCs w:val="22"/>
          <w:u w:val="single"/>
        </w:rPr>
      </w:pPr>
    </w:p>
    <w:p w14:paraId="0BAE16ED" w14:textId="77777777" w:rsidR="005F2068" w:rsidRPr="0054199A" w:rsidRDefault="005F2068" w:rsidP="005F2068">
      <w:pPr>
        <w:autoSpaceDE w:val="0"/>
        <w:autoSpaceDN w:val="0"/>
        <w:adjustRightInd w:val="0"/>
        <w:rPr>
          <w:sz w:val="22"/>
          <w:szCs w:val="22"/>
        </w:rPr>
      </w:pPr>
      <w:r w:rsidRPr="0054199A">
        <w:rPr>
          <w:sz w:val="22"/>
          <w:szCs w:val="22"/>
        </w:rPr>
        <w:t>Naj</w:t>
      </w:r>
      <w:r w:rsidRPr="0054199A">
        <w:rPr>
          <w:rFonts w:eastAsia="TimesNewRoman"/>
          <w:sz w:val="22"/>
          <w:szCs w:val="22"/>
        </w:rPr>
        <w:t>č</w:t>
      </w:r>
      <w:r w:rsidRPr="0054199A">
        <w:rPr>
          <w:sz w:val="22"/>
          <w:szCs w:val="22"/>
        </w:rPr>
        <w:t>eš</w:t>
      </w:r>
      <w:r w:rsidRPr="0054199A">
        <w:rPr>
          <w:rFonts w:eastAsia="TimesNewRoman"/>
          <w:sz w:val="22"/>
          <w:szCs w:val="22"/>
        </w:rPr>
        <w:t>ć</w:t>
      </w:r>
      <w:r w:rsidRPr="0054199A">
        <w:rPr>
          <w:sz w:val="22"/>
          <w:szCs w:val="22"/>
        </w:rPr>
        <w:t>a neželjena reakcija na docetaksel je neutropenija. Najniže vrijednosti neutrofila javljale su se u prosjeku nakon 7 dana, ali ovaj interval može, kod pacijenata koji su prethodno primali intenzivnu terapiju, biti i kra</w:t>
      </w:r>
      <w:r w:rsidRPr="0054199A">
        <w:rPr>
          <w:rFonts w:eastAsia="TimesNewRoman"/>
          <w:sz w:val="22"/>
          <w:szCs w:val="22"/>
        </w:rPr>
        <w:t>ć</w:t>
      </w:r>
      <w:r w:rsidRPr="0054199A">
        <w:rPr>
          <w:sz w:val="22"/>
          <w:szCs w:val="22"/>
        </w:rPr>
        <w:t xml:space="preserve">i. Kod svih pacijenata koji primaju docetaksel neophodne su </w:t>
      </w:r>
      <w:r w:rsidRPr="0054199A">
        <w:rPr>
          <w:rFonts w:eastAsia="TimesNewRoman"/>
          <w:sz w:val="22"/>
          <w:szCs w:val="22"/>
        </w:rPr>
        <w:t>č</w:t>
      </w:r>
      <w:r w:rsidRPr="0054199A">
        <w:rPr>
          <w:sz w:val="22"/>
          <w:szCs w:val="22"/>
        </w:rPr>
        <w:t>este provjere i pra</w:t>
      </w:r>
      <w:r w:rsidRPr="0054199A">
        <w:rPr>
          <w:rFonts w:eastAsia="TimesNewRoman"/>
          <w:sz w:val="22"/>
          <w:szCs w:val="22"/>
        </w:rPr>
        <w:t>ć</w:t>
      </w:r>
      <w:r w:rsidRPr="0054199A">
        <w:rPr>
          <w:sz w:val="22"/>
          <w:szCs w:val="22"/>
        </w:rPr>
        <w:t xml:space="preserve">enje kompletne krvne slike. Pacijenti mogu ponovo primati docetaksel tek kad se broj neutrofila vrati na vrijednost </w:t>
      </w:r>
      <w:r w:rsidRPr="0054199A">
        <w:rPr>
          <w:rFonts w:eastAsia="TimesNewRoman"/>
          <w:sz w:val="22"/>
          <w:szCs w:val="22"/>
        </w:rPr>
        <w:t xml:space="preserve">≥ </w:t>
      </w:r>
      <w:r w:rsidRPr="0054199A">
        <w:rPr>
          <w:sz w:val="22"/>
          <w:szCs w:val="22"/>
        </w:rPr>
        <w:t>1500 </w:t>
      </w:r>
      <w:r w:rsidRPr="0054199A">
        <w:rPr>
          <w:rFonts w:eastAsia="TimesNewRoman"/>
          <w:sz w:val="22"/>
          <w:szCs w:val="22"/>
        </w:rPr>
        <w:t>ć</w:t>
      </w:r>
      <w:r w:rsidRPr="0054199A">
        <w:rPr>
          <w:sz w:val="22"/>
          <w:szCs w:val="22"/>
        </w:rPr>
        <w:t>elija/mm³ (vidjeti dio 4.2).</w:t>
      </w:r>
    </w:p>
    <w:p w14:paraId="30B22E9B" w14:textId="77777777" w:rsidR="005F2068" w:rsidRPr="0054199A" w:rsidRDefault="005F2068" w:rsidP="005F2068">
      <w:pPr>
        <w:autoSpaceDE w:val="0"/>
        <w:autoSpaceDN w:val="0"/>
        <w:adjustRightInd w:val="0"/>
        <w:rPr>
          <w:sz w:val="22"/>
          <w:szCs w:val="22"/>
        </w:rPr>
      </w:pPr>
    </w:p>
    <w:p w14:paraId="3EB2C61A" w14:textId="77777777" w:rsidR="005F2068" w:rsidRPr="0054199A" w:rsidRDefault="005F2068" w:rsidP="005F2068">
      <w:pPr>
        <w:autoSpaceDE w:val="0"/>
        <w:autoSpaceDN w:val="0"/>
        <w:adjustRightInd w:val="0"/>
        <w:rPr>
          <w:sz w:val="22"/>
          <w:szCs w:val="22"/>
        </w:rPr>
      </w:pPr>
      <w:r w:rsidRPr="0054199A">
        <w:rPr>
          <w:sz w:val="22"/>
          <w:szCs w:val="22"/>
        </w:rPr>
        <w:t>U slu</w:t>
      </w:r>
      <w:r w:rsidRPr="0054199A">
        <w:rPr>
          <w:rFonts w:eastAsia="TimesNewRoman"/>
          <w:sz w:val="22"/>
          <w:szCs w:val="22"/>
        </w:rPr>
        <w:t>č</w:t>
      </w:r>
      <w:r w:rsidRPr="0054199A">
        <w:rPr>
          <w:sz w:val="22"/>
          <w:szCs w:val="22"/>
        </w:rPr>
        <w:t xml:space="preserve">aju da se tokom terapije docetakselom javi teška neutropenija (&lt; 500 </w:t>
      </w:r>
      <w:r w:rsidRPr="0054199A">
        <w:rPr>
          <w:rFonts w:eastAsia="TimesNewRoman"/>
          <w:sz w:val="22"/>
          <w:szCs w:val="22"/>
        </w:rPr>
        <w:t>ć</w:t>
      </w:r>
      <w:r w:rsidRPr="0054199A">
        <w:rPr>
          <w:sz w:val="22"/>
          <w:szCs w:val="22"/>
        </w:rPr>
        <w:t>elija/mm³ u periodu od sedam ili više dana) preporu</w:t>
      </w:r>
      <w:r w:rsidRPr="0054199A">
        <w:rPr>
          <w:rFonts w:eastAsia="TimesNewRoman"/>
          <w:sz w:val="22"/>
          <w:szCs w:val="22"/>
        </w:rPr>
        <w:t>č</w:t>
      </w:r>
      <w:r w:rsidRPr="0054199A">
        <w:rPr>
          <w:sz w:val="22"/>
          <w:szCs w:val="22"/>
        </w:rPr>
        <w:t>uje se smanjenje doze u narednim ciklusima terapije ili primjena odgovaraju</w:t>
      </w:r>
      <w:r w:rsidRPr="0054199A">
        <w:rPr>
          <w:rFonts w:eastAsia="TimesNewRoman"/>
          <w:sz w:val="22"/>
          <w:szCs w:val="22"/>
        </w:rPr>
        <w:t>ć</w:t>
      </w:r>
      <w:r w:rsidRPr="0054199A">
        <w:rPr>
          <w:sz w:val="22"/>
          <w:szCs w:val="22"/>
        </w:rPr>
        <w:t>ih simptomatskih mjera (vidjeti dio 4.2).</w:t>
      </w:r>
    </w:p>
    <w:p w14:paraId="6B66AC75" w14:textId="77777777" w:rsidR="005F2068" w:rsidRPr="0054199A" w:rsidRDefault="005F2068" w:rsidP="005F2068">
      <w:pPr>
        <w:autoSpaceDE w:val="0"/>
        <w:autoSpaceDN w:val="0"/>
        <w:adjustRightInd w:val="0"/>
        <w:rPr>
          <w:sz w:val="22"/>
          <w:szCs w:val="22"/>
        </w:rPr>
      </w:pPr>
    </w:p>
    <w:p w14:paraId="5CF2FC9D" w14:textId="4C9E9224" w:rsidR="005F2068" w:rsidRPr="00E26E8A" w:rsidRDefault="005F2068" w:rsidP="005F2068">
      <w:pPr>
        <w:autoSpaceDE w:val="0"/>
        <w:autoSpaceDN w:val="0"/>
        <w:adjustRightInd w:val="0"/>
        <w:rPr>
          <w:sz w:val="22"/>
          <w:szCs w:val="22"/>
        </w:rPr>
      </w:pPr>
      <w:r w:rsidRPr="0054199A">
        <w:rPr>
          <w:sz w:val="22"/>
          <w:szCs w:val="22"/>
        </w:rPr>
        <w:t>Kod pacijenata koji su primali docetaksel u kombinaciji sa cisplatinom i 5-fluorouracilom (TCF), febrilna neutropenija i neutropenijske infekcije su se rje</w:t>
      </w:r>
      <w:r w:rsidRPr="0054199A">
        <w:rPr>
          <w:rFonts w:eastAsia="TimesNewRoman"/>
          <w:sz w:val="22"/>
          <w:szCs w:val="22"/>
        </w:rPr>
        <w:t>đ</w:t>
      </w:r>
      <w:r w:rsidRPr="0054199A">
        <w:rPr>
          <w:sz w:val="22"/>
          <w:szCs w:val="22"/>
        </w:rPr>
        <w:t>e javljale ako su pacijenti profilakti</w:t>
      </w:r>
      <w:r w:rsidRPr="0054199A">
        <w:rPr>
          <w:rFonts w:eastAsia="TimesNewRoman"/>
          <w:sz w:val="22"/>
          <w:szCs w:val="22"/>
        </w:rPr>
        <w:t>č</w:t>
      </w:r>
      <w:r w:rsidRPr="0054199A">
        <w:rPr>
          <w:sz w:val="22"/>
          <w:szCs w:val="22"/>
        </w:rPr>
        <w:t>ki primali G-CSF. Pacijenti liječeni pomoću TCF profilakti</w:t>
      </w:r>
      <w:r w:rsidRPr="0054199A">
        <w:rPr>
          <w:rFonts w:eastAsia="TimesNewRoman"/>
          <w:sz w:val="22"/>
          <w:szCs w:val="22"/>
        </w:rPr>
        <w:t>č</w:t>
      </w:r>
      <w:r w:rsidRPr="0054199A">
        <w:rPr>
          <w:sz w:val="22"/>
          <w:szCs w:val="22"/>
        </w:rPr>
        <w:t xml:space="preserve">ki treba da primaju G-CSF u cilju ublažavanja rizika od komplikovane neutropenije (febrilna neutropenija, dugotrajna neutropenija ili neutropenijske infekcije). </w:t>
      </w:r>
      <w:r w:rsidRPr="00E26E8A">
        <w:rPr>
          <w:sz w:val="22"/>
          <w:szCs w:val="22"/>
        </w:rPr>
        <w:t xml:space="preserve">Pacijente koji primaju TCF potrebno je strogo pratiti (vidjeti </w:t>
      </w:r>
      <w:r>
        <w:rPr>
          <w:sz w:val="22"/>
          <w:szCs w:val="22"/>
        </w:rPr>
        <w:t>djelove</w:t>
      </w:r>
      <w:r w:rsidRPr="00E26E8A">
        <w:rPr>
          <w:sz w:val="22"/>
          <w:szCs w:val="22"/>
        </w:rPr>
        <w:t xml:space="preserve"> 4.2 i 4.8).</w:t>
      </w:r>
    </w:p>
    <w:p w14:paraId="70D1F377" w14:textId="77777777" w:rsidR="005F2068" w:rsidRPr="00E26E8A" w:rsidRDefault="005F2068" w:rsidP="005F2068">
      <w:pPr>
        <w:autoSpaceDE w:val="0"/>
        <w:autoSpaceDN w:val="0"/>
        <w:adjustRightInd w:val="0"/>
        <w:rPr>
          <w:sz w:val="22"/>
          <w:szCs w:val="22"/>
        </w:rPr>
      </w:pPr>
    </w:p>
    <w:p w14:paraId="417613AB" w14:textId="7A595D83" w:rsidR="005F2068" w:rsidRPr="00E26E8A" w:rsidRDefault="005F2068" w:rsidP="005F2068">
      <w:pPr>
        <w:autoSpaceDE w:val="0"/>
        <w:autoSpaceDN w:val="0"/>
        <w:adjustRightInd w:val="0"/>
        <w:rPr>
          <w:sz w:val="22"/>
          <w:szCs w:val="22"/>
        </w:rPr>
      </w:pPr>
      <w:r w:rsidRPr="00E26E8A">
        <w:rPr>
          <w:sz w:val="22"/>
          <w:szCs w:val="22"/>
        </w:rPr>
        <w:t>Kod pacijenata liječenih docetakselom u kombinaciji sa doksorubicinom i ciklofosfamidom (TAC), febrilna neutropenija i/ili neutropenijske infekcije su se rje</w:t>
      </w:r>
      <w:r w:rsidRPr="00E26E8A">
        <w:rPr>
          <w:rFonts w:eastAsia="TimesNewRoman"/>
          <w:sz w:val="22"/>
          <w:szCs w:val="22"/>
        </w:rPr>
        <w:t>đ</w:t>
      </w:r>
      <w:r w:rsidRPr="00E26E8A">
        <w:rPr>
          <w:sz w:val="22"/>
          <w:szCs w:val="22"/>
        </w:rPr>
        <w:t xml:space="preserve">e javljale ako su pacijenti primali G-CSF kao primarnu profilaksu. G-CSF kao primarnu profilaksu treba razmotriti kod pacijenata koji primaju adjuvantnu terapiju TAC-om za karcinom dojke kako bi se ublažio rizik od komplikovane neutropenije (febrilna neutropenija, produžena neutropenija ili neutropenijska infekcija). Pacijente koji primaju TAC potrebno je strogo pratiti (vidjeti </w:t>
      </w:r>
      <w:r>
        <w:rPr>
          <w:sz w:val="22"/>
          <w:szCs w:val="22"/>
        </w:rPr>
        <w:t>djelove</w:t>
      </w:r>
      <w:r w:rsidRPr="00E26E8A">
        <w:rPr>
          <w:sz w:val="22"/>
          <w:szCs w:val="22"/>
        </w:rPr>
        <w:t xml:space="preserve"> 4.2 i 4.8).</w:t>
      </w:r>
    </w:p>
    <w:p w14:paraId="69DD4F46" w14:textId="77777777" w:rsidR="005F2068" w:rsidRPr="00E26E8A" w:rsidRDefault="005F2068" w:rsidP="005F2068">
      <w:pPr>
        <w:autoSpaceDE w:val="0"/>
        <w:autoSpaceDN w:val="0"/>
        <w:adjustRightInd w:val="0"/>
        <w:rPr>
          <w:sz w:val="22"/>
          <w:szCs w:val="22"/>
        </w:rPr>
      </w:pPr>
    </w:p>
    <w:p w14:paraId="6A372D8F" w14:textId="77777777" w:rsidR="005F2068" w:rsidRPr="00E26E8A" w:rsidRDefault="005F2068" w:rsidP="005F2068">
      <w:pPr>
        <w:autoSpaceDE w:val="0"/>
        <w:autoSpaceDN w:val="0"/>
        <w:adjustRightInd w:val="0"/>
        <w:rPr>
          <w:sz w:val="22"/>
          <w:szCs w:val="22"/>
          <w:u w:val="single"/>
        </w:rPr>
      </w:pPr>
      <w:r w:rsidRPr="00E26E8A">
        <w:rPr>
          <w:sz w:val="22"/>
          <w:szCs w:val="22"/>
          <w:u w:val="single"/>
        </w:rPr>
        <w:t>Gastrointestinalne reakcije</w:t>
      </w:r>
    </w:p>
    <w:p w14:paraId="61DBADD3" w14:textId="77777777" w:rsidR="005F2068" w:rsidRPr="00E26E8A" w:rsidRDefault="005F2068" w:rsidP="005F2068">
      <w:pPr>
        <w:autoSpaceDE w:val="0"/>
        <w:autoSpaceDN w:val="0"/>
        <w:adjustRightInd w:val="0"/>
        <w:rPr>
          <w:sz w:val="22"/>
          <w:szCs w:val="22"/>
          <w:u w:val="single"/>
        </w:rPr>
      </w:pPr>
    </w:p>
    <w:p w14:paraId="43A8608D" w14:textId="77777777" w:rsidR="005F2068" w:rsidRPr="00E26E8A" w:rsidRDefault="005F2068" w:rsidP="005F2068">
      <w:pPr>
        <w:autoSpaceDE w:val="0"/>
        <w:autoSpaceDN w:val="0"/>
        <w:adjustRightInd w:val="0"/>
        <w:rPr>
          <w:sz w:val="22"/>
          <w:szCs w:val="22"/>
        </w:rPr>
      </w:pPr>
      <w:r w:rsidRPr="00E26E8A">
        <w:rPr>
          <w:sz w:val="22"/>
          <w:szCs w:val="22"/>
        </w:rPr>
        <w:t xml:space="preserve">Preporučuje se oprez kod pacijenata sa neutropenijom, naročito kod onih izloženih riziku od nastanka gastrointestinalnih komplikacija. Iako se većina slučajeva desila tokom prvog ili drugog ciklusa režima koji sadrži docetaksel, enterokolitis može da se javi u bilo koje vrijeme i može da dovede do smrti već prvog dana javljanja. Pacijente je potrebno pažljivo pratiti u pogledu ranih manifestacija teške gastrointestinalne toksičnosti (vidjeti </w:t>
      </w:r>
      <w:r>
        <w:rPr>
          <w:sz w:val="22"/>
          <w:szCs w:val="22"/>
        </w:rPr>
        <w:t>djelovedjelove</w:t>
      </w:r>
      <w:r w:rsidRPr="00E26E8A">
        <w:rPr>
          <w:sz w:val="22"/>
          <w:szCs w:val="22"/>
        </w:rPr>
        <w:t xml:space="preserve"> 4.2, 4.4 Hematologija i 4.8).</w:t>
      </w:r>
    </w:p>
    <w:p w14:paraId="2D8CE674" w14:textId="77777777" w:rsidR="005F2068" w:rsidRPr="00E26E8A" w:rsidRDefault="005F2068" w:rsidP="005F2068">
      <w:pPr>
        <w:autoSpaceDE w:val="0"/>
        <w:autoSpaceDN w:val="0"/>
        <w:adjustRightInd w:val="0"/>
        <w:rPr>
          <w:sz w:val="22"/>
          <w:szCs w:val="22"/>
        </w:rPr>
      </w:pPr>
    </w:p>
    <w:p w14:paraId="1171B2D4" w14:textId="77777777" w:rsidR="005F2068" w:rsidRPr="00E26E8A" w:rsidRDefault="005F2068" w:rsidP="005F2068">
      <w:pPr>
        <w:autoSpaceDE w:val="0"/>
        <w:autoSpaceDN w:val="0"/>
        <w:adjustRightInd w:val="0"/>
        <w:rPr>
          <w:sz w:val="22"/>
          <w:szCs w:val="22"/>
          <w:u w:val="single"/>
        </w:rPr>
      </w:pPr>
      <w:r w:rsidRPr="00E26E8A">
        <w:rPr>
          <w:sz w:val="22"/>
          <w:szCs w:val="22"/>
          <w:u w:val="single"/>
        </w:rPr>
        <w:t>Reakcije preosjetljivosti</w:t>
      </w:r>
    </w:p>
    <w:p w14:paraId="51E63BD1" w14:textId="77777777" w:rsidR="005F2068" w:rsidRPr="00E26E8A" w:rsidRDefault="005F2068" w:rsidP="005F2068">
      <w:pPr>
        <w:autoSpaceDE w:val="0"/>
        <w:autoSpaceDN w:val="0"/>
        <w:adjustRightInd w:val="0"/>
        <w:rPr>
          <w:sz w:val="22"/>
          <w:szCs w:val="22"/>
          <w:u w:val="single"/>
        </w:rPr>
      </w:pPr>
    </w:p>
    <w:p w14:paraId="0891A1BD" w14:textId="77777777" w:rsidR="005F2068" w:rsidRPr="00E26E8A" w:rsidRDefault="005F2068" w:rsidP="005F2068">
      <w:pPr>
        <w:autoSpaceDE w:val="0"/>
        <w:autoSpaceDN w:val="0"/>
        <w:adjustRightInd w:val="0"/>
        <w:rPr>
          <w:sz w:val="22"/>
          <w:szCs w:val="22"/>
        </w:rPr>
      </w:pPr>
      <w:r w:rsidRPr="00E26E8A">
        <w:rPr>
          <w:sz w:val="22"/>
          <w:szCs w:val="22"/>
        </w:rPr>
        <w:lastRenderedPageBreak/>
        <w:t>Potrebno je pažljivo pra</w:t>
      </w:r>
      <w:r w:rsidRPr="00E26E8A">
        <w:rPr>
          <w:rFonts w:eastAsia="TimesNewRoman"/>
          <w:sz w:val="22"/>
          <w:szCs w:val="22"/>
        </w:rPr>
        <w:t>ć</w:t>
      </w:r>
      <w:r w:rsidRPr="00E26E8A">
        <w:rPr>
          <w:sz w:val="22"/>
          <w:szCs w:val="22"/>
        </w:rPr>
        <w:t>enje pacijenata u cilju otkrivanja pojave reakcija preosjetljivosti, posebno tokom prve i druge infuzije. Reakcije preosjetljivosti se mogu javiti u prvih nekoliko minuta od po</w:t>
      </w:r>
      <w:r w:rsidRPr="00E26E8A">
        <w:rPr>
          <w:rFonts w:eastAsia="TimesNewRoman"/>
          <w:sz w:val="22"/>
          <w:szCs w:val="22"/>
        </w:rPr>
        <w:t>č</w:t>
      </w:r>
      <w:r w:rsidRPr="00E26E8A">
        <w:rPr>
          <w:sz w:val="22"/>
          <w:szCs w:val="22"/>
        </w:rPr>
        <w:t>etka infuzije docetaksela, pa na raspolaganju mora biti sve što je potrebno za terapiju u slu</w:t>
      </w:r>
      <w:r w:rsidRPr="00E26E8A">
        <w:rPr>
          <w:rFonts w:eastAsia="TimesNewRoman"/>
          <w:sz w:val="22"/>
          <w:szCs w:val="22"/>
        </w:rPr>
        <w:t>č</w:t>
      </w:r>
      <w:r w:rsidRPr="00E26E8A">
        <w:rPr>
          <w:sz w:val="22"/>
          <w:szCs w:val="22"/>
        </w:rPr>
        <w:t>aju hipotenzije i bronhospazma. Ukoliko se jave reakcije preosjetljivosti, manji simptomi kao što su crvenilo ili lokalne kožne reakcije ne zahtijevaju prekid terapije. Me</w:t>
      </w:r>
      <w:r w:rsidRPr="00E26E8A">
        <w:rPr>
          <w:rFonts w:eastAsia="TimesNewRoman"/>
          <w:sz w:val="22"/>
          <w:szCs w:val="22"/>
        </w:rPr>
        <w:t>đ</w:t>
      </w:r>
      <w:r w:rsidRPr="00E26E8A">
        <w:rPr>
          <w:sz w:val="22"/>
          <w:szCs w:val="22"/>
        </w:rPr>
        <w:t>utim, teške reakcije, kao što su izražena hipotenzija, bronhospazam ili generalizovani osip/eritem, zahtijevaju trenutni prekid primjene docetaksela i odgovaraju</w:t>
      </w:r>
      <w:r w:rsidRPr="00E26E8A">
        <w:rPr>
          <w:rFonts w:eastAsia="TimesNewRoman"/>
          <w:sz w:val="22"/>
          <w:szCs w:val="22"/>
        </w:rPr>
        <w:t>ć</w:t>
      </w:r>
      <w:r w:rsidRPr="00E26E8A">
        <w:rPr>
          <w:sz w:val="22"/>
          <w:szCs w:val="22"/>
        </w:rPr>
        <w:t>u terapiju. Pacijentima kod kojih su se javile teške reakcije preosjetljivosti docetaksel se ne smije ponovo davati.</w:t>
      </w:r>
    </w:p>
    <w:p w14:paraId="55F676D9" w14:textId="77777777" w:rsidR="005F2068" w:rsidRPr="00E26E8A" w:rsidRDefault="005F2068" w:rsidP="005F2068">
      <w:pPr>
        <w:autoSpaceDE w:val="0"/>
        <w:autoSpaceDN w:val="0"/>
        <w:adjustRightInd w:val="0"/>
        <w:rPr>
          <w:sz w:val="22"/>
          <w:szCs w:val="22"/>
        </w:rPr>
      </w:pPr>
      <w:r w:rsidRPr="00E26E8A">
        <w:rPr>
          <w:sz w:val="22"/>
          <w:szCs w:val="22"/>
        </w:rPr>
        <w:t>Kod pacijenata koji su ranije imali reakcije preosjetljivosti na paklitaksel postoji rizik od razvoja reakcije preosjetljivosti na docetaksel, uključujući i tešku reakciju preosjetljivosti. Ove pacijente treba pažljivo pratiti tokom započinjanja terapije docetakselom.</w:t>
      </w:r>
    </w:p>
    <w:p w14:paraId="6B3A3C98" w14:textId="77777777" w:rsidR="005F2068" w:rsidRPr="00E26E8A" w:rsidRDefault="005F2068" w:rsidP="005F2068">
      <w:pPr>
        <w:autoSpaceDE w:val="0"/>
        <w:autoSpaceDN w:val="0"/>
        <w:adjustRightInd w:val="0"/>
        <w:rPr>
          <w:sz w:val="22"/>
          <w:szCs w:val="22"/>
        </w:rPr>
      </w:pPr>
    </w:p>
    <w:p w14:paraId="34338449" w14:textId="77777777" w:rsidR="005F2068" w:rsidRPr="00E26E8A" w:rsidRDefault="005F2068" w:rsidP="005F2068">
      <w:pPr>
        <w:autoSpaceDE w:val="0"/>
        <w:autoSpaceDN w:val="0"/>
        <w:adjustRightInd w:val="0"/>
        <w:rPr>
          <w:sz w:val="22"/>
          <w:szCs w:val="22"/>
          <w:u w:val="single"/>
        </w:rPr>
      </w:pPr>
      <w:r w:rsidRPr="00E26E8A">
        <w:rPr>
          <w:sz w:val="22"/>
          <w:szCs w:val="22"/>
          <w:u w:val="single"/>
        </w:rPr>
        <w:t>Kožne reakcije</w:t>
      </w:r>
    </w:p>
    <w:p w14:paraId="3766C21B" w14:textId="77777777" w:rsidR="005F2068" w:rsidRPr="00E26E8A" w:rsidRDefault="005F2068" w:rsidP="005F2068">
      <w:pPr>
        <w:autoSpaceDE w:val="0"/>
        <w:autoSpaceDN w:val="0"/>
        <w:adjustRightInd w:val="0"/>
        <w:rPr>
          <w:sz w:val="22"/>
          <w:szCs w:val="22"/>
          <w:u w:val="single"/>
        </w:rPr>
      </w:pPr>
    </w:p>
    <w:p w14:paraId="7C315AA0" w14:textId="77777777" w:rsidR="005F2068" w:rsidRPr="00B02007" w:rsidRDefault="005F2068" w:rsidP="005F2068">
      <w:pPr>
        <w:autoSpaceDE w:val="0"/>
        <w:autoSpaceDN w:val="0"/>
        <w:adjustRightInd w:val="0"/>
        <w:rPr>
          <w:sz w:val="22"/>
          <w:szCs w:val="22"/>
        </w:rPr>
      </w:pPr>
      <w:r w:rsidRPr="00E26E8A">
        <w:rPr>
          <w:sz w:val="22"/>
          <w:szCs w:val="22"/>
        </w:rPr>
        <w:t>Uo</w:t>
      </w:r>
      <w:r w:rsidRPr="00E26E8A">
        <w:rPr>
          <w:rFonts w:eastAsia="TimesNewRoman"/>
          <w:sz w:val="22"/>
          <w:szCs w:val="22"/>
        </w:rPr>
        <w:t>č</w:t>
      </w:r>
      <w:r w:rsidRPr="00E26E8A">
        <w:rPr>
          <w:sz w:val="22"/>
          <w:szCs w:val="22"/>
        </w:rPr>
        <w:t xml:space="preserve">ena je pojava lokalizovanog eritema na koži ekstremiteta (dlanova i tabana) sa edemom, poslije kojeg se javlja deskvamacija. Osim toga, prijavljena je i pojava teških simptoma, kao što su erupcije po koži sa deskvamacijom, koji su doveli do privremenog ili potpunog prekida primjene docetaksela (vidjeti </w:t>
      </w:r>
      <w:r>
        <w:rPr>
          <w:sz w:val="22"/>
          <w:szCs w:val="22"/>
        </w:rPr>
        <w:t>dio</w:t>
      </w:r>
      <w:r w:rsidRPr="00E26E8A">
        <w:rPr>
          <w:sz w:val="22"/>
          <w:szCs w:val="22"/>
        </w:rPr>
        <w:t xml:space="preserve"> 4.2).</w:t>
      </w:r>
    </w:p>
    <w:p w14:paraId="0C6E9DA5" w14:textId="77777777" w:rsidR="005F2068" w:rsidRPr="005F707A" w:rsidRDefault="005F2068" w:rsidP="005F2068">
      <w:pPr>
        <w:autoSpaceDE w:val="0"/>
        <w:autoSpaceDN w:val="0"/>
        <w:adjustRightInd w:val="0"/>
        <w:rPr>
          <w:sz w:val="22"/>
          <w:szCs w:val="22"/>
        </w:rPr>
      </w:pPr>
    </w:p>
    <w:p w14:paraId="0AA27D9D" w14:textId="77777777" w:rsidR="005F2068" w:rsidRPr="00E26E8A" w:rsidRDefault="005F2068" w:rsidP="005F2068">
      <w:pPr>
        <w:pStyle w:val="NormalIndent"/>
        <w:spacing w:after="0"/>
        <w:ind w:left="0"/>
        <w:rPr>
          <w:szCs w:val="22"/>
          <w:lang w:val="sr-Latn-ME"/>
        </w:rPr>
      </w:pPr>
      <w:r w:rsidRPr="00D900F4">
        <w:rPr>
          <w:szCs w:val="22"/>
          <w:lang w:val="de-AT"/>
        </w:rPr>
        <w:t>Ozbiljne</w:t>
      </w:r>
      <w:r w:rsidRPr="006768AC">
        <w:rPr>
          <w:szCs w:val="22"/>
          <w:lang w:val="sr-Latn-ME"/>
        </w:rPr>
        <w:t xml:space="preserve"> </w:t>
      </w:r>
      <w:r w:rsidRPr="00D900F4">
        <w:rPr>
          <w:szCs w:val="22"/>
          <w:lang w:val="de-AT"/>
        </w:rPr>
        <w:t>ne</w:t>
      </w:r>
      <w:r w:rsidRPr="006768AC">
        <w:rPr>
          <w:szCs w:val="22"/>
          <w:lang w:val="sr-Latn-ME"/>
        </w:rPr>
        <w:t>ž</w:t>
      </w:r>
      <w:r w:rsidRPr="00D900F4">
        <w:rPr>
          <w:szCs w:val="22"/>
          <w:lang w:val="de-AT"/>
        </w:rPr>
        <w:t>eljene</w:t>
      </w:r>
      <w:r w:rsidRPr="006768AC">
        <w:rPr>
          <w:szCs w:val="22"/>
          <w:lang w:val="sr-Latn-ME"/>
        </w:rPr>
        <w:t xml:space="preserve"> </w:t>
      </w:r>
      <w:r w:rsidRPr="00D900F4">
        <w:rPr>
          <w:szCs w:val="22"/>
          <w:lang w:val="de-AT"/>
        </w:rPr>
        <w:t>reakcije</w:t>
      </w:r>
      <w:r w:rsidRPr="006768AC">
        <w:rPr>
          <w:szCs w:val="22"/>
          <w:lang w:val="sr-Latn-ME"/>
        </w:rPr>
        <w:t xml:space="preserve"> </w:t>
      </w:r>
      <w:r w:rsidRPr="00D900F4">
        <w:rPr>
          <w:szCs w:val="22"/>
          <w:lang w:val="de-AT"/>
        </w:rPr>
        <w:t>na</w:t>
      </w:r>
      <w:r w:rsidRPr="006768AC">
        <w:rPr>
          <w:szCs w:val="22"/>
          <w:lang w:val="sr-Latn-ME"/>
        </w:rPr>
        <w:t xml:space="preserve"> </w:t>
      </w:r>
      <w:r w:rsidRPr="00D900F4">
        <w:rPr>
          <w:szCs w:val="22"/>
          <w:lang w:val="de-AT"/>
        </w:rPr>
        <w:t>ko</w:t>
      </w:r>
      <w:r w:rsidRPr="006768AC">
        <w:rPr>
          <w:szCs w:val="22"/>
          <w:lang w:val="sr-Latn-ME"/>
        </w:rPr>
        <w:t>ž</w:t>
      </w:r>
      <w:r w:rsidRPr="00D900F4">
        <w:rPr>
          <w:szCs w:val="22"/>
          <w:lang w:val="de-AT"/>
        </w:rPr>
        <w:t>i</w:t>
      </w:r>
      <w:r w:rsidRPr="006768AC">
        <w:rPr>
          <w:szCs w:val="22"/>
          <w:lang w:val="sr-Latn-ME"/>
        </w:rPr>
        <w:t xml:space="preserve"> (</w:t>
      </w:r>
      <w:r w:rsidRPr="00D900F4">
        <w:rPr>
          <w:szCs w:val="22"/>
          <w:lang w:val="de-AT"/>
        </w:rPr>
        <w:t>eng</w:t>
      </w:r>
      <w:r w:rsidRPr="006768AC">
        <w:rPr>
          <w:szCs w:val="22"/>
          <w:lang w:val="sr-Latn-ME"/>
        </w:rPr>
        <w:t xml:space="preserve">. </w:t>
      </w:r>
      <w:r w:rsidRPr="00E558A7">
        <w:rPr>
          <w:i/>
          <w:szCs w:val="22"/>
        </w:rPr>
        <w:t>Severe</w:t>
      </w:r>
      <w:r w:rsidRPr="00D900F4">
        <w:rPr>
          <w:i/>
          <w:szCs w:val="22"/>
          <w:lang w:val="sr-Latn-ME"/>
        </w:rPr>
        <w:t xml:space="preserve"> </w:t>
      </w:r>
      <w:r w:rsidRPr="00E558A7">
        <w:rPr>
          <w:i/>
          <w:szCs w:val="22"/>
        </w:rPr>
        <w:t>Cutaneous</w:t>
      </w:r>
      <w:r w:rsidRPr="00D900F4">
        <w:rPr>
          <w:i/>
          <w:szCs w:val="22"/>
          <w:lang w:val="sr-Latn-ME"/>
        </w:rPr>
        <w:t xml:space="preserve"> </w:t>
      </w:r>
      <w:r w:rsidRPr="00E558A7">
        <w:rPr>
          <w:i/>
          <w:szCs w:val="22"/>
        </w:rPr>
        <w:t>Adverse</w:t>
      </w:r>
      <w:r w:rsidRPr="00D900F4">
        <w:rPr>
          <w:i/>
          <w:szCs w:val="22"/>
          <w:lang w:val="sr-Latn-ME"/>
        </w:rPr>
        <w:t xml:space="preserve"> </w:t>
      </w:r>
      <w:r w:rsidRPr="00E558A7">
        <w:rPr>
          <w:i/>
          <w:szCs w:val="22"/>
        </w:rPr>
        <w:t>Reactions</w:t>
      </w:r>
      <w:r w:rsidRPr="006768AC">
        <w:rPr>
          <w:szCs w:val="22"/>
          <w:lang w:val="sr-Latn-ME"/>
        </w:rPr>
        <w:t xml:space="preserve"> – </w:t>
      </w:r>
      <w:r w:rsidRPr="00091863">
        <w:rPr>
          <w:szCs w:val="22"/>
        </w:rPr>
        <w:t>SCAR</w:t>
      </w:r>
      <w:r w:rsidRPr="006768AC">
        <w:rPr>
          <w:szCs w:val="22"/>
          <w:lang w:val="sr-Latn-ME"/>
        </w:rPr>
        <w:t xml:space="preserve">) </w:t>
      </w:r>
      <w:r w:rsidRPr="00091863">
        <w:rPr>
          <w:szCs w:val="22"/>
        </w:rPr>
        <w:t>poput</w:t>
      </w:r>
      <w:r w:rsidRPr="006768AC">
        <w:rPr>
          <w:szCs w:val="22"/>
          <w:lang w:val="sr-Latn-ME"/>
        </w:rPr>
        <w:t xml:space="preserve"> </w:t>
      </w:r>
      <w:r w:rsidRPr="00091863">
        <w:rPr>
          <w:szCs w:val="22"/>
        </w:rPr>
        <w:t>Stivens</w:t>
      </w:r>
      <w:r w:rsidRPr="006768AC">
        <w:rPr>
          <w:szCs w:val="22"/>
          <w:lang w:val="sr-Latn-ME"/>
        </w:rPr>
        <w:t>-</w:t>
      </w:r>
      <w:r w:rsidRPr="00091863">
        <w:rPr>
          <w:szCs w:val="22"/>
        </w:rPr>
        <w:t>D</w:t>
      </w:r>
      <w:r w:rsidRPr="006768AC">
        <w:rPr>
          <w:szCs w:val="22"/>
          <w:lang w:val="sr-Latn-ME"/>
        </w:rPr>
        <w:t>ž</w:t>
      </w:r>
      <w:r w:rsidRPr="00091863">
        <w:rPr>
          <w:szCs w:val="22"/>
        </w:rPr>
        <w:t>onsonovog</w:t>
      </w:r>
      <w:r w:rsidRPr="006768AC">
        <w:rPr>
          <w:szCs w:val="22"/>
          <w:lang w:val="sr-Latn-ME"/>
        </w:rPr>
        <w:t xml:space="preserve"> </w:t>
      </w:r>
      <w:r w:rsidRPr="00091863">
        <w:rPr>
          <w:szCs w:val="22"/>
        </w:rPr>
        <w:t>sindroma</w:t>
      </w:r>
      <w:r w:rsidRPr="006768AC">
        <w:rPr>
          <w:szCs w:val="22"/>
          <w:lang w:val="sr-Latn-ME"/>
        </w:rPr>
        <w:t xml:space="preserve"> (</w:t>
      </w:r>
      <w:r w:rsidRPr="00091863">
        <w:rPr>
          <w:szCs w:val="22"/>
        </w:rPr>
        <w:t>SJS</w:t>
      </w:r>
      <w:r w:rsidRPr="006768AC">
        <w:rPr>
          <w:szCs w:val="22"/>
          <w:lang w:val="sr-Latn-ME"/>
        </w:rPr>
        <w:t xml:space="preserve">), </w:t>
      </w:r>
      <w:r w:rsidRPr="00091863">
        <w:rPr>
          <w:szCs w:val="22"/>
        </w:rPr>
        <w:t>toksi</w:t>
      </w:r>
      <w:r w:rsidRPr="006768AC">
        <w:rPr>
          <w:szCs w:val="22"/>
          <w:lang w:val="sr-Latn-ME"/>
        </w:rPr>
        <w:t>č</w:t>
      </w:r>
      <w:r w:rsidRPr="00091863">
        <w:rPr>
          <w:szCs w:val="22"/>
        </w:rPr>
        <w:t>ne</w:t>
      </w:r>
      <w:r w:rsidRPr="006768AC">
        <w:rPr>
          <w:szCs w:val="22"/>
          <w:lang w:val="sr-Latn-ME"/>
        </w:rPr>
        <w:t xml:space="preserve"> </w:t>
      </w:r>
      <w:r w:rsidRPr="00091863">
        <w:rPr>
          <w:szCs w:val="22"/>
        </w:rPr>
        <w:t>epidermalne</w:t>
      </w:r>
      <w:r w:rsidRPr="006768AC">
        <w:rPr>
          <w:szCs w:val="22"/>
          <w:lang w:val="sr-Latn-ME"/>
        </w:rPr>
        <w:t xml:space="preserve"> </w:t>
      </w:r>
      <w:r w:rsidRPr="00091863">
        <w:rPr>
          <w:szCs w:val="22"/>
        </w:rPr>
        <w:t>nekrolize</w:t>
      </w:r>
      <w:r w:rsidRPr="006768AC">
        <w:rPr>
          <w:szCs w:val="22"/>
          <w:lang w:val="sr-Latn-ME"/>
        </w:rPr>
        <w:t xml:space="preserve"> (</w:t>
      </w:r>
      <w:r w:rsidRPr="00B02007">
        <w:rPr>
          <w:szCs w:val="22"/>
        </w:rPr>
        <w:t>TEN</w:t>
      </w:r>
      <w:r w:rsidRPr="006768AC">
        <w:rPr>
          <w:szCs w:val="22"/>
          <w:lang w:val="sr-Latn-ME"/>
        </w:rPr>
        <w:t xml:space="preserve">) </w:t>
      </w:r>
      <w:r w:rsidRPr="00B02007">
        <w:rPr>
          <w:szCs w:val="22"/>
        </w:rPr>
        <w:t>i</w:t>
      </w:r>
      <w:r w:rsidRPr="006768AC">
        <w:rPr>
          <w:szCs w:val="22"/>
          <w:lang w:val="sr-Latn-ME"/>
        </w:rPr>
        <w:t xml:space="preserve"> </w:t>
      </w:r>
      <w:r w:rsidRPr="00B02007">
        <w:rPr>
          <w:szCs w:val="22"/>
        </w:rPr>
        <w:t>akutne</w:t>
      </w:r>
      <w:r w:rsidRPr="006768AC">
        <w:rPr>
          <w:szCs w:val="22"/>
          <w:lang w:val="sr-Latn-ME"/>
        </w:rPr>
        <w:t xml:space="preserve"> </w:t>
      </w:r>
      <w:r w:rsidRPr="00B02007">
        <w:rPr>
          <w:szCs w:val="22"/>
        </w:rPr>
        <w:t>generalizovane</w:t>
      </w:r>
      <w:r w:rsidRPr="006768AC">
        <w:rPr>
          <w:szCs w:val="22"/>
          <w:lang w:val="sr-Latn-ME"/>
        </w:rPr>
        <w:t xml:space="preserve"> </w:t>
      </w:r>
      <w:r w:rsidRPr="00091863">
        <w:rPr>
          <w:szCs w:val="22"/>
        </w:rPr>
        <w:t>egzantematozne</w:t>
      </w:r>
      <w:r w:rsidRPr="006768AC">
        <w:rPr>
          <w:szCs w:val="22"/>
          <w:lang w:val="sr-Latn-ME"/>
        </w:rPr>
        <w:t xml:space="preserve"> </w:t>
      </w:r>
      <w:r w:rsidRPr="00B02007">
        <w:rPr>
          <w:szCs w:val="22"/>
        </w:rPr>
        <w:t>pustuloz</w:t>
      </w:r>
      <w:r w:rsidRPr="00091863">
        <w:rPr>
          <w:szCs w:val="22"/>
        </w:rPr>
        <w:t>e</w:t>
      </w:r>
      <w:r>
        <w:rPr>
          <w:szCs w:val="22"/>
          <w:lang w:val="sr-Latn-ME"/>
        </w:rPr>
        <w:t xml:space="preserve"> </w:t>
      </w:r>
      <w:r w:rsidRPr="006768AC">
        <w:rPr>
          <w:szCs w:val="22"/>
          <w:lang w:val="sr-Latn-ME"/>
        </w:rPr>
        <w:t>(</w:t>
      </w:r>
      <w:r w:rsidRPr="00B02007">
        <w:rPr>
          <w:szCs w:val="22"/>
        </w:rPr>
        <w:t>AGEP</w:t>
      </w:r>
      <w:r w:rsidRPr="006768AC">
        <w:rPr>
          <w:szCs w:val="22"/>
          <w:lang w:val="sr-Latn-ME"/>
        </w:rPr>
        <w:t xml:space="preserve">) </w:t>
      </w:r>
      <w:r w:rsidRPr="00B02007">
        <w:rPr>
          <w:szCs w:val="22"/>
        </w:rPr>
        <w:t>prijavljene</w:t>
      </w:r>
      <w:r w:rsidRPr="006768AC">
        <w:rPr>
          <w:szCs w:val="22"/>
          <w:lang w:val="sr-Latn-ME"/>
        </w:rPr>
        <w:t xml:space="preserve"> </w:t>
      </w:r>
      <w:r w:rsidRPr="00B02007">
        <w:rPr>
          <w:szCs w:val="22"/>
        </w:rPr>
        <w:t>su</w:t>
      </w:r>
      <w:r w:rsidRPr="006768AC">
        <w:rPr>
          <w:szCs w:val="22"/>
          <w:lang w:val="sr-Latn-ME"/>
        </w:rPr>
        <w:t xml:space="preserve"> </w:t>
      </w:r>
      <w:r w:rsidRPr="00B02007">
        <w:rPr>
          <w:szCs w:val="22"/>
        </w:rPr>
        <w:t>pri</w:t>
      </w:r>
      <w:r w:rsidRPr="006768AC">
        <w:rPr>
          <w:szCs w:val="22"/>
          <w:lang w:val="sr-Latn-ME"/>
        </w:rPr>
        <w:t xml:space="preserve"> </w:t>
      </w:r>
      <w:r w:rsidRPr="00B02007">
        <w:rPr>
          <w:szCs w:val="22"/>
        </w:rPr>
        <w:t>lije</w:t>
      </w:r>
      <w:r w:rsidRPr="006768AC">
        <w:rPr>
          <w:szCs w:val="22"/>
          <w:lang w:val="sr-Latn-ME"/>
        </w:rPr>
        <w:t>č</w:t>
      </w:r>
      <w:r w:rsidRPr="00B02007">
        <w:rPr>
          <w:szCs w:val="22"/>
        </w:rPr>
        <w:t>enju</w:t>
      </w:r>
      <w:r w:rsidRPr="006768AC">
        <w:rPr>
          <w:szCs w:val="22"/>
          <w:lang w:val="sr-Latn-ME"/>
        </w:rPr>
        <w:t xml:space="preserve"> </w:t>
      </w:r>
      <w:r w:rsidRPr="00B02007">
        <w:rPr>
          <w:szCs w:val="22"/>
        </w:rPr>
        <w:t>docetakselom</w:t>
      </w:r>
      <w:r w:rsidRPr="006768AC">
        <w:rPr>
          <w:szCs w:val="22"/>
          <w:lang w:val="sr-Latn-ME"/>
        </w:rPr>
        <w:t xml:space="preserve">. </w:t>
      </w:r>
      <w:r w:rsidRPr="0056772F">
        <w:rPr>
          <w:szCs w:val="22"/>
          <w:lang w:val="pt-BR"/>
        </w:rPr>
        <w:t>Pacijente</w:t>
      </w:r>
      <w:r w:rsidRPr="006768AC">
        <w:rPr>
          <w:szCs w:val="22"/>
          <w:lang w:val="sr-Latn-ME"/>
        </w:rPr>
        <w:t xml:space="preserve"> </w:t>
      </w:r>
      <w:r w:rsidRPr="0056772F">
        <w:rPr>
          <w:szCs w:val="22"/>
          <w:lang w:val="pt-BR"/>
        </w:rPr>
        <w:t>treba</w:t>
      </w:r>
      <w:r w:rsidRPr="006768AC">
        <w:rPr>
          <w:szCs w:val="22"/>
          <w:lang w:val="sr-Latn-ME"/>
        </w:rPr>
        <w:t xml:space="preserve"> </w:t>
      </w:r>
      <w:r w:rsidRPr="0056772F">
        <w:rPr>
          <w:szCs w:val="22"/>
          <w:lang w:val="pt-BR"/>
        </w:rPr>
        <w:t>uputiti</w:t>
      </w:r>
      <w:r w:rsidRPr="006768AC">
        <w:rPr>
          <w:szCs w:val="22"/>
          <w:lang w:val="sr-Latn-ME"/>
        </w:rPr>
        <w:t xml:space="preserve"> </w:t>
      </w:r>
      <w:r w:rsidRPr="0056772F">
        <w:rPr>
          <w:szCs w:val="22"/>
          <w:lang w:val="pt-BR"/>
        </w:rPr>
        <w:t>u</w:t>
      </w:r>
      <w:r w:rsidRPr="006768AC">
        <w:rPr>
          <w:szCs w:val="22"/>
          <w:lang w:val="sr-Latn-ME"/>
        </w:rPr>
        <w:t xml:space="preserve"> </w:t>
      </w:r>
      <w:r w:rsidRPr="0056772F">
        <w:rPr>
          <w:szCs w:val="22"/>
          <w:lang w:val="pt-BR"/>
        </w:rPr>
        <w:t>znakove</w:t>
      </w:r>
      <w:r w:rsidRPr="006768AC">
        <w:rPr>
          <w:szCs w:val="22"/>
          <w:lang w:val="sr-Latn-ME"/>
        </w:rPr>
        <w:t xml:space="preserve"> </w:t>
      </w:r>
      <w:r w:rsidRPr="0056772F">
        <w:rPr>
          <w:szCs w:val="22"/>
          <w:lang w:val="pt-BR"/>
        </w:rPr>
        <w:t>i</w:t>
      </w:r>
      <w:r w:rsidRPr="006768AC">
        <w:rPr>
          <w:szCs w:val="22"/>
          <w:lang w:val="sr-Latn-ME"/>
        </w:rPr>
        <w:t xml:space="preserve"> </w:t>
      </w:r>
      <w:r w:rsidRPr="0056772F">
        <w:rPr>
          <w:szCs w:val="22"/>
          <w:lang w:val="pt-BR"/>
        </w:rPr>
        <w:t>simptome</w:t>
      </w:r>
      <w:r w:rsidRPr="006768AC">
        <w:rPr>
          <w:szCs w:val="22"/>
          <w:lang w:val="sr-Latn-ME"/>
        </w:rPr>
        <w:t xml:space="preserve"> </w:t>
      </w:r>
      <w:r w:rsidRPr="0056772F">
        <w:rPr>
          <w:szCs w:val="22"/>
          <w:lang w:val="pt-BR"/>
        </w:rPr>
        <w:t>ozbiljnih</w:t>
      </w:r>
      <w:r w:rsidRPr="006768AC">
        <w:rPr>
          <w:szCs w:val="22"/>
          <w:lang w:val="sr-Latn-ME"/>
        </w:rPr>
        <w:t xml:space="preserve"> </w:t>
      </w:r>
      <w:r w:rsidRPr="0056772F">
        <w:rPr>
          <w:szCs w:val="22"/>
          <w:lang w:val="pt-BR"/>
        </w:rPr>
        <w:t>manifestacija</w:t>
      </w:r>
      <w:r w:rsidRPr="006768AC">
        <w:rPr>
          <w:szCs w:val="22"/>
          <w:lang w:val="sr-Latn-ME"/>
        </w:rPr>
        <w:t xml:space="preserve"> </w:t>
      </w:r>
      <w:r w:rsidRPr="0056772F">
        <w:rPr>
          <w:szCs w:val="22"/>
          <w:lang w:val="pt-BR"/>
        </w:rPr>
        <w:t>na</w:t>
      </w:r>
      <w:r w:rsidRPr="006768AC">
        <w:rPr>
          <w:szCs w:val="22"/>
          <w:lang w:val="sr-Latn-ME"/>
        </w:rPr>
        <w:t xml:space="preserve"> </w:t>
      </w:r>
      <w:r w:rsidRPr="0056772F">
        <w:rPr>
          <w:szCs w:val="22"/>
          <w:lang w:val="pt-BR"/>
        </w:rPr>
        <w:t>ko</w:t>
      </w:r>
      <w:r w:rsidRPr="006768AC">
        <w:rPr>
          <w:szCs w:val="22"/>
          <w:lang w:val="sr-Latn-ME"/>
        </w:rPr>
        <w:t>ž</w:t>
      </w:r>
      <w:r w:rsidRPr="0056772F">
        <w:rPr>
          <w:szCs w:val="22"/>
          <w:lang w:val="pt-BR"/>
        </w:rPr>
        <w:t>i</w:t>
      </w:r>
      <w:r w:rsidRPr="006768AC">
        <w:rPr>
          <w:szCs w:val="22"/>
          <w:lang w:val="sr-Latn-ME"/>
        </w:rPr>
        <w:t xml:space="preserve"> </w:t>
      </w:r>
      <w:r w:rsidRPr="0056772F">
        <w:rPr>
          <w:szCs w:val="22"/>
          <w:lang w:val="pt-BR"/>
        </w:rPr>
        <w:t>i</w:t>
      </w:r>
      <w:r w:rsidRPr="006768AC">
        <w:rPr>
          <w:szCs w:val="22"/>
          <w:lang w:val="sr-Latn-ME"/>
        </w:rPr>
        <w:t xml:space="preserve"> </w:t>
      </w:r>
      <w:r w:rsidRPr="0056772F">
        <w:rPr>
          <w:szCs w:val="22"/>
          <w:lang w:val="pt-BR"/>
        </w:rPr>
        <w:t>pa</w:t>
      </w:r>
      <w:r w:rsidRPr="006768AC">
        <w:rPr>
          <w:szCs w:val="22"/>
          <w:lang w:val="sr-Latn-ME"/>
        </w:rPr>
        <w:t>ž</w:t>
      </w:r>
      <w:r w:rsidRPr="0056772F">
        <w:rPr>
          <w:szCs w:val="22"/>
          <w:lang w:val="pt-BR"/>
        </w:rPr>
        <w:t>ljivo</w:t>
      </w:r>
      <w:r w:rsidRPr="006768AC">
        <w:rPr>
          <w:szCs w:val="22"/>
          <w:lang w:val="sr-Latn-ME"/>
        </w:rPr>
        <w:t xml:space="preserve"> </w:t>
      </w:r>
      <w:r w:rsidRPr="0056772F">
        <w:rPr>
          <w:szCs w:val="22"/>
          <w:lang w:val="pt-BR"/>
        </w:rPr>
        <w:t>pratiti</w:t>
      </w:r>
      <w:r w:rsidRPr="006768AC">
        <w:rPr>
          <w:szCs w:val="22"/>
          <w:lang w:val="sr-Latn-ME"/>
        </w:rPr>
        <w:t xml:space="preserve"> </w:t>
      </w:r>
      <w:r w:rsidRPr="0056772F">
        <w:rPr>
          <w:szCs w:val="22"/>
          <w:lang w:val="pt-BR"/>
        </w:rPr>
        <w:t>njihovo</w:t>
      </w:r>
      <w:r w:rsidRPr="006768AC">
        <w:rPr>
          <w:szCs w:val="22"/>
          <w:lang w:val="sr-Latn-ME"/>
        </w:rPr>
        <w:t xml:space="preserve"> </w:t>
      </w:r>
      <w:r w:rsidRPr="0056772F">
        <w:rPr>
          <w:szCs w:val="22"/>
          <w:lang w:val="pt-BR"/>
        </w:rPr>
        <w:t>stanje</w:t>
      </w:r>
      <w:r w:rsidRPr="006768AC">
        <w:rPr>
          <w:szCs w:val="22"/>
          <w:lang w:val="sr-Latn-ME"/>
        </w:rPr>
        <w:t xml:space="preserve">. </w:t>
      </w:r>
      <w:r w:rsidRPr="0056772F">
        <w:rPr>
          <w:szCs w:val="22"/>
          <w:lang w:val="pt-BR"/>
        </w:rPr>
        <w:t>Ako</w:t>
      </w:r>
      <w:r w:rsidRPr="006768AC">
        <w:rPr>
          <w:szCs w:val="22"/>
          <w:lang w:val="sr-Latn-ME"/>
        </w:rPr>
        <w:t xml:space="preserve"> </w:t>
      </w:r>
      <w:r w:rsidRPr="0056772F">
        <w:rPr>
          <w:szCs w:val="22"/>
          <w:lang w:val="pt-BR"/>
        </w:rPr>
        <w:t>se</w:t>
      </w:r>
      <w:r w:rsidRPr="006768AC">
        <w:rPr>
          <w:szCs w:val="22"/>
          <w:lang w:val="sr-Latn-ME"/>
        </w:rPr>
        <w:t xml:space="preserve"> </w:t>
      </w:r>
      <w:r w:rsidRPr="0056772F">
        <w:rPr>
          <w:szCs w:val="22"/>
          <w:lang w:val="pt-BR"/>
        </w:rPr>
        <w:t>pojave</w:t>
      </w:r>
      <w:r w:rsidRPr="006768AC">
        <w:rPr>
          <w:szCs w:val="22"/>
          <w:lang w:val="sr-Latn-ME"/>
        </w:rPr>
        <w:t xml:space="preserve"> </w:t>
      </w:r>
      <w:r w:rsidRPr="0056772F">
        <w:rPr>
          <w:szCs w:val="22"/>
          <w:lang w:val="pt-BR"/>
        </w:rPr>
        <w:t>z</w:t>
      </w:r>
      <w:r>
        <w:rPr>
          <w:szCs w:val="22"/>
          <w:lang w:val="sr-Latn-ME"/>
        </w:rPr>
        <w:t>na</w:t>
      </w:r>
      <w:r w:rsidRPr="0056772F">
        <w:rPr>
          <w:szCs w:val="22"/>
          <w:lang w:val="pt-BR"/>
        </w:rPr>
        <w:t>kovi</w:t>
      </w:r>
      <w:r w:rsidRPr="006768AC">
        <w:rPr>
          <w:szCs w:val="22"/>
          <w:lang w:val="sr-Latn-ME"/>
        </w:rPr>
        <w:t xml:space="preserve"> </w:t>
      </w:r>
      <w:r w:rsidRPr="0056772F">
        <w:rPr>
          <w:szCs w:val="22"/>
          <w:lang w:val="pt-BR"/>
        </w:rPr>
        <w:t>i</w:t>
      </w:r>
      <w:r w:rsidRPr="006768AC">
        <w:rPr>
          <w:szCs w:val="22"/>
          <w:lang w:val="sr-Latn-ME"/>
        </w:rPr>
        <w:t xml:space="preserve"> </w:t>
      </w:r>
      <w:r w:rsidRPr="0056772F">
        <w:rPr>
          <w:szCs w:val="22"/>
          <w:lang w:val="pt-BR"/>
        </w:rPr>
        <w:t>simptomi</w:t>
      </w:r>
      <w:r w:rsidRPr="006768AC">
        <w:rPr>
          <w:szCs w:val="22"/>
          <w:lang w:val="sr-Latn-ME"/>
        </w:rPr>
        <w:t xml:space="preserve"> </w:t>
      </w:r>
      <w:r w:rsidRPr="0056772F">
        <w:rPr>
          <w:szCs w:val="22"/>
          <w:lang w:val="pt-BR"/>
        </w:rPr>
        <w:t>koji</w:t>
      </w:r>
      <w:r w:rsidRPr="006768AC">
        <w:rPr>
          <w:szCs w:val="22"/>
          <w:lang w:val="sr-Latn-ME"/>
        </w:rPr>
        <w:t xml:space="preserve"> </w:t>
      </w:r>
      <w:r w:rsidRPr="0056772F">
        <w:rPr>
          <w:szCs w:val="22"/>
          <w:lang w:val="pt-BR"/>
        </w:rPr>
        <w:t>ukazuju</w:t>
      </w:r>
      <w:r w:rsidRPr="006768AC">
        <w:rPr>
          <w:szCs w:val="22"/>
          <w:lang w:val="sr-Latn-ME"/>
        </w:rPr>
        <w:t xml:space="preserve"> </w:t>
      </w:r>
      <w:r w:rsidRPr="0056772F">
        <w:rPr>
          <w:szCs w:val="22"/>
          <w:lang w:val="pt-BR"/>
        </w:rPr>
        <w:t>na</w:t>
      </w:r>
      <w:r w:rsidRPr="006768AC">
        <w:rPr>
          <w:szCs w:val="22"/>
          <w:lang w:val="sr-Latn-ME"/>
        </w:rPr>
        <w:t xml:space="preserve"> </w:t>
      </w:r>
      <w:r w:rsidRPr="0056772F">
        <w:rPr>
          <w:szCs w:val="22"/>
          <w:lang w:val="pt-BR"/>
        </w:rPr>
        <w:t>takve</w:t>
      </w:r>
      <w:r w:rsidRPr="006768AC">
        <w:rPr>
          <w:szCs w:val="22"/>
          <w:lang w:val="sr-Latn-ME"/>
        </w:rPr>
        <w:t xml:space="preserve"> </w:t>
      </w:r>
      <w:r w:rsidRPr="0056772F">
        <w:rPr>
          <w:szCs w:val="22"/>
          <w:lang w:val="pt-BR"/>
        </w:rPr>
        <w:t>reakcije</w:t>
      </w:r>
      <w:r w:rsidRPr="006768AC">
        <w:rPr>
          <w:szCs w:val="22"/>
          <w:lang w:val="sr-Latn-ME"/>
        </w:rPr>
        <w:t xml:space="preserve">, </w:t>
      </w:r>
      <w:r w:rsidRPr="0056772F">
        <w:rPr>
          <w:szCs w:val="22"/>
          <w:lang w:val="pt-BR"/>
        </w:rPr>
        <w:t>treba</w:t>
      </w:r>
      <w:r w:rsidRPr="006768AC">
        <w:rPr>
          <w:szCs w:val="22"/>
          <w:lang w:val="sr-Latn-ME"/>
        </w:rPr>
        <w:t xml:space="preserve"> </w:t>
      </w:r>
      <w:r w:rsidRPr="0056772F">
        <w:rPr>
          <w:szCs w:val="22"/>
          <w:lang w:val="pt-BR"/>
        </w:rPr>
        <w:t>razmotriti</w:t>
      </w:r>
      <w:r w:rsidRPr="006768AC">
        <w:rPr>
          <w:szCs w:val="22"/>
          <w:lang w:val="sr-Latn-ME"/>
        </w:rPr>
        <w:t xml:space="preserve"> </w:t>
      </w:r>
      <w:r w:rsidRPr="0056772F">
        <w:rPr>
          <w:szCs w:val="22"/>
          <w:lang w:val="pt-BR"/>
        </w:rPr>
        <w:t>prekid</w:t>
      </w:r>
      <w:r w:rsidRPr="006768AC">
        <w:rPr>
          <w:szCs w:val="22"/>
          <w:lang w:val="sr-Latn-ME"/>
        </w:rPr>
        <w:t xml:space="preserve"> </w:t>
      </w:r>
      <w:r w:rsidRPr="0056772F">
        <w:rPr>
          <w:szCs w:val="22"/>
          <w:lang w:val="pt-BR"/>
        </w:rPr>
        <w:t>primjene</w:t>
      </w:r>
      <w:r w:rsidRPr="006768AC">
        <w:rPr>
          <w:szCs w:val="22"/>
          <w:lang w:val="sr-Latn-ME"/>
        </w:rPr>
        <w:t xml:space="preserve"> </w:t>
      </w:r>
      <w:r w:rsidRPr="0056772F">
        <w:rPr>
          <w:szCs w:val="22"/>
          <w:lang w:val="pt-BR"/>
        </w:rPr>
        <w:t>docetaksela</w:t>
      </w:r>
      <w:r w:rsidRPr="006768AC">
        <w:rPr>
          <w:szCs w:val="22"/>
          <w:lang w:val="sr-Latn-ME"/>
        </w:rPr>
        <w:t>.</w:t>
      </w:r>
    </w:p>
    <w:p w14:paraId="16B9AC21" w14:textId="77777777" w:rsidR="005F2068" w:rsidRPr="00797963" w:rsidRDefault="005F2068" w:rsidP="005F2068">
      <w:pPr>
        <w:autoSpaceDE w:val="0"/>
        <w:autoSpaceDN w:val="0"/>
        <w:adjustRightInd w:val="0"/>
        <w:rPr>
          <w:sz w:val="22"/>
          <w:szCs w:val="22"/>
          <w:lang w:val="sr-Latn-ME"/>
        </w:rPr>
      </w:pPr>
    </w:p>
    <w:p w14:paraId="6C0D3B63"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Retencija</w:t>
      </w:r>
      <w:r w:rsidRPr="00797963">
        <w:rPr>
          <w:sz w:val="22"/>
          <w:szCs w:val="22"/>
          <w:u w:val="single"/>
          <w:lang w:val="sr-Latn-ME"/>
        </w:rPr>
        <w:t xml:space="preserve"> </w:t>
      </w:r>
      <w:r w:rsidRPr="00E26E8A">
        <w:rPr>
          <w:sz w:val="22"/>
          <w:szCs w:val="22"/>
          <w:u w:val="single"/>
        </w:rPr>
        <w:t>te</w:t>
      </w:r>
      <w:r w:rsidRPr="00797963">
        <w:rPr>
          <w:rFonts w:eastAsia="TimesNewRoman"/>
          <w:sz w:val="22"/>
          <w:szCs w:val="22"/>
          <w:u w:val="single"/>
          <w:lang w:val="sr-Latn-ME"/>
        </w:rPr>
        <w:t>č</w:t>
      </w:r>
      <w:r w:rsidRPr="00E26E8A">
        <w:rPr>
          <w:sz w:val="22"/>
          <w:szCs w:val="22"/>
          <w:u w:val="single"/>
        </w:rPr>
        <w:t>nosti</w:t>
      </w:r>
    </w:p>
    <w:p w14:paraId="52AC3728" w14:textId="77777777" w:rsidR="005F2068" w:rsidRPr="00797963" w:rsidRDefault="005F2068" w:rsidP="005F2068">
      <w:pPr>
        <w:autoSpaceDE w:val="0"/>
        <w:autoSpaceDN w:val="0"/>
        <w:adjustRightInd w:val="0"/>
        <w:rPr>
          <w:sz w:val="22"/>
          <w:szCs w:val="22"/>
          <w:lang w:val="sr-Latn-ME"/>
        </w:rPr>
      </w:pPr>
    </w:p>
    <w:p w14:paraId="33CCCC7A" w14:textId="77777777" w:rsidR="005F2068" w:rsidRPr="00797963" w:rsidRDefault="005F2068" w:rsidP="005F2068">
      <w:pPr>
        <w:autoSpaceDE w:val="0"/>
        <w:autoSpaceDN w:val="0"/>
        <w:adjustRightInd w:val="0"/>
        <w:rPr>
          <w:sz w:val="22"/>
          <w:szCs w:val="22"/>
          <w:lang w:val="sr-Latn-ME"/>
        </w:rPr>
      </w:pPr>
      <w:r w:rsidRPr="00E26E8A">
        <w:rPr>
          <w:sz w:val="22"/>
          <w:szCs w:val="22"/>
        </w:rPr>
        <w:t>Pacijente</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te</w:t>
      </w:r>
      <w:r w:rsidRPr="00797963">
        <w:rPr>
          <w:sz w:val="22"/>
          <w:szCs w:val="22"/>
          <w:lang w:val="sr-Latn-ME"/>
        </w:rPr>
        <w:t>š</w:t>
      </w:r>
      <w:r w:rsidRPr="00E26E8A">
        <w:rPr>
          <w:sz w:val="22"/>
          <w:szCs w:val="22"/>
        </w:rPr>
        <w:t>kim</w:t>
      </w:r>
      <w:r w:rsidRPr="00797963">
        <w:rPr>
          <w:sz w:val="22"/>
          <w:szCs w:val="22"/>
          <w:lang w:val="sr-Latn-ME"/>
        </w:rPr>
        <w:t xml:space="preserve"> </w:t>
      </w:r>
      <w:r w:rsidRPr="00E26E8A">
        <w:rPr>
          <w:sz w:val="22"/>
          <w:szCs w:val="22"/>
        </w:rPr>
        <w:t>oblicima</w:t>
      </w:r>
      <w:r w:rsidRPr="00797963">
        <w:rPr>
          <w:sz w:val="22"/>
          <w:szCs w:val="22"/>
          <w:lang w:val="sr-Latn-ME"/>
        </w:rPr>
        <w:t xml:space="preserve"> </w:t>
      </w:r>
      <w:r w:rsidRPr="00E26E8A">
        <w:rPr>
          <w:sz w:val="22"/>
          <w:szCs w:val="22"/>
        </w:rPr>
        <w:t>retencije</w:t>
      </w:r>
      <w:r w:rsidRPr="00797963">
        <w:rPr>
          <w:sz w:val="22"/>
          <w:szCs w:val="22"/>
          <w:lang w:val="sr-Latn-ME"/>
        </w:rPr>
        <w:t xml:space="preserve"> </w:t>
      </w:r>
      <w:r w:rsidRPr="00E26E8A">
        <w:rPr>
          <w:sz w:val="22"/>
          <w:szCs w:val="22"/>
        </w:rPr>
        <w:t>te</w:t>
      </w:r>
      <w:r w:rsidRPr="00797963">
        <w:rPr>
          <w:rFonts w:eastAsia="TimesNewRoman"/>
          <w:sz w:val="22"/>
          <w:szCs w:val="22"/>
          <w:lang w:val="sr-Latn-ME"/>
        </w:rPr>
        <w:t>č</w:t>
      </w:r>
      <w:r w:rsidRPr="00E26E8A">
        <w:rPr>
          <w:sz w:val="22"/>
          <w:szCs w:val="22"/>
        </w:rPr>
        <w:t>nosti</w:t>
      </w:r>
      <w:r w:rsidRPr="00797963">
        <w:rPr>
          <w:sz w:val="22"/>
          <w:szCs w:val="22"/>
          <w:lang w:val="sr-Latn-ME"/>
        </w:rPr>
        <w:t xml:space="preserve">, </w:t>
      </w:r>
      <w:r w:rsidRPr="00E26E8A">
        <w:rPr>
          <w:sz w:val="22"/>
          <w:szCs w:val="22"/>
        </w:rPr>
        <w:t>npr</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pleuralnim</w:t>
      </w:r>
      <w:r w:rsidRPr="00797963">
        <w:rPr>
          <w:sz w:val="22"/>
          <w:szCs w:val="22"/>
          <w:lang w:val="sr-Latn-ME"/>
        </w:rPr>
        <w:t xml:space="preserve"> </w:t>
      </w:r>
      <w:r w:rsidRPr="00E26E8A">
        <w:rPr>
          <w:sz w:val="22"/>
          <w:szCs w:val="22"/>
        </w:rPr>
        <w:t>izlivom</w:t>
      </w:r>
      <w:r w:rsidRPr="00797963">
        <w:rPr>
          <w:sz w:val="22"/>
          <w:szCs w:val="22"/>
          <w:lang w:val="sr-Latn-ME"/>
        </w:rPr>
        <w:t xml:space="preserve">, </w:t>
      </w:r>
      <w:r w:rsidRPr="00E26E8A">
        <w:rPr>
          <w:sz w:val="22"/>
          <w:szCs w:val="22"/>
        </w:rPr>
        <w:t>perikardijalnim</w:t>
      </w:r>
      <w:r w:rsidRPr="00797963">
        <w:rPr>
          <w:sz w:val="22"/>
          <w:szCs w:val="22"/>
          <w:lang w:val="sr-Latn-ME"/>
        </w:rPr>
        <w:t xml:space="preserve"> </w:t>
      </w:r>
      <w:r w:rsidRPr="00E26E8A">
        <w:rPr>
          <w:sz w:val="22"/>
          <w:szCs w:val="22"/>
        </w:rPr>
        <w:t>izlivom</w:t>
      </w:r>
      <w:r w:rsidRPr="00797963">
        <w:rPr>
          <w:sz w:val="22"/>
          <w:szCs w:val="22"/>
          <w:lang w:val="sr-Latn-ME"/>
        </w:rPr>
        <w:t xml:space="preserve"> </w:t>
      </w:r>
      <w:r w:rsidRPr="00E26E8A">
        <w:rPr>
          <w:sz w:val="22"/>
          <w:szCs w:val="22"/>
        </w:rPr>
        <w:t>ili</w:t>
      </w:r>
      <w:r w:rsidRPr="00797963">
        <w:rPr>
          <w:sz w:val="22"/>
          <w:szCs w:val="22"/>
          <w:lang w:val="sr-Latn-ME"/>
        </w:rPr>
        <w:t xml:space="preserve"> </w:t>
      </w:r>
      <w:r w:rsidRPr="00E26E8A">
        <w:rPr>
          <w:sz w:val="22"/>
          <w:szCs w:val="22"/>
        </w:rPr>
        <w:t>ascitesom</w:t>
      </w:r>
      <w:r w:rsidRPr="00797963">
        <w:rPr>
          <w:sz w:val="22"/>
          <w:szCs w:val="22"/>
          <w:lang w:val="sr-Latn-ME"/>
        </w:rPr>
        <w:t xml:space="preserve"> </w:t>
      </w:r>
      <w:r w:rsidRPr="00E26E8A">
        <w:rPr>
          <w:sz w:val="22"/>
          <w:szCs w:val="22"/>
        </w:rPr>
        <w:t>treba</w:t>
      </w:r>
      <w:r w:rsidRPr="00797963">
        <w:rPr>
          <w:sz w:val="22"/>
          <w:szCs w:val="22"/>
          <w:lang w:val="sr-Latn-ME"/>
        </w:rPr>
        <w:t xml:space="preserve"> </w:t>
      </w:r>
      <w:r w:rsidRPr="00E26E8A">
        <w:rPr>
          <w:sz w:val="22"/>
          <w:szCs w:val="22"/>
        </w:rPr>
        <w:t>pa</w:t>
      </w:r>
      <w:r w:rsidRPr="00797963">
        <w:rPr>
          <w:sz w:val="22"/>
          <w:szCs w:val="22"/>
          <w:lang w:val="sr-Latn-ME"/>
        </w:rPr>
        <w:t>ž</w:t>
      </w:r>
      <w:r w:rsidRPr="00E26E8A">
        <w:rPr>
          <w:sz w:val="22"/>
          <w:szCs w:val="22"/>
        </w:rPr>
        <w:t>ljivo</w:t>
      </w:r>
      <w:r w:rsidRPr="00797963">
        <w:rPr>
          <w:sz w:val="22"/>
          <w:szCs w:val="22"/>
          <w:lang w:val="sr-Latn-ME"/>
        </w:rPr>
        <w:t xml:space="preserve"> </w:t>
      </w:r>
      <w:r w:rsidRPr="00E26E8A">
        <w:rPr>
          <w:sz w:val="22"/>
          <w:szCs w:val="22"/>
        </w:rPr>
        <w:t>pratiti</w:t>
      </w:r>
      <w:r w:rsidRPr="00797963">
        <w:rPr>
          <w:sz w:val="22"/>
          <w:szCs w:val="22"/>
          <w:lang w:val="sr-Latn-ME"/>
        </w:rPr>
        <w:t>.</w:t>
      </w:r>
    </w:p>
    <w:p w14:paraId="52CD4115" w14:textId="77777777" w:rsidR="005F2068" w:rsidRPr="00797963" w:rsidRDefault="005F2068" w:rsidP="005F2068">
      <w:pPr>
        <w:autoSpaceDE w:val="0"/>
        <w:autoSpaceDN w:val="0"/>
        <w:adjustRightInd w:val="0"/>
        <w:rPr>
          <w:sz w:val="22"/>
          <w:szCs w:val="22"/>
          <w:lang w:val="sr-Latn-ME"/>
        </w:rPr>
      </w:pPr>
    </w:p>
    <w:p w14:paraId="27469786"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Respiratorni</w:t>
      </w:r>
      <w:r w:rsidRPr="00797963">
        <w:rPr>
          <w:sz w:val="22"/>
          <w:szCs w:val="22"/>
          <w:u w:val="single"/>
          <w:lang w:val="sr-Latn-ME"/>
        </w:rPr>
        <w:t xml:space="preserve"> </w:t>
      </w:r>
      <w:r w:rsidRPr="00E26E8A">
        <w:rPr>
          <w:sz w:val="22"/>
          <w:szCs w:val="22"/>
          <w:u w:val="single"/>
        </w:rPr>
        <w:t>poreme</w:t>
      </w:r>
      <w:r w:rsidRPr="00797963">
        <w:rPr>
          <w:sz w:val="22"/>
          <w:szCs w:val="22"/>
          <w:u w:val="single"/>
          <w:lang w:val="sr-Latn-ME"/>
        </w:rPr>
        <w:t>ć</w:t>
      </w:r>
      <w:r w:rsidRPr="00E26E8A">
        <w:rPr>
          <w:sz w:val="22"/>
          <w:szCs w:val="22"/>
          <w:u w:val="single"/>
        </w:rPr>
        <w:t>aji</w:t>
      </w:r>
    </w:p>
    <w:p w14:paraId="5A2FC1CD" w14:textId="77777777" w:rsidR="005F2068" w:rsidRPr="00797963" w:rsidRDefault="005F2068" w:rsidP="005F2068">
      <w:pPr>
        <w:autoSpaceDE w:val="0"/>
        <w:autoSpaceDN w:val="0"/>
        <w:adjustRightInd w:val="0"/>
        <w:rPr>
          <w:sz w:val="22"/>
          <w:szCs w:val="22"/>
          <w:u w:val="single"/>
          <w:lang w:val="sr-Latn-ME"/>
        </w:rPr>
      </w:pPr>
    </w:p>
    <w:p w14:paraId="752AB24E" w14:textId="77777777" w:rsidR="005F2068" w:rsidRPr="00797963" w:rsidRDefault="005F2068" w:rsidP="005F2068">
      <w:pPr>
        <w:autoSpaceDE w:val="0"/>
        <w:autoSpaceDN w:val="0"/>
        <w:adjustRightInd w:val="0"/>
        <w:rPr>
          <w:sz w:val="22"/>
          <w:szCs w:val="22"/>
          <w:lang w:val="sr-Latn-ME"/>
        </w:rPr>
      </w:pPr>
      <w:r w:rsidRPr="00E26E8A">
        <w:rPr>
          <w:sz w:val="22"/>
          <w:szCs w:val="22"/>
        </w:rPr>
        <w:t>Akutni</w:t>
      </w:r>
      <w:r w:rsidRPr="00797963">
        <w:rPr>
          <w:sz w:val="22"/>
          <w:szCs w:val="22"/>
          <w:lang w:val="sr-Latn-ME"/>
        </w:rPr>
        <w:t xml:space="preserve"> </w:t>
      </w:r>
      <w:r w:rsidRPr="00E26E8A">
        <w:rPr>
          <w:sz w:val="22"/>
          <w:szCs w:val="22"/>
        </w:rPr>
        <w:t>respiratorni</w:t>
      </w:r>
      <w:r w:rsidRPr="00797963">
        <w:rPr>
          <w:sz w:val="22"/>
          <w:szCs w:val="22"/>
          <w:lang w:val="sr-Latn-ME"/>
        </w:rPr>
        <w:t xml:space="preserve"> </w:t>
      </w:r>
      <w:r w:rsidRPr="00E26E8A">
        <w:rPr>
          <w:sz w:val="22"/>
          <w:szCs w:val="22"/>
        </w:rPr>
        <w:t>distres</w:t>
      </w:r>
      <w:r w:rsidRPr="00797963">
        <w:rPr>
          <w:sz w:val="22"/>
          <w:szCs w:val="22"/>
          <w:lang w:val="sr-Latn-ME"/>
        </w:rPr>
        <w:t xml:space="preserve"> </w:t>
      </w:r>
      <w:r w:rsidRPr="00E26E8A">
        <w:rPr>
          <w:sz w:val="22"/>
          <w:szCs w:val="22"/>
        </w:rPr>
        <w:t>sindrom</w:t>
      </w:r>
      <w:r w:rsidRPr="00797963">
        <w:rPr>
          <w:sz w:val="22"/>
          <w:szCs w:val="22"/>
          <w:lang w:val="sr-Latn-ME"/>
        </w:rPr>
        <w:t xml:space="preserve">, </w:t>
      </w:r>
      <w:r w:rsidRPr="00E26E8A">
        <w:rPr>
          <w:sz w:val="22"/>
          <w:szCs w:val="22"/>
        </w:rPr>
        <w:t>intersticijalna</w:t>
      </w:r>
      <w:r w:rsidRPr="00797963">
        <w:rPr>
          <w:sz w:val="22"/>
          <w:szCs w:val="22"/>
          <w:lang w:val="sr-Latn-ME"/>
        </w:rPr>
        <w:t xml:space="preserve"> </w:t>
      </w:r>
      <w:r w:rsidRPr="00E26E8A">
        <w:rPr>
          <w:sz w:val="22"/>
          <w:szCs w:val="22"/>
        </w:rPr>
        <w:t>pneumonija</w:t>
      </w:r>
      <w:r w:rsidRPr="00797963">
        <w:rPr>
          <w:sz w:val="22"/>
          <w:szCs w:val="22"/>
          <w:lang w:val="sr-Latn-ME"/>
        </w:rPr>
        <w:t>/</w:t>
      </w:r>
      <w:r w:rsidRPr="00E26E8A">
        <w:rPr>
          <w:sz w:val="22"/>
          <w:szCs w:val="22"/>
        </w:rPr>
        <w:t>pneumonitis</w:t>
      </w:r>
      <w:r w:rsidRPr="00797963">
        <w:rPr>
          <w:sz w:val="22"/>
          <w:szCs w:val="22"/>
          <w:lang w:val="sr-Latn-ME"/>
        </w:rPr>
        <w:t xml:space="preserve">, </w:t>
      </w:r>
      <w:r w:rsidRPr="00E26E8A">
        <w:rPr>
          <w:sz w:val="22"/>
          <w:szCs w:val="22"/>
        </w:rPr>
        <w:t>intersticijalna</w:t>
      </w:r>
      <w:r w:rsidRPr="00797963">
        <w:rPr>
          <w:sz w:val="22"/>
          <w:szCs w:val="22"/>
          <w:lang w:val="sr-Latn-ME"/>
        </w:rPr>
        <w:t xml:space="preserve"> </w:t>
      </w:r>
      <w:r w:rsidRPr="00E26E8A">
        <w:rPr>
          <w:sz w:val="22"/>
          <w:szCs w:val="22"/>
        </w:rPr>
        <w:t>bolest</w:t>
      </w:r>
      <w:r w:rsidRPr="00797963">
        <w:rPr>
          <w:sz w:val="22"/>
          <w:szCs w:val="22"/>
          <w:lang w:val="sr-Latn-ME"/>
        </w:rPr>
        <w:t xml:space="preserve"> </w:t>
      </w:r>
      <w:r w:rsidRPr="00E26E8A">
        <w:rPr>
          <w:sz w:val="22"/>
          <w:szCs w:val="22"/>
        </w:rPr>
        <w:t>plu</w:t>
      </w:r>
      <w:r w:rsidRPr="00797963">
        <w:rPr>
          <w:sz w:val="22"/>
          <w:szCs w:val="22"/>
          <w:lang w:val="sr-Latn-ME"/>
        </w:rPr>
        <w:t>ć</w:t>
      </w:r>
      <w:r w:rsidRPr="00E26E8A">
        <w:rPr>
          <w:sz w:val="22"/>
          <w:szCs w:val="22"/>
        </w:rPr>
        <w:t>a</w:t>
      </w:r>
      <w:r w:rsidRPr="00797963">
        <w:rPr>
          <w:sz w:val="22"/>
          <w:szCs w:val="22"/>
          <w:lang w:val="sr-Latn-ME"/>
        </w:rPr>
        <w:t xml:space="preserve">, </w:t>
      </w:r>
      <w:r w:rsidRPr="00E26E8A">
        <w:rPr>
          <w:sz w:val="22"/>
          <w:szCs w:val="22"/>
        </w:rPr>
        <w:t>plu</w:t>
      </w:r>
      <w:r w:rsidRPr="00797963">
        <w:rPr>
          <w:sz w:val="22"/>
          <w:szCs w:val="22"/>
          <w:lang w:val="sr-Latn-ME"/>
        </w:rPr>
        <w:t>ć</w:t>
      </w:r>
      <w:r w:rsidRPr="00E26E8A">
        <w:rPr>
          <w:sz w:val="22"/>
          <w:szCs w:val="22"/>
        </w:rPr>
        <w:t>na</w:t>
      </w:r>
      <w:r w:rsidRPr="00797963">
        <w:rPr>
          <w:sz w:val="22"/>
          <w:szCs w:val="22"/>
          <w:lang w:val="sr-Latn-ME"/>
        </w:rPr>
        <w:t xml:space="preserve"> </w:t>
      </w:r>
      <w:r w:rsidRPr="00E26E8A">
        <w:rPr>
          <w:sz w:val="22"/>
          <w:szCs w:val="22"/>
        </w:rPr>
        <w:t>fibroza</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respiratorna</w:t>
      </w:r>
      <w:r w:rsidRPr="00797963">
        <w:rPr>
          <w:sz w:val="22"/>
          <w:szCs w:val="22"/>
          <w:lang w:val="sr-Latn-ME"/>
        </w:rPr>
        <w:t xml:space="preserve"> </w:t>
      </w:r>
      <w:r w:rsidRPr="00E26E8A">
        <w:rPr>
          <w:sz w:val="22"/>
          <w:szCs w:val="22"/>
        </w:rPr>
        <w:t>insuficijencija</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registrovani</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mogu</w:t>
      </w:r>
      <w:r w:rsidRPr="00797963">
        <w:rPr>
          <w:sz w:val="22"/>
          <w:szCs w:val="22"/>
          <w:lang w:val="sr-Latn-ME"/>
        </w:rPr>
        <w:t xml:space="preserve"> </w:t>
      </w:r>
      <w:r w:rsidRPr="00E26E8A">
        <w:rPr>
          <w:sz w:val="22"/>
          <w:szCs w:val="22"/>
        </w:rPr>
        <w:t>biti</w:t>
      </w:r>
      <w:r w:rsidRPr="00797963">
        <w:rPr>
          <w:sz w:val="22"/>
          <w:szCs w:val="22"/>
          <w:lang w:val="sr-Latn-ME"/>
        </w:rPr>
        <w:t xml:space="preserve"> </w:t>
      </w:r>
      <w:r w:rsidRPr="00E26E8A">
        <w:rPr>
          <w:sz w:val="22"/>
          <w:szCs w:val="22"/>
        </w:rPr>
        <w:t>povezani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smrtnim</w:t>
      </w:r>
      <w:r w:rsidRPr="00797963">
        <w:rPr>
          <w:sz w:val="22"/>
          <w:szCs w:val="22"/>
          <w:lang w:val="sr-Latn-ME"/>
        </w:rPr>
        <w:t xml:space="preserve"> </w:t>
      </w:r>
      <w:r w:rsidRPr="00E26E8A">
        <w:rPr>
          <w:sz w:val="22"/>
          <w:szCs w:val="22"/>
        </w:rPr>
        <w:t>ishodom</w:t>
      </w:r>
      <w:r w:rsidRPr="00797963">
        <w:rPr>
          <w:sz w:val="22"/>
          <w:szCs w:val="22"/>
          <w:lang w:val="sr-Latn-ME"/>
        </w:rPr>
        <w:t xml:space="preserve">. </w:t>
      </w:r>
      <w:r w:rsidRPr="00E26E8A">
        <w:rPr>
          <w:sz w:val="22"/>
          <w:szCs w:val="22"/>
        </w:rPr>
        <w:t>Slu</w:t>
      </w:r>
      <w:r w:rsidRPr="00797963">
        <w:rPr>
          <w:sz w:val="22"/>
          <w:szCs w:val="22"/>
          <w:lang w:val="sr-Latn-ME"/>
        </w:rPr>
        <w:t>č</w:t>
      </w:r>
      <w:r w:rsidRPr="00E26E8A">
        <w:rPr>
          <w:sz w:val="22"/>
          <w:szCs w:val="22"/>
        </w:rPr>
        <w:t>ajevi</w:t>
      </w:r>
      <w:r w:rsidRPr="00797963">
        <w:rPr>
          <w:sz w:val="22"/>
          <w:szCs w:val="22"/>
          <w:lang w:val="sr-Latn-ME"/>
        </w:rPr>
        <w:t xml:space="preserve"> </w:t>
      </w:r>
      <w:r w:rsidRPr="00E26E8A">
        <w:rPr>
          <w:sz w:val="22"/>
          <w:szCs w:val="22"/>
        </w:rPr>
        <w:t>radijacionog</w:t>
      </w:r>
      <w:r w:rsidRPr="00797963">
        <w:rPr>
          <w:sz w:val="22"/>
          <w:szCs w:val="22"/>
          <w:lang w:val="sr-Latn-ME"/>
        </w:rPr>
        <w:t xml:space="preserve"> </w:t>
      </w:r>
      <w:r w:rsidRPr="00E26E8A">
        <w:rPr>
          <w:sz w:val="22"/>
          <w:szCs w:val="22"/>
        </w:rPr>
        <w:t>pneumonitisa</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registrovani</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koji</w:t>
      </w:r>
      <w:r w:rsidRPr="00797963">
        <w:rPr>
          <w:sz w:val="22"/>
          <w:szCs w:val="22"/>
          <w:lang w:val="sr-Latn-ME"/>
        </w:rPr>
        <w:t xml:space="preserve"> </w:t>
      </w:r>
      <w:r w:rsidRPr="00E26E8A">
        <w:rPr>
          <w:sz w:val="22"/>
          <w:szCs w:val="22"/>
        </w:rPr>
        <w:t>istovremeno</w:t>
      </w:r>
      <w:r w:rsidRPr="00797963">
        <w:rPr>
          <w:sz w:val="22"/>
          <w:szCs w:val="22"/>
          <w:lang w:val="sr-Latn-ME"/>
        </w:rPr>
        <w:t xml:space="preserve"> </w:t>
      </w:r>
      <w:r w:rsidRPr="00E26E8A">
        <w:rPr>
          <w:sz w:val="22"/>
          <w:szCs w:val="22"/>
        </w:rPr>
        <w:t>primaju</w:t>
      </w:r>
      <w:r w:rsidRPr="00797963">
        <w:rPr>
          <w:sz w:val="22"/>
          <w:szCs w:val="22"/>
          <w:lang w:val="sr-Latn-ME"/>
        </w:rPr>
        <w:t xml:space="preserve"> </w:t>
      </w:r>
      <w:r w:rsidRPr="00E26E8A">
        <w:rPr>
          <w:sz w:val="22"/>
          <w:szCs w:val="22"/>
        </w:rPr>
        <w:t>radioterapiju</w:t>
      </w:r>
      <w:r w:rsidRPr="00797963">
        <w:rPr>
          <w:sz w:val="22"/>
          <w:szCs w:val="22"/>
          <w:lang w:val="sr-Latn-ME"/>
        </w:rPr>
        <w:t>.</w:t>
      </w:r>
    </w:p>
    <w:p w14:paraId="02075C91" w14:textId="77777777" w:rsidR="005F2068" w:rsidRPr="00797963" w:rsidRDefault="005F2068" w:rsidP="005F2068">
      <w:pPr>
        <w:autoSpaceDE w:val="0"/>
        <w:autoSpaceDN w:val="0"/>
        <w:adjustRightInd w:val="0"/>
        <w:rPr>
          <w:sz w:val="22"/>
          <w:szCs w:val="22"/>
          <w:lang w:val="sr-Latn-ME"/>
        </w:rPr>
      </w:pPr>
    </w:p>
    <w:p w14:paraId="6F76CE76" w14:textId="77777777" w:rsidR="005F2068" w:rsidRPr="00797963" w:rsidRDefault="005F2068" w:rsidP="005F2068">
      <w:pPr>
        <w:autoSpaceDE w:val="0"/>
        <w:autoSpaceDN w:val="0"/>
        <w:adjustRightInd w:val="0"/>
        <w:rPr>
          <w:sz w:val="22"/>
          <w:szCs w:val="22"/>
          <w:lang w:val="sr-Latn-ME"/>
        </w:rPr>
      </w:pPr>
      <w:r w:rsidRPr="00E26E8A">
        <w:rPr>
          <w:sz w:val="22"/>
          <w:szCs w:val="22"/>
        </w:rPr>
        <w:t>Ako</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razviju</w:t>
      </w:r>
      <w:r w:rsidRPr="00797963">
        <w:rPr>
          <w:sz w:val="22"/>
          <w:szCs w:val="22"/>
          <w:lang w:val="sr-Latn-ME"/>
        </w:rPr>
        <w:t xml:space="preserve"> </w:t>
      </w:r>
      <w:r w:rsidRPr="00E26E8A">
        <w:rPr>
          <w:sz w:val="22"/>
          <w:szCs w:val="22"/>
        </w:rPr>
        <w:t>novi</w:t>
      </w:r>
      <w:r w:rsidRPr="00797963">
        <w:rPr>
          <w:sz w:val="22"/>
          <w:szCs w:val="22"/>
          <w:lang w:val="sr-Latn-ME"/>
        </w:rPr>
        <w:t xml:space="preserve"> </w:t>
      </w:r>
      <w:r w:rsidRPr="00E26E8A">
        <w:rPr>
          <w:sz w:val="22"/>
          <w:szCs w:val="22"/>
        </w:rPr>
        <w:t>ili</w:t>
      </w:r>
      <w:r w:rsidRPr="00797963">
        <w:rPr>
          <w:sz w:val="22"/>
          <w:szCs w:val="22"/>
          <w:lang w:val="sr-Latn-ME"/>
        </w:rPr>
        <w:t xml:space="preserve"> </w:t>
      </w:r>
      <w:r w:rsidRPr="00E26E8A">
        <w:rPr>
          <w:sz w:val="22"/>
          <w:szCs w:val="22"/>
        </w:rPr>
        <w:t>pogor</w:t>
      </w:r>
      <w:r w:rsidRPr="00797963">
        <w:rPr>
          <w:sz w:val="22"/>
          <w:szCs w:val="22"/>
          <w:lang w:val="sr-Latn-ME"/>
        </w:rPr>
        <w:t>š</w:t>
      </w:r>
      <w:r w:rsidRPr="00E26E8A">
        <w:rPr>
          <w:sz w:val="22"/>
          <w:szCs w:val="22"/>
        </w:rPr>
        <w:t>aju</w:t>
      </w:r>
      <w:r w:rsidRPr="00797963">
        <w:rPr>
          <w:sz w:val="22"/>
          <w:szCs w:val="22"/>
          <w:lang w:val="sr-Latn-ME"/>
        </w:rPr>
        <w:t xml:space="preserve"> </w:t>
      </w:r>
      <w:r w:rsidRPr="00E26E8A">
        <w:rPr>
          <w:sz w:val="22"/>
          <w:szCs w:val="22"/>
        </w:rPr>
        <w:t>postoje</w:t>
      </w:r>
      <w:r w:rsidRPr="00797963">
        <w:rPr>
          <w:sz w:val="22"/>
          <w:szCs w:val="22"/>
          <w:lang w:val="sr-Latn-ME"/>
        </w:rPr>
        <w:t>ć</w:t>
      </w:r>
      <w:r w:rsidRPr="00E26E8A">
        <w:rPr>
          <w:sz w:val="22"/>
          <w:szCs w:val="22"/>
        </w:rPr>
        <w:t>i</w:t>
      </w:r>
      <w:r w:rsidRPr="00797963">
        <w:rPr>
          <w:sz w:val="22"/>
          <w:szCs w:val="22"/>
          <w:lang w:val="sr-Latn-ME"/>
        </w:rPr>
        <w:t xml:space="preserve"> </w:t>
      </w:r>
      <w:r w:rsidRPr="00E26E8A">
        <w:rPr>
          <w:sz w:val="22"/>
          <w:szCs w:val="22"/>
        </w:rPr>
        <w:t>plu</w:t>
      </w:r>
      <w:r w:rsidRPr="00797963">
        <w:rPr>
          <w:sz w:val="22"/>
          <w:szCs w:val="22"/>
          <w:lang w:val="sr-Latn-ME"/>
        </w:rPr>
        <w:t>ć</w:t>
      </w:r>
      <w:r w:rsidRPr="00E26E8A">
        <w:rPr>
          <w:sz w:val="22"/>
          <w:szCs w:val="22"/>
        </w:rPr>
        <w:t>ni</w:t>
      </w:r>
      <w:r w:rsidRPr="00797963">
        <w:rPr>
          <w:sz w:val="22"/>
          <w:szCs w:val="22"/>
          <w:lang w:val="sr-Latn-ME"/>
        </w:rPr>
        <w:t xml:space="preserve"> </w:t>
      </w:r>
      <w:r w:rsidRPr="00E26E8A">
        <w:rPr>
          <w:sz w:val="22"/>
          <w:szCs w:val="22"/>
        </w:rPr>
        <w:t>simptomi</w:t>
      </w:r>
      <w:r w:rsidRPr="00797963">
        <w:rPr>
          <w:sz w:val="22"/>
          <w:szCs w:val="22"/>
          <w:lang w:val="sr-Latn-ME"/>
        </w:rPr>
        <w:t xml:space="preserve">, </w:t>
      </w:r>
      <w:r w:rsidRPr="00E26E8A">
        <w:rPr>
          <w:sz w:val="22"/>
          <w:szCs w:val="22"/>
        </w:rPr>
        <w:t>pacijente</w:t>
      </w:r>
      <w:r w:rsidRPr="00797963">
        <w:rPr>
          <w:sz w:val="22"/>
          <w:szCs w:val="22"/>
          <w:lang w:val="sr-Latn-ME"/>
        </w:rPr>
        <w:t xml:space="preserve"> </w:t>
      </w:r>
      <w:r w:rsidRPr="00E26E8A">
        <w:rPr>
          <w:sz w:val="22"/>
          <w:szCs w:val="22"/>
        </w:rPr>
        <w:t>treba</w:t>
      </w:r>
      <w:r w:rsidRPr="00797963">
        <w:rPr>
          <w:sz w:val="22"/>
          <w:szCs w:val="22"/>
          <w:lang w:val="sr-Latn-ME"/>
        </w:rPr>
        <w:t xml:space="preserve"> </w:t>
      </w:r>
      <w:r w:rsidRPr="00E26E8A">
        <w:rPr>
          <w:sz w:val="22"/>
          <w:szCs w:val="22"/>
        </w:rPr>
        <w:t>pa</w:t>
      </w:r>
      <w:r w:rsidRPr="00797963">
        <w:rPr>
          <w:sz w:val="22"/>
          <w:szCs w:val="22"/>
          <w:lang w:val="sr-Latn-ME"/>
        </w:rPr>
        <w:t>ž</w:t>
      </w:r>
      <w:r w:rsidRPr="00E26E8A">
        <w:rPr>
          <w:sz w:val="22"/>
          <w:szCs w:val="22"/>
        </w:rPr>
        <w:t>ljivo</w:t>
      </w:r>
      <w:r w:rsidRPr="00797963">
        <w:rPr>
          <w:sz w:val="22"/>
          <w:szCs w:val="22"/>
          <w:lang w:val="sr-Latn-ME"/>
        </w:rPr>
        <w:t xml:space="preserve"> </w:t>
      </w:r>
      <w:r w:rsidRPr="00E26E8A">
        <w:rPr>
          <w:sz w:val="22"/>
          <w:szCs w:val="22"/>
        </w:rPr>
        <w:t>pratiti</w:t>
      </w:r>
      <w:r w:rsidRPr="00797963">
        <w:rPr>
          <w:sz w:val="22"/>
          <w:szCs w:val="22"/>
          <w:lang w:val="sr-Latn-ME"/>
        </w:rPr>
        <w:t xml:space="preserve">, </w:t>
      </w:r>
      <w:r w:rsidRPr="00E26E8A">
        <w:rPr>
          <w:sz w:val="22"/>
          <w:szCs w:val="22"/>
        </w:rPr>
        <w:t>odmah</w:t>
      </w:r>
      <w:r w:rsidRPr="00797963">
        <w:rPr>
          <w:sz w:val="22"/>
          <w:szCs w:val="22"/>
          <w:lang w:val="sr-Latn-ME"/>
        </w:rPr>
        <w:t xml:space="preserve"> </w:t>
      </w:r>
      <w:r w:rsidRPr="00E26E8A">
        <w:rPr>
          <w:sz w:val="22"/>
          <w:szCs w:val="22"/>
        </w:rPr>
        <w:t>pregledati</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na</w:t>
      </w:r>
      <w:r w:rsidRPr="00797963">
        <w:rPr>
          <w:sz w:val="22"/>
          <w:szCs w:val="22"/>
          <w:lang w:val="sr-Latn-ME"/>
        </w:rPr>
        <w:t xml:space="preserve"> </w:t>
      </w:r>
      <w:r w:rsidRPr="00E26E8A">
        <w:rPr>
          <w:sz w:val="22"/>
          <w:szCs w:val="22"/>
        </w:rPr>
        <w:t>odgovaraju</w:t>
      </w:r>
      <w:r w:rsidRPr="00797963">
        <w:rPr>
          <w:sz w:val="22"/>
          <w:szCs w:val="22"/>
          <w:lang w:val="sr-Latn-ME"/>
        </w:rPr>
        <w:t>ć</w:t>
      </w:r>
      <w:r w:rsidRPr="00E26E8A">
        <w:rPr>
          <w:sz w:val="22"/>
          <w:szCs w:val="22"/>
        </w:rPr>
        <w:t>i</w:t>
      </w:r>
      <w:r w:rsidRPr="00797963">
        <w:rPr>
          <w:sz w:val="22"/>
          <w:szCs w:val="22"/>
          <w:lang w:val="sr-Latn-ME"/>
        </w:rPr>
        <w:t xml:space="preserve"> </w:t>
      </w:r>
      <w:r w:rsidRPr="00E26E8A">
        <w:rPr>
          <w:sz w:val="22"/>
          <w:szCs w:val="22"/>
        </w:rPr>
        <w:t>na</w:t>
      </w:r>
      <w:r w:rsidRPr="00797963">
        <w:rPr>
          <w:sz w:val="22"/>
          <w:szCs w:val="22"/>
          <w:lang w:val="sr-Latn-ME"/>
        </w:rPr>
        <w:t>č</w:t>
      </w:r>
      <w:r w:rsidRPr="00E26E8A">
        <w:rPr>
          <w:sz w:val="22"/>
          <w:szCs w:val="22"/>
        </w:rPr>
        <w:t>in</w:t>
      </w:r>
      <w:r w:rsidRPr="00797963">
        <w:rPr>
          <w:sz w:val="22"/>
          <w:szCs w:val="22"/>
          <w:lang w:val="sr-Latn-ME"/>
        </w:rPr>
        <w:t xml:space="preserve"> </w:t>
      </w:r>
      <w:r w:rsidRPr="00E26E8A">
        <w:rPr>
          <w:sz w:val="22"/>
          <w:szCs w:val="22"/>
        </w:rPr>
        <w:t>lije</w:t>
      </w:r>
      <w:r w:rsidRPr="00797963">
        <w:rPr>
          <w:sz w:val="22"/>
          <w:szCs w:val="22"/>
          <w:lang w:val="sr-Latn-ME"/>
        </w:rPr>
        <w:t>č</w:t>
      </w:r>
      <w:r w:rsidRPr="00E26E8A">
        <w:rPr>
          <w:sz w:val="22"/>
          <w:szCs w:val="22"/>
        </w:rPr>
        <w:t>iti</w:t>
      </w:r>
      <w:r w:rsidRPr="00797963">
        <w:rPr>
          <w:sz w:val="22"/>
          <w:szCs w:val="22"/>
          <w:lang w:val="sr-Latn-ME"/>
        </w:rPr>
        <w:t xml:space="preserve">. </w:t>
      </w:r>
      <w:r w:rsidRPr="00E26E8A">
        <w:rPr>
          <w:sz w:val="22"/>
          <w:szCs w:val="22"/>
        </w:rPr>
        <w:t>Dok</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ne</w:t>
      </w:r>
      <w:r w:rsidRPr="00797963">
        <w:rPr>
          <w:sz w:val="22"/>
          <w:szCs w:val="22"/>
          <w:lang w:val="sr-Latn-ME"/>
        </w:rPr>
        <w:t xml:space="preserve"> </w:t>
      </w:r>
      <w:r w:rsidRPr="00E26E8A">
        <w:rPr>
          <w:sz w:val="22"/>
          <w:szCs w:val="22"/>
        </w:rPr>
        <w:t>postavi</w:t>
      </w:r>
      <w:r w:rsidRPr="00797963">
        <w:rPr>
          <w:sz w:val="22"/>
          <w:szCs w:val="22"/>
          <w:lang w:val="sr-Latn-ME"/>
        </w:rPr>
        <w:t xml:space="preserve"> </w:t>
      </w:r>
      <w:r w:rsidRPr="00E26E8A">
        <w:rPr>
          <w:sz w:val="22"/>
          <w:szCs w:val="22"/>
        </w:rPr>
        <w:t>dijagnoza</w:t>
      </w:r>
      <w:r w:rsidRPr="00797963">
        <w:rPr>
          <w:sz w:val="22"/>
          <w:szCs w:val="22"/>
          <w:lang w:val="sr-Latn-ME"/>
        </w:rPr>
        <w:t xml:space="preserve"> </w:t>
      </w:r>
      <w:r w:rsidRPr="00E26E8A">
        <w:rPr>
          <w:sz w:val="22"/>
          <w:szCs w:val="22"/>
        </w:rPr>
        <w:t>preporu</w:t>
      </w:r>
      <w:r w:rsidRPr="00797963">
        <w:rPr>
          <w:sz w:val="22"/>
          <w:szCs w:val="22"/>
          <w:lang w:val="sr-Latn-ME"/>
        </w:rPr>
        <w:t>č</w:t>
      </w:r>
      <w:r w:rsidRPr="00E26E8A">
        <w:rPr>
          <w:sz w:val="22"/>
          <w:szCs w:val="22"/>
        </w:rPr>
        <w:t>uje</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prekid</w:t>
      </w:r>
      <w:r w:rsidRPr="00797963">
        <w:rPr>
          <w:sz w:val="22"/>
          <w:szCs w:val="22"/>
          <w:lang w:val="sr-Latn-ME"/>
        </w:rPr>
        <w:t xml:space="preserve"> </w:t>
      </w:r>
      <w:r w:rsidRPr="00E26E8A">
        <w:rPr>
          <w:sz w:val="22"/>
          <w:szCs w:val="22"/>
        </w:rPr>
        <w:t>lije</w:t>
      </w:r>
      <w:r w:rsidRPr="00797963">
        <w:rPr>
          <w:sz w:val="22"/>
          <w:szCs w:val="22"/>
          <w:lang w:val="sr-Latn-ME"/>
        </w:rPr>
        <w:t>č</w:t>
      </w:r>
      <w:r w:rsidRPr="00E26E8A">
        <w:rPr>
          <w:sz w:val="22"/>
          <w:szCs w:val="22"/>
        </w:rPr>
        <w:t>enja</w:t>
      </w:r>
      <w:r w:rsidRPr="00797963">
        <w:rPr>
          <w:sz w:val="22"/>
          <w:szCs w:val="22"/>
          <w:lang w:val="sr-Latn-ME"/>
        </w:rPr>
        <w:t xml:space="preserve"> </w:t>
      </w:r>
      <w:r w:rsidRPr="00E26E8A">
        <w:rPr>
          <w:sz w:val="22"/>
          <w:szCs w:val="22"/>
        </w:rPr>
        <w:t>docetakselom</w:t>
      </w:r>
      <w:r w:rsidRPr="00797963">
        <w:rPr>
          <w:sz w:val="22"/>
          <w:szCs w:val="22"/>
          <w:lang w:val="sr-Latn-ME"/>
        </w:rPr>
        <w:t xml:space="preserve">. </w:t>
      </w:r>
      <w:r w:rsidRPr="00E26E8A">
        <w:rPr>
          <w:sz w:val="22"/>
          <w:szCs w:val="22"/>
        </w:rPr>
        <w:t>Rana</w:t>
      </w:r>
      <w:r w:rsidRPr="00797963">
        <w:rPr>
          <w:sz w:val="22"/>
          <w:szCs w:val="22"/>
          <w:lang w:val="sr-Latn-ME"/>
        </w:rPr>
        <w:t xml:space="preserve"> </w:t>
      </w:r>
      <w:r w:rsidRPr="00E26E8A">
        <w:rPr>
          <w:sz w:val="22"/>
          <w:szCs w:val="22"/>
        </w:rPr>
        <w:t>primjena</w:t>
      </w:r>
      <w:r w:rsidRPr="00797963">
        <w:rPr>
          <w:sz w:val="22"/>
          <w:szCs w:val="22"/>
          <w:lang w:val="sr-Latn-ME"/>
        </w:rPr>
        <w:t xml:space="preserve"> </w:t>
      </w:r>
      <w:r w:rsidRPr="00E26E8A">
        <w:rPr>
          <w:sz w:val="22"/>
          <w:szCs w:val="22"/>
        </w:rPr>
        <w:t>za</w:t>
      </w:r>
      <w:r w:rsidRPr="00797963">
        <w:rPr>
          <w:sz w:val="22"/>
          <w:szCs w:val="22"/>
          <w:lang w:val="sr-Latn-ME"/>
        </w:rPr>
        <w:t>š</w:t>
      </w:r>
      <w:r w:rsidRPr="00E26E8A">
        <w:rPr>
          <w:sz w:val="22"/>
          <w:szCs w:val="22"/>
        </w:rPr>
        <w:t>titnih</w:t>
      </w:r>
      <w:r w:rsidRPr="00797963">
        <w:rPr>
          <w:sz w:val="22"/>
          <w:szCs w:val="22"/>
          <w:lang w:val="sr-Latn-ME"/>
        </w:rPr>
        <w:t xml:space="preserve"> </w:t>
      </w:r>
      <w:r w:rsidRPr="00E26E8A">
        <w:rPr>
          <w:sz w:val="22"/>
          <w:szCs w:val="22"/>
        </w:rPr>
        <w:t>mjera</w:t>
      </w:r>
      <w:r w:rsidRPr="00797963">
        <w:rPr>
          <w:sz w:val="22"/>
          <w:szCs w:val="22"/>
          <w:lang w:val="sr-Latn-ME"/>
        </w:rPr>
        <w:t xml:space="preserve"> </w:t>
      </w:r>
      <w:r w:rsidRPr="00E26E8A">
        <w:rPr>
          <w:sz w:val="22"/>
          <w:szCs w:val="22"/>
        </w:rPr>
        <w:t>mo</w:t>
      </w:r>
      <w:r w:rsidRPr="00797963">
        <w:rPr>
          <w:sz w:val="22"/>
          <w:szCs w:val="22"/>
          <w:lang w:val="sr-Latn-ME"/>
        </w:rPr>
        <w:t>ž</w:t>
      </w:r>
      <w:r w:rsidRPr="00E26E8A">
        <w:rPr>
          <w:sz w:val="22"/>
          <w:szCs w:val="22"/>
        </w:rPr>
        <w:t>e</w:t>
      </w:r>
      <w:r w:rsidRPr="00797963">
        <w:rPr>
          <w:sz w:val="22"/>
          <w:szCs w:val="22"/>
          <w:lang w:val="sr-Latn-ME"/>
        </w:rPr>
        <w:t xml:space="preserve"> </w:t>
      </w:r>
      <w:r w:rsidRPr="00E26E8A">
        <w:rPr>
          <w:sz w:val="22"/>
          <w:szCs w:val="22"/>
        </w:rPr>
        <w:t>pobolj</w:t>
      </w:r>
      <w:r w:rsidRPr="00797963">
        <w:rPr>
          <w:sz w:val="22"/>
          <w:szCs w:val="22"/>
          <w:lang w:val="sr-Latn-ME"/>
        </w:rPr>
        <w:t>š</w:t>
      </w:r>
      <w:r w:rsidRPr="00E26E8A">
        <w:rPr>
          <w:sz w:val="22"/>
          <w:szCs w:val="22"/>
        </w:rPr>
        <w:t>ati</w:t>
      </w:r>
      <w:r w:rsidRPr="00797963">
        <w:rPr>
          <w:sz w:val="22"/>
          <w:szCs w:val="22"/>
          <w:lang w:val="sr-Latn-ME"/>
        </w:rPr>
        <w:t xml:space="preserve"> </w:t>
      </w:r>
      <w:r w:rsidRPr="00E26E8A">
        <w:rPr>
          <w:sz w:val="22"/>
          <w:szCs w:val="22"/>
        </w:rPr>
        <w:t>stanje</w:t>
      </w:r>
      <w:r w:rsidRPr="00797963">
        <w:rPr>
          <w:sz w:val="22"/>
          <w:szCs w:val="22"/>
          <w:lang w:val="sr-Latn-ME"/>
        </w:rPr>
        <w:t xml:space="preserve">. </w:t>
      </w:r>
      <w:r w:rsidRPr="00E26E8A">
        <w:rPr>
          <w:sz w:val="22"/>
          <w:szCs w:val="22"/>
        </w:rPr>
        <w:t>Korist</w:t>
      </w:r>
      <w:r w:rsidRPr="00797963">
        <w:rPr>
          <w:sz w:val="22"/>
          <w:szCs w:val="22"/>
          <w:lang w:val="sr-Latn-ME"/>
        </w:rPr>
        <w:t xml:space="preserve"> </w:t>
      </w:r>
      <w:r w:rsidRPr="00E26E8A">
        <w:rPr>
          <w:sz w:val="22"/>
          <w:szCs w:val="22"/>
        </w:rPr>
        <w:t>od</w:t>
      </w:r>
      <w:r w:rsidRPr="00797963">
        <w:rPr>
          <w:sz w:val="22"/>
          <w:szCs w:val="22"/>
          <w:lang w:val="sr-Latn-ME"/>
        </w:rPr>
        <w:t xml:space="preserve"> </w:t>
      </w:r>
      <w:r w:rsidRPr="00E26E8A">
        <w:rPr>
          <w:sz w:val="22"/>
          <w:szCs w:val="22"/>
        </w:rPr>
        <w:t>nastavka</w:t>
      </w:r>
      <w:r w:rsidRPr="00797963">
        <w:rPr>
          <w:sz w:val="22"/>
          <w:szCs w:val="22"/>
          <w:lang w:val="sr-Latn-ME"/>
        </w:rPr>
        <w:t xml:space="preserve"> </w:t>
      </w:r>
      <w:r w:rsidRPr="00E26E8A">
        <w:rPr>
          <w:sz w:val="22"/>
          <w:szCs w:val="22"/>
        </w:rPr>
        <w:t>lije</w:t>
      </w:r>
      <w:r w:rsidRPr="00797963">
        <w:rPr>
          <w:sz w:val="22"/>
          <w:szCs w:val="22"/>
          <w:lang w:val="sr-Latn-ME"/>
        </w:rPr>
        <w:t>č</w:t>
      </w:r>
      <w:r w:rsidRPr="00E26E8A">
        <w:rPr>
          <w:sz w:val="22"/>
          <w:szCs w:val="22"/>
        </w:rPr>
        <w:t>enja</w:t>
      </w:r>
      <w:r w:rsidRPr="00797963">
        <w:rPr>
          <w:sz w:val="22"/>
          <w:szCs w:val="22"/>
          <w:lang w:val="sr-Latn-ME"/>
        </w:rPr>
        <w:t xml:space="preserve"> </w:t>
      </w:r>
      <w:r w:rsidRPr="00E26E8A">
        <w:rPr>
          <w:sz w:val="22"/>
          <w:szCs w:val="22"/>
        </w:rPr>
        <w:t>docetakselom</w:t>
      </w:r>
      <w:r w:rsidRPr="00797963">
        <w:rPr>
          <w:sz w:val="22"/>
          <w:szCs w:val="22"/>
          <w:lang w:val="sr-Latn-ME"/>
        </w:rPr>
        <w:t xml:space="preserve"> </w:t>
      </w:r>
      <w:r w:rsidRPr="00E26E8A">
        <w:rPr>
          <w:sz w:val="22"/>
          <w:szCs w:val="22"/>
        </w:rPr>
        <w:t>mora</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pa</w:t>
      </w:r>
      <w:r w:rsidRPr="00797963">
        <w:rPr>
          <w:sz w:val="22"/>
          <w:szCs w:val="22"/>
          <w:lang w:val="sr-Latn-ME"/>
        </w:rPr>
        <w:t>ž</w:t>
      </w:r>
      <w:r w:rsidRPr="00E26E8A">
        <w:rPr>
          <w:sz w:val="22"/>
          <w:szCs w:val="22"/>
        </w:rPr>
        <w:t>ljivo</w:t>
      </w:r>
      <w:r w:rsidRPr="00797963">
        <w:rPr>
          <w:sz w:val="22"/>
          <w:szCs w:val="22"/>
          <w:lang w:val="sr-Latn-ME"/>
        </w:rPr>
        <w:t xml:space="preserve"> </w:t>
      </w:r>
      <w:r w:rsidRPr="00E26E8A">
        <w:rPr>
          <w:sz w:val="22"/>
          <w:szCs w:val="22"/>
        </w:rPr>
        <w:t>procijeniti</w:t>
      </w:r>
      <w:r w:rsidRPr="00797963">
        <w:rPr>
          <w:sz w:val="22"/>
          <w:szCs w:val="22"/>
          <w:lang w:val="sr-Latn-ME"/>
        </w:rPr>
        <w:t>.</w:t>
      </w:r>
    </w:p>
    <w:p w14:paraId="3BDB7004" w14:textId="77777777" w:rsidR="005F2068" w:rsidRPr="00797963" w:rsidRDefault="005F2068" w:rsidP="005F2068">
      <w:pPr>
        <w:autoSpaceDE w:val="0"/>
        <w:autoSpaceDN w:val="0"/>
        <w:adjustRightInd w:val="0"/>
        <w:rPr>
          <w:sz w:val="22"/>
          <w:szCs w:val="22"/>
          <w:lang w:val="sr-Latn-ME"/>
        </w:rPr>
      </w:pPr>
    </w:p>
    <w:p w14:paraId="6C6530A1"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Pacijenti</w:t>
      </w:r>
      <w:r w:rsidRPr="00797963">
        <w:rPr>
          <w:sz w:val="22"/>
          <w:szCs w:val="22"/>
          <w:u w:val="single"/>
          <w:lang w:val="sr-Latn-ME"/>
        </w:rPr>
        <w:t xml:space="preserve"> </w:t>
      </w:r>
      <w:r w:rsidRPr="00E26E8A">
        <w:rPr>
          <w:sz w:val="22"/>
          <w:szCs w:val="22"/>
          <w:u w:val="single"/>
        </w:rPr>
        <w:t>sa</w:t>
      </w:r>
      <w:r w:rsidRPr="00797963">
        <w:rPr>
          <w:sz w:val="22"/>
          <w:szCs w:val="22"/>
          <w:u w:val="single"/>
          <w:lang w:val="sr-Latn-ME"/>
        </w:rPr>
        <w:t xml:space="preserve"> </w:t>
      </w:r>
      <w:r w:rsidRPr="00E26E8A">
        <w:rPr>
          <w:sz w:val="22"/>
          <w:szCs w:val="22"/>
          <w:u w:val="single"/>
        </w:rPr>
        <w:t>insuficijencijom</w:t>
      </w:r>
      <w:r w:rsidRPr="00797963">
        <w:rPr>
          <w:sz w:val="22"/>
          <w:szCs w:val="22"/>
          <w:u w:val="single"/>
          <w:lang w:val="sr-Latn-ME"/>
        </w:rPr>
        <w:t xml:space="preserve"> </w:t>
      </w:r>
      <w:r w:rsidRPr="00E26E8A">
        <w:rPr>
          <w:sz w:val="22"/>
          <w:szCs w:val="22"/>
          <w:u w:val="single"/>
        </w:rPr>
        <w:t>jetre</w:t>
      </w:r>
    </w:p>
    <w:p w14:paraId="01076EE7" w14:textId="77777777" w:rsidR="005F2068" w:rsidRPr="00797963" w:rsidRDefault="005F2068" w:rsidP="005F2068">
      <w:pPr>
        <w:autoSpaceDE w:val="0"/>
        <w:autoSpaceDN w:val="0"/>
        <w:adjustRightInd w:val="0"/>
        <w:rPr>
          <w:sz w:val="22"/>
          <w:szCs w:val="22"/>
          <w:u w:val="single"/>
          <w:lang w:val="sr-Latn-ME"/>
        </w:rPr>
      </w:pPr>
    </w:p>
    <w:p w14:paraId="1536424D" w14:textId="77777777" w:rsidR="005F2068" w:rsidRPr="00797963" w:rsidRDefault="005F2068" w:rsidP="005F2068">
      <w:pPr>
        <w:autoSpaceDE w:val="0"/>
        <w:autoSpaceDN w:val="0"/>
        <w:adjustRightInd w:val="0"/>
        <w:rPr>
          <w:sz w:val="22"/>
          <w:szCs w:val="22"/>
          <w:lang w:val="sr-Latn-ME"/>
        </w:rPr>
      </w:pP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lije</w:t>
      </w:r>
      <w:r w:rsidRPr="00797963">
        <w:rPr>
          <w:rFonts w:eastAsia="TimesNewRoman"/>
          <w:sz w:val="22"/>
          <w:szCs w:val="22"/>
          <w:lang w:val="sr-Latn-ME"/>
        </w:rPr>
        <w:t>č</w:t>
      </w:r>
      <w:r w:rsidRPr="00E26E8A">
        <w:rPr>
          <w:sz w:val="22"/>
          <w:szCs w:val="22"/>
        </w:rPr>
        <w:t>enih</w:t>
      </w:r>
      <w:r w:rsidRPr="00797963">
        <w:rPr>
          <w:sz w:val="22"/>
          <w:szCs w:val="22"/>
          <w:lang w:val="sr-Latn-ME"/>
        </w:rPr>
        <w:t xml:space="preserve"> </w:t>
      </w:r>
      <w:r w:rsidRPr="00E26E8A">
        <w:rPr>
          <w:sz w:val="22"/>
          <w:szCs w:val="22"/>
        </w:rPr>
        <w:t>docetakselom</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dozi</w:t>
      </w:r>
      <w:r w:rsidRPr="00797963">
        <w:rPr>
          <w:sz w:val="22"/>
          <w:szCs w:val="22"/>
          <w:lang w:val="sr-Latn-ME"/>
        </w:rPr>
        <w:t xml:space="preserve"> </w:t>
      </w:r>
      <w:r w:rsidRPr="00E26E8A">
        <w:rPr>
          <w:sz w:val="22"/>
          <w:szCs w:val="22"/>
        </w:rPr>
        <w:t>od</w:t>
      </w:r>
      <w:r w:rsidRPr="00797963">
        <w:rPr>
          <w:sz w:val="22"/>
          <w:szCs w:val="22"/>
          <w:lang w:val="sr-Latn-ME"/>
        </w:rPr>
        <w:t xml:space="preserve"> 100 </w:t>
      </w:r>
      <w:r w:rsidRPr="00E26E8A">
        <w:rPr>
          <w:sz w:val="22"/>
          <w:szCs w:val="22"/>
        </w:rPr>
        <w:t>mg</w:t>
      </w:r>
      <w:r w:rsidRPr="00797963">
        <w:rPr>
          <w:sz w:val="22"/>
          <w:szCs w:val="22"/>
          <w:lang w:val="sr-Latn-ME"/>
        </w:rPr>
        <w:t>/</w:t>
      </w:r>
      <w:r w:rsidRPr="00E26E8A">
        <w:rPr>
          <w:sz w:val="22"/>
          <w:szCs w:val="22"/>
        </w:rPr>
        <w:t>m</w:t>
      </w:r>
      <w:r w:rsidRPr="00797963">
        <w:rPr>
          <w:sz w:val="22"/>
          <w:szCs w:val="22"/>
          <w:lang w:val="sr-Latn-ME"/>
        </w:rPr>
        <w:t xml:space="preserve">² </w:t>
      </w:r>
      <w:r w:rsidRPr="00E26E8A">
        <w:rPr>
          <w:sz w:val="22"/>
          <w:szCs w:val="22"/>
        </w:rPr>
        <w:t>u</w:t>
      </w:r>
      <w:r w:rsidRPr="00797963">
        <w:rPr>
          <w:sz w:val="22"/>
          <w:szCs w:val="22"/>
          <w:lang w:val="sr-Latn-ME"/>
        </w:rPr>
        <w:t xml:space="preserve"> </w:t>
      </w:r>
      <w:r w:rsidRPr="00E26E8A">
        <w:rPr>
          <w:sz w:val="22"/>
          <w:szCs w:val="22"/>
        </w:rPr>
        <w:t>monoterapiji</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kojih</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nivoi</w:t>
      </w:r>
      <w:r w:rsidRPr="00797963">
        <w:rPr>
          <w:sz w:val="22"/>
          <w:szCs w:val="22"/>
          <w:lang w:val="sr-Latn-ME"/>
        </w:rPr>
        <w:t xml:space="preserve"> </w:t>
      </w:r>
      <w:r w:rsidRPr="00E26E8A">
        <w:rPr>
          <w:sz w:val="22"/>
          <w:szCs w:val="22"/>
        </w:rPr>
        <w:t>serumskih</w:t>
      </w:r>
      <w:r w:rsidRPr="00797963">
        <w:rPr>
          <w:sz w:val="22"/>
          <w:szCs w:val="22"/>
          <w:lang w:val="sr-Latn-ME"/>
        </w:rPr>
        <w:t xml:space="preserve"> </w:t>
      </w:r>
      <w:r w:rsidRPr="00E26E8A">
        <w:rPr>
          <w:sz w:val="22"/>
          <w:szCs w:val="22"/>
        </w:rPr>
        <w:t>transaminaza</w:t>
      </w:r>
      <w:r w:rsidRPr="00797963">
        <w:rPr>
          <w:sz w:val="22"/>
          <w:szCs w:val="22"/>
          <w:lang w:val="sr-Latn-ME"/>
        </w:rPr>
        <w:t xml:space="preserve"> (</w:t>
      </w:r>
      <w:r w:rsidRPr="00E26E8A">
        <w:rPr>
          <w:sz w:val="22"/>
          <w:szCs w:val="22"/>
        </w:rPr>
        <w:t>ALT</w:t>
      </w:r>
      <w:r w:rsidRPr="00797963">
        <w:rPr>
          <w:sz w:val="22"/>
          <w:szCs w:val="22"/>
          <w:lang w:val="sr-Latn-ME"/>
        </w:rPr>
        <w:t xml:space="preserve"> </w:t>
      </w:r>
      <w:r w:rsidRPr="00E26E8A">
        <w:rPr>
          <w:sz w:val="22"/>
          <w:szCs w:val="22"/>
        </w:rPr>
        <w:t>i</w:t>
      </w:r>
      <w:r w:rsidRPr="00797963">
        <w:rPr>
          <w:sz w:val="22"/>
          <w:szCs w:val="22"/>
          <w:lang w:val="sr-Latn-ME"/>
        </w:rPr>
        <w:t>/</w:t>
      </w:r>
      <w:r w:rsidRPr="00E26E8A">
        <w:rPr>
          <w:sz w:val="22"/>
          <w:szCs w:val="22"/>
        </w:rPr>
        <w:t>ili</w:t>
      </w:r>
      <w:r w:rsidRPr="00797963">
        <w:rPr>
          <w:sz w:val="22"/>
          <w:szCs w:val="22"/>
          <w:lang w:val="sr-Latn-ME"/>
        </w:rPr>
        <w:t xml:space="preserve"> </w:t>
      </w:r>
      <w:r w:rsidRPr="00E26E8A">
        <w:rPr>
          <w:sz w:val="22"/>
          <w:szCs w:val="22"/>
        </w:rPr>
        <w:t>AST</w:t>
      </w:r>
      <w:r w:rsidRPr="00797963">
        <w:rPr>
          <w:sz w:val="22"/>
          <w:szCs w:val="22"/>
          <w:lang w:val="sr-Latn-ME"/>
        </w:rPr>
        <w:t xml:space="preserve">) </w:t>
      </w:r>
      <w:r w:rsidRPr="00E26E8A">
        <w:rPr>
          <w:sz w:val="22"/>
          <w:szCs w:val="22"/>
        </w:rPr>
        <w:t>uve</w:t>
      </w:r>
      <w:r w:rsidRPr="00797963">
        <w:rPr>
          <w:rFonts w:eastAsia="TimesNewRoman"/>
          <w:sz w:val="22"/>
          <w:szCs w:val="22"/>
          <w:lang w:val="sr-Latn-ME"/>
        </w:rPr>
        <w:t>ć</w:t>
      </w:r>
      <w:r w:rsidRPr="00E26E8A">
        <w:rPr>
          <w:sz w:val="22"/>
          <w:szCs w:val="22"/>
        </w:rPr>
        <w:t>ani</w:t>
      </w:r>
      <w:r w:rsidRPr="00797963">
        <w:rPr>
          <w:sz w:val="22"/>
          <w:szCs w:val="22"/>
          <w:lang w:val="sr-Latn-ME"/>
        </w:rPr>
        <w:t xml:space="preserve"> </w:t>
      </w:r>
      <w:r w:rsidRPr="00E26E8A">
        <w:rPr>
          <w:sz w:val="22"/>
          <w:szCs w:val="22"/>
        </w:rPr>
        <w:t>vi</w:t>
      </w:r>
      <w:r w:rsidRPr="00797963">
        <w:rPr>
          <w:sz w:val="22"/>
          <w:szCs w:val="22"/>
          <w:lang w:val="sr-Latn-ME"/>
        </w:rPr>
        <w:t>š</w:t>
      </w:r>
      <w:r w:rsidRPr="00E26E8A">
        <w:rPr>
          <w:sz w:val="22"/>
          <w:szCs w:val="22"/>
        </w:rPr>
        <w:t>e</w:t>
      </w:r>
      <w:r w:rsidRPr="00797963">
        <w:rPr>
          <w:sz w:val="22"/>
          <w:szCs w:val="22"/>
          <w:lang w:val="sr-Latn-ME"/>
        </w:rPr>
        <w:t xml:space="preserve"> </w:t>
      </w:r>
      <w:r w:rsidRPr="00E26E8A">
        <w:rPr>
          <w:sz w:val="22"/>
          <w:szCs w:val="22"/>
        </w:rPr>
        <w:t>od</w:t>
      </w:r>
      <w:r w:rsidRPr="00797963">
        <w:rPr>
          <w:sz w:val="22"/>
          <w:szCs w:val="22"/>
          <w:lang w:val="sr-Latn-ME"/>
        </w:rPr>
        <w:t xml:space="preserve"> 1,5 </w:t>
      </w:r>
      <w:r w:rsidRPr="00E26E8A">
        <w:rPr>
          <w:sz w:val="22"/>
          <w:szCs w:val="22"/>
        </w:rPr>
        <w:t>puta</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odnosu</w:t>
      </w:r>
      <w:r w:rsidRPr="00797963">
        <w:rPr>
          <w:sz w:val="22"/>
          <w:szCs w:val="22"/>
          <w:lang w:val="sr-Latn-ME"/>
        </w:rPr>
        <w:t xml:space="preserve"> </w:t>
      </w:r>
      <w:r w:rsidRPr="00E26E8A">
        <w:rPr>
          <w:sz w:val="22"/>
          <w:szCs w:val="22"/>
        </w:rPr>
        <w:t>na</w:t>
      </w:r>
      <w:r w:rsidRPr="00797963">
        <w:rPr>
          <w:sz w:val="22"/>
          <w:szCs w:val="22"/>
          <w:lang w:val="sr-Latn-ME"/>
        </w:rPr>
        <w:t xml:space="preserve"> </w:t>
      </w:r>
      <w:r w:rsidRPr="00E26E8A">
        <w:rPr>
          <w:sz w:val="22"/>
          <w:szCs w:val="22"/>
        </w:rPr>
        <w:t>gornje</w:t>
      </w:r>
      <w:r w:rsidRPr="00797963">
        <w:rPr>
          <w:sz w:val="22"/>
          <w:szCs w:val="22"/>
          <w:lang w:val="sr-Latn-ME"/>
        </w:rPr>
        <w:t xml:space="preserve"> </w:t>
      </w:r>
      <w:r w:rsidRPr="00E26E8A">
        <w:rPr>
          <w:sz w:val="22"/>
          <w:szCs w:val="22"/>
        </w:rPr>
        <w:t>granice</w:t>
      </w:r>
      <w:r w:rsidRPr="00797963">
        <w:rPr>
          <w:sz w:val="22"/>
          <w:szCs w:val="22"/>
          <w:lang w:val="sr-Latn-ME"/>
        </w:rPr>
        <w:t xml:space="preserve"> </w:t>
      </w:r>
      <w:r w:rsidRPr="00E26E8A">
        <w:rPr>
          <w:sz w:val="22"/>
          <w:szCs w:val="22"/>
        </w:rPr>
        <w:t>normale</w:t>
      </w:r>
      <w:r w:rsidRPr="00797963">
        <w:rPr>
          <w:sz w:val="22"/>
          <w:szCs w:val="22"/>
          <w:lang w:val="sr-Latn-ME"/>
        </w:rPr>
        <w:t xml:space="preserve">, </w:t>
      </w:r>
      <w:r w:rsidRPr="00E26E8A">
        <w:rPr>
          <w:sz w:val="22"/>
          <w:szCs w:val="22"/>
        </w:rPr>
        <w:t>a</w:t>
      </w:r>
      <w:r w:rsidRPr="00797963">
        <w:rPr>
          <w:sz w:val="22"/>
          <w:szCs w:val="22"/>
          <w:lang w:val="sr-Latn-ME"/>
        </w:rPr>
        <w:t xml:space="preserve"> </w:t>
      </w:r>
      <w:r w:rsidRPr="00E26E8A">
        <w:rPr>
          <w:sz w:val="22"/>
          <w:szCs w:val="22"/>
        </w:rPr>
        <w:t>istovremeno</w:t>
      </w:r>
      <w:r w:rsidRPr="00797963">
        <w:rPr>
          <w:sz w:val="22"/>
          <w:szCs w:val="22"/>
          <w:lang w:val="sr-Latn-ME"/>
        </w:rPr>
        <w:t xml:space="preserve"> </w:t>
      </w:r>
      <w:r w:rsidRPr="00E26E8A">
        <w:rPr>
          <w:sz w:val="22"/>
          <w:szCs w:val="22"/>
        </w:rPr>
        <w:t>nivoi</w:t>
      </w:r>
      <w:r w:rsidRPr="00797963">
        <w:rPr>
          <w:sz w:val="22"/>
          <w:szCs w:val="22"/>
          <w:lang w:val="sr-Latn-ME"/>
        </w:rPr>
        <w:t xml:space="preserve"> </w:t>
      </w:r>
      <w:r w:rsidRPr="00E26E8A">
        <w:rPr>
          <w:sz w:val="22"/>
          <w:szCs w:val="22"/>
        </w:rPr>
        <w:t>serumske</w:t>
      </w:r>
      <w:r w:rsidRPr="00797963">
        <w:rPr>
          <w:sz w:val="22"/>
          <w:szCs w:val="22"/>
          <w:lang w:val="sr-Latn-ME"/>
        </w:rPr>
        <w:t xml:space="preserve"> </w:t>
      </w:r>
      <w:r w:rsidRPr="00E26E8A">
        <w:rPr>
          <w:sz w:val="22"/>
          <w:szCs w:val="22"/>
        </w:rPr>
        <w:t>alkalne</w:t>
      </w:r>
      <w:r w:rsidRPr="00797963">
        <w:rPr>
          <w:sz w:val="22"/>
          <w:szCs w:val="22"/>
          <w:lang w:val="sr-Latn-ME"/>
        </w:rPr>
        <w:t xml:space="preserve"> </w:t>
      </w:r>
      <w:r w:rsidRPr="00E26E8A">
        <w:rPr>
          <w:sz w:val="22"/>
          <w:szCs w:val="22"/>
        </w:rPr>
        <w:t>fosfataze</w:t>
      </w:r>
      <w:r w:rsidRPr="00797963">
        <w:rPr>
          <w:sz w:val="22"/>
          <w:szCs w:val="22"/>
          <w:lang w:val="sr-Latn-ME"/>
        </w:rPr>
        <w:t xml:space="preserve"> </w:t>
      </w:r>
      <w:r w:rsidRPr="00E26E8A">
        <w:rPr>
          <w:sz w:val="22"/>
          <w:szCs w:val="22"/>
        </w:rPr>
        <w:t>vi</w:t>
      </w:r>
      <w:r w:rsidRPr="00797963">
        <w:rPr>
          <w:sz w:val="22"/>
          <w:szCs w:val="22"/>
          <w:lang w:val="sr-Latn-ME"/>
        </w:rPr>
        <w:t>š</w:t>
      </w:r>
      <w:r w:rsidRPr="00E26E8A">
        <w:rPr>
          <w:sz w:val="22"/>
          <w:szCs w:val="22"/>
        </w:rPr>
        <w:t>e</w:t>
      </w:r>
      <w:r w:rsidRPr="00797963">
        <w:rPr>
          <w:sz w:val="22"/>
          <w:szCs w:val="22"/>
          <w:lang w:val="sr-Latn-ME"/>
        </w:rPr>
        <w:t xml:space="preserve"> </w:t>
      </w:r>
      <w:r w:rsidRPr="00E26E8A">
        <w:rPr>
          <w:sz w:val="22"/>
          <w:szCs w:val="22"/>
        </w:rPr>
        <w:t>od</w:t>
      </w:r>
      <w:r w:rsidRPr="00797963">
        <w:rPr>
          <w:sz w:val="22"/>
          <w:szCs w:val="22"/>
          <w:lang w:val="sr-Latn-ME"/>
        </w:rPr>
        <w:t xml:space="preserve"> 2,5 </w:t>
      </w:r>
      <w:r w:rsidRPr="00E26E8A">
        <w:rPr>
          <w:sz w:val="22"/>
          <w:szCs w:val="22"/>
        </w:rPr>
        <w:t>puta</w:t>
      </w:r>
      <w:r w:rsidRPr="00797963">
        <w:rPr>
          <w:sz w:val="22"/>
          <w:szCs w:val="22"/>
          <w:lang w:val="sr-Latn-ME"/>
        </w:rPr>
        <w:t xml:space="preserve"> </w:t>
      </w:r>
      <w:r w:rsidRPr="00E26E8A">
        <w:rPr>
          <w:sz w:val="22"/>
          <w:szCs w:val="22"/>
        </w:rPr>
        <w:t>ve</w:t>
      </w:r>
      <w:r w:rsidRPr="00797963">
        <w:rPr>
          <w:rFonts w:eastAsia="TimesNewRoman"/>
          <w:sz w:val="22"/>
          <w:szCs w:val="22"/>
          <w:lang w:val="sr-Latn-ME"/>
        </w:rPr>
        <w:t>ć</w:t>
      </w:r>
      <w:r w:rsidRPr="00E26E8A">
        <w:rPr>
          <w:sz w:val="22"/>
          <w:szCs w:val="22"/>
        </w:rPr>
        <w:t>i</w:t>
      </w:r>
      <w:r w:rsidRPr="00797963">
        <w:rPr>
          <w:sz w:val="22"/>
          <w:szCs w:val="22"/>
          <w:lang w:val="sr-Latn-ME"/>
        </w:rPr>
        <w:t xml:space="preserve"> </w:t>
      </w:r>
      <w:r w:rsidRPr="00E26E8A">
        <w:rPr>
          <w:sz w:val="22"/>
          <w:szCs w:val="22"/>
        </w:rPr>
        <w:t>od</w:t>
      </w:r>
      <w:r w:rsidRPr="00797963">
        <w:rPr>
          <w:sz w:val="22"/>
          <w:szCs w:val="22"/>
          <w:lang w:val="sr-Latn-ME"/>
        </w:rPr>
        <w:t xml:space="preserve"> </w:t>
      </w:r>
      <w:r w:rsidRPr="00E26E8A">
        <w:rPr>
          <w:sz w:val="22"/>
          <w:szCs w:val="22"/>
        </w:rPr>
        <w:t>vrijednosti</w:t>
      </w:r>
      <w:r w:rsidRPr="00797963">
        <w:rPr>
          <w:sz w:val="22"/>
          <w:szCs w:val="22"/>
          <w:lang w:val="sr-Latn-ME"/>
        </w:rPr>
        <w:t xml:space="preserve"> </w:t>
      </w:r>
      <w:r w:rsidRPr="00E26E8A">
        <w:rPr>
          <w:sz w:val="22"/>
          <w:szCs w:val="22"/>
        </w:rPr>
        <w:t>gornje</w:t>
      </w:r>
      <w:r w:rsidRPr="00797963">
        <w:rPr>
          <w:sz w:val="22"/>
          <w:szCs w:val="22"/>
          <w:lang w:val="sr-Latn-ME"/>
        </w:rPr>
        <w:t xml:space="preserve"> </w:t>
      </w:r>
      <w:r w:rsidRPr="00E26E8A">
        <w:rPr>
          <w:sz w:val="22"/>
          <w:szCs w:val="22"/>
        </w:rPr>
        <w:t>granice</w:t>
      </w:r>
      <w:r w:rsidRPr="00797963">
        <w:rPr>
          <w:sz w:val="22"/>
          <w:szCs w:val="22"/>
          <w:lang w:val="sr-Latn-ME"/>
        </w:rPr>
        <w:t xml:space="preserve"> </w:t>
      </w:r>
      <w:r w:rsidRPr="00E26E8A">
        <w:rPr>
          <w:sz w:val="22"/>
          <w:szCs w:val="22"/>
        </w:rPr>
        <w:t>normale</w:t>
      </w:r>
      <w:r w:rsidRPr="00797963">
        <w:rPr>
          <w:sz w:val="22"/>
          <w:szCs w:val="22"/>
          <w:lang w:val="sr-Latn-ME"/>
        </w:rPr>
        <w:t xml:space="preserve">, </w:t>
      </w:r>
      <w:r w:rsidRPr="00E26E8A">
        <w:rPr>
          <w:sz w:val="22"/>
          <w:szCs w:val="22"/>
        </w:rPr>
        <w:t>postoji</w:t>
      </w:r>
      <w:r w:rsidRPr="00797963">
        <w:rPr>
          <w:sz w:val="22"/>
          <w:szCs w:val="22"/>
          <w:lang w:val="sr-Latn-ME"/>
        </w:rPr>
        <w:t xml:space="preserve"> </w:t>
      </w:r>
      <w:r w:rsidRPr="00E26E8A">
        <w:rPr>
          <w:sz w:val="22"/>
          <w:szCs w:val="22"/>
        </w:rPr>
        <w:t>ve</w:t>
      </w:r>
      <w:r w:rsidRPr="00797963">
        <w:rPr>
          <w:rFonts w:eastAsia="TimesNewRoman"/>
          <w:sz w:val="22"/>
          <w:szCs w:val="22"/>
          <w:lang w:val="sr-Latn-ME"/>
        </w:rPr>
        <w:t>ć</w:t>
      </w:r>
      <w:r w:rsidRPr="00E26E8A">
        <w:rPr>
          <w:sz w:val="22"/>
          <w:szCs w:val="22"/>
        </w:rPr>
        <w:t>i</w:t>
      </w:r>
      <w:r w:rsidRPr="00797963">
        <w:rPr>
          <w:sz w:val="22"/>
          <w:szCs w:val="22"/>
          <w:lang w:val="sr-Latn-ME"/>
        </w:rPr>
        <w:t xml:space="preserve"> </w:t>
      </w:r>
      <w:r w:rsidRPr="00E26E8A">
        <w:rPr>
          <w:sz w:val="22"/>
          <w:szCs w:val="22"/>
        </w:rPr>
        <w:t>rizik</w:t>
      </w:r>
      <w:r w:rsidRPr="00797963">
        <w:rPr>
          <w:sz w:val="22"/>
          <w:szCs w:val="22"/>
          <w:lang w:val="sr-Latn-ME"/>
        </w:rPr>
        <w:t xml:space="preserve"> </w:t>
      </w:r>
      <w:r w:rsidRPr="00E26E8A">
        <w:rPr>
          <w:sz w:val="22"/>
          <w:szCs w:val="22"/>
        </w:rPr>
        <w:t>za</w:t>
      </w:r>
      <w:r w:rsidRPr="00797963">
        <w:rPr>
          <w:sz w:val="22"/>
          <w:szCs w:val="22"/>
          <w:lang w:val="sr-Latn-ME"/>
        </w:rPr>
        <w:t xml:space="preserve"> </w:t>
      </w:r>
      <w:r w:rsidRPr="00E26E8A">
        <w:rPr>
          <w:sz w:val="22"/>
          <w:szCs w:val="22"/>
        </w:rPr>
        <w:t>pojavu</w:t>
      </w:r>
      <w:r w:rsidRPr="00797963">
        <w:rPr>
          <w:sz w:val="22"/>
          <w:szCs w:val="22"/>
          <w:lang w:val="sr-Latn-ME"/>
        </w:rPr>
        <w:t xml:space="preserve"> </w:t>
      </w:r>
      <w:r w:rsidRPr="00E26E8A">
        <w:rPr>
          <w:sz w:val="22"/>
          <w:szCs w:val="22"/>
        </w:rPr>
        <w:t>te</w:t>
      </w:r>
      <w:r w:rsidRPr="00797963">
        <w:rPr>
          <w:sz w:val="22"/>
          <w:szCs w:val="22"/>
          <w:lang w:val="sr-Latn-ME"/>
        </w:rPr>
        <w:t>š</w:t>
      </w:r>
      <w:r w:rsidRPr="00E26E8A">
        <w:rPr>
          <w:sz w:val="22"/>
          <w:szCs w:val="22"/>
        </w:rPr>
        <w:t>kih</w:t>
      </w:r>
      <w:r w:rsidRPr="00797963">
        <w:rPr>
          <w:sz w:val="22"/>
          <w:szCs w:val="22"/>
          <w:lang w:val="sr-Latn-ME"/>
        </w:rPr>
        <w:t xml:space="preserve"> </w:t>
      </w:r>
      <w:r w:rsidRPr="00E26E8A">
        <w:rPr>
          <w:sz w:val="22"/>
          <w:szCs w:val="22"/>
        </w:rPr>
        <w:t>ne</w:t>
      </w:r>
      <w:r w:rsidRPr="00797963">
        <w:rPr>
          <w:sz w:val="22"/>
          <w:szCs w:val="22"/>
          <w:lang w:val="sr-Latn-ME"/>
        </w:rPr>
        <w:t>ž</w:t>
      </w:r>
      <w:r w:rsidRPr="00E26E8A">
        <w:rPr>
          <w:sz w:val="22"/>
          <w:szCs w:val="22"/>
        </w:rPr>
        <w:t>eljenih</w:t>
      </w:r>
      <w:r w:rsidRPr="00797963">
        <w:rPr>
          <w:sz w:val="22"/>
          <w:szCs w:val="22"/>
          <w:lang w:val="sr-Latn-ME"/>
        </w:rPr>
        <w:t xml:space="preserve"> </w:t>
      </w:r>
      <w:r w:rsidRPr="00E26E8A">
        <w:rPr>
          <w:sz w:val="22"/>
          <w:szCs w:val="22"/>
        </w:rPr>
        <w:t>reakcija</w:t>
      </w:r>
      <w:r w:rsidRPr="00797963">
        <w:rPr>
          <w:sz w:val="22"/>
          <w:szCs w:val="22"/>
          <w:lang w:val="sr-Latn-ME"/>
        </w:rPr>
        <w:t xml:space="preserve">, </w:t>
      </w:r>
      <w:r w:rsidRPr="00E26E8A">
        <w:rPr>
          <w:sz w:val="22"/>
          <w:szCs w:val="22"/>
        </w:rPr>
        <w:t>kao</w:t>
      </w:r>
      <w:r w:rsidRPr="00797963">
        <w:rPr>
          <w:sz w:val="22"/>
          <w:szCs w:val="22"/>
          <w:lang w:val="sr-Latn-ME"/>
        </w:rPr>
        <w:t xml:space="preserve"> š</w:t>
      </w:r>
      <w:r w:rsidRPr="00E26E8A">
        <w:rPr>
          <w:sz w:val="22"/>
          <w:szCs w:val="22"/>
        </w:rPr>
        <w:t>to</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smrt</w:t>
      </w:r>
      <w:r w:rsidRPr="00797963">
        <w:rPr>
          <w:sz w:val="22"/>
          <w:szCs w:val="22"/>
          <w:lang w:val="sr-Latn-ME"/>
        </w:rPr>
        <w:t xml:space="preserve"> </w:t>
      </w:r>
      <w:r w:rsidRPr="00E26E8A">
        <w:rPr>
          <w:sz w:val="22"/>
          <w:szCs w:val="22"/>
        </w:rPr>
        <w:t>usljed</w:t>
      </w:r>
      <w:r w:rsidRPr="00797963">
        <w:rPr>
          <w:sz w:val="22"/>
          <w:szCs w:val="22"/>
          <w:lang w:val="sr-Latn-ME"/>
        </w:rPr>
        <w:t xml:space="preserve"> </w:t>
      </w:r>
      <w:r w:rsidRPr="00E26E8A">
        <w:rPr>
          <w:sz w:val="22"/>
          <w:szCs w:val="22"/>
        </w:rPr>
        <w:t>toksi</w:t>
      </w:r>
      <w:r w:rsidRPr="00797963">
        <w:rPr>
          <w:rFonts w:eastAsia="TimesNewRoman"/>
          <w:sz w:val="22"/>
          <w:szCs w:val="22"/>
          <w:lang w:val="sr-Latn-ME"/>
        </w:rPr>
        <w:t>č</w:t>
      </w:r>
      <w:r w:rsidRPr="00E26E8A">
        <w:rPr>
          <w:sz w:val="22"/>
          <w:szCs w:val="22"/>
        </w:rPr>
        <w:t>nosti</w:t>
      </w:r>
      <w:r w:rsidRPr="00797963">
        <w:rPr>
          <w:sz w:val="22"/>
          <w:szCs w:val="22"/>
          <w:lang w:val="sr-Latn-ME"/>
        </w:rPr>
        <w:t xml:space="preserve">, </w:t>
      </w:r>
      <w:r w:rsidRPr="00E26E8A">
        <w:rPr>
          <w:sz w:val="22"/>
          <w:szCs w:val="22"/>
        </w:rPr>
        <w:t>uklju</w:t>
      </w:r>
      <w:r w:rsidRPr="00797963">
        <w:rPr>
          <w:rFonts w:eastAsia="TimesNewRoman"/>
          <w:sz w:val="22"/>
          <w:szCs w:val="22"/>
          <w:lang w:val="sr-Latn-ME"/>
        </w:rPr>
        <w:t>č</w:t>
      </w:r>
      <w:r w:rsidRPr="00E26E8A">
        <w:rPr>
          <w:sz w:val="22"/>
          <w:szCs w:val="22"/>
        </w:rPr>
        <w:t>uju</w:t>
      </w:r>
      <w:r w:rsidRPr="00797963">
        <w:rPr>
          <w:rFonts w:eastAsia="TimesNewRoman"/>
          <w:sz w:val="22"/>
          <w:szCs w:val="22"/>
          <w:lang w:val="sr-Latn-ME"/>
        </w:rPr>
        <w:t>ć</w:t>
      </w:r>
      <w:r w:rsidRPr="00E26E8A">
        <w:rPr>
          <w:sz w:val="22"/>
          <w:szCs w:val="22"/>
        </w:rPr>
        <w:t>i</w:t>
      </w:r>
      <w:r w:rsidRPr="00797963">
        <w:rPr>
          <w:sz w:val="22"/>
          <w:szCs w:val="22"/>
          <w:lang w:val="sr-Latn-ME"/>
        </w:rPr>
        <w:t xml:space="preserve"> </w:t>
      </w:r>
      <w:r w:rsidRPr="00E26E8A">
        <w:rPr>
          <w:sz w:val="22"/>
          <w:szCs w:val="22"/>
        </w:rPr>
        <w:t>sepsu</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potencijalno</w:t>
      </w:r>
      <w:r w:rsidRPr="00797963">
        <w:rPr>
          <w:sz w:val="22"/>
          <w:szCs w:val="22"/>
          <w:lang w:val="sr-Latn-ME"/>
        </w:rPr>
        <w:t xml:space="preserve"> </w:t>
      </w:r>
      <w:r w:rsidRPr="00E26E8A">
        <w:rPr>
          <w:sz w:val="22"/>
          <w:szCs w:val="22"/>
        </w:rPr>
        <w:t>fatalno</w:t>
      </w:r>
      <w:r w:rsidRPr="00797963">
        <w:rPr>
          <w:sz w:val="22"/>
          <w:szCs w:val="22"/>
          <w:lang w:val="sr-Latn-ME"/>
        </w:rPr>
        <w:t xml:space="preserve"> </w:t>
      </w:r>
      <w:r w:rsidRPr="00E26E8A">
        <w:rPr>
          <w:sz w:val="22"/>
          <w:szCs w:val="22"/>
        </w:rPr>
        <w:t>gastrointestinalno</w:t>
      </w:r>
      <w:r w:rsidRPr="00797963">
        <w:rPr>
          <w:sz w:val="22"/>
          <w:szCs w:val="22"/>
          <w:lang w:val="sr-Latn-ME"/>
        </w:rPr>
        <w:t xml:space="preserve"> </w:t>
      </w:r>
      <w:r w:rsidRPr="00E26E8A">
        <w:rPr>
          <w:sz w:val="22"/>
          <w:szCs w:val="22"/>
        </w:rPr>
        <w:t>krvarenje</w:t>
      </w:r>
      <w:r w:rsidRPr="00797963">
        <w:rPr>
          <w:sz w:val="22"/>
          <w:szCs w:val="22"/>
          <w:lang w:val="sr-Latn-ME"/>
        </w:rPr>
        <w:t xml:space="preserve">, </w:t>
      </w:r>
      <w:r w:rsidRPr="00E26E8A">
        <w:rPr>
          <w:sz w:val="22"/>
          <w:szCs w:val="22"/>
        </w:rPr>
        <w:t>febrilnu</w:t>
      </w:r>
      <w:r w:rsidRPr="00797963">
        <w:rPr>
          <w:sz w:val="22"/>
          <w:szCs w:val="22"/>
          <w:lang w:val="sr-Latn-ME"/>
        </w:rPr>
        <w:t xml:space="preserve"> </w:t>
      </w:r>
      <w:r w:rsidRPr="00E26E8A">
        <w:rPr>
          <w:sz w:val="22"/>
          <w:szCs w:val="22"/>
        </w:rPr>
        <w:t>neutropeniju</w:t>
      </w:r>
      <w:r w:rsidRPr="00797963">
        <w:rPr>
          <w:sz w:val="22"/>
          <w:szCs w:val="22"/>
          <w:lang w:val="sr-Latn-ME"/>
        </w:rPr>
        <w:t xml:space="preserve">, </w:t>
      </w:r>
      <w:r w:rsidRPr="00E26E8A">
        <w:rPr>
          <w:sz w:val="22"/>
          <w:szCs w:val="22"/>
        </w:rPr>
        <w:t>infekcije</w:t>
      </w:r>
      <w:r w:rsidRPr="00797963">
        <w:rPr>
          <w:sz w:val="22"/>
          <w:szCs w:val="22"/>
          <w:lang w:val="sr-Latn-ME"/>
        </w:rPr>
        <w:t xml:space="preserve">, </w:t>
      </w:r>
      <w:r w:rsidRPr="00E26E8A">
        <w:rPr>
          <w:sz w:val="22"/>
          <w:szCs w:val="22"/>
        </w:rPr>
        <w:t>trombocitopeniju</w:t>
      </w:r>
      <w:r w:rsidRPr="00797963">
        <w:rPr>
          <w:sz w:val="22"/>
          <w:szCs w:val="22"/>
          <w:lang w:val="sr-Latn-ME"/>
        </w:rPr>
        <w:t xml:space="preserve">, </w:t>
      </w:r>
      <w:r w:rsidRPr="00E26E8A">
        <w:rPr>
          <w:sz w:val="22"/>
          <w:szCs w:val="22"/>
        </w:rPr>
        <w:t>stomatitis</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asteniju</w:t>
      </w:r>
      <w:r w:rsidRPr="00797963">
        <w:rPr>
          <w:sz w:val="22"/>
          <w:szCs w:val="22"/>
          <w:lang w:val="sr-Latn-ME"/>
        </w:rPr>
        <w:t xml:space="preserve">. </w:t>
      </w:r>
    </w:p>
    <w:p w14:paraId="5D9A4828" w14:textId="77777777" w:rsidR="005F2068" w:rsidRPr="00797963" w:rsidRDefault="005F2068" w:rsidP="005F2068">
      <w:pPr>
        <w:autoSpaceDE w:val="0"/>
        <w:autoSpaceDN w:val="0"/>
        <w:adjustRightInd w:val="0"/>
        <w:rPr>
          <w:sz w:val="22"/>
          <w:szCs w:val="22"/>
          <w:lang w:val="sr-Latn-ME"/>
        </w:rPr>
      </w:pPr>
      <w:r w:rsidRPr="00E26E8A">
        <w:rPr>
          <w:sz w:val="22"/>
          <w:szCs w:val="22"/>
        </w:rPr>
        <w:t>Zbog</w:t>
      </w:r>
      <w:r w:rsidRPr="00797963">
        <w:rPr>
          <w:sz w:val="22"/>
          <w:szCs w:val="22"/>
          <w:lang w:val="sr-Latn-ME"/>
        </w:rPr>
        <w:t xml:space="preserve"> </w:t>
      </w:r>
      <w:r w:rsidRPr="00E26E8A">
        <w:rPr>
          <w:sz w:val="22"/>
          <w:szCs w:val="22"/>
        </w:rPr>
        <w:t>toga</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povi</w:t>
      </w:r>
      <w:r w:rsidRPr="00797963">
        <w:rPr>
          <w:sz w:val="22"/>
          <w:szCs w:val="22"/>
          <w:lang w:val="sr-Latn-ME"/>
        </w:rPr>
        <w:t>š</w:t>
      </w:r>
      <w:r w:rsidRPr="00E26E8A">
        <w:rPr>
          <w:sz w:val="22"/>
          <w:szCs w:val="22"/>
        </w:rPr>
        <w:t>enim</w:t>
      </w:r>
      <w:r w:rsidRPr="00797963">
        <w:rPr>
          <w:sz w:val="22"/>
          <w:szCs w:val="22"/>
          <w:lang w:val="sr-Latn-ME"/>
        </w:rPr>
        <w:t xml:space="preserve"> </w:t>
      </w:r>
      <w:r w:rsidRPr="00E26E8A">
        <w:rPr>
          <w:sz w:val="22"/>
          <w:szCs w:val="22"/>
        </w:rPr>
        <w:t>vrijednostima</w:t>
      </w:r>
      <w:r w:rsidRPr="00797963">
        <w:rPr>
          <w:sz w:val="22"/>
          <w:szCs w:val="22"/>
          <w:lang w:val="sr-Latn-ME"/>
        </w:rPr>
        <w:t xml:space="preserve"> </w:t>
      </w:r>
      <w:r w:rsidRPr="00E26E8A">
        <w:rPr>
          <w:sz w:val="22"/>
          <w:szCs w:val="22"/>
        </w:rPr>
        <w:t>parametara</w:t>
      </w:r>
      <w:r w:rsidRPr="00797963">
        <w:rPr>
          <w:sz w:val="22"/>
          <w:szCs w:val="22"/>
          <w:lang w:val="sr-Latn-ME"/>
        </w:rPr>
        <w:t xml:space="preserve"> </w:t>
      </w:r>
      <w:r w:rsidRPr="00E26E8A">
        <w:rPr>
          <w:sz w:val="22"/>
          <w:szCs w:val="22"/>
        </w:rPr>
        <w:t>funkcije</w:t>
      </w:r>
      <w:r w:rsidRPr="00797963">
        <w:rPr>
          <w:sz w:val="22"/>
          <w:szCs w:val="22"/>
          <w:lang w:val="sr-Latn-ME"/>
        </w:rPr>
        <w:t xml:space="preserve"> </w:t>
      </w:r>
      <w:r w:rsidRPr="00E26E8A">
        <w:rPr>
          <w:sz w:val="22"/>
          <w:szCs w:val="22"/>
        </w:rPr>
        <w:t>jetre</w:t>
      </w:r>
      <w:r w:rsidRPr="00797963">
        <w:rPr>
          <w:sz w:val="22"/>
          <w:szCs w:val="22"/>
          <w:lang w:val="sr-Latn-ME"/>
        </w:rPr>
        <w:t xml:space="preserve">, </w:t>
      </w:r>
      <w:r w:rsidRPr="00E26E8A">
        <w:rPr>
          <w:sz w:val="22"/>
          <w:szCs w:val="22"/>
        </w:rPr>
        <w:t>preporu</w:t>
      </w:r>
      <w:r w:rsidRPr="00797963">
        <w:rPr>
          <w:rFonts w:eastAsia="TimesNewRoman"/>
          <w:sz w:val="22"/>
          <w:szCs w:val="22"/>
          <w:lang w:val="sr-Latn-ME"/>
        </w:rPr>
        <w:t>č</w:t>
      </w:r>
      <w:r w:rsidRPr="00E26E8A">
        <w:rPr>
          <w:sz w:val="22"/>
          <w:szCs w:val="22"/>
        </w:rPr>
        <w:t>ena</w:t>
      </w:r>
      <w:r w:rsidRPr="00797963">
        <w:rPr>
          <w:sz w:val="22"/>
          <w:szCs w:val="22"/>
          <w:lang w:val="sr-Latn-ME"/>
        </w:rPr>
        <w:t xml:space="preserve"> </w:t>
      </w:r>
      <w:r w:rsidRPr="00E26E8A">
        <w:rPr>
          <w:sz w:val="22"/>
          <w:szCs w:val="22"/>
        </w:rPr>
        <w:t>doza</w:t>
      </w:r>
      <w:r w:rsidRPr="00797963">
        <w:rPr>
          <w:sz w:val="22"/>
          <w:szCs w:val="22"/>
          <w:lang w:val="sr-Latn-ME"/>
        </w:rPr>
        <w:t xml:space="preserve"> </w:t>
      </w:r>
      <w:r w:rsidRPr="00E26E8A">
        <w:rPr>
          <w:sz w:val="22"/>
          <w:szCs w:val="22"/>
        </w:rPr>
        <w:t>docetaksela</w:t>
      </w:r>
      <w:r w:rsidRPr="00797963">
        <w:rPr>
          <w:sz w:val="22"/>
          <w:szCs w:val="22"/>
          <w:lang w:val="sr-Latn-ME"/>
        </w:rPr>
        <w:t xml:space="preserve"> </w:t>
      </w:r>
      <w:r w:rsidRPr="00E26E8A">
        <w:rPr>
          <w:sz w:val="22"/>
          <w:szCs w:val="22"/>
        </w:rPr>
        <w:t>je</w:t>
      </w:r>
      <w:r w:rsidRPr="00797963">
        <w:rPr>
          <w:sz w:val="22"/>
          <w:szCs w:val="22"/>
          <w:lang w:val="sr-Latn-ME"/>
        </w:rPr>
        <w:t xml:space="preserve"> 75 </w:t>
      </w:r>
      <w:r w:rsidRPr="00E26E8A">
        <w:rPr>
          <w:sz w:val="22"/>
          <w:szCs w:val="22"/>
        </w:rPr>
        <w:t>mg</w:t>
      </w:r>
      <w:r w:rsidRPr="00797963">
        <w:rPr>
          <w:sz w:val="22"/>
          <w:szCs w:val="22"/>
          <w:lang w:val="sr-Latn-ME"/>
        </w:rPr>
        <w:t>/</w:t>
      </w:r>
      <w:r w:rsidRPr="00E26E8A">
        <w:rPr>
          <w:sz w:val="22"/>
          <w:szCs w:val="22"/>
        </w:rPr>
        <w:t>m</w:t>
      </w:r>
      <w:r w:rsidRPr="00797963">
        <w:rPr>
          <w:sz w:val="22"/>
          <w:szCs w:val="22"/>
          <w:lang w:val="sr-Latn-ME"/>
        </w:rPr>
        <w:t xml:space="preserve">², </w:t>
      </w:r>
      <w:r w:rsidRPr="00E26E8A">
        <w:rPr>
          <w:sz w:val="22"/>
          <w:szCs w:val="22"/>
        </w:rPr>
        <w:t>a</w:t>
      </w:r>
      <w:r w:rsidRPr="00797963">
        <w:rPr>
          <w:sz w:val="22"/>
          <w:szCs w:val="22"/>
          <w:lang w:val="sr-Latn-ME"/>
        </w:rPr>
        <w:t xml:space="preserve"> </w:t>
      </w:r>
      <w:r w:rsidRPr="00E26E8A">
        <w:rPr>
          <w:sz w:val="22"/>
          <w:szCs w:val="22"/>
        </w:rPr>
        <w:t>parametre</w:t>
      </w:r>
      <w:r w:rsidRPr="00797963">
        <w:rPr>
          <w:sz w:val="22"/>
          <w:szCs w:val="22"/>
          <w:lang w:val="sr-Latn-ME"/>
        </w:rPr>
        <w:t xml:space="preserve"> </w:t>
      </w:r>
      <w:r w:rsidRPr="00E26E8A">
        <w:rPr>
          <w:sz w:val="22"/>
          <w:szCs w:val="22"/>
        </w:rPr>
        <w:t>funkcije</w:t>
      </w:r>
      <w:r w:rsidRPr="00797963">
        <w:rPr>
          <w:sz w:val="22"/>
          <w:szCs w:val="22"/>
          <w:lang w:val="sr-Latn-ME"/>
        </w:rPr>
        <w:t xml:space="preserve"> </w:t>
      </w:r>
      <w:r w:rsidRPr="00E26E8A">
        <w:rPr>
          <w:sz w:val="22"/>
          <w:szCs w:val="22"/>
        </w:rPr>
        <w:t>jetre</w:t>
      </w:r>
      <w:r w:rsidRPr="00797963">
        <w:rPr>
          <w:sz w:val="22"/>
          <w:szCs w:val="22"/>
          <w:lang w:val="sr-Latn-ME"/>
        </w:rPr>
        <w:t xml:space="preserve"> </w:t>
      </w:r>
      <w:r w:rsidRPr="00E26E8A">
        <w:rPr>
          <w:sz w:val="22"/>
          <w:szCs w:val="22"/>
        </w:rPr>
        <w:t>treba</w:t>
      </w:r>
      <w:r w:rsidRPr="00797963">
        <w:rPr>
          <w:sz w:val="22"/>
          <w:szCs w:val="22"/>
          <w:lang w:val="sr-Latn-ME"/>
        </w:rPr>
        <w:t xml:space="preserve"> </w:t>
      </w:r>
      <w:r w:rsidRPr="00E26E8A">
        <w:rPr>
          <w:sz w:val="22"/>
          <w:szCs w:val="22"/>
        </w:rPr>
        <w:t>odre</w:t>
      </w:r>
      <w:r w:rsidRPr="00797963">
        <w:rPr>
          <w:rFonts w:eastAsia="TimesNewRoman"/>
          <w:sz w:val="22"/>
          <w:szCs w:val="22"/>
          <w:lang w:val="sr-Latn-ME"/>
        </w:rPr>
        <w:t>đ</w:t>
      </w:r>
      <w:r w:rsidRPr="00E26E8A">
        <w:rPr>
          <w:sz w:val="22"/>
          <w:szCs w:val="22"/>
        </w:rPr>
        <w:t>ivati</w:t>
      </w:r>
      <w:r w:rsidRPr="00797963">
        <w:rPr>
          <w:sz w:val="22"/>
          <w:szCs w:val="22"/>
          <w:lang w:val="sr-Latn-ME"/>
        </w:rPr>
        <w:t xml:space="preserve"> </w:t>
      </w:r>
      <w:r w:rsidRPr="00E26E8A">
        <w:rPr>
          <w:sz w:val="22"/>
          <w:szCs w:val="22"/>
        </w:rPr>
        <w:t>na</w:t>
      </w:r>
      <w:r w:rsidRPr="00797963">
        <w:rPr>
          <w:sz w:val="22"/>
          <w:szCs w:val="22"/>
          <w:lang w:val="sr-Latn-ME"/>
        </w:rPr>
        <w:t xml:space="preserve"> </w:t>
      </w:r>
      <w:r w:rsidRPr="00E26E8A">
        <w:rPr>
          <w:sz w:val="22"/>
          <w:szCs w:val="22"/>
        </w:rPr>
        <w:t>po</w:t>
      </w:r>
      <w:r w:rsidRPr="00797963">
        <w:rPr>
          <w:rFonts w:eastAsia="TimesNewRoman"/>
          <w:sz w:val="22"/>
          <w:szCs w:val="22"/>
          <w:lang w:val="sr-Latn-ME"/>
        </w:rPr>
        <w:t>č</w:t>
      </w:r>
      <w:r w:rsidRPr="00E26E8A">
        <w:rPr>
          <w:sz w:val="22"/>
          <w:szCs w:val="22"/>
        </w:rPr>
        <w:t>etku</w:t>
      </w:r>
      <w:r w:rsidRPr="00797963">
        <w:rPr>
          <w:sz w:val="22"/>
          <w:szCs w:val="22"/>
          <w:lang w:val="sr-Latn-ME"/>
        </w:rPr>
        <w:t xml:space="preserve"> </w:t>
      </w:r>
      <w:r w:rsidRPr="00E26E8A">
        <w:rPr>
          <w:sz w:val="22"/>
          <w:szCs w:val="22"/>
        </w:rPr>
        <w:t>terapije</w:t>
      </w:r>
      <w:r w:rsidRPr="00797963">
        <w:rPr>
          <w:sz w:val="22"/>
          <w:szCs w:val="22"/>
          <w:lang w:val="sr-Latn-ME"/>
        </w:rPr>
        <w:t xml:space="preserve">, </w:t>
      </w:r>
      <w:r w:rsidRPr="00E26E8A">
        <w:rPr>
          <w:sz w:val="22"/>
          <w:szCs w:val="22"/>
        </w:rPr>
        <w:t>kao</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prije</w:t>
      </w:r>
      <w:r w:rsidRPr="00797963">
        <w:rPr>
          <w:sz w:val="22"/>
          <w:szCs w:val="22"/>
          <w:lang w:val="sr-Latn-ME"/>
        </w:rPr>
        <w:t xml:space="preserve"> </w:t>
      </w:r>
      <w:r w:rsidRPr="00E26E8A">
        <w:rPr>
          <w:sz w:val="22"/>
          <w:szCs w:val="22"/>
        </w:rPr>
        <w:t>svakog</w:t>
      </w:r>
      <w:r w:rsidRPr="00797963">
        <w:rPr>
          <w:sz w:val="22"/>
          <w:szCs w:val="22"/>
          <w:lang w:val="sr-Latn-ME"/>
        </w:rPr>
        <w:t xml:space="preserve"> </w:t>
      </w:r>
      <w:r w:rsidRPr="00E26E8A">
        <w:rPr>
          <w:sz w:val="22"/>
          <w:szCs w:val="22"/>
        </w:rPr>
        <w:t>ciklusa</w:t>
      </w:r>
      <w:r w:rsidRPr="00797963">
        <w:rPr>
          <w:sz w:val="22"/>
          <w:szCs w:val="22"/>
          <w:lang w:val="sr-Latn-ME"/>
        </w:rPr>
        <w:t xml:space="preserve"> (</w:t>
      </w:r>
      <w:r w:rsidRPr="00E26E8A">
        <w:rPr>
          <w:sz w:val="22"/>
          <w:szCs w:val="22"/>
        </w:rPr>
        <w:t>vidjeti</w:t>
      </w:r>
      <w:r w:rsidRPr="00797963">
        <w:rPr>
          <w:sz w:val="22"/>
          <w:szCs w:val="22"/>
          <w:lang w:val="sr-Latn-ME"/>
        </w:rPr>
        <w:t xml:space="preserve"> </w:t>
      </w:r>
      <w:r>
        <w:rPr>
          <w:sz w:val="22"/>
          <w:szCs w:val="22"/>
        </w:rPr>
        <w:t>dio</w:t>
      </w:r>
      <w:r w:rsidRPr="00797963">
        <w:rPr>
          <w:sz w:val="22"/>
          <w:szCs w:val="22"/>
          <w:lang w:val="sr-Latn-ME"/>
        </w:rPr>
        <w:t xml:space="preserve"> 4.2).</w:t>
      </w:r>
    </w:p>
    <w:p w14:paraId="02CF171D" w14:textId="77777777" w:rsidR="005F2068" w:rsidRPr="00797963" w:rsidRDefault="005F2068" w:rsidP="005F2068">
      <w:pPr>
        <w:autoSpaceDE w:val="0"/>
        <w:autoSpaceDN w:val="0"/>
        <w:adjustRightInd w:val="0"/>
        <w:rPr>
          <w:sz w:val="22"/>
          <w:szCs w:val="22"/>
          <w:lang w:val="sr-Latn-ME"/>
        </w:rPr>
      </w:pPr>
    </w:p>
    <w:p w14:paraId="5DB676F8" w14:textId="77777777" w:rsidR="005F2068" w:rsidRPr="00797963" w:rsidRDefault="005F2068" w:rsidP="005F2068">
      <w:pPr>
        <w:autoSpaceDE w:val="0"/>
        <w:autoSpaceDN w:val="0"/>
        <w:adjustRightInd w:val="0"/>
        <w:rPr>
          <w:sz w:val="22"/>
          <w:szCs w:val="22"/>
          <w:lang w:val="sr-Latn-ME"/>
        </w:rPr>
      </w:pPr>
      <w:r w:rsidRPr="00E26E8A">
        <w:rPr>
          <w:sz w:val="22"/>
          <w:szCs w:val="22"/>
        </w:rPr>
        <w:t>Za</w:t>
      </w:r>
      <w:r w:rsidRPr="00797963">
        <w:rPr>
          <w:sz w:val="22"/>
          <w:szCs w:val="22"/>
          <w:lang w:val="sr-Latn-ME"/>
        </w:rPr>
        <w:t xml:space="preserve"> </w:t>
      </w:r>
      <w:r w:rsidRPr="00E26E8A">
        <w:rPr>
          <w:sz w:val="22"/>
          <w:szCs w:val="22"/>
        </w:rPr>
        <w:t>pacijente</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nivoima</w:t>
      </w:r>
      <w:r w:rsidRPr="00797963">
        <w:rPr>
          <w:sz w:val="22"/>
          <w:szCs w:val="22"/>
          <w:lang w:val="sr-Latn-ME"/>
        </w:rPr>
        <w:t xml:space="preserve"> </w:t>
      </w:r>
      <w:r w:rsidRPr="00E26E8A">
        <w:rPr>
          <w:sz w:val="22"/>
          <w:szCs w:val="22"/>
        </w:rPr>
        <w:t>serumskog</w:t>
      </w:r>
      <w:r w:rsidRPr="00797963">
        <w:rPr>
          <w:sz w:val="22"/>
          <w:szCs w:val="22"/>
          <w:lang w:val="sr-Latn-ME"/>
        </w:rPr>
        <w:t xml:space="preserve"> </w:t>
      </w:r>
      <w:r w:rsidRPr="00E26E8A">
        <w:rPr>
          <w:sz w:val="22"/>
          <w:szCs w:val="22"/>
        </w:rPr>
        <w:t>bilirubina</w:t>
      </w:r>
      <w:r w:rsidRPr="00797963">
        <w:rPr>
          <w:sz w:val="22"/>
          <w:szCs w:val="22"/>
          <w:lang w:val="sr-Latn-ME"/>
        </w:rPr>
        <w:t xml:space="preserve"> </w:t>
      </w:r>
      <w:r w:rsidRPr="00E26E8A">
        <w:rPr>
          <w:sz w:val="22"/>
          <w:szCs w:val="22"/>
        </w:rPr>
        <w:t>ve</w:t>
      </w:r>
      <w:r w:rsidRPr="00797963">
        <w:rPr>
          <w:rFonts w:eastAsia="TimesNewRoman"/>
          <w:sz w:val="22"/>
          <w:szCs w:val="22"/>
          <w:lang w:val="sr-Latn-ME"/>
        </w:rPr>
        <w:t>ć</w:t>
      </w:r>
      <w:r w:rsidRPr="00E26E8A">
        <w:rPr>
          <w:sz w:val="22"/>
          <w:szCs w:val="22"/>
        </w:rPr>
        <w:t>im</w:t>
      </w:r>
      <w:r w:rsidRPr="00797963">
        <w:rPr>
          <w:sz w:val="22"/>
          <w:szCs w:val="22"/>
          <w:lang w:val="sr-Latn-ME"/>
        </w:rPr>
        <w:t xml:space="preserve"> </w:t>
      </w:r>
      <w:r w:rsidRPr="00E26E8A">
        <w:rPr>
          <w:sz w:val="22"/>
          <w:szCs w:val="22"/>
        </w:rPr>
        <w:t>od</w:t>
      </w:r>
      <w:r w:rsidRPr="00797963">
        <w:rPr>
          <w:sz w:val="22"/>
          <w:szCs w:val="22"/>
          <w:lang w:val="sr-Latn-ME"/>
        </w:rPr>
        <w:t xml:space="preserve"> </w:t>
      </w:r>
      <w:r w:rsidRPr="00E26E8A">
        <w:rPr>
          <w:sz w:val="22"/>
          <w:szCs w:val="22"/>
        </w:rPr>
        <w:t>gornje</w:t>
      </w:r>
      <w:r w:rsidRPr="00797963">
        <w:rPr>
          <w:sz w:val="22"/>
          <w:szCs w:val="22"/>
          <w:lang w:val="sr-Latn-ME"/>
        </w:rPr>
        <w:t xml:space="preserve"> </w:t>
      </w:r>
      <w:r w:rsidRPr="00E26E8A">
        <w:rPr>
          <w:sz w:val="22"/>
          <w:szCs w:val="22"/>
        </w:rPr>
        <w:t>granice</w:t>
      </w:r>
      <w:r w:rsidRPr="00797963">
        <w:rPr>
          <w:sz w:val="22"/>
          <w:szCs w:val="22"/>
          <w:lang w:val="sr-Latn-ME"/>
        </w:rPr>
        <w:t xml:space="preserve"> </w:t>
      </w:r>
      <w:r w:rsidRPr="00E26E8A">
        <w:rPr>
          <w:sz w:val="22"/>
          <w:szCs w:val="22"/>
        </w:rPr>
        <w:t>normale</w:t>
      </w:r>
      <w:r w:rsidRPr="00797963">
        <w:rPr>
          <w:sz w:val="22"/>
          <w:szCs w:val="22"/>
          <w:lang w:val="sr-Latn-ME"/>
        </w:rPr>
        <w:t xml:space="preserve"> </w:t>
      </w:r>
      <w:r w:rsidRPr="00E26E8A">
        <w:rPr>
          <w:sz w:val="22"/>
          <w:szCs w:val="22"/>
        </w:rPr>
        <w:t>i</w:t>
      </w:r>
      <w:r w:rsidRPr="00797963">
        <w:rPr>
          <w:sz w:val="22"/>
          <w:szCs w:val="22"/>
          <w:lang w:val="sr-Latn-ME"/>
        </w:rPr>
        <w:t>/</w:t>
      </w:r>
      <w:r w:rsidRPr="00E26E8A">
        <w:rPr>
          <w:sz w:val="22"/>
          <w:szCs w:val="22"/>
        </w:rPr>
        <w:t>ili</w:t>
      </w:r>
      <w:r w:rsidRPr="00797963">
        <w:rPr>
          <w:sz w:val="22"/>
          <w:szCs w:val="22"/>
          <w:lang w:val="sr-Latn-ME"/>
        </w:rPr>
        <w:t xml:space="preserve"> </w:t>
      </w:r>
      <w:r w:rsidRPr="00E26E8A">
        <w:rPr>
          <w:sz w:val="22"/>
          <w:szCs w:val="22"/>
        </w:rPr>
        <w:t>ALT</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AST</w:t>
      </w:r>
      <w:r w:rsidRPr="00797963">
        <w:rPr>
          <w:sz w:val="22"/>
          <w:szCs w:val="22"/>
          <w:lang w:val="sr-Latn-ME"/>
        </w:rPr>
        <w:t xml:space="preserve"> </w:t>
      </w:r>
      <w:r w:rsidRPr="00E26E8A">
        <w:rPr>
          <w:sz w:val="22"/>
          <w:szCs w:val="22"/>
        </w:rPr>
        <w:t>vi</w:t>
      </w:r>
      <w:r w:rsidRPr="00797963">
        <w:rPr>
          <w:sz w:val="22"/>
          <w:szCs w:val="22"/>
          <w:lang w:val="sr-Latn-ME"/>
        </w:rPr>
        <w:t>š</w:t>
      </w:r>
      <w:r w:rsidRPr="00E26E8A">
        <w:rPr>
          <w:sz w:val="22"/>
          <w:szCs w:val="22"/>
        </w:rPr>
        <w:t>e</w:t>
      </w:r>
      <w:r w:rsidRPr="00797963">
        <w:rPr>
          <w:sz w:val="22"/>
          <w:szCs w:val="22"/>
          <w:lang w:val="sr-Latn-ME"/>
        </w:rPr>
        <w:t xml:space="preserve"> </w:t>
      </w:r>
      <w:r w:rsidRPr="00E26E8A">
        <w:rPr>
          <w:sz w:val="22"/>
          <w:szCs w:val="22"/>
        </w:rPr>
        <w:t>od</w:t>
      </w:r>
      <w:r w:rsidRPr="00797963">
        <w:rPr>
          <w:sz w:val="22"/>
          <w:szCs w:val="22"/>
          <w:lang w:val="sr-Latn-ME"/>
        </w:rPr>
        <w:t xml:space="preserve"> 3,5</w:t>
      </w:r>
      <w:r>
        <w:rPr>
          <w:sz w:val="22"/>
          <w:szCs w:val="22"/>
        </w:rPr>
        <w:t> </w:t>
      </w:r>
      <w:r w:rsidRPr="00E26E8A">
        <w:rPr>
          <w:sz w:val="22"/>
          <w:szCs w:val="22"/>
        </w:rPr>
        <w:t>puta</w:t>
      </w:r>
      <w:r w:rsidRPr="00797963">
        <w:rPr>
          <w:sz w:val="22"/>
          <w:szCs w:val="22"/>
          <w:lang w:val="sr-Latn-ME"/>
        </w:rPr>
        <w:t xml:space="preserve"> </w:t>
      </w:r>
      <w:r w:rsidRPr="00E26E8A">
        <w:rPr>
          <w:sz w:val="22"/>
          <w:szCs w:val="22"/>
        </w:rPr>
        <w:t>pove</w:t>
      </w:r>
      <w:r w:rsidRPr="00797963">
        <w:rPr>
          <w:rFonts w:eastAsia="TimesNewRoman"/>
          <w:sz w:val="22"/>
          <w:szCs w:val="22"/>
          <w:lang w:val="sr-Latn-ME"/>
        </w:rPr>
        <w:t>ć</w:t>
      </w:r>
      <w:r w:rsidRPr="00E26E8A">
        <w:rPr>
          <w:sz w:val="22"/>
          <w:szCs w:val="22"/>
        </w:rPr>
        <w:t>anim</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odnosu</w:t>
      </w:r>
      <w:r w:rsidRPr="00797963">
        <w:rPr>
          <w:sz w:val="22"/>
          <w:szCs w:val="22"/>
          <w:lang w:val="sr-Latn-ME"/>
        </w:rPr>
        <w:t xml:space="preserve"> </w:t>
      </w:r>
      <w:r w:rsidRPr="00E26E8A">
        <w:rPr>
          <w:sz w:val="22"/>
          <w:szCs w:val="22"/>
        </w:rPr>
        <w:t>na</w:t>
      </w:r>
      <w:r w:rsidRPr="00797963">
        <w:rPr>
          <w:sz w:val="22"/>
          <w:szCs w:val="22"/>
          <w:lang w:val="sr-Latn-ME"/>
        </w:rPr>
        <w:t xml:space="preserve"> </w:t>
      </w:r>
      <w:r w:rsidRPr="00E26E8A">
        <w:rPr>
          <w:sz w:val="22"/>
          <w:szCs w:val="22"/>
        </w:rPr>
        <w:t>gornju</w:t>
      </w:r>
      <w:r w:rsidRPr="00797963">
        <w:rPr>
          <w:sz w:val="22"/>
          <w:szCs w:val="22"/>
          <w:lang w:val="sr-Latn-ME"/>
        </w:rPr>
        <w:t xml:space="preserve"> </w:t>
      </w:r>
      <w:r w:rsidRPr="00E26E8A">
        <w:rPr>
          <w:sz w:val="22"/>
          <w:szCs w:val="22"/>
        </w:rPr>
        <w:t>granicu</w:t>
      </w:r>
      <w:r w:rsidRPr="00797963">
        <w:rPr>
          <w:sz w:val="22"/>
          <w:szCs w:val="22"/>
          <w:lang w:val="sr-Latn-ME"/>
        </w:rPr>
        <w:t xml:space="preserve"> </w:t>
      </w:r>
      <w:r w:rsidRPr="00E26E8A">
        <w:rPr>
          <w:sz w:val="22"/>
          <w:szCs w:val="22"/>
        </w:rPr>
        <w:t>normale</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istovremeno</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nivoima</w:t>
      </w:r>
      <w:r w:rsidRPr="00797963">
        <w:rPr>
          <w:sz w:val="22"/>
          <w:szCs w:val="22"/>
          <w:lang w:val="sr-Latn-ME"/>
        </w:rPr>
        <w:t xml:space="preserve"> </w:t>
      </w:r>
      <w:r w:rsidRPr="00E26E8A">
        <w:rPr>
          <w:sz w:val="22"/>
          <w:szCs w:val="22"/>
        </w:rPr>
        <w:t>serumske</w:t>
      </w:r>
      <w:r w:rsidRPr="00797963">
        <w:rPr>
          <w:sz w:val="22"/>
          <w:szCs w:val="22"/>
          <w:lang w:val="sr-Latn-ME"/>
        </w:rPr>
        <w:t xml:space="preserve"> </w:t>
      </w:r>
      <w:r w:rsidRPr="00E26E8A">
        <w:rPr>
          <w:sz w:val="22"/>
          <w:szCs w:val="22"/>
        </w:rPr>
        <w:lastRenderedPageBreak/>
        <w:t>alkalne</w:t>
      </w:r>
      <w:r w:rsidRPr="00797963">
        <w:rPr>
          <w:sz w:val="22"/>
          <w:szCs w:val="22"/>
          <w:lang w:val="sr-Latn-ME"/>
        </w:rPr>
        <w:t xml:space="preserve"> </w:t>
      </w:r>
      <w:r w:rsidRPr="00E26E8A">
        <w:rPr>
          <w:sz w:val="22"/>
          <w:szCs w:val="22"/>
        </w:rPr>
        <w:t>fosfataze</w:t>
      </w:r>
      <w:r w:rsidRPr="00797963">
        <w:rPr>
          <w:sz w:val="22"/>
          <w:szCs w:val="22"/>
          <w:lang w:val="sr-Latn-ME"/>
        </w:rPr>
        <w:t xml:space="preserve"> </w:t>
      </w:r>
      <w:r w:rsidRPr="00E26E8A">
        <w:rPr>
          <w:sz w:val="22"/>
          <w:szCs w:val="22"/>
        </w:rPr>
        <w:t>vi</w:t>
      </w:r>
      <w:r w:rsidRPr="00797963">
        <w:rPr>
          <w:sz w:val="22"/>
          <w:szCs w:val="22"/>
          <w:lang w:val="sr-Latn-ME"/>
        </w:rPr>
        <w:t>š</w:t>
      </w:r>
      <w:r w:rsidRPr="00E26E8A">
        <w:rPr>
          <w:sz w:val="22"/>
          <w:szCs w:val="22"/>
        </w:rPr>
        <w:t>e</w:t>
      </w:r>
      <w:r w:rsidRPr="00797963">
        <w:rPr>
          <w:sz w:val="22"/>
          <w:szCs w:val="22"/>
          <w:lang w:val="sr-Latn-ME"/>
        </w:rPr>
        <w:t xml:space="preserve"> </w:t>
      </w:r>
      <w:r w:rsidRPr="00E26E8A">
        <w:rPr>
          <w:sz w:val="22"/>
          <w:szCs w:val="22"/>
        </w:rPr>
        <w:t>od</w:t>
      </w:r>
      <w:r w:rsidRPr="00797963">
        <w:rPr>
          <w:sz w:val="22"/>
          <w:szCs w:val="22"/>
          <w:lang w:val="sr-Latn-ME"/>
        </w:rPr>
        <w:t xml:space="preserve"> 6 </w:t>
      </w:r>
      <w:r w:rsidRPr="00E26E8A">
        <w:rPr>
          <w:sz w:val="22"/>
          <w:szCs w:val="22"/>
        </w:rPr>
        <w:t>puta</w:t>
      </w:r>
      <w:r w:rsidRPr="00797963">
        <w:rPr>
          <w:sz w:val="22"/>
          <w:szCs w:val="22"/>
          <w:lang w:val="sr-Latn-ME"/>
        </w:rPr>
        <w:t xml:space="preserve"> </w:t>
      </w:r>
      <w:r w:rsidRPr="00E26E8A">
        <w:rPr>
          <w:sz w:val="22"/>
          <w:szCs w:val="22"/>
        </w:rPr>
        <w:t>ve</w:t>
      </w:r>
      <w:r w:rsidRPr="00797963">
        <w:rPr>
          <w:rFonts w:eastAsia="TimesNewRoman"/>
          <w:sz w:val="22"/>
          <w:szCs w:val="22"/>
          <w:lang w:val="sr-Latn-ME"/>
        </w:rPr>
        <w:t>ć</w:t>
      </w:r>
      <w:r w:rsidRPr="00E26E8A">
        <w:rPr>
          <w:sz w:val="22"/>
          <w:szCs w:val="22"/>
        </w:rPr>
        <w:t>im</w:t>
      </w:r>
      <w:r w:rsidRPr="00797963">
        <w:rPr>
          <w:sz w:val="22"/>
          <w:szCs w:val="22"/>
          <w:lang w:val="sr-Latn-ME"/>
        </w:rPr>
        <w:t xml:space="preserve"> </w:t>
      </w:r>
      <w:r w:rsidRPr="00E26E8A">
        <w:rPr>
          <w:sz w:val="22"/>
          <w:szCs w:val="22"/>
        </w:rPr>
        <w:t>od</w:t>
      </w:r>
      <w:r w:rsidRPr="00797963">
        <w:rPr>
          <w:sz w:val="22"/>
          <w:szCs w:val="22"/>
          <w:lang w:val="sr-Latn-ME"/>
        </w:rPr>
        <w:t xml:space="preserve"> </w:t>
      </w:r>
      <w:r w:rsidRPr="00E26E8A">
        <w:rPr>
          <w:sz w:val="22"/>
          <w:szCs w:val="22"/>
        </w:rPr>
        <w:t>gornje</w:t>
      </w:r>
      <w:r w:rsidRPr="00797963">
        <w:rPr>
          <w:sz w:val="22"/>
          <w:szCs w:val="22"/>
          <w:lang w:val="sr-Latn-ME"/>
        </w:rPr>
        <w:t xml:space="preserve"> </w:t>
      </w:r>
      <w:r w:rsidRPr="00E26E8A">
        <w:rPr>
          <w:sz w:val="22"/>
          <w:szCs w:val="22"/>
        </w:rPr>
        <w:t>granice</w:t>
      </w:r>
      <w:r w:rsidRPr="00797963">
        <w:rPr>
          <w:sz w:val="22"/>
          <w:szCs w:val="22"/>
          <w:lang w:val="sr-Latn-ME"/>
        </w:rPr>
        <w:t xml:space="preserve"> </w:t>
      </w:r>
      <w:r w:rsidRPr="00E26E8A">
        <w:rPr>
          <w:sz w:val="22"/>
          <w:szCs w:val="22"/>
        </w:rPr>
        <w:t>normale</w:t>
      </w:r>
      <w:r w:rsidRPr="00797963">
        <w:rPr>
          <w:sz w:val="22"/>
          <w:szCs w:val="22"/>
          <w:lang w:val="sr-Latn-ME"/>
        </w:rPr>
        <w:t xml:space="preserve">, </w:t>
      </w:r>
      <w:r w:rsidRPr="00E26E8A">
        <w:rPr>
          <w:sz w:val="22"/>
          <w:szCs w:val="22"/>
        </w:rPr>
        <w:t>nema</w:t>
      </w:r>
      <w:r w:rsidRPr="00797963">
        <w:rPr>
          <w:sz w:val="22"/>
          <w:szCs w:val="22"/>
          <w:lang w:val="sr-Latn-ME"/>
        </w:rPr>
        <w:t xml:space="preserve"> </w:t>
      </w:r>
      <w:r w:rsidRPr="00E26E8A">
        <w:rPr>
          <w:sz w:val="22"/>
          <w:szCs w:val="22"/>
        </w:rPr>
        <w:t>preporuka</w:t>
      </w:r>
      <w:r w:rsidRPr="00797963">
        <w:rPr>
          <w:sz w:val="22"/>
          <w:szCs w:val="22"/>
          <w:lang w:val="sr-Latn-ME"/>
        </w:rPr>
        <w:t xml:space="preserve"> </w:t>
      </w:r>
      <w:r w:rsidRPr="00E26E8A">
        <w:rPr>
          <w:sz w:val="22"/>
          <w:szCs w:val="22"/>
        </w:rPr>
        <w:t>za</w:t>
      </w:r>
      <w:r w:rsidRPr="00797963">
        <w:rPr>
          <w:sz w:val="22"/>
          <w:szCs w:val="22"/>
          <w:lang w:val="sr-Latn-ME"/>
        </w:rPr>
        <w:t xml:space="preserve"> </w:t>
      </w:r>
      <w:r w:rsidRPr="00E26E8A">
        <w:rPr>
          <w:sz w:val="22"/>
          <w:szCs w:val="22"/>
        </w:rPr>
        <w:t>redukovanje</w:t>
      </w:r>
      <w:r w:rsidRPr="00797963">
        <w:rPr>
          <w:sz w:val="22"/>
          <w:szCs w:val="22"/>
          <w:lang w:val="sr-Latn-ME"/>
        </w:rPr>
        <w:t xml:space="preserve"> </w:t>
      </w:r>
      <w:r w:rsidRPr="00E26E8A">
        <w:rPr>
          <w:sz w:val="22"/>
          <w:szCs w:val="22"/>
        </w:rPr>
        <w:t>doziranja</w:t>
      </w:r>
      <w:r w:rsidRPr="00797963">
        <w:rPr>
          <w:sz w:val="22"/>
          <w:szCs w:val="22"/>
          <w:lang w:val="sr-Latn-ME"/>
        </w:rPr>
        <w:t xml:space="preserve">, </w:t>
      </w:r>
      <w:r w:rsidRPr="00E26E8A">
        <w:rPr>
          <w:sz w:val="22"/>
          <w:szCs w:val="22"/>
        </w:rPr>
        <w:t>a</w:t>
      </w:r>
      <w:r w:rsidRPr="00797963">
        <w:rPr>
          <w:sz w:val="22"/>
          <w:szCs w:val="22"/>
          <w:lang w:val="sr-Latn-ME"/>
        </w:rPr>
        <w:t xml:space="preserve"> </w:t>
      </w:r>
      <w:r w:rsidRPr="00E26E8A">
        <w:rPr>
          <w:sz w:val="22"/>
          <w:szCs w:val="22"/>
        </w:rPr>
        <w:t>docetaksel</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ne</w:t>
      </w:r>
      <w:r w:rsidRPr="00797963">
        <w:rPr>
          <w:sz w:val="22"/>
          <w:szCs w:val="22"/>
          <w:lang w:val="sr-Latn-ME"/>
        </w:rPr>
        <w:t xml:space="preserve"> </w:t>
      </w:r>
      <w:r w:rsidRPr="00E26E8A">
        <w:rPr>
          <w:sz w:val="22"/>
          <w:szCs w:val="22"/>
        </w:rPr>
        <w:t>smije</w:t>
      </w:r>
      <w:r w:rsidRPr="00797963">
        <w:rPr>
          <w:sz w:val="22"/>
          <w:szCs w:val="22"/>
          <w:lang w:val="sr-Latn-ME"/>
        </w:rPr>
        <w:t xml:space="preserve"> </w:t>
      </w:r>
      <w:r w:rsidRPr="00E26E8A">
        <w:rPr>
          <w:sz w:val="22"/>
          <w:szCs w:val="22"/>
        </w:rPr>
        <w:t>primjenjivati</w:t>
      </w:r>
      <w:r w:rsidRPr="00797963">
        <w:rPr>
          <w:sz w:val="22"/>
          <w:szCs w:val="22"/>
          <w:lang w:val="sr-Latn-ME"/>
        </w:rPr>
        <w:t xml:space="preserve">, </w:t>
      </w:r>
      <w:r w:rsidRPr="00E26E8A">
        <w:rPr>
          <w:sz w:val="22"/>
          <w:szCs w:val="22"/>
        </w:rPr>
        <w:t>osim</w:t>
      </w:r>
      <w:r w:rsidRPr="00797963">
        <w:rPr>
          <w:sz w:val="22"/>
          <w:szCs w:val="22"/>
          <w:lang w:val="sr-Latn-ME"/>
        </w:rPr>
        <w:t xml:space="preserve"> </w:t>
      </w:r>
      <w:r w:rsidRPr="00E26E8A">
        <w:rPr>
          <w:sz w:val="22"/>
          <w:szCs w:val="22"/>
        </w:rPr>
        <w:t>ako</w:t>
      </w:r>
      <w:r w:rsidRPr="00797963">
        <w:rPr>
          <w:sz w:val="22"/>
          <w:szCs w:val="22"/>
          <w:lang w:val="sr-Latn-ME"/>
        </w:rPr>
        <w:t xml:space="preserve"> </w:t>
      </w:r>
      <w:r w:rsidRPr="00E26E8A">
        <w:rPr>
          <w:sz w:val="22"/>
          <w:szCs w:val="22"/>
        </w:rPr>
        <w:t>nije</w:t>
      </w:r>
      <w:r w:rsidRPr="00797963">
        <w:rPr>
          <w:sz w:val="22"/>
          <w:szCs w:val="22"/>
          <w:lang w:val="sr-Latn-ME"/>
        </w:rPr>
        <w:t xml:space="preserve"> </w:t>
      </w:r>
      <w:r w:rsidRPr="00E26E8A">
        <w:rPr>
          <w:sz w:val="22"/>
          <w:szCs w:val="22"/>
        </w:rPr>
        <w:t>striktno</w:t>
      </w:r>
      <w:r w:rsidRPr="00797963">
        <w:rPr>
          <w:sz w:val="22"/>
          <w:szCs w:val="22"/>
          <w:lang w:val="sr-Latn-ME"/>
        </w:rPr>
        <w:t xml:space="preserve"> </w:t>
      </w:r>
      <w:r w:rsidRPr="00E26E8A">
        <w:rPr>
          <w:sz w:val="22"/>
          <w:szCs w:val="22"/>
        </w:rPr>
        <w:t>indikovan</w:t>
      </w:r>
      <w:r w:rsidRPr="00797963">
        <w:rPr>
          <w:sz w:val="22"/>
          <w:szCs w:val="22"/>
          <w:lang w:val="sr-Latn-ME"/>
        </w:rPr>
        <w:t xml:space="preserve">. </w:t>
      </w:r>
    </w:p>
    <w:p w14:paraId="3BFEF438" w14:textId="77777777" w:rsidR="005F2068" w:rsidRPr="00797963" w:rsidRDefault="005F2068" w:rsidP="005F2068">
      <w:pPr>
        <w:autoSpaceDE w:val="0"/>
        <w:autoSpaceDN w:val="0"/>
        <w:adjustRightInd w:val="0"/>
        <w:rPr>
          <w:sz w:val="22"/>
          <w:szCs w:val="22"/>
          <w:lang w:val="sr-Latn-ME"/>
        </w:rPr>
      </w:pPr>
    </w:p>
    <w:p w14:paraId="3EEBD6F2" w14:textId="77777777" w:rsidR="005F2068" w:rsidRPr="00797963" w:rsidRDefault="005F2068" w:rsidP="005F2068">
      <w:pPr>
        <w:autoSpaceDE w:val="0"/>
        <w:autoSpaceDN w:val="0"/>
        <w:adjustRightInd w:val="0"/>
        <w:rPr>
          <w:sz w:val="22"/>
          <w:szCs w:val="22"/>
          <w:lang w:val="sr-Latn-ME"/>
        </w:rPr>
      </w:pPr>
      <w:r w:rsidRPr="00E26E8A">
        <w:rPr>
          <w:sz w:val="22"/>
          <w:szCs w:val="22"/>
        </w:rPr>
        <w:t>U</w:t>
      </w:r>
      <w:r w:rsidRPr="00797963">
        <w:rPr>
          <w:sz w:val="22"/>
          <w:szCs w:val="22"/>
          <w:lang w:val="sr-Latn-ME"/>
        </w:rPr>
        <w:t xml:space="preserve"> </w:t>
      </w:r>
      <w:r w:rsidRPr="00E26E8A">
        <w:rPr>
          <w:sz w:val="22"/>
          <w:szCs w:val="22"/>
        </w:rPr>
        <w:t>klju</w:t>
      </w:r>
      <w:r w:rsidRPr="00797963">
        <w:rPr>
          <w:rFonts w:eastAsia="TimesNewRoman"/>
          <w:sz w:val="22"/>
          <w:szCs w:val="22"/>
          <w:lang w:val="sr-Latn-ME"/>
        </w:rPr>
        <w:t>č</w:t>
      </w:r>
      <w:r w:rsidRPr="00E26E8A">
        <w:rPr>
          <w:sz w:val="22"/>
          <w:szCs w:val="22"/>
        </w:rPr>
        <w:t>noj</w:t>
      </w:r>
      <w:r w:rsidRPr="00797963">
        <w:rPr>
          <w:sz w:val="22"/>
          <w:szCs w:val="22"/>
          <w:lang w:val="sr-Latn-ME"/>
        </w:rPr>
        <w:t xml:space="preserve"> </w:t>
      </w:r>
      <w:r w:rsidRPr="00E26E8A">
        <w:rPr>
          <w:sz w:val="22"/>
          <w:szCs w:val="22"/>
        </w:rPr>
        <w:t>klini</w:t>
      </w:r>
      <w:r w:rsidRPr="00797963">
        <w:rPr>
          <w:rFonts w:eastAsia="TimesNewRoman"/>
          <w:sz w:val="22"/>
          <w:szCs w:val="22"/>
          <w:lang w:val="sr-Latn-ME"/>
        </w:rPr>
        <w:t>č</w:t>
      </w:r>
      <w:r w:rsidRPr="00E26E8A">
        <w:rPr>
          <w:sz w:val="22"/>
          <w:szCs w:val="22"/>
        </w:rPr>
        <w:t>koj</w:t>
      </w:r>
      <w:r w:rsidRPr="00797963">
        <w:rPr>
          <w:sz w:val="22"/>
          <w:szCs w:val="22"/>
          <w:lang w:val="sr-Latn-ME"/>
        </w:rPr>
        <w:t xml:space="preserve"> </w:t>
      </w:r>
      <w:r w:rsidRPr="00E26E8A">
        <w:rPr>
          <w:sz w:val="22"/>
          <w:szCs w:val="22"/>
        </w:rPr>
        <w:t>studiji</w:t>
      </w:r>
      <w:r w:rsidRPr="00797963">
        <w:rPr>
          <w:sz w:val="22"/>
          <w:szCs w:val="22"/>
          <w:lang w:val="sr-Latn-ME"/>
        </w:rPr>
        <w:t xml:space="preserve"> </w:t>
      </w:r>
      <w:r w:rsidRPr="00E26E8A">
        <w:rPr>
          <w:sz w:val="22"/>
          <w:szCs w:val="22"/>
        </w:rPr>
        <w:t>primjene</w:t>
      </w:r>
      <w:r w:rsidRPr="00797963">
        <w:rPr>
          <w:sz w:val="22"/>
          <w:szCs w:val="22"/>
          <w:lang w:val="sr-Latn-ME"/>
        </w:rPr>
        <w:t xml:space="preserve"> </w:t>
      </w:r>
      <w:r w:rsidRPr="00E26E8A">
        <w:rPr>
          <w:sz w:val="22"/>
          <w:szCs w:val="22"/>
        </w:rPr>
        <w:t>docetaksela</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kombinaciji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cisplatinom</w:t>
      </w:r>
      <w:r w:rsidRPr="00797963">
        <w:rPr>
          <w:sz w:val="22"/>
          <w:szCs w:val="22"/>
          <w:lang w:val="sr-Latn-ME"/>
        </w:rPr>
        <w:t xml:space="preserve"> </w:t>
      </w:r>
      <w:r w:rsidRPr="00E26E8A">
        <w:rPr>
          <w:sz w:val="22"/>
          <w:szCs w:val="22"/>
        </w:rPr>
        <w:t>i</w:t>
      </w:r>
      <w:r w:rsidRPr="00797963">
        <w:rPr>
          <w:sz w:val="22"/>
          <w:szCs w:val="22"/>
          <w:lang w:val="sr-Latn-ME"/>
        </w:rPr>
        <w:t xml:space="preserve"> 5-</w:t>
      </w:r>
      <w:r w:rsidRPr="00E26E8A">
        <w:rPr>
          <w:sz w:val="22"/>
          <w:szCs w:val="22"/>
        </w:rPr>
        <w:t>fluorouracilom</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terapiji</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adenokarcinomom</w:t>
      </w:r>
      <w:r w:rsidRPr="00797963">
        <w:rPr>
          <w:sz w:val="22"/>
          <w:szCs w:val="22"/>
          <w:lang w:val="sr-Latn-ME"/>
        </w:rPr>
        <w:t xml:space="preserve"> ž</w:t>
      </w:r>
      <w:r w:rsidRPr="00E26E8A">
        <w:rPr>
          <w:sz w:val="22"/>
          <w:szCs w:val="22"/>
        </w:rPr>
        <w:t>eluca</w:t>
      </w:r>
      <w:r w:rsidRPr="00797963">
        <w:rPr>
          <w:sz w:val="22"/>
          <w:szCs w:val="22"/>
          <w:lang w:val="sr-Latn-ME"/>
        </w:rPr>
        <w:t xml:space="preserve">, </w:t>
      </w:r>
      <w:r w:rsidRPr="00E26E8A">
        <w:rPr>
          <w:sz w:val="22"/>
          <w:szCs w:val="22"/>
        </w:rPr>
        <w:t>isklju</w:t>
      </w:r>
      <w:r w:rsidRPr="00797963">
        <w:rPr>
          <w:rFonts w:eastAsia="TimesNewRoman"/>
          <w:sz w:val="22"/>
          <w:szCs w:val="22"/>
          <w:lang w:val="sr-Latn-ME"/>
        </w:rPr>
        <w:t>č</w:t>
      </w:r>
      <w:r w:rsidRPr="00E26E8A">
        <w:rPr>
          <w:sz w:val="22"/>
          <w:szCs w:val="22"/>
        </w:rPr>
        <w:t>eni</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pacijenti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ALT</w:t>
      </w:r>
      <w:r w:rsidRPr="00797963">
        <w:rPr>
          <w:sz w:val="22"/>
          <w:szCs w:val="22"/>
          <w:lang w:val="sr-Latn-ME"/>
        </w:rPr>
        <w:t xml:space="preserve"> </w:t>
      </w:r>
      <w:r w:rsidRPr="00E26E8A">
        <w:rPr>
          <w:sz w:val="22"/>
          <w:szCs w:val="22"/>
        </w:rPr>
        <w:t>i</w:t>
      </w:r>
      <w:r w:rsidRPr="00797963">
        <w:rPr>
          <w:sz w:val="22"/>
          <w:szCs w:val="22"/>
          <w:lang w:val="sr-Latn-ME"/>
        </w:rPr>
        <w:t>/</w:t>
      </w:r>
      <w:r w:rsidRPr="00E26E8A">
        <w:rPr>
          <w:sz w:val="22"/>
          <w:szCs w:val="22"/>
        </w:rPr>
        <w:t>ili</w:t>
      </w:r>
      <w:r w:rsidRPr="00797963">
        <w:rPr>
          <w:sz w:val="22"/>
          <w:szCs w:val="22"/>
          <w:lang w:val="sr-Latn-ME"/>
        </w:rPr>
        <w:t xml:space="preserve"> </w:t>
      </w:r>
      <w:r w:rsidRPr="00E26E8A">
        <w:rPr>
          <w:sz w:val="22"/>
          <w:szCs w:val="22"/>
        </w:rPr>
        <w:t>AST</w:t>
      </w:r>
      <w:r w:rsidRPr="00797963">
        <w:rPr>
          <w:sz w:val="22"/>
          <w:szCs w:val="22"/>
          <w:lang w:val="sr-Latn-ME"/>
        </w:rPr>
        <w:t xml:space="preserve"> </w:t>
      </w:r>
      <w:r w:rsidRPr="00E26E8A">
        <w:rPr>
          <w:sz w:val="22"/>
          <w:szCs w:val="22"/>
        </w:rPr>
        <w:t>vrijednostima</w:t>
      </w:r>
      <w:r w:rsidRPr="00797963">
        <w:rPr>
          <w:sz w:val="22"/>
          <w:szCs w:val="22"/>
          <w:lang w:val="sr-Latn-ME"/>
        </w:rPr>
        <w:t xml:space="preserve"> &gt;1,5 </w:t>
      </w:r>
      <w:r w:rsidRPr="00E26E8A">
        <w:rPr>
          <w:sz w:val="22"/>
          <w:szCs w:val="22"/>
        </w:rPr>
        <w:t>puta</w:t>
      </w:r>
      <w:r w:rsidRPr="00797963">
        <w:rPr>
          <w:sz w:val="22"/>
          <w:szCs w:val="22"/>
          <w:lang w:val="sr-Latn-ME"/>
        </w:rPr>
        <w:t xml:space="preserve"> </w:t>
      </w:r>
      <w:r w:rsidRPr="00E26E8A">
        <w:rPr>
          <w:sz w:val="22"/>
          <w:szCs w:val="22"/>
        </w:rPr>
        <w:t>ULN</w:t>
      </w:r>
      <w:r w:rsidRPr="00797963">
        <w:rPr>
          <w:sz w:val="22"/>
          <w:szCs w:val="22"/>
          <w:lang w:val="sr-Latn-ME"/>
        </w:rPr>
        <w:t xml:space="preserve">, </w:t>
      </w:r>
      <w:r w:rsidRPr="00E26E8A">
        <w:rPr>
          <w:sz w:val="22"/>
          <w:szCs w:val="22"/>
        </w:rPr>
        <w:t>uz</w:t>
      </w:r>
      <w:r w:rsidRPr="00797963">
        <w:rPr>
          <w:sz w:val="22"/>
          <w:szCs w:val="22"/>
          <w:lang w:val="sr-Latn-ME"/>
        </w:rPr>
        <w:t xml:space="preserve"> </w:t>
      </w:r>
      <w:r w:rsidRPr="00E26E8A">
        <w:rPr>
          <w:sz w:val="22"/>
          <w:szCs w:val="22"/>
        </w:rPr>
        <w:t>vrijednosti</w:t>
      </w:r>
      <w:r w:rsidRPr="00797963">
        <w:rPr>
          <w:sz w:val="22"/>
          <w:szCs w:val="22"/>
          <w:lang w:val="sr-Latn-ME"/>
        </w:rPr>
        <w:t xml:space="preserve"> </w:t>
      </w:r>
      <w:r w:rsidRPr="00E26E8A">
        <w:rPr>
          <w:sz w:val="22"/>
          <w:szCs w:val="22"/>
        </w:rPr>
        <w:t>alkalne</w:t>
      </w:r>
      <w:r w:rsidRPr="00797963">
        <w:rPr>
          <w:sz w:val="22"/>
          <w:szCs w:val="22"/>
          <w:lang w:val="sr-Latn-ME"/>
        </w:rPr>
        <w:t xml:space="preserve"> </w:t>
      </w:r>
      <w:r w:rsidRPr="00E26E8A">
        <w:rPr>
          <w:sz w:val="22"/>
          <w:szCs w:val="22"/>
        </w:rPr>
        <w:t>fosfataze</w:t>
      </w:r>
      <w:r w:rsidRPr="00797963">
        <w:rPr>
          <w:sz w:val="22"/>
          <w:szCs w:val="22"/>
          <w:lang w:val="sr-Latn-ME"/>
        </w:rPr>
        <w:t xml:space="preserve">  &gt; 2,5 </w:t>
      </w:r>
      <w:r w:rsidRPr="00E26E8A">
        <w:rPr>
          <w:sz w:val="22"/>
          <w:szCs w:val="22"/>
        </w:rPr>
        <w:t>puta</w:t>
      </w:r>
      <w:r w:rsidRPr="00797963">
        <w:rPr>
          <w:sz w:val="22"/>
          <w:szCs w:val="22"/>
          <w:lang w:val="sr-Latn-ME"/>
        </w:rPr>
        <w:t xml:space="preserve"> </w:t>
      </w:r>
      <w:r w:rsidRPr="00E26E8A">
        <w:rPr>
          <w:sz w:val="22"/>
          <w:szCs w:val="22"/>
        </w:rPr>
        <w:t>ULN</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bilirubinom</w:t>
      </w:r>
      <w:r w:rsidRPr="00797963">
        <w:rPr>
          <w:sz w:val="22"/>
          <w:szCs w:val="22"/>
          <w:lang w:val="sr-Latn-ME"/>
        </w:rPr>
        <w:t xml:space="preserve"> &gt; 1 </w:t>
      </w:r>
      <w:r w:rsidRPr="00E26E8A">
        <w:rPr>
          <w:sz w:val="22"/>
          <w:szCs w:val="22"/>
        </w:rPr>
        <w:t>put</w:t>
      </w:r>
      <w:r w:rsidRPr="00797963">
        <w:rPr>
          <w:sz w:val="22"/>
          <w:szCs w:val="22"/>
          <w:lang w:val="sr-Latn-ME"/>
        </w:rPr>
        <w:t xml:space="preserve"> </w:t>
      </w:r>
      <w:r w:rsidRPr="00E26E8A">
        <w:rPr>
          <w:sz w:val="22"/>
          <w:szCs w:val="22"/>
        </w:rPr>
        <w:t>ULN</w:t>
      </w:r>
      <w:r w:rsidRPr="00797963">
        <w:rPr>
          <w:sz w:val="22"/>
          <w:szCs w:val="22"/>
          <w:lang w:val="sr-Latn-ME"/>
        </w:rPr>
        <w:t xml:space="preserve">. </w:t>
      </w:r>
      <w:r w:rsidRPr="00E26E8A">
        <w:rPr>
          <w:sz w:val="22"/>
          <w:szCs w:val="22"/>
        </w:rPr>
        <w:t>Za</w:t>
      </w:r>
      <w:r w:rsidRPr="00797963">
        <w:rPr>
          <w:sz w:val="22"/>
          <w:szCs w:val="22"/>
          <w:lang w:val="sr-Latn-ME"/>
        </w:rPr>
        <w:t xml:space="preserve"> </w:t>
      </w:r>
      <w:r w:rsidRPr="00E26E8A">
        <w:rPr>
          <w:sz w:val="22"/>
          <w:szCs w:val="22"/>
        </w:rPr>
        <w:t>ove</w:t>
      </w:r>
      <w:r w:rsidRPr="00797963">
        <w:rPr>
          <w:sz w:val="22"/>
          <w:szCs w:val="22"/>
          <w:lang w:val="sr-Latn-ME"/>
        </w:rPr>
        <w:t xml:space="preserve"> </w:t>
      </w:r>
      <w:r w:rsidRPr="00E26E8A">
        <w:rPr>
          <w:sz w:val="22"/>
          <w:szCs w:val="22"/>
        </w:rPr>
        <w:t>pacijente</w:t>
      </w:r>
      <w:r w:rsidRPr="00797963">
        <w:rPr>
          <w:sz w:val="22"/>
          <w:szCs w:val="22"/>
          <w:lang w:val="sr-Latn-ME"/>
        </w:rPr>
        <w:t xml:space="preserve"> </w:t>
      </w:r>
      <w:r w:rsidRPr="00E26E8A">
        <w:rPr>
          <w:sz w:val="22"/>
          <w:szCs w:val="22"/>
        </w:rPr>
        <w:t>ne</w:t>
      </w:r>
      <w:r w:rsidRPr="00797963">
        <w:rPr>
          <w:sz w:val="22"/>
          <w:szCs w:val="22"/>
          <w:lang w:val="sr-Latn-ME"/>
        </w:rPr>
        <w:t xml:space="preserve"> </w:t>
      </w:r>
      <w:r w:rsidRPr="00E26E8A">
        <w:rPr>
          <w:sz w:val="22"/>
          <w:szCs w:val="22"/>
        </w:rPr>
        <w:t>mogu</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dati</w:t>
      </w:r>
      <w:r w:rsidRPr="00797963">
        <w:rPr>
          <w:sz w:val="22"/>
          <w:szCs w:val="22"/>
          <w:lang w:val="sr-Latn-ME"/>
        </w:rPr>
        <w:t xml:space="preserve"> </w:t>
      </w:r>
      <w:r w:rsidRPr="00E26E8A">
        <w:rPr>
          <w:sz w:val="22"/>
          <w:szCs w:val="22"/>
        </w:rPr>
        <w:t>preporuke</w:t>
      </w:r>
      <w:r w:rsidRPr="00797963">
        <w:rPr>
          <w:sz w:val="22"/>
          <w:szCs w:val="22"/>
          <w:lang w:val="sr-Latn-ME"/>
        </w:rPr>
        <w:t xml:space="preserve"> </w:t>
      </w:r>
      <w:r w:rsidRPr="00E26E8A">
        <w:rPr>
          <w:sz w:val="22"/>
          <w:szCs w:val="22"/>
        </w:rPr>
        <w:t>za</w:t>
      </w:r>
      <w:r w:rsidRPr="00797963">
        <w:rPr>
          <w:sz w:val="22"/>
          <w:szCs w:val="22"/>
          <w:lang w:val="sr-Latn-ME"/>
        </w:rPr>
        <w:t xml:space="preserve"> </w:t>
      </w:r>
      <w:r w:rsidRPr="00E26E8A">
        <w:rPr>
          <w:sz w:val="22"/>
          <w:szCs w:val="22"/>
        </w:rPr>
        <w:t>smanjenje</w:t>
      </w:r>
      <w:r w:rsidRPr="00797963">
        <w:rPr>
          <w:sz w:val="22"/>
          <w:szCs w:val="22"/>
          <w:lang w:val="sr-Latn-ME"/>
        </w:rPr>
        <w:t xml:space="preserve"> </w:t>
      </w:r>
      <w:r w:rsidRPr="00E26E8A">
        <w:rPr>
          <w:sz w:val="22"/>
          <w:szCs w:val="22"/>
        </w:rPr>
        <w:t>doze</w:t>
      </w:r>
      <w:r w:rsidRPr="00797963">
        <w:rPr>
          <w:sz w:val="22"/>
          <w:szCs w:val="22"/>
          <w:lang w:val="sr-Latn-ME"/>
        </w:rPr>
        <w:t xml:space="preserve">, </w:t>
      </w:r>
      <w:r w:rsidRPr="00E26E8A">
        <w:rPr>
          <w:sz w:val="22"/>
          <w:szCs w:val="22"/>
        </w:rPr>
        <w:t>a</w:t>
      </w:r>
      <w:r w:rsidRPr="00797963">
        <w:rPr>
          <w:sz w:val="22"/>
          <w:szCs w:val="22"/>
          <w:lang w:val="sr-Latn-ME"/>
        </w:rPr>
        <w:t xml:space="preserve"> </w:t>
      </w:r>
      <w:r w:rsidRPr="00E26E8A">
        <w:rPr>
          <w:sz w:val="22"/>
          <w:szCs w:val="22"/>
        </w:rPr>
        <w:t>docetaksel</w:t>
      </w:r>
      <w:r w:rsidRPr="00797963">
        <w:rPr>
          <w:sz w:val="22"/>
          <w:szCs w:val="22"/>
          <w:lang w:val="sr-Latn-ME"/>
        </w:rPr>
        <w:t xml:space="preserve"> </w:t>
      </w:r>
      <w:r w:rsidRPr="00E26E8A">
        <w:rPr>
          <w:sz w:val="22"/>
          <w:szCs w:val="22"/>
        </w:rPr>
        <w:t>ne</w:t>
      </w:r>
      <w:r w:rsidRPr="00797963">
        <w:rPr>
          <w:sz w:val="22"/>
          <w:szCs w:val="22"/>
          <w:lang w:val="sr-Latn-ME"/>
        </w:rPr>
        <w:t xml:space="preserve"> </w:t>
      </w:r>
      <w:r w:rsidRPr="00E26E8A">
        <w:rPr>
          <w:sz w:val="22"/>
          <w:szCs w:val="22"/>
        </w:rPr>
        <w:t>bi</w:t>
      </w:r>
      <w:r w:rsidRPr="00797963">
        <w:rPr>
          <w:sz w:val="22"/>
          <w:szCs w:val="22"/>
          <w:lang w:val="sr-Latn-ME"/>
        </w:rPr>
        <w:t xml:space="preserve"> </w:t>
      </w:r>
      <w:r w:rsidRPr="00E26E8A">
        <w:rPr>
          <w:sz w:val="22"/>
          <w:szCs w:val="22"/>
        </w:rPr>
        <w:t>trebalo</w:t>
      </w:r>
      <w:r w:rsidRPr="00797963">
        <w:rPr>
          <w:sz w:val="22"/>
          <w:szCs w:val="22"/>
          <w:lang w:val="sr-Latn-ME"/>
        </w:rPr>
        <w:t xml:space="preserve"> </w:t>
      </w:r>
      <w:r w:rsidRPr="00E26E8A">
        <w:rPr>
          <w:sz w:val="22"/>
          <w:szCs w:val="22"/>
        </w:rPr>
        <w:t>primjenjivati</w:t>
      </w:r>
      <w:r w:rsidRPr="00797963">
        <w:rPr>
          <w:sz w:val="22"/>
          <w:szCs w:val="22"/>
          <w:lang w:val="sr-Latn-ME"/>
        </w:rPr>
        <w:t xml:space="preserve"> </w:t>
      </w:r>
      <w:r w:rsidRPr="00E26E8A">
        <w:rPr>
          <w:sz w:val="22"/>
          <w:szCs w:val="22"/>
        </w:rPr>
        <w:t>osim</w:t>
      </w:r>
      <w:r w:rsidRPr="00797963">
        <w:rPr>
          <w:sz w:val="22"/>
          <w:szCs w:val="22"/>
          <w:lang w:val="sr-Latn-ME"/>
        </w:rPr>
        <w:t xml:space="preserve"> </w:t>
      </w:r>
      <w:r w:rsidRPr="00E26E8A">
        <w:rPr>
          <w:sz w:val="22"/>
          <w:szCs w:val="22"/>
        </w:rPr>
        <w:t>ako</w:t>
      </w:r>
      <w:r w:rsidRPr="00797963">
        <w:rPr>
          <w:sz w:val="22"/>
          <w:szCs w:val="22"/>
          <w:lang w:val="sr-Latn-ME"/>
        </w:rPr>
        <w:t xml:space="preserve"> </w:t>
      </w:r>
      <w:r w:rsidRPr="00E26E8A">
        <w:rPr>
          <w:sz w:val="22"/>
          <w:szCs w:val="22"/>
        </w:rPr>
        <w:t>nije</w:t>
      </w:r>
      <w:r w:rsidRPr="00797963">
        <w:rPr>
          <w:sz w:val="22"/>
          <w:szCs w:val="22"/>
          <w:lang w:val="sr-Latn-ME"/>
        </w:rPr>
        <w:t xml:space="preserve"> </w:t>
      </w:r>
      <w:r w:rsidRPr="00E26E8A">
        <w:rPr>
          <w:sz w:val="22"/>
          <w:szCs w:val="22"/>
        </w:rPr>
        <w:t>striktno</w:t>
      </w:r>
      <w:r w:rsidRPr="00797963">
        <w:rPr>
          <w:sz w:val="22"/>
          <w:szCs w:val="22"/>
          <w:lang w:val="sr-Latn-ME"/>
        </w:rPr>
        <w:t xml:space="preserve"> </w:t>
      </w:r>
      <w:r w:rsidRPr="00E26E8A">
        <w:rPr>
          <w:sz w:val="22"/>
          <w:szCs w:val="22"/>
        </w:rPr>
        <w:t>indikovan</w:t>
      </w:r>
      <w:r w:rsidRPr="00797963">
        <w:rPr>
          <w:sz w:val="22"/>
          <w:szCs w:val="22"/>
          <w:lang w:val="sr-Latn-ME"/>
        </w:rPr>
        <w:t xml:space="preserve">. </w:t>
      </w:r>
      <w:r w:rsidRPr="00E26E8A">
        <w:rPr>
          <w:sz w:val="22"/>
          <w:szCs w:val="22"/>
        </w:rPr>
        <w:t>Nema</w:t>
      </w:r>
      <w:r w:rsidRPr="00797963">
        <w:rPr>
          <w:sz w:val="22"/>
          <w:szCs w:val="22"/>
          <w:lang w:val="sr-Latn-ME"/>
        </w:rPr>
        <w:t xml:space="preserve"> </w:t>
      </w:r>
      <w:r w:rsidRPr="00E26E8A">
        <w:rPr>
          <w:sz w:val="22"/>
          <w:szCs w:val="22"/>
        </w:rPr>
        <w:t>dostupnih</w:t>
      </w:r>
      <w:r w:rsidRPr="00797963">
        <w:rPr>
          <w:sz w:val="22"/>
          <w:szCs w:val="22"/>
          <w:lang w:val="sr-Latn-ME"/>
        </w:rPr>
        <w:t xml:space="preserve"> </w:t>
      </w:r>
      <w:r w:rsidRPr="00E26E8A">
        <w:rPr>
          <w:sz w:val="22"/>
          <w:szCs w:val="22"/>
        </w:rPr>
        <w:t>podataka</w:t>
      </w:r>
      <w:r w:rsidRPr="00797963">
        <w:rPr>
          <w:sz w:val="22"/>
          <w:szCs w:val="22"/>
          <w:lang w:val="sr-Latn-ME"/>
        </w:rPr>
        <w:t xml:space="preserve"> </w:t>
      </w:r>
      <w:r w:rsidRPr="00E26E8A">
        <w:rPr>
          <w:sz w:val="22"/>
          <w:szCs w:val="22"/>
        </w:rPr>
        <w:t>o</w:t>
      </w:r>
      <w:r w:rsidRPr="00797963">
        <w:rPr>
          <w:sz w:val="22"/>
          <w:szCs w:val="22"/>
          <w:lang w:val="sr-Latn-ME"/>
        </w:rPr>
        <w:t xml:space="preserve"> </w:t>
      </w:r>
      <w:r w:rsidRPr="00E26E8A">
        <w:rPr>
          <w:sz w:val="22"/>
          <w:szCs w:val="22"/>
        </w:rPr>
        <w:t>primjeni</w:t>
      </w:r>
      <w:r w:rsidRPr="00797963">
        <w:rPr>
          <w:sz w:val="22"/>
          <w:szCs w:val="22"/>
          <w:lang w:val="sr-Latn-ME"/>
        </w:rPr>
        <w:t xml:space="preserve"> </w:t>
      </w:r>
      <w:r w:rsidRPr="00E26E8A">
        <w:rPr>
          <w:sz w:val="22"/>
          <w:szCs w:val="22"/>
        </w:rPr>
        <w:t>docetaksela</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kombinaciji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drugim</w:t>
      </w:r>
      <w:r w:rsidRPr="00797963">
        <w:rPr>
          <w:sz w:val="22"/>
          <w:szCs w:val="22"/>
          <w:lang w:val="sr-Latn-ME"/>
        </w:rPr>
        <w:t xml:space="preserve"> </w:t>
      </w:r>
      <w:r w:rsidRPr="00E26E8A">
        <w:rPr>
          <w:sz w:val="22"/>
          <w:szCs w:val="22"/>
        </w:rPr>
        <w:t>ljekovima</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drugim</w:t>
      </w:r>
      <w:r w:rsidRPr="00797963">
        <w:rPr>
          <w:sz w:val="22"/>
          <w:szCs w:val="22"/>
          <w:lang w:val="sr-Latn-ME"/>
        </w:rPr>
        <w:t xml:space="preserve"> </w:t>
      </w:r>
      <w:r w:rsidRPr="00E26E8A">
        <w:rPr>
          <w:sz w:val="22"/>
          <w:szCs w:val="22"/>
        </w:rPr>
        <w:t>indikacijama</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insuficijencijom</w:t>
      </w:r>
      <w:r w:rsidRPr="00797963">
        <w:rPr>
          <w:sz w:val="22"/>
          <w:szCs w:val="22"/>
          <w:lang w:val="sr-Latn-ME"/>
        </w:rPr>
        <w:t xml:space="preserve"> </w:t>
      </w:r>
      <w:r w:rsidRPr="00E26E8A">
        <w:rPr>
          <w:sz w:val="22"/>
          <w:szCs w:val="22"/>
        </w:rPr>
        <w:t>jetre</w:t>
      </w:r>
      <w:r w:rsidRPr="00797963">
        <w:rPr>
          <w:sz w:val="22"/>
          <w:szCs w:val="22"/>
          <w:lang w:val="sr-Latn-ME"/>
        </w:rPr>
        <w:t>.</w:t>
      </w:r>
    </w:p>
    <w:p w14:paraId="78A1CA24" w14:textId="77777777" w:rsidR="005F2068" w:rsidRPr="00797963" w:rsidRDefault="005F2068" w:rsidP="005F2068">
      <w:pPr>
        <w:autoSpaceDE w:val="0"/>
        <w:autoSpaceDN w:val="0"/>
        <w:adjustRightInd w:val="0"/>
        <w:rPr>
          <w:sz w:val="22"/>
          <w:szCs w:val="22"/>
          <w:lang w:val="sr-Latn-ME"/>
        </w:rPr>
      </w:pPr>
    </w:p>
    <w:p w14:paraId="71D4CB2D"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Pacijenti</w:t>
      </w:r>
      <w:r w:rsidRPr="00797963">
        <w:rPr>
          <w:sz w:val="22"/>
          <w:szCs w:val="22"/>
          <w:u w:val="single"/>
          <w:lang w:val="sr-Latn-ME"/>
        </w:rPr>
        <w:t xml:space="preserve"> </w:t>
      </w:r>
      <w:r w:rsidRPr="00E26E8A">
        <w:rPr>
          <w:sz w:val="22"/>
          <w:szCs w:val="22"/>
          <w:u w:val="single"/>
        </w:rPr>
        <w:t>sa</w:t>
      </w:r>
      <w:r w:rsidRPr="00797963">
        <w:rPr>
          <w:sz w:val="22"/>
          <w:szCs w:val="22"/>
          <w:u w:val="single"/>
          <w:lang w:val="sr-Latn-ME"/>
        </w:rPr>
        <w:t xml:space="preserve"> </w:t>
      </w:r>
      <w:r w:rsidRPr="00E26E8A">
        <w:rPr>
          <w:sz w:val="22"/>
          <w:szCs w:val="22"/>
          <w:u w:val="single"/>
        </w:rPr>
        <w:t>renalnom</w:t>
      </w:r>
      <w:r w:rsidRPr="00797963">
        <w:rPr>
          <w:sz w:val="22"/>
          <w:szCs w:val="22"/>
          <w:u w:val="single"/>
          <w:lang w:val="sr-Latn-ME"/>
        </w:rPr>
        <w:t xml:space="preserve"> </w:t>
      </w:r>
      <w:r w:rsidRPr="00E26E8A">
        <w:rPr>
          <w:sz w:val="22"/>
          <w:szCs w:val="22"/>
          <w:u w:val="single"/>
        </w:rPr>
        <w:t>insuficijencijom</w:t>
      </w:r>
    </w:p>
    <w:p w14:paraId="0B83602E" w14:textId="77777777" w:rsidR="005F2068" w:rsidRPr="00797963" w:rsidRDefault="005F2068" w:rsidP="005F2068">
      <w:pPr>
        <w:autoSpaceDE w:val="0"/>
        <w:autoSpaceDN w:val="0"/>
        <w:adjustRightInd w:val="0"/>
        <w:rPr>
          <w:sz w:val="22"/>
          <w:szCs w:val="22"/>
          <w:u w:val="single"/>
          <w:lang w:val="sr-Latn-ME"/>
        </w:rPr>
      </w:pPr>
    </w:p>
    <w:p w14:paraId="4A0D8EAA" w14:textId="77777777" w:rsidR="005F2068" w:rsidRPr="00797963" w:rsidRDefault="005F2068" w:rsidP="005F2068">
      <w:pPr>
        <w:autoSpaceDE w:val="0"/>
        <w:autoSpaceDN w:val="0"/>
        <w:adjustRightInd w:val="0"/>
        <w:rPr>
          <w:sz w:val="22"/>
          <w:szCs w:val="22"/>
          <w:lang w:val="sr-Latn-ME"/>
        </w:rPr>
      </w:pPr>
      <w:r w:rsidRPr="00E26E8A">
        <w:rPr>
          <w:sz w:val="22"/>
          <w:szCs w:val="22"/>
        </w:rPr>
        <w:t>Nema</w:t>
      </w:r>
      <w:r w:rsidRPr="00797963">
        <w:rPr>
          <w:sz w:val="22"/>
          <w:szCs w:val="22"/>
          <w:lang w:val="sr-Latn-ME"/>
        </w:rPr>
        <w:t xml:space="preserve"> </w:t>
      </w:r>
      <w:r w:rsidRPr="00E26E8A">
        <w:rPr>
          <w:sz w:val="22"/>
          <w:szCs w:val="22"/>
        </w:rPr>
        <w:t>dostupnih</w:t>
      </w:r>
      <w:r w:rsidRPr="00797963">
        <w:rPr>
          <w:sz w:val="22"/>
          <w:szCs w:val="22"/>
          <w:lang w:val="sr-Latn-ME"/>
        </w:rPr>
        <w:t xml:space="preserve"> </w:t>
      </w:r>
      <w:r w:rsidRPr="00E26E8A">
        <w:rPr>
          <w:sz w:val="22"/>
          <w:szCs w:val="22"/>
        </w:rPr>
        <w:t>podataka</w:t>
      </w:r>
      <w:r w:rsidRPr="00797963">
        <w:rPr>
          <w:sz w:val="22"/>
          <w:szCs w:val="22"/>
          <w:lang w:val="sr-Latn-ME"/>
        </w:rPr>
        <w:t xml:space="preserve"> </w:t>
      </w:r>
      <w:r w:rsidRPr="00E26E8A">
        <w:rPr>
          <w:sz w:val="22"/>
          <w:szCs w:val="22"/>
        </w:rPr>
        <w:t>o</w:t>
      </w:r>
      <w:r w:rsidRPr="00797963">
        <w:rPr>
          <w:sz w:val="22"/>
          <w:szCs w:val="22"/>
          <w:lang w:val="sr-Latn-ME"/>
        </w:rPr>
        <w:t xml:space="preserve"> </w:t>
      </w:r>
      <w:r w:rsidRPr="00E26E8A">
        <w:rPr>
          <w:sz w:val="22"/>
          <w:szCs w:val="22"/>
        </w:rPr>
        <w:t>primjeni</w:t>
      </w:r>
      <w:r w:rsidRPr="00797963">
        <w:rPr>
          <w:sz w:val="22"/>
          <w:szCs w:val="22"/>
          <w:lang w:val="sr-Latn-ME"/>
        </w:rPr>
        <w:t xml:space="preserve"> </w:t>
      </w:r>
      <w:r w:rsidRPr="00E26E8A">
        <w:rPr>
          <w:sz w:val="22"/>
          <w:szCs w:val="22"/>
        </w:rPr>
        <w:t>docetaksela</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te</w:t>
      </w:r>
      <w:r w:rsidRPr="00797963">
        <w:rPr>
          <w:sz w:val="22"/>
          <w:szCs w:val="22"/>
          <w:lang w:val="sr-Latn-ME"/>
        </w:rPr>
        <w:t>š</w:t>
      </w:r>
      <w:r w:rsidRPr="00E26E8A">
        <w:rPr>
          <w:sz w:val="22"/>
          <w:szCs w:val="22"/>
        </w:rPr>
        <w:t>kom</w:t>
      </w:r>
      <w:r w:rsidRPr="00797963">
        <w:rPr>
          <w:sz w:val="22"/>
          <w:szCs w:val="22"/>
          <w:lang w:val="sr-Latn-ME"/>
        </w:rPr>
        <w:t xml:space="preserve"> </w:t>
      </w:r>
      <w:r w:rsidRPr="00E26E8A">
        <w:rPr>
          <w:sz w:val="22"/>
          <w:szCs w:val="22"/>
        </w:rPr>
        <w:t>renalnom</w:t>
      </w:r>
      <w:r w:rsidRPr="00797963">
        <w:rPr>
          <w:sz w:val="22"/>
          <w:szCs w:val="22"/>
          <w:lang w:val="sr-Latn-ME"/>
        </w:rPr>
        <w:t xml:space="preserve"> </w:t>
      </w:r>
      <w:r w:rsidRPr="00E26E8A">
        <w:rPr>
          <w:sz w:val="22"/>
          <w:szCs w:val="22"/>
        </w:rPr>
        <w:t>insuficijencijom</w:t>
      </w:r>
      <w:r w:rsidRPr="00797963">
        <w:rPr>
          <w:sz w:val="22"/>
          <w:szCs w:val="22"/>
          <w:lang w:val="sr-Latn-ME"/>
        </w:rPr>
        <w:t xml:space="preserve">. </w:t>
      </w:r>
    </w:p>
    <w:p w14:paraId="0526F451" w14:textId="77777777" w:rsidR="005F2068" w:rsidRPr="00797963" w:rsidRDefault="005F2068" w:rsidP="005F2068">
      <w:pPr>
        <w:autoSpaceDE w:val="0"/>
        <w:autoSpaceDN w:val="0"/>
        <w:adjustRightInd w:val="0"/>
        <w:rPr>
          <w:sz w:val="22"/>
          <w:szCs w:val="22"/>
          <w:lang w:val="sr-Latn-ME"/>
        </w:rPr>
      </w:pPr>
    </w:p>
    <w:p w14:paraId="427771C3" w14:textId="77777777" w:rsidR="005F2068" w:rsidRPr="00797963" w:rsidRDefault="005F2068" w:rsidP="005F2068">
      <w:pPr>
        <w:autoSpaceDE w:val="0"/>
        <w:autoSpaceDN w:val="0"/>
        <w:adjustRightInd w:val="0"/>
        <w:rPr>
          <w:sz w:val="22"/>
          <w:szCs w:val="22"/>
          <w:lang w:val="sr-Latn-ME"/>
        </w:rPr>
      </w:pPr>
      <w:r>
        <w:rPr>
          <w:sz w:val="22"/>
          <w:szCs w:val="22"/>
        </w:rPr>
        <w:t>Ovaj</w:t>
      </w:r>
      <w:r w:rsidRPr="00797963">
        <w:rPr>
          <w:sz w:val="22"/>
          <w:szCs w:val="22"/>
          <w:lang w:val="sr-Latn-ME"/>
        </w:rPr>
        <w:t xml:space="preserve"> </w:t>
      </w:r>
      <w:r>
        <w:rPr>
          <w:sz w:val="22"/>
          <w:szCs w:val="22"/>
        </w:rPr>
        <w:t>lijek</w:t>
      </w:r>
      <w:r w:rsidRPr="00797963">
        <w:rPr>
          <w:sz w:val="22"/>
          <w:szCs w:val="22"/>
          <w:lang w:val="sr-Latn-ME"/>
        </w:rPr>
        <w:t xml:space="preserve"> </w:t>
      </w:r>
      <w:r w:rsidRPr="00E26E8A">
        <w:rPr>
          <w:sz w:val="22"/>
          <w:szCs w:val="22"/>
        </w:rPr>
        <w:t>sadr</w:t>
      </w:r>
      <w:r w:rsidRPr="00797963">
        <w:rPr>
          <w:sz w:val="22"/>
          <w:szCs w:val="22"/>
          <w:lang w:val="sr-Latn-ME"/>
        </w:rPr>
        <w:t>ž</w:t>
      </w:r>
      <w:r w:rsidRPr="00E26E8A">
        <w:rPr>
          <w:sz w:val="22"/>
          <w:szCs w:val="22"/>
        </w:rPr>
        <w:t>i</w:t>
      </w:r>
      <w:r w:rsidRPr="00797963">
        <w:rPr>
          <w:sz w:val="22"/>
          <w:szCs w:val="22"/>
          <w:lang w:val="sr-Latn-ME"/>
        </w:rPr>
        <w:t xml:space="preserve"> </w:t>
      </w:r>
      <w:r w:rsidRPr="00E26E8A">
        <w:rPr>
          <w:sz w:val="22"/>
          <w:szCs w:val="22"/>
        </w:rPr>
        <w:t>Makrogol</w:t>
      </w:r>
      <w:r w:rsidRPr="00797963">
        <w:rPr>
          <w:sz w:val="22"/>
          <w:szCs w:val="22"/>
          <w:lang w:val="sr-Latn-ME"/>
        </w:rPr>
        <w:t xml:space="preserve"> 300 </w:t>
      </w:r>
      <w:r w:rsidRPr="00E26E8A">
        <w:rPr>
          <w:sz w:val="22"/>
          <w:szCs w:val="22"/>
        </w:rPr>
        <w:t>koji</w:t>
      </w:r>
      <w:r w:rsidRPr="00797963">
        <w:rPr>
          <w:sz w:val="22"/>
          <w:szCs w:val="22"/>
          <w:lang w:val="sr-Latn-ME"/>
        </w:rPr>
        <w:t xml:space="preserve"> </w:t>
      </w:r>
      <w:r w:rsidRPr="00E26E8A">
        <w:rPr>
          <w:sz w:val="22"/>
          <w:szCs w:val="22"/>
        </w:rPr>
        <w:t>mo</w:t>
      </w:r>
      <w:r w:rsidRPr="00797963">
        <w:rPr>
          <w:sz w:val="22"/>
          <w:szCs w:val="22"/>
          <w:lang w:val="sr-Latn-ME"/>
        </w:rPr>
        <w:t>ž</w:t>
      </w:r>
      <w:r w:rsidRPr="00E26E8A">
        <w:rPr>
          <w:sz w:val="22"/>
          <w:szCs w:val="22"/>
        </w:rPr>
        <w:t>e</w:t>
      </w:r>
      <w:r w:rsidRPr="00797963">
        <w:rPr>
          <w:sz w:val="22"/>
          <w:szCs w:val="22"/>
          <w:lang w:val="sr-Latn-ME"/>
        </w:rPr>
        <w:t xml:space="preserve"> </w:t>
      </w:r>
      <w:r w:rsidRPr="00E26E8A">
        <w:rPr>
          <w:sz w:val="22"/>
          <w:szCs w:val="22"/>
        </w:rPr>
        <w:t>da</w:t>
      </w:r>
      <w:r w:rsidRPr="00797963">
        <w:rPr>
          <w:sz w:val="22"/>
          <w:szCs w:val="22"/>
          <w:lang w:val="sr-Latn-ME"/>
        </w:rPr>
        <w:t xml:space="preserve"> </w:t>
      </w:r>
      <w:r w:rsidRPr="00E26E8A">
        <w:rPr>
          <w:sz w:val="22"/>
          <w:szCs w:val="22"/>
        </w:rPr>
        <w:t>pove</w:t>
      </w:r>
      <w:r w:rsidRPr="00797963">
        <w:rPr>
          <w:sz w:val="22"/>
          <w:szCs w:val="22"/>
          <w:lang w:val="sr-Latn-ME"/>
        </w:rPr>
        <w:t>ć</w:t>
      </w:r>
      <w:r w:rsidRPr="00E26E8A">
        <w:rPr>
          <w:sz w:val="22"/>
          <w:szCs w:val="22"/>
        </w:rPr>
        <w:t>a</w:t>
      </w:r>
      <w:r w:rsidRPr="00797963">
        <w:rPr>
          <w:sz w:val="22"/>
          <w:szCs w:val="22"/>
          <w:lang w:val="sr-Latn-ME"/>
        </w:rPr>
        <w:t xml:space="preserve"> </w:t>
      </w:r>
      <w:r w:rsidRPr="00E26E8A">
        <w:rPr>
          <w:sz w:val="22"/>
          <w:szCs w:val="22"/>
        </w:rPr>
        <w:t>rizik</w:t>
      </w:r>
      <w:r w:rsidRPr="00797963">
        <w:rPr>
          <w:sz w:val="22"/>
          <w:szCs w:val="22"/>
          <w:lang w:val="sr-Latn-ME"/>
        </w:rPr>
        <w:t xml:space="preserve"> </w:t>
      </w:r>
      <w:r w:rsidRPr="00E26E8A">
        <w:rPr>
          <w:sz w:val="22"/>
          <w:szCs w:val="22"/>
        </w:rPr>
        <w:t>od</w:t>
      </w:r>
      <w:r w:rsidRPr="00797963">
        <w:rPr>
          <w:sz w:val="22"/>
          <w:szCs w:val="22"/>
          <w:lang w:val="sr-Latn-ME"/>
        </w:rPr>
        <w:t xml:space="preserve"> </w:t>
      </w:r>
      <w:r w:rsidRPr="00E26E8A">
        <w:rPr>
          <w:sz w:val="22"/>
          <w:szCs w:val="22"/>
        </w:rPr>
        <w:t>nefrotoksi</w:t>
      </w:r>
      <w:r w:rsidRPr="00797963">
        <w:rPr>
          <w:sz w:val="22"/>
          <w:szCs w:val="22"/>
          <w:lang w:val="sr-Latn-ME"/>
        </w:rPr>
        <w:t>č</w:t>
      </w:r>
      <w:r w:rsidRPr="00E26E8A">
        <w:rPr>
          <w:sz w:val="22"/>
          <w:szCs w:val="22"/>
        </w:rPr>
        <w:t>nosti</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renalnom</w:t>
      </w:r>
      <w:r w:rsidRPr="00797963">
        <w:rPr>
          <w:sz w:val="22"/>
          <w:szCs w:val="22"/>
          <w:lang w:val="sr-Latn-ME"/>
        </w:rPr>
        <w:t xml:space="preserve"> </w:t>
      </w:r>
      <w:r w:rsidRPr="00E26E8A">
        <w:rPr>
          <w:sz w:val="22"/>
          <w:szCs w:val="22"/>
        </w:rPr>
        <w:t>insuficijencijom</w:t>
      </w:r>
      <w:r w:rsidRPr="00797963">
        <w:rPr>
          <w:sz w:val="22"/>
          <w:szCs w:val="22"/>
          <w:lang w:val="sr-Latn-ME"/>
        </w:rPr>
        <w:t>.</w:t>
      </w:r>
    </w:p>
    <w:p w14:paraId="7B54115D" w14:textId="77777777" w:rsidR="005F2068" w:rsidRPr="00797963" w:rsidRDefault="005F2068" w:rsidP="005F2068">
      <w:pPr>
        <w:autoSpaceDE w:val="0"/>
        <w:autoSpaceDN w:val="0"/>
        <w:adjustRightInd w:val="0"/>
        <w:rPr>
          <w:sz w:val="22"/>
          <w:szCs w:val="22"/>
          <w:u w:val="single"/>
          <w:lang w:val="sr-Latn-ME"/>
        </w:rPr>
      </w:pPr>
    </w:p>
    <w:p w14:paraId="632B2095"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Nervni</w:t>
      </w:r>
      <w:r w:rsidRPr="00797963">
        <w:rPr>
          <w:sz w:val="22"/>
          <w:szCs w:val="22"/>
          <w:u w:val="single"/>
          <w:lang w:val="sr-Latn-ME"/>
        </w:rPr>
        <w:t xml:space="preserve"> </w:t>
      </w:r>
      <w:r w:rsidRPr="00E26E8A">
        <w:rPr>
          <w:sz w:val="22"/>
          <w:szCs w:val="22"/>
          <w:u w:val="single"/>
        </w:rPr>
        <w:t>sistem</w:t>
      </w:r>
    </w:p>
    <w:p w14:paraId="088DE174" w14:textId="77777777" w:rsidR="005F2068" w:rsidRPr="00797963" w:rsidRDefault="005F2068" w:rsidP="005F2068">
      <w:pPr>
        <w:autoSpaceDE w:val="0"/>
        <w:autoSpaceDN w:val="0"/>
        <w:adjustRightInd w:val="0"/>
        <w:rPr>
          <w:sz w:val="22"/>
          <w:szCs w:val="22"/>
          <w:u w:val="single"/>
          <w:lang w:val="sr-Latn-ME"/>
        </w:rPr>
      </w:pPr>
    </w:p>
    <w:p w14:paraId="460ED324" w14:textId="77777777" w:rsidR="005F2068" w:rsidRPr="00797963" w:rsidRDefault="005F2068" w:rsidP="005F2068">
      <w:pPr>
        <w:autoSpaceDE w:val="0"/>
        <w:autoSpaceDN w:val="0"/>
        <w:adjustRightInd w:val="0"/>
        <w:rPr>
          <w:sz w:val="22"/>
          <w:szCs w:val="22"/>
          <w:lang w:val="sr-Latn-ME"/>
        </w:rPr>
      </w:pPr>
      <w:r w:rsidRPr="00E26E8A">
        <w:rPr>
          <w:sz w:val="22"/>
          <w:szCs w:val="22"/>
        </w:rPr>
        <w:t>Pojava</w:t>
      </w:r>
      <w:r w:rsidRPr="00797963">
        <w:rPr>
          <w:sz w:val="22"/>
          <w:szCs w:val="22"/>
          <w:lang w:val="sr-Latn-ME"/>
        </w:rPr>
        <w:t xml:space="preserve"> </w:t>
      </w:r>
      <w:r w:rsidRPr="00E26E8A">
        <w:rPr>
          <w:sz w:val="22"/>
          <w:szCs w:val="22"/>
        </w:rPr>
        <w:t>te</w:t>
      </w:r>
      <w:r w:rsidRPr="00797963">
        <w:rPr>
          <w:sz w:val="22"/>
          <w:szCs w:val="22"/>
          <w:lang w:val="sr-Latn-ME"/>
        </w:rPr>
        <w:t>š</w:t>
      </w:r>
      <w:r w:rsidRPr="00E26E8A">
        <w:rPr>
          <w:sz w:val="22"/>
          <w:szCs w:val="22"/>
        </w:rPr>
        <w:t>ke</w:t>
      </w:r>
      <w:r w:rsidRPr="00797963">
        <w:rPr>
          <w:sz w:val="22"/>
          <w:szCs w:val="22"/>
          <w:lang w:val="sr-Latn-ME"/>
        </w:rPr>
        <w:t xml:space="preserve"> </w:t>
      </w:r>
      <w:r w:rsidRPr="00E26E8A">
        <w:rPr>
          <w:sz w:val="22"/>
          <w:szCs w:val="22"/>
        </w:rPr>
        <w:t>periferne</w:t>
      </w:r>
      <w:r w:rsidRPr="00797963">
        <w:rPr>
          <w:sz w:val="22"/>
          <w:szCs w:val="22"/>
          <w:lang w:val="sr-Latn-ME"/>
        </w:rPr>
        <w:t xml:space="preserve"> </w:t>
      </w:r>
      <w:r w:rsidRPr="00E26E8A">
        <w:rPr>
          <w:sz w:val="22"/>
          <w:szCs w:val="22"/>
        </w:rPr>
        <w:t>neurotoksi</w:t>
      </w:r>
      <w:r w:rsidRPr="00797963">
        <w:rPr>
          <w:rFonts w:eastAsia="TimesNewRoman"/>
          <w:sz w:val="22"/>
          <w:szCs w:val="22"/>
          <w:lang w:val="sr-Latn-ME"/>
        </w:rPr>
        <w:t>č</w:t>
      </w:r>
      <w:r w:rsidRPr="00E26E8A">
        <w:rPr>
          <w:sz w:val="22"/>
          <w:szCs w:val="22"/>
        </w:rPr>
        <w:t>nosti</w:t>
      </w:r>
      <w:r w:rsidRPr="00797963">
        <w:rPr>
          <w:sz w:val="22"/>
          <w:szCs w:val="22"/>
          <w:lang w:val="sr-Latn-ME"/>
        </w:rPr>
        <w:t xml:space="preserve"> </w:t>
      </w:r>
      <w:r w:rsidRPr="00E26E8A">
        <w:rPr>
          <w:sz w:val="22"/>
          <w:szCs w:val="22"/>
        </w:rPr>
        <w:t>zahtijeva</w:t>
      </w:r>
      <w:r w:rsidRPr="00797963">
        <w:rPr>
          <w:sz w:val="22"/>
          <w:szCs w:val="22"/>
          <w:lang w:val="sr-Latn-ME"/>
        </w:rPr>
        <w:t xml:space="preserve"> </w:t>
      </w:r>
      <w:r w:rsidRPr="00E26E8A">
        <w:rPr>
          <w:sz w:val="22"/>
          <w:szCs w:val="22"/>
        </w:rPr>
        <w:t>smanjivanje</w:t>
      </w:r>
      <w:r w:rsidRPr="00797963">
        <w:rPr>
          <w:sz w:val="22"/>
          <w:szCs w:val="22"/>
          <w:lang w:val="sr-Latn-ME"/>
        </w:rPr>
        <w:t xml:space="preserve"> </w:t>
      </w:r>
      <w:r w:rsidRPr="00E26E8A">
        <w:rPr>
          <w:sz w:val="22"/>
          <w:szCs w:val="22"/>
        </w:rPr>
        <w:t>doze</w:t>
      </w:r>
      <w:r w:rsidRPr="00797963">
        <w:rPr>
          <w:sz w:val="22"/>
          <w:szCs w:val="22"/>
          <w:lang w:val="sr-Latn-ME"/>
        </w:rPr>
        <w:t xml:space="preserve"> (</w:t>
      </w:r>
      <w:r w:rsidRPr="00E26E8A">
        <w:rPr>
          <w:sz w:val="22"/>
          <w:szCs w:val="22"/>
        </w:rPr>
        <w:t>vidjeti</w:t>
      </w:r>
      <w:r w:rsidRPr="00797963">
        <w:rPr>
          <w:sz w:val="22"/>
          <w:szCs w:val="22"/>
          <w:lang w:val="sr-Latn-ME"/>
        </w:rPr>
        <w:t xml:space="preserve"> </w:t>
      </w:r>
      <w:r>
        <w:rPr>
          <w:sz w:val="22"/>
          <w:szCs w:val="22"/>
        </w:rPr>
        <w:t>dio</w:t>
      </w:r>
      <w:r w:rsidRPr="00797963">
        <w:rPr>
          <w:sz w:val="22"/>
          <w:szCs w:val="22"/>
          <w:lang w:val="sr-Latn-ME"/>
        </w:rPr>
        <w:t xml:space="preserve"> 4.2).</w:t>
      </w:r>
    </w:p>
    <w:p w14:paraId="41C6E82A" w14:textId="77777777" w:rsidR="005F2068" w:rsidRPr="00797963" w:rsidRDefault="005F2068" w:rsidP="005F2068">
      <w:pPr>
        <w:autoSpaceDE w:val="0"/>
        <w:autoSpaceDN w:val="0"/>
        <w:adjustRightInd w:val="0"/>
        <w:rPr>
          <w:sz w:val="22"/>
          <w:szCs w:val="22"/>
          <w:lang w:val="sr-Latn-ME"/>
        </w:rPr>
      </w:pPr>
    </w:p>
    <w:p w14:paraId="06C5762B" w14:textId="77777777" w:rsidR="005F2068" w:rsidRPr="00797963" w:rsidRDefault="005F2068" w:rsidP="005F2068">
      <w:pPr>
        <w:autoSpaceDE w:val="0"/>
        <w:autoSpaceDN w:val="0"/>
        <w:adjustRightInd w:val="0"/>
        <w:rPr>
          <w:sz w:val="22"/>
          <w:szCs w:val="22"/>
          <w:u w:val="single"/>
          <w:lang w:val="sr-Latn-ME"/>
        </w:rPr>
      </w:pPr>
      <w:r w:rsidRPr="00E26E8A">
        <w:rPr>
          <w:sz w:val="22"/>
          <w:szCs w:val="22"/>
          <w:u w:val="single"/>
        </w:rPr>
        <w:t>Kardiotoksi</w:t>
      </w:r>
      <w:r w:rsidRPr="00797963">
        <w:rPr>
          <w:rFonts w:eastAsia="TimesNewRoman"/>
          <w:sz w:val="22"/>
          <w:szCs w:val="22"/>
          <w:u w:val="single"/>
          <w:lang w:val="sr-Latn-ME"/>
        </w:rPr>
        <w:t>č</w:t>
      </w:r>
      <w:r w:rsidRPr="00E26E8A">
        <w:rPr>
          <w:sz w:val="22"/>
          <w:szCs w:val="22"/>
          <w:u w:val="single"/>
        </w:rPr>
        <w:t>nost</w:t>
      </w:r>
    </w:p>
    <w:p w14:paraId="6052FA1B" w14:textId="77777777" w:rsidR="005F2068" w:rsidRPr="00797963" w:rsidRDefault="005F2068" w:rsidP="005F2068">
      <w:pPr>
        <w:autoSpaceDE w:val="0"/>
        <w:autoSpaceDN w:val="0"/>
        <w:adjustRightInd w:val="0"/>
        <w:rPr>
          <w:sz w:val="22"/>
          <w:szCs w:val="22"/>
          <w:u w:val="single"/>
          <w:lang w:val="sr-Latn-ME"/>
        </w:rPr>
      </w:pPr>
    </w:p>
    <w:p w14:paraId="6A51B745" w14:textId="77777777" w:rsidR="005F2068" w:rsidRPr="00797963" w:rsidRDefault="005F2068" w:rsidP="005F2068">
      <w:pPr>
        <w:autoSpaceDE w:val="0"/>
        <w:autoSpaceDN w:val="0"/>
        <w:adjustRightInd w:val="0"/>
        <w:rPr>
          <w:sz w:val="22"/>
          <w:szCs w:val="22"/>
          <w:lang w:val="sr-Latn-ME"/>
        </w:rPr>
      </w:pP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koji</w:t>
      </w:r>
      <w:r w:rsidRPr="00797963">
        <w:rPr>
          <w:sz w:val="22"/>
          <w:szCs w:val="22"/>
          <w:lang w:val="sr-Latn-ME"/>
        </w:rPr>
        <w:t xml:space="preserve"> </w:t>
      </w:r>
      <w:r w:rsidRPr="00E26E8A">
        <w:rPr>
          <w:sz w:val="22"/>
          <w:szCs w:val="22"/>
        </w:rPr>
        <w:t>su</w:t>
      </w:r>
      <w:r w:rsidRPr="00797963">
        <w:rPr>
          <w:sz w:val="22"/>
          <w:szCs w:val="22"/>
          <w:lang w:val="sr-Latn-ME"/>
        </w:rPr>
        <w:t xml:space="preserve"> </w:t>
      </w:r>
      <w:r w:rsidRPr="00E26E8A">
        <w:rPr>
          <w:sz w:val="22"/>
          <w:szCs w:val="22"/>
        </w:rPr>
        <w:t>primali</w:t>
      </w:r>
      <w:r w:rsidRPr="00797963">
        <w:rPr>
          <w:sz w:val="22"/>
          <w:szCs w:val="22"/>
          <w:lang w:val="sr-Latn-ME"/>
        </w:rPr>
        <w:t xml:space="preserve"> </w:t>
      </w:r>
      <w:r w:rsidRPr="00E26E8A">
        <w:rPr>
          <w:sz w:val="22"/>
          <w:szCs w:val="22"/>
        </w:rPr>
        <w:t>docetaksel</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kombinaciji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trastuzumabom</w:t>
      </w:r>
      <w:r w:rsidRPr="00797963">
        <w:rPr>
          <w:sz w:val="22"/>
          <w:szCs w:val="22"/>
          <w:lang w:val="sr-Latn-ME"/>
        </w:rPr>
        <w:t xml:space="preserve"> </w:t>
      </w:r>
      <w:r w:rsidRPr="00E26E8A">
        <w:rPr>
          <w:sz w:val="22"/>
          <w:szCs w:val="22"/>
        </w:rPr>
        <w:t>uo</w:t>
      </w:r>
      <w:r w:rsidRPr="00797963">
        <w:rPr>
          <w:rFonts w:eastAsia="TimesNewRoman"/>
          <w:sz w:val="22"/>
          <w:szCs w:val="22"/>
          <w:lang w:val="sr-Latn-ME"/>
        </w:rPr>
        <w:t>č</w:t>
      </w:r>
      <w:r w:rsidRPr="00E26E8A">
        <w:rPr>
          <w:sz w:val="22"/>
          <w:szCs w:val="22"/>
        </w:rPr>
        <w:t>eno</w:t>
      </w:r>
      <w:r w:rsidRPr="00797963">
        <w:rPr>
          <w:sz w:val="22"/>
          <w:szCs w:val="22"/>
          <w:lang w:val="sr-Latn-ME"/>
        </w:rPr>
        <w:t xml:space="preserve"> </w:t>
      </w:r>
      <w:r w:rsidRPr="00E26E8A">
        <w:rPr>
          <w:sz w:val="22"/>
          <w:szCs w:val="22"/>
        </w:rPr>
        <w:t>je</w:t>
      </w:r>
      <w:r w:rsidRPr="00797963">
        <w:rPr>
          <w:sz w:val="22"/>
          <w:szCs w:val="22"/>
          <w:lang w:val="sr-Latn-ME"/>
        </w:rPr>
        <w:t xml:space="preserve"> </w:t>
      </w:r>
      <w:r w:rsidRPr="00E26E8A">
        <w:rPr>
          <w:sz w:val="22"/>
          <w:szCs w:val="22"/>
        </w:rPr>
        <w:t>javljanje</w:t>
      </w:r>
      <w:r w:rsidRPr="00797963">
        <w:rPr>
          <w:sz w:val="22"/>
          <w:szCs w:val="22"/>
          <w:lang w:val="sr-Latn-ME"/>
        </w:rPr>
        <w:t xml:space="preserve"> </w:t>
      </w:r>
      <w:r w:rsidRPr="00E26E8A">
        <w:rPr>
          <w:sz w:val="22"/>
          <w:szCs w:val="22"/>
        </w:rPr>
        <w:t>sr</w:t>
      </w:r>
      <w:r w:rsidRPr="00797963">
        <w:rPr>
          <w:rFonts w:eastAsia="TimesNewRoman"/>
          <w:sz w:val="22"/>
          <w:szCs w:val="22"/>
          <w:lang w:val="sr-Latn-ME"/>
        </w:rPr>
        <w:t>č</w:t>
      </w:r>
      <w:r w:rsidRPr="00E26E8A">
        <w:rPr>
          <w:sz w:val="22"/>
          <w:szCs w:val="22"/>
        </w:rPr>
        <w:t>ane</w:t>
      </w:r>
      <w:r w:rsidRPr="00797963">
        <w:rPr>
          <w:sz w:val="22"/>
          <w:szCs w:val="22"/>
          <w:lang w:val="sr-Latn-ME"/>
        </w:rPr>
        <w:t xml:space="preserve"> </w:t>
      </w:r>
      <w:r w:rsidRPr="00E26E8A">
        <w:rPr>
          <w:sz w:val="22"/>
          <w:szCs w:val="22"/>
        </w:rPr>
        <w:t>insuficijencije</w:t>
      </w:r>
      <w:r w:rsidRPr="00797963">
        <w:rPr>
          <w:sz w:val="22"/>
          <w:szCs w:val="22"/>
          <w:lang w:val="sr-Latn-ME"/>
        </w:rPr>
        <w:t xml:space="preserve">, </w:t>
      </w:r>
      <w:r w:rsidRPr="00E26E8A">
        <w:rPr>
          <w:sz w:val="22"/>
          <w:szCs w:val="22"/>
        </w:rPr>
        <w:t>a</w:t>
      </w:r>
      <w:r w:rsidRPr="00797963">
        <w:rPr>
          <w:sz w:val="22"/>
          <w:szCs w:val="22"/>
          <w:lang w:val="sr-Latn-ME"/>
        </w:rPr>
        <w:t xml:space="preserve"> </w:t>
      </w:r>
      <w:r w:rsidRPr="00E26E8A">
        <w:rPr>
          <w:sz w:val="22"/>
          <w:szCs w:val="22"/>
        </w:rPr>
        <w:t>posebno</w:t>
      </w:r>
      <w:r w:rsidRPr="00797963">
        <w:rPr>
          <w:sz w:val="22"/>
          <w:szCs w:val="22"/>
          <w:lang w:val="sr-Latn-ME"/>
        </w:rPr>
        <w:t xml:space="preserve"> </w:t>
      </w:r>
      <w:r w:rsidRPr="00E26E8A">
        <w:rPr>
          <w:sz w:val="22"/>
          <w:szCs w:val="22"/>
        </w:rPr>
        <w:t>ako</w:t>
      </w:r>
      <w:r w:rsidRPr="00797963">
        <w:rPr>
          <w:sz w:val="22"/>
          <w:szCs w:val="22"/>
          <w:lang w:val="sr-Latn-ME"/>
        </w:rPr>
        <w:t xml:space="preserve"> </w:t>
      </w:r>
      <w:r w:rsidRPr="00E26E8A">
        <w:rPr>
          <w:sz w:val="22"/>
          <w:szCs w:val="22"/>
        </w:rPr>
        <w:t>je</w:t>
      </w:r>
      <w:r w:rsidRPr="00797963">
        <w:rPr>
          <w:sz w:val="22"/>
          <w:szCs w:val="22"/>
          <w:lang w:val="sr-Latn-ME"/>
        </w:rPr>
        <w:t xml:space="preserve"> </w:t>
      </w:r>
      <w:r w:rsidRPr="00E26E8A">
        <w:rPr>
          <w:sz w:val="22"/>
          <w:szCs w:val="22"/>
        </w:rPr>
        <w:t>terapija</w:t>
      </w:r>
      <w:r w:rsidRPr="00797963">
        <w:rPr>
          <w:sz w:val="22"/>
          <w:szCs w:val="22"/>
          <w:lang w:val="sr-Latn-ME"/>
        </w:rPr>
        <w:t xml:space="preserve"> </w:t>
      </w:r>
      <w:r w:rsidRPr="00E26E8A">
        <w:rPr>
          <w:sz w:val="22"/>
          <w:szCs w:val="22"/>
        </w:rPr>
        <w:t>uslijedila</w:t>
      </w:r>
      <w:r w:rsidRPr="00797963">
        <w:rPr>
          <w:sz w:val="22"/>
          <w:szCs w:val="22"/>
          <w:lang w:val="sr-Latn-ME"/>
        </w:rPr>
        <w:t xml:space="preserve"> </w:t>
      </w:r>
      <w:r w:rsidRPr="00E26E8A">
        <w:rPr>
          <w:sz w:val="22"/>
          <w:szCs w:val="22"/>
        </w:rPr>
        <w:t>poslije</w:t>
      </w:r>
      <w:r w:rsidRPr="00797963">
        <w:rPr>
          <w:sz w:val="22"/>
          <w:szCs w:val="22"/>
          <w:lang w:val="sr-Latn-ME"/>
        </w:rPr>
        <w:t xml:space="preserve"> </w:t>
      </w:r>
      <w:r w:rsidRPr="00E26E8A">
        <w:rPr>
          <w:sz w:val="22"/>
          <w:szCs w:val="22"/>
        </w:rPr>
        <w:t>hemioterapije</w:t>
      </w:r>
      <w:r w:rsidRPr="00797963">
        <w:rPr>
          <w:sz w:val="22"/>
          <w:szCs w:val="22"/>
          <w:lang w:val="sr-Latn-ME"/>
        </w:rPr>
        <w:t xml:space="preserve"> </w:t>
      </w:r>
      <w:r w:rsidRPr="00E26E8A">
        <w:rPr>
          <w:sz w:val="22"/>
          <w:szCs w:val="22"/>
        </w:rPr>
        <w:t>antraciklinom</w:t>
      </w:r>
      <w:r w:rsidRPr="00797963">
        <w:rPr>
          <w:sz w:val="22"/>
          <w:szCs w:val="22"/>
          <w:lang w:val="sr-Latn-ME"/>
        </w:rPr>
        <w:t xml:space="preserve"> (</w:t>
      </w:r>
      <w:r w:rsidRPr="00E26E8A">
        <w:rPr>
          <w:sz w:val="22"/>
          <w:szCs w:val="22"/>
        </w:rPr>
        <w:t>doksorubicin</w:t>
      </w:r>
      <w:r w:rsidRPr="00797963">
        <w:rPr>
          <w:sz w:val="22"/>
          <w:szCs w:val="22"/>
          <w:lang w:val="sr-Latn-ME"/>
        </w:rPr>
        <w:t xml:space="preserve"> </w:t>
      </w:r>
      <w:r w:rsidRPr="00E26E8A">
        <w:rPr>
          <w:sz w:val="22"/>
          <w:szCs w:val="22"/>
        </w:rPr>
        <w:t>ili</w:t>
      </w:r>
      <w:r w:rsidRPr="00797963">
        <w:rPr>
          <w:sz w:val="22"/>
          <w:szCs w:val="22"/>
          <w:lang w:val="sr-Latn-ME"/>
        </w:rPr>
        <w:t xml:space="preserve"> </w:t>
      </w:r>
      <w:r w:rsidRPr="00E26E8A">
        <w:rPr>
          <w:sz w:val="22"/>
          <w:szCs w:val="22"/>
        </w:rPr>
        <w:t>epirubicin</w:t>
      </w:r>
      <w:r w:rsidRPr="00797963">
        <w:rPr>
          <w:sz w:val="22"/>
          <w:szCs w:val="22"/>
          <w:lang w:val="sr-Latn-ME"/>
        </w:rPr>
        <w:t xml:space="preserve">). </w:t>
      </w:r>
      <w:r w:rsidRPr="00E26E8A">
        <w:rPr>
          <w:sz w:val="22"/>
          <w:szCs w:val="22"/>
        </w:rPr>
        <w:t>Ova</w:t>
      </w:r>
      <w:r w:rsidRPr="00797963">
        <w:rPr>
          <w:sz w:val="22"/>
          <w:szCs w:val="22"/>
          <w:lang w:val="sr-Latn-ME"/>
        </w:rPr>
        <w:t xml:space="preserve"> </w:t>
      </w:r>
      <w:r w:rsidRPr="00E26E8A">
        <w:rPr>
          <w:sz w:val="22"/>
          <w:szCs w:val="22"/>
        </w:rPr>
        <w:t>pojava</w:t>
      </w:r>
      <w:r w:rsidRPr="00797963">
        <w:rPr>
          <w:sz w:val="22"/>
          <w:szCs w:val="22"/>
          <w:lang w:val="sr-Latn-ME"/>
        </w:rPr>
        <w:t xml:space="preserve"> </w:t>
      </w:r>
      <w:r w:rsidRPr="00E26E8A">
        <w:rPr>
          <w:sz w:val="22"/>
          <w:szCs w:val="22"/>
        </w:rPr>
        <w:t>mo</w:t>
      </w:r>
      <w:r w:rsidRPr="00797963">
        <w:rPr>
          <w:sz w:val="22"/>
          <w:szCs w:val="22"/>
          <w:lang w:val="sr-Latn-ME"/>
        </w:rPr>
        <w:t>ž</w:t>
      </w:r>
      <w:r w:rsidRPr="00E26E8A">
        <w:rPr>
          <w:sz w:val="22"/>
          <w:szCs w:val="22"/>
        </w:rPr>
        <w:t>e</w:t>
      </w:r>
      <w:r w:rsidRPr="00797963">
        <w:rPr>
          <w:sz w:val="22"/>
          <w:szCs w:val="22"/>
          <w:lang w:val="sr-Latn-ME"/>
        </w:rPr>
        <w:t xml:space="preserve"> </w:t>
      </w:r>
      <w:r w:rsidRPr="00E26E8A">
        <w:rPr>
          <w:sz w:val="22"/>
          <w:szCs w:val="22"/>
        </w:rPr>
        <w:t>biti</w:t>
      </w:r>
      <w:r w:rsidRPr="00797963">
        <w:rPr>
          <w:sz w:val="22"/>
          <w:szCs w:val="22"/>
          <w:lang w:val="sr-Latn-ME"/>
        </w:rPr>
        <w:t xml:space="preserve"> </w:t>
      </w:r>
      <w:r w:rsidRPr="00E26E8A">
        <w:rPr>
          <w:sz w:val="22"/>
          <w:szCs w:val="22"/>
        </w:rPr>
        <w:t>umjerenog</w:t>
      </w:r>
      <w:r w:rsidRPr="00797963">
        <w:rPr>
          <w:sz w:val="22"/>
          <w:szCs w:val="22"/>
          <w:lang w:val="sr-Latn-ME"/>
        </w:rPr>
        <w:t xml:space="preserve"> </w:t>
      </w:r>
      <w:r w:rsidRPr="00E26E8A">
        <w:rPr>
          <w:sz w:val="22"/>
          <w:szCs w:val="22"/>
        </w:rPr>
        <w:t>do</w:t>
      </w:r>
      <w:r w:rsidRPr="00797963">
        <w:rPr>
          <w:sz w:val="22"/>
          <w:szCs w:val="22"/>
          <w:lang w:val="sr-Latn-ME"/>
        </w:rPr>
        <w:t xml:space="preserve"> </w:t>
      </w:r>
      <w:r w:rsidRPr="00E26E8A">
        <w:rPr>
          <w:sz w:val="22"/>
          <w:szCs w:val="22"/>
        </w:rPr>
        <w:t>jakog</w:t>
      </w:r>
      <w:r w:rsidRPr="00797963">
        <w:rPr>
          <w:sz w:val="22"/>
          <w:szCs w:val="22"/>
          <w:lang w:val="sr-Latn-ME"/>
        </w:rPr>
        <w:t xml:space="preserve"> </w:t>
      </w:r>
      <w:r w:rsidRPr="00E26E8A">
        <w:rPr>
          <w:sz w:val="22"/>
          <w:szCs w:val="22"/>
        </w:rPr>
        <w:t>intenziteta</w:t>
      </w:r>
      <w:r w:rsidRPr="00797963">
        <w:rPr>
          <w:sz w:val="22"/>
          <w:szCs w:val="22"/>
          <w:lang w:val="sr-Latn-ME"/>
        </w:rPr>
        <w:t xml:space="preserve">, </w:t>
      </w:r>
      <w:r w:rsidRPr="00E26E8A">
        <w:rPr>
          <w:sz w:val="22"/>
          <w:szCs w:val="22"/>
        </w:rPr>
        <w:t>a</w:t>
      </w:r>
      <w:r w:rsidRPr="00797963">
        <w:rPr>
          <w:sz w:val="22"/>
          <w:szCs w:val="22"/>
          <w:lang w:val="sr-Latn-ME"/>
        </w:rPr>
        <w:t xml:space="preserve"> </w:t>
      </w:r>
      <w:r w:rsidRPr="00E26E8A">
        <w:rPr>
          <w:sz w:val="22"/>
          <w:szCs w:val="22"/>
        </w:rPr>
        <w:t>bila</w:t>
      </w:r>
      <w:r w:rsidRPr="00797963">
        <w:rPr>
          <w:sz w:val="22"/>
          <w:szCs w:val="22"/>
          <w:lang w:val="sr-Latn-ME"/>
        </w:rPr>
        <w:t xml:space="preserve"> </w:t>
      </w:r>
      <w:r w:rsidRPr="00E26E8A">
        <w:rPr>
          <w:sz w:val="22"/>
          <w:szCs w:val="22"/>
        </w:rPr>
        <w:t>je</w:t>
      </w:r>
      <w:r w:rsidRPr="00797963">
        <w:rPr>
          <w:sz w:val="22"/>
          <w:szCs w:val="22"/>
          <w:lang w:val="sr-Latn-ME"/>
        </w:rPr>
        <w:t xml:space="preserve"> </w:t>
      </w:r>
      <w:r w:rsidRPr="00E26E8A">
        <w:rPr>
          <w:sz w:val="22"/>
          <w:szCs w:val="22"/>
        </w:rPr>
        <w:t>pra</w:t>
      </w:r>
      <w:r w:rsidRPr="00797963">
        <w:rPr>
          <w:rFonts w:eastAsia="TimesNewRoman"/>
          <w:sz w:val="22"/>
          <w:szCs w:val="22"/>
          <w:lang w:val="sr-Latn-ME"/>
        </w:rPr>
        <w:t>ć</w:t>
      </w:r>
      <w:r w:rsidRPr="00E26E8A">
        <w:rPr>
          <w:sz w:val="22"/>
          <w:szCs w:val="22"/>
        </w:rPr>
        <w:t>ena</w:t>
      </w:r>
      <w:r w:rsidRPr="00797963">
        <w:rPr>
          <w:sz w:val="22"/>
          <w:szCs w:val="22"/>
          <w:lang w:val="sr-Latn-ME"/>
        </w:rPr>
        <w:t xml:space="preserve"> </w:t>
      </w:r>
      <w:r w:rsidRPr="00E26E8A">
        <w:rPr>
          <w:sz w:val="22"/>
          <w:szCs w:val="22"/>
        </w:rPr>
        <w:t>i</w:t>
      </w:r>
      <w:r w:rsidRPr="00797963">
        <w:rPr>
          <w:sz w:val="22"/>
          <w:szCs w:val="22"/>
          <w:lang w:val="sr-Latn-ME"/>
        </w:rPr>
        <w:t xml:space="preserve"> </w:t>
      </w:r>
      <w:r w:rsidRPr="00E26E8A">
        <w:rPr>
          <w:sz w:val="22"/>
          <w:szCs w:val="22"/>
        </w:rPr>
        <w:t>smrtnim</w:t>
      </w:r>
      <w:r w:rsidRPr="00797963">
        <w:rPr>
          <w:sz w:val="22"/>
          <w:szCs w:val="22"/>
          <w:lang w:val="sr-Latn-ME"/>
        </w:rPr>
        <w:t xml:space="preserve"> </w:t>
      </w:r>
      <w:r w:rsidRPr="00E26E8A">
        <w:rPr>
          <w:sz w:val="22"/>
          <w:szCs w:val="22"/>
        </w:rPr>
        <w:t>ishodom</w:t>
      </w:r>
      <w:r w:rsidRPr="00797963">
        <w:rPr>
          <w:sz w:val="22"/>
          <w:szCs w:val="22"/>
          <w:lang w:val="sr-Latn-ME"/>
        </w:rPr>
        <w:t xml:space="preserve"> (</w:t>
      </w:r>
      <w:r w:rsidRPr="00E26E8A">
        <w:rPr>
          <w:sz w:val="22"/>
          <w:szCs w:val="22"/>
        </w:rPr>
        <w:t>vidjeti</w:t>
      </w:r>
      <w:r w:rsidRPr="00797963">
        <w:rPr>
          <w:sz w:val="22"/>
          <w:szCs w:val="22"/>
          <w:lang w:val="sr-Latn-ME"/>
        </w:rPr>
        <w:t xml:space="preserve"> </w:t>
      </w:r>
      <w:r>
        <w:rPr>
          <w:sz w:val="22"/>
          <w:szCs w:val="22"/>
        </w:rPr>
        <w:t>dio</w:t>
      </w:r>
      <w:r w:rsidRPr="00797963">
        <w:rPr>
          <w:sz w:val="22"/>
          <w:szCs w:val="22"/>
          <w:lang w:val="sr-Latn-ME"/>
        </w:rPr>
        <w:t xml:space="preserve"> 4.8).</w:t>
      </w:r>
    </w:p>
    <w:p w14:paraId="5BF0CD9F" w14:textId="77777777" w:rsidR="005F2068" w:rsidRPr="00797963" w:rsidRDefault="005F2068" w:rsidP="005F2068">
      <w:pPr>
        <w:autoSpaceDE w:val="0"/>
        <w:autoSpaceDN w:val="0"/>
        <w:adjustRightInd w:val="0"/>
        <w:rPr>
          <w:sz w:val="22"/>
          <w:szCs w:val="22"/>
          <w:lang w:val="sr-Latn-ME"/>
        </w:rPr>
      </w:pPr>
    </w:p>
    <w:p w14:paraId="400D3AC2" w14:textId="77777777" w:rsidR="005F2068" w:rsidRPr="00797963" w:rsidRDefault="005F2068" w:rsidP="005F2068">
      <w:pPr>
        <w:autoSpaceDE w:val="0"/>
        <w:autoSpaceDN w:val="0"/>
        <w:adjustRightInd w:val="0"/>
        <w:rPr>
          <w:sz w:val="22"/>
          <w:szCs w:val="22"/>
          <w:lang w:val="de-DE"/>
        </w:rPr>
      </w:pPr>
      <w:r w:rsidRPr="00E26E8A">
        <w:rPr>
          <w:sz w:val="22"/>
          <w:szCs w:val="22"/>
        </w:rPr>
        <w:t>Kod</w:t>
      </w:r>
      <w:r w:rsidRPr="00797963">
        <w:rPr>
          <w:sz w:val="22"/>
          <w:szCs w:val="22"/>
          <w:lang w:val="sr-Latn-ME"/>
        </w:rPr>
        <w:t xml:space="preserve"> </w:t>
      </w:r>
      <w:r w:rsidRPr="00E26E8A">
        <w:rPr>
          <w:sz w:val="22"/>
          <w:szCs w:val="22"/>
        </w:rPr>
        <w:t>pacijenata</w:t>
      </w:r>
      <w:r w:rsidRPr="00797963">
        <w:rPr>
          <w:sz w:val="22"/>
          <w:szCs w:val="22"/>
          <w:lang w:val="sr-Latn-ME"/>
        </w:rPr>
        <w:t xml:space="preserve"> </w:t>
      </w:r>
      <w:r w:rsidRPr="00E26E8A">
        <w:rPr>
          <w:sz w:val="22"/>
          <w:szCs w:val="22"/>
        </w:rPr>
        <w:t>kandidata</w:t>
      </w:r>
      <w:r w:rsidRPr="00797963">
        <w:rPr>
          <w:sz w:val="22"/>
          <w:szCs w:val="22"/>
          <w:lang w:val="sr-Latn-ME"/>
        </w:rPr>
        <w:t xml:space="preserve"> </w:t>
      </w:r>
      <w:r w:rsidRPr="00E26E8A">
        <w:rPr>
          <w:sz w:val="22"/>
          <w:szCs w:val="22"/>
        </w:rPr>
        <w:t>za</w:t>
      </w:r>
      <w:r w:rsidRPr="00797963">
        <w:rPr>
          <w:sz w:val="22"/>
          <w:szCs w:val="22"/>
          <w:lang w:val="sr-Latn-ME"/>
        </w:rPr>
        <w:t xml:space="preserve"> </w:t>
      </w:r>
      <w:r w:rsidRPr="00E26E8A">
        <w:rPr>
          <w:sz w:val="22"/>
          <w:szCs w:val="22"/>
        </w:rPr>
        <w:t>terapiju</w:t>
      </w:r>
      <w:r w:rsidRPr="00797963">
        <w:rPr>
          <w:sz w:val="22"/>
          <w:szCs w:val="22"/>
          <w:lang w:val="sr-Latn-ME"/>
        </w:rPr>
        <w:t xml:space="preserve"> </w:t>
      </w:r>
      <w:r w:rsidRPr="00E26E8A">
        <w:rPr>
          <w:sz w:val="22"/>
          <w:szCs w:val="22"/>
        </w:rPr>
        <w:t>docetakselom</w:t>
      </w:r>
      <w:r w:rsidRPr="00797963">
        <w:rPr>
          <w:sz w:val="22"/>
          <w:szCs w:val="22"/>
          <w:lang w:val="sr-Latn-ME"/>
        </w:rPr>
        <w:t xml:space="preserve"> </w:t>
      </w:r>
      <w:r w:rsidRPr="00E26E8A">
        <w:rPr>
          <w:sz w:val="22"/>
          <w:szCs w:val="22"/>
        </w:rPr>
        <w:t>u</w:t>
      </w:r>
      <w:r w:rsidRPr="00797963">
        <w:rPr>
          <w:sz w:val="22"/>
          <w:szCs w:val="22"/>
          <w:lang w:val="sr-Latn-ME"/>
        </w:rPr>
        <w:t xml:space="preserve"> </w:t>
      </w:r>
      <w:r w:rsidRPr="00E26E8A">
        <w:rPr>
          <w:sz w:val="22"/>
          <w:szCs w:val="22"/>
        </w:rPr>
        <w:t>kombinaciji</w:t>
      </w:r>
      <w:r w:rsidRPr="00797963">
        <w:rPr>
          <w:sz w:val="22"/>
          <w:szCs w:val="22"/>
          <w:lang w:val="sr-Latn-ME"/>
        </w:rPr>
        <w:t xml:space="preserve"> </w:t>
      </w:r>
      <w:r w:rsidRPr="00E26E8A">
        <w:rPr>
          <w:sz w:val="22"/>
          <w:szCs w:val="22"/>
        </w:rPr>
        <w:t>sa</w:t>
      </w:r>
      <w:r w:rsidRPr="00797963">
        <w:rPr>
          <w:sz w:val="22"/>
          <w:szCs w:val="22"/>
          <w:lang w:val="sr-Latn-ME"/>
        </w:rPr>
        <w:t xml:space="preserve"> </w:t>
      </w:r>
      <w:r w:rsidRPr="00E26E8A">
        <w:rPr>
          <w:sz w:val="22"/>
          <w:szCs w:val="22"/>
        </w:rPr>
        <w:t>trastuzumabom</w:t>
      </w:r>
      <w:r w:rsidRPr="00797963">
        <w:rPr>
          <w:sz w:val="22"/>
          <w:szCs w:val="22"/>
          <w:lang w:val="sr-Latn-ME"/>
        </w:rPr>
        <w:t xml:space="preserve">, </w:t>
      </w:r>
      <w:r w:rsidRPr="00E26E8A">
        <w:rPr>
          <w:sz w:val="22"/>
          <w:szCs w:val="22"/>
        </w:rPr>
        <w:t>prije</w:t>
      </w:r>
      <w:r w:rsidRPr="00797963">
        <w:rPr>
          <w:sz w:val="22"/>
          <w:szCs w:val="22"/>
          <w:lang w:val="sr-Latn-ME"/>
        </w:rPr>
        <w:t xml:space="preserve"> </w:t>
      </w:r>
      <w:r w:rsidRPr="00E26E8A">
        <w:rPr>
          <w:sz w:val="22"/>
          <w:szCs w:val="22"/>
        </w:rPr>
        <w:t>terapije</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mora</w:t>
      </w:r>
      <w:r w:rsidRPr="00797963">
        <w:rPr>
          <w:sz w:val="22"/>
          <w:szCs w:val="22"/>
          <w:lang w:val="sr-Latn-ME"/>
        </w:rPr>
        <w:t xml:space="preserve"> </w:t>
      </w:r>
      <w:r w:rsidRPr="00E26E8A">
        <w:rPr>
          <w:sz w:val="22"/>
          <w:szCs w:val="22"/>
        </w:rPr>
        <w:t>obaviti</w:t>
      </w:r>
      <w:r w:rsidRPr="00797963">
        <w:rPr>
          <w:sz w:val="22"/>
          <w:szCs w:val="22"/>
          <w:lang w:val="sr-Latn-ME"/>
        </w:rPr>
        <w:t xml:space="preserve"> </w:t>
      </w:r>
      <w:r w:rsidRPr="00E26E8A">
        <w:rPr>
          <w:sz w:val="22"/>
          <w:szCs w:val="22"/>
        </w:rPr>
        <w:t>temeljna</w:t>
      </w:r>
      <w:r w:rsidRPr="00797963">
        <w:rPr>
          <w:sz w:val="22"/>
          <w:szCs w:val="22"/>
          <w:lang w:val="sr-Latn-ME"/>
        </w:rPr>
        <w:t xml:space="preserve"> </w:t>
      </w:r>
      <w:r w:rsidRPr="00E26E8A">
        <w:rPr>
          <w:sz w:val="22"/>
          <w:szCs w:val="22"/>
        </w:rPr>
        <w:t>procjena</w:t>
      </w:r>
      <w:r w:rsidRPr="00797963">
        <w:rPr>
          <w:sz w:val="22"/>
          <w:szCs w:val="22"/>
          <w:lang w:val="sr-Latn-ME"/>
        </w:rPr>
        <w:t xml:space="preserve"> </w:t>
      </w:r>
      <w:r w:rsidRPr="00E26E8A">
        <w:rPr>
          <w:sz w:val="22"/>
          <w:szCs w:val="22"/>
        </w:rPr>
        <w:t>sr</w:t>
      </w:r>
      <w:r w:rsidRPr="00797963">
        <w:rPr>
          <w:rFonts w:eastAsia="TimesNewRoman"/>
          <w:sz w:val="22"/>
          <w:szCs w:val="22"/>
          <w:lang w:val="sr-Latn-ME"/>
        </w:rPr>
        <w:t>č</w:t>
      </w:r>
      <w:r w:rsidRPr="00E26E8A">
        <w:rPr>
          <w:sz w:val="22"/>
          <w:szCs w:val="22"/>
        </w:rPr>
        <w:t>ane</w:t>
      </w:r>
      <w:r w:rsidRPr="00797963">
        <w:rPr>
          <w:sz w:val="22"/>
          <w:szCs w:val="22"/>
          <w:lang w:val="sr-Latn-ME"/>
        </w:rPr>
        <w:t xml:space="preserve"> </w:t>
      </w:r>
      <w:r w:rsidRPr="00E26E8A">
        <w:rPr>
          <w:sz w:val="22"/>
          <w:szCs w:val="22"/>
        </w:rPr>
        <w:t>funkcije</w:t>
      </w:r>
      <w:r w:rsidRPr="00797963">
        <w:rPr>
          <w:sz w:val="22"/>
          <w:szCs w:val="22"/>
          <w:lang w:val="sr-Latn-ME"/>
        </w:rPr>
        <w:t xml:space="preserve">. </w:t>
      </w:r>
      <w:r w:rsidRPr="00E26E8A">
        <w:rPr>
          <w:sz w:val="22"/>
          <w:szCs w:val="22"/>
        </w:rPr>
        <w:t>Sr</w:t>
      </w:r>
      <w:r w:rsidRPr="00797963">
        <w:rPr>
          <w:rFonts w:eastAsia="TimesNewRoman"/>
          <w:sz w:val="22"/>
          <w:szCs w:val="22"/>
          <w:lang w:val="sr-Latn-ME"/>
        </w:rPr>
        <w:t>č</w:t>
      </w:r>
      <w:r w:rsidRPr="00E26E8A">
        <w:rPr>
          <w:sz w:val="22"/>
          <w:szCs w:val="22"/>
        </w:rPr>
        <w:t>ana</w:t>
      </w:r>
      <w:r w:rsidRPr="00797963">
        <w:rPr>
          <w:sz w:val="22"/>
          <w:szCs w:val="22"/>
          <w:lang w:val="sr-Latn-ME"/>
        </w:rPr>
        <w:t xml:space="preserve"> </w:t>
      </w:r>
      <w:r w:rsidRPr="00E26E8A">
        <w:rPr>
          <w:sz w:val="22"/>
          <w:szCs w:val="22"/>
        </w:rPr>
        <w:t>funkcija</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mora</w:t>
      </w:r>
      <w:r w:rsidRPr="00797963">
        <w:rPr>
          <w:sz w:val="22"/>
          <w:szCs w:val="22"/>
          <w:lang w:val="sr-Latn-ME"/>
        </w:rPr>
        <w:t xml:space="preserve"> </w:t>
      </w:r>
      <w:r w:rsidRPr="00E26E8A">
        <w:rPr>
          <w:sz w:val="22"/>
          <w:szCs w:val="22"/>
        </w:rPr>
        <w:t>pratiti</w:t>
      </w:r>
      <w:r w:rsidRPr="00797963">
        <w:rPr>
          <w:sz w:val="22"/>
          <w:szCs w:val="22"/>
          <w:lang w:val="sr-Latn-ME"/>
        </w:rPr>
        <w:t xml:space="preserve"> </w:t>
      </w:r>
      <w:r w:rsidRPr="00E26E8A">
        <w:rPr>
          <w:sz w:val="22"/>
          <w:szCs w:val="22"/>
        </w:rPr>
        <w:t>dalje</w:t>
      </w:r>
      <w:r w:rsidRPr="00797963">
        <w:rPr>
          <w:sz w:val="22"/>
          <w:szCs w:val="22"/>
          <w:lang w:val="sr-Latn-ME"/>
        </w:rPr>
        <w:t xml:space="preserve"> </w:t>
      </w:r>
      <w:r w:rsidRPr="00E26E8A">
        <w:rPr>
          <w:sz w:val="22"/>
          <w:szCs w:val="22"/>
        </w:rPr>
        <w:t>tokom</w:t>
      </w:r>
      <w:r w:rsidRPr="00797963">
        <w:rPr>
          <w:sz w:val="22"/>
          <w:szCs w:val="22"/>
          <w:lang w:val="sr-Latn-ME"/>
        </w:rPr>
        <w:t xml:space="preserve"> </w:t>
      </w:r>
      <w:r w:rsidRPr="00E26E8A">
        <w:rPr>
          <w:sz w:val="22"/>
          <w:szCs w:val="22"/>
        </w:rPr>
        <w:t>terapije</w:t>
      </w:r>
      <w:r w:rsidRPr="00797963">
        <w:rPr>
          <w:sz w:val="22"/>
          <w:szCs w:val="22"/>
          <w:lang w:val="sr-Latn-ME"/>
        </w:rPr>
        <w:t xml:space="preserve"> (</w:t>
      </w:r>
      <w:r w:rsidRPr="00E26E8A">
        <w:rPr>
          <w:sz w:val="22"/>
          <w:szCs w:val="22"/>
        </w:rPr>
        <w:t>npr</w:t>
      </w:r>
      <w:r w:rsidRPr="00797963">
        <w:rPr>
          <w:sz w:val="22"/>
          <w:szCs w:val="22"/>
          <w:lang w:val="sr-Latn-ME"/>
        </w:rPr>
        <w:t xml:space="preserve">. </w:t>
      </w:r>
      <w:r w:rsidRPr="00E26E8A">
        <w:rPr>
          <w:sz w:val="22"/>
          <w:szCs w:val="22"/>
        </w:rPr>
        <w:t>na</w:t>
      </w:r>
      <w:r w:rsidRPr="00797963">
        <w:rPr>
          <w:sz w:val="22"/>
          <w:szCs w:val="22"/>
          <w:lang w:val="sr-Latn-ME"/>
        </w:rPr>
        <w:t xml:space="preserve"> </w:t>
      </w:r>
      <w:r w:rsidRPr="00E26E8A">
        <w:rPr>
          <w:sz w:val="22"/>
          <w:szCs w:val="22"/>
        </w:rPr>
        <w:t>svaka</w:t>
      </w:r>
      <w:r w:rsidRPr="00797963">
        <w:rPr>
          <w:sz w:val="22"/>
          <w:szCs w:val="22"/>
          <w:lang w:val="sr-Latn-ME"/>
        </w:rPr>
        <w:t xml:space="preserve"> </w:t>
      </w:r>
      <w:r w:rsidRPr="00E26E8A">
        <w:rPr>
          <w:sz w:val="22"/>
          <w:szCs w:val="22"/>
        </w:rPr>
        <w:t>tri</w:t>
      </w:r>
      <w:r w:rsidRPr="00797963">
        <w:rPr>
          <w:sz w:val="22"/>
          <w:szCs w:val="22"/>
          <w:lang w:val="sr-Latn-ME"/>
        </w:rPr>
        <w:t xml:space="preserve"> </w:t>
      </w:r>
      <w:r w:rsidRPr="00E26E8A">
        <w:rPr>
          <w:sz w:val="22"/>
          <w:szCs w:val="22"/>
        </w:rPr>
        <w:t>mjeseca</w:t>
      </w:r>
      <w:r w:rsidRPr="00797963">
        <w:rPr>
          <w:sz w:val="22"/>
          <w:szCs w:val="22"/>
          <w:lang w:val="sr-Latn-ME"/>
        </w:rPr>
        <w:t xml:space="preserve">), </w:t>
      </w:r>
      <w:r w:rsidRPr="00E26E8A">
        <w:rPr>
          <w:sz w:val="22"/>
          <w:szCs w:val="22"/>
        </w:rPr>
        <w:t>kako</w:t>
      </w:r>
      <w:r w:rsidRPr="00797963">
        <w:rPr>
          <w:sz w:val="22"/>
          <w:szCs w:val="22"/>
          <w:lang w:val="sr-Latn-ME"/>
        </w:rPr>
        <w:t xml:space="preserve"> </w:t>
      </w:r>
      <w:r w:rsidRPr="00E26E8A">
        <w:rPr>
          <w:sz w:val="22"/>
          <w:szCs w:val="22"/>
        </w:rPr>
        <w:t>bi</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identifikovali</w:t>
      </w:r>
      <w:r w:rsidRPr="00797963">
        <w:rPr>
          <w:sz w:val="22"/>
          <w:szCs w:val="22"/>
          <w:lang w:val="sr-Latn-ME"/>
        </w:rPr>
        <w:t xml:space="preserve"> </w:t>
      </w:r>
      <w:r w:rsidRPr="00E26E8A">
        <w:rPr>
          <w:sz w:val="22"/>
          <w:szCs w:val="22"/>
        </w:rPr>
        <w:t>pacijenti</w:t>
      </w:r>
      <w:r w:rsidRPr="00797963">
        <w:rPr>
          <w:sz w:val="22"/>
          <w:szCs w:val="22"/>
          <w:lang w:val="sr-Latn-ME"/>
        </w:rPr>
        <w:t xml:space="preserve"> </w:t>
      </w:r>
      <w:r w:rsidRPr="00E26E8A">
        <w:rPr>
          <w:sz w:val="22"/>
          <w:szCs w:val="22"/>
        </w:rPr>
        <w:t>kod</w:t>
      </w:r>
      <w:r w:rsidRPr="00797963">
        <w:rPr>
          <w:sz w:val="22"/>
          <w:szCs w:val="22"/>
          <w:lang w:val="sr-Latn-ME"/>
        </w:rPr>
        <w:t xml:space="preserve"> </w:t>
      </w:r>
      <w:r w:rsidRPr="00E26E8A">
        <w:rPr>
          <w:sz w:val="22"/>
          <w:szCs w:val="22"/>
        </w:rPr>
        <w:t>kojih</w:t>
      </w:r>
      <w:r w:rsidRPr="00797963">
        <w:rPr>
          <w:sz w:val="22"/>
          <w:szCs w:val="22"/>
          <w:lang w:val="sr-Latn-ME"/>
        </w:rPr>
        <w:t xml:space="preserve"> </w:t>
      </w:r>
      <w:r w:rsidRPr="00E26E8A">
        <w:rPr>
          <w:sz w:val="22"/>
          <w:szCs w:val="22"/>
        </w:rPr>
        <w:t>bi</w:t>
      </w:r>
      <w:r w:rsidRPr="00797963">
        <w:rPr>
          <w:sz w:val="22"/>
          <w:szCs w:val="22"/>
          <w:lang w:val="sr-Latn-ME"/>
        </w:rPr>
        <w:t xml:space="preserve"> </w:t>
      </w:r>
      <w:r w:rsidRPr="00E26E8A">
        <w:rPr>
          <w:sz w:val="22"/>
          <w:szCs w:val="22"/>
        </w:rPr>
        <w:t>se</w:t>
      </w:r>
      <w:r w:rsidRPr="00797963">
        <w:rPr>
          <w:sz w:val="22"/>
          <w:szCs w:val="22"/>
          <w:lang w:val="sr-Latn-ME"/>
        </w:rPr>
        <w:t xml:space="preserve"> </w:t>
      </w:r>
      <w:r w:rsidRPr="00E26E8A">
        <w:rPr>
          <w:sz w:val="22"/>
          <w:szCs w:val="22"/>
        </w:rPr>
        <w:t>mogla</w:t>
      </w:r>
      <w:r w:rsidRPr="00797963">
        <w:rPr>
          <w:sz w:val="22"/>
          <w:szCs w:val="22"/>
          <w:lang w:val="sr-Latn-ME"/>
        </w:rPr>
        <w:t xml:space="preserve"> </w:t>
      </w:r>
      <w:r w:rsidRPr="00E26E8A">
        <w:rPr>
          <w:sz w:val="22"/>
          <w:szCs w:val="22"/>
        </w:rPr>
        <w:t>javiti</w:t>
      </w:r>
      <w:r w:rsidRPr="00797963">
        <w:rPr>
          <w:sz w:val="22"/>
          <w:szCs w:val="22"/>
          <w:lang w:val="sr-Latn-ME"/>
        </w:rPr>
        <w:t xml:space="preserve"> </w:t>
      </w:r>
      <w:r w:rsidRPr="00E26E8A">
        <w:rPr>
          <w:sz w:val="22"/>
          <w:szCs w:val="22"/>
        </w:rPr>
        <w:t>sr</w:t>
      </w:r>
      <w:r w:rsidRPr="00797963">
        <w:rPr>
          <w:rFonts w:eastAsia="TimesNewRoman"/>
          <w:sz w:val="22"/>
          <w:szCs w:val="22"/>
          <w:lang w:val="sr-Latn-ME"/>
        </w:rPr>
        <w:t>č</w:t>
      </w:r>
      <w:r w:rsidRPr="00E26E8A">
        <w:rPr>
          <w:sz w:val="22"/>
          <w:szCs w:val="22"/>
        </w:rPr>
        <w:t>ana</w:t>
      </w:r>
      <w:r w:rsidRPr="00797963">
        <w:rPr>
          <w:sz w:val="22"/>
          <w:szCs w:val="22"/>
          <w:lang w:val="sr-Latn-ME"/>
        </w:rPr>
        <w:t xml:space="preserve"> </w:t>
      </w:r>
      <w:r w:rsidRPr="00E26E8A">
        <w:rPr>
          <w:sz w:val="22"/>
          <w:szCs w:val="22"/>
        </w:rPr>
        <w:t>insuficijencija</w:t>
      </w:r>
      <w:r w:rsidRPr="00797963">
        <w:rPr>
          <w:sz w:val="22"/>
          <w:szCs w:val="22"/>
          <w:lang w:val="sr-Latn-ME"/>
        </w:rPr>
        <w:t xml:space="preserve">. </w:t>
      </w:r>
      <w:r w:rsidRPr="00797963">
        <w:rPr>
          <w:sz w:val="22"/>
          <w:szCs w:val="22"/>
          <w:lang w:val="de-DE"/>
        </w:rPr>
        <w:t>Detaljnije informacije se mogu na</w:t>
      </w:r>
      <w:r w:rsidRPr="00797963">
        <w:rPr>
          <w:rFonts w:eastAsia="TimesNewRoman"/>
          <w:sz w:val="22"/>
          <w:szCs w:val="22"/>
          <w:lang w:val="de-DE"/>
        </w:rPr>
        <w:t>ć</w:t>
      </w:r>
      <w:r w:rsidRPr="00797963">
        <w:rPr>
          <w:sz w:val="22"/>
          <w:szCs w:val="22"/>
          <w:lang w:val="de-DE"/>
        </w:rPr>
        <w:t>i u sažetku karakteristika lijeka za trastuzumab.</w:t>
      </w:r>
    </w:p>
    <w:p w14:paraId="5693F0D4" w14:textId="77777777" w:rsidR="005F2068" w:rsidRPr="00797963" w:rsidRDefault="005F2068" w:rsidP="005F2068">
      <w:pPr>
        <w:autoSpaceDE w:val="0"/>
        <w:autoSpaceDN w:val="0"/>
        <w:adjustRightInd w:val="0"/>
        <w:rPr>
          <w:sz w:val="22"/>
          <w:szCs w:val="22"/>
          <w:lang w:val="de-DE"/>
        </w:rPr>
      </w:pPr>
    </w:p>
    <w:p w14:paraId="048AD261" w14:textId="77777777" w:rsidR="005F2068" w:rsidRPr="00797963" w:rsidRDefault="005F2068" w:rsidP="005F2068">
      <w:pPr>
        <w:autoSpaceDE w:val="0"/>
        <w:autoSpaceDN w:val="0"/>
        <w:adjustRightInd w:val="0"/>
        <w:rPr>
          <w:sz w:val="22"/>
          <w:szCs w:val="22"/>
          <w:lang w:val="de-DE"/>
        </w:rPr>
      </w:pPr>
      <w:r w:rsidRPr="00797963">
        <w:rPr>
          <w:sz w:val="22"/>
          <w:szCs w:val="22"/>
          <w:lang w:val="de-DE"/>
        </w:rPr>
        <w:t>Ventrikularna aritmija, uključujući ventrikularnu tahikardiju (ponekad sa fatalnim ishodom), prijavljena je kod pacijenta liječenih docetakselom u kombinovanim primjenama, uključujući doksorubicin, 5-fluorouracil i/ili ciklofosfamid (vidjeti dio 4.8).</w:t>
      </w:r>
    </w:p>
    <w:p w14:paraId="5CB59327" w14:textId="77777777" w:rsidR="005F2068" w:rsidRPr="00797963" w:rsidRDefault="005F2068" w:rsidP="005F2068">
      <w:pPr>
        <w:autoSpaceDE w:val="0"/>
        <w:autoSpaceDN w:val="0"/>
        <w:adjustRightInd w:val="0"/>
        <w:rPr>
          <w:sz w:val="22"/>
          <w:szCs w:val="22"/>
          <w:lang w:val="de-DE"/>
        </w:rPr>
      </w:pPr>
      <w:r w:rsidRPr="00797963">
        <w:rPr>
          <w:sz w:val="22"/>
          <w:szCs w:val="22"/>
          <w:lang w:val="de-DE"/>
        </w:rPr>
        <w:t>Preporučuje se osnovna procjena srčane funkcije.</w:t>
      </w:r>
    </w:p>
    <w:p w14:paraId="3CDB16AF" w14:textId="77777777" w:rsidR="005F2068" w:rsidRPr="00797963" w:rsidRDefault="005F2068" w:rsidP="005F2068">
      <w:pPr>
        <w:autoSpaceDE w:val="0"/>
        <w:autoSpaceDN w:val="0"/>
        <w:adjustRightInd w:val="0"/>
        <w:rPr>
          <w:sz w:val="22"/>
          <w:szCs w:val="22"/>
          <w:lang w:val="de-DE"/>
        </w:rPr>
      </w:pPr>
    </w:p>
    <w:p w14:paraId="3C021768" w14:textId="77777777" w:rsidR="005F2068" w:rsidRPr="00797963" w:rsidRDefault="005F2068" w:rsidP="005F2068">
      <w:pPr>
        <w:autoSpaceDE w:val="0"/>
        <w:autoSpaceDN w:val="0"/>
        <w:adjustRightInd w:val="0"/>
        <w:rPr>
          <w:sz w:val="22"/>
          <w:szCs w:val="22"/>
          <w:u w:val="single"/>
          <w:lang w:val="de-DE"/>
        </w:rPr>
      </w:pPr>
      <w:r w:rsidRPr="00797963">
        <w:rPr>
          <w:sz w:val="22"/>
          <w:szCs w:val="22"/>
          <w:u w:val="single"/>
          <w:lang w:val="de-DE"/>
        </w:rPr>
        <w:t>Poremećaji oka</w:t>
      </w:r>
    </w:p>
    <w:p w14:paraId="3748D6D6" w14:textId="77777777" w:rsidR="005F2068" w:rsidRPr="00797963" w:rsidRDefault="005F2068" w:rsidP="005F2068">
      <w:pPr>
        <w:autoSpaceDE w:val="0"/>
        <w:autoSpaceDN w:val="0"/>
        <w:adjustRightInd w:val="0"/>
        <w:rPr>
          <w:sz w:val="22"/>
          <w:szCs w:val="22"/>
          <w:u w:val="single"/>
          <w:lang w:val="de-DE"/>
        </w:rPr>
      </w:pPr>
    </w:p>
    <w:p w14:paraId="0066925C" w14:textId="77777777" w:rsidR="005F2068" w:rsidRPr="00797963" w:rsidRDefault="005F2068" w:rsidP="005F2068">
      <w:pPr>
        <w:autoSpaceDE w:val="0"/>
        <w:autoSpaceDN w:val="0"/>
        <w:adjustRightInd w:val="0"/>
        <w:rPr>
          <w:sz w:val="22"/>
          <w:szCs w:val="22"/>
          <w:lang w:val="de-DE"/>
        </w:rPr>
      </w:pPr>
      <w:r w:rsidRPr="00797963">
        <w:rPr>
          <w:sz w:val="22"/>
          <w:szCs w:val="22"/>
          <w:lang w:val="de-DE"/>
        </w:rPr>
        <w:t>Cistoidni edem makule (CMO) je registrovan kod pacijenata liječenih docetakselom. Pacijenti sa oštećenim vidom treba da se podvrgnu brzom i kompletnom oftalmološkom pregledu. U slučaju da se dijagnostikuje CMO liječenje docetakselom treba prekinuti i preduzeti odgovarajuće mjere (vidjeti dio 4.8).</w:t>
      </w:r>
    </w:p>
    <w:p w14:paraId="7A0972E3" w14:textId="77777777" w:rsidR="005F2068" w:rsidRPr="00797963" w:rsidRDefault="005F2068" w:rsidP="005F2068">
      <w:pPr>
        <w:autoSpaceDE w:val="0"/>
        <w:autoSpaceDN w:val="0"/>
        <w:adjustRightInd w:val="0"/>
        <w:rPr>
          <w:sz w:val="22"/>
          <w:szCs w:val="22"/>
          <w:lang w:val="de-DE"/>
        </w:rPr>
      </w:pPr>
    </w:p>
    <w:p w14:paraId="578979C2" w14:textId="77777777" w:rsidR="005F2068" w:rsidRPr="00797963" w:rsidRDefault="005F2068" w:rsidP="005F2068">
      <w:pPr>
        <w:autoSpaceDE w:val="0"/>
        <w:autoSpaceDN w:val="0"/>
        <w:adjustRightInd w:val="0"/>
        <w:rPr>
          <w:sz w:val="22"/>
          <w:szCs w:val="22"/>
          <w:u w:val="single"/>
          <w:lang w:val="de-DE"/>
        </w:rPr>
      </w:pPr>
      <w:r w:rsidRPr="00797963">
        <w:rPr>
          <w:sz w:val="22"/>
          <w:szCs w:val="22"/>
          <w:u w:val="single"/>
          <w:lang w:val="de-DE"/>
        </w:rPr>
        <w:t>Drugi primarni maligniteti</w:t>
      </w:r>
    </w:p>
    <w:p w14:paraId="5010E31D" w14:textId="77777777" w:rsidR="005F2068" w:rsidRPr="00797963" w:rsidRDefault="005F2068" w:rsidP="005F2068">
      <w:pPr>
        <w:autoSpaceDE w:val="0"/>
        <w:autoSpaceDN w:val="0"/>
        <w:adjustRightInd w:val="0"/>
        <w:rPr>
          <w:sz w:val="22"/>
          <w:szCs w:val="22"/>
          <w:lang w:val="de-DE"/>
        </w:rPr>
      </w:pPr>
    </w:p>
    <w:p w14:paraId="32E5AEFF" w14:textId="77777777" w:rsidR="005F2068" w:rsidRPr="00797963" w:rsidRDefault="005F2068" w:rsidP="005F2068">
      <w:pPr>
        <w:autoSpaceDE w:val="0"/>
        <w:autoSpaceDN w:val="0"/>
        <w:adjustRightInd w:val="0"/>
        <w:rPr>
          <w:sz w:val="22"/>
          <w:szCs w:val="22"/>
          <w:lang w:val="de-DE"/>
        </w:rPr>
      </w:pPr>
      <w:r w:rsidRPr="00797963">
        <w:rPr>
          <w:sz w:val="22"/>
          <w:szCs w:val="22"/>
          <w:lang w:val="de-DE"/>
        </w:rPr>
        <w:t xml:space="preserve">Prijavljeni su drugi primarni maligniteti kada se docetaksel davao u kombinaciji sa antitumorskim terapijama za koje se zna da su povezane sa drugim primarnim malignitetima. Drugi primarni maligniteti (uključujući akutnu mijeloidnu leukemiju, mijelodisplastični sindrom i </w:t>
      </w:r>
      <w:r w:rsidRPr="00797963">
        <w:rPr>
          <w:i/>
          <w:sz w:val="22"/>
          <w:szCs w:val="22"/>
          <w:lang w:val="de-DE"/>
        </w:rPr>
        <w:t>non-Hodgkinov</w:t>
      </w:r>
      <w:r w:rsidRPr="00797963">
        <w:rPr>
          <w:sz w:val="22"/>
          <w:szCs w:val="22"/>
          <w:lang w:val="de-DE"/>
        </w:rPr>
        <w:t xml:space="preserve"> limfom) mogu se javiti nekoliko mjeseci ili godina nakon terapije koja sadrži docetaksel. Pacijente je potrebno pratiti u pogledu drugih primarnih maligniteta (vidjeti dio 4.8).</w:t>
      </w:r>
    </w:p>
    <w:p w14:paraId="30772FD9" w14:textId="77777777" w:rsidR="005F2068" w:rsidRPr="00797963" w:rsidRDefault="005F2068" w:rsidP="005F2068">
      <w:pPr>
        <w:autoSpaceDE w:val="0"/>
        <w:autoSpaceDN w:val="0"/>
        <w:adjustRightInd w:val="0"/>
        <w:rPr>
          <w:sz w:val="22"/>
          <w:szCs w:val="22"/>
          <w:lang w:val="de-DE"/>
        </w:rPr>
      </w:pPr>
    </w:p>
    <w:p w14:paraId="67736F0C" w14:textId="77777777" w:rsidR="005F2068" w:rsidRPr="0083651C" w:rsidRDefault="005F2068" w:rsidP="005F2068">
      <w:pPr>
        <w:autoSpaceDE w:val="0"/>
        <w:autoSpaceDN w:val="0"/>
        <w:adjustRightInd w:val="0"/>
        <w:rPr>
          <w:sz w:val="22"/>
          <w:szCs w:val="22"/>
          <w:u w:val="single"/>
        </w:rPr>
      </w:pPr>
      <w:r w:rsidRPr="0083651C">
        <w:rPr>
          <w:sz w:val="22"/>
          <w:szCs w:val="22"/>
          <w:u w:val="single"/>
        </w:rPr>
        <w:t>Sindrom lize tumora</w:t>
      </w:r>
    </w:p>
    <w:p w14:paraId="527809AF" w14:textId="77777777" w:rsidR="005F2068" w:rsidRDefault="005F2068" w:rsidP="005F2068">
      <w:pPr>
        <w:autoSpaceDE w:val="0"/>
        <w:autoSpaceDN w:val="0"/>
        <w:adjustRightInd w:val="0"/>
        <w:rPr>
          <w:sz w:val="22"/>
          <w:szCs w:val="22"/>
        </w:rPr>
      </w:pPr>
    </w:p>
    <w:p w14:paraId="62184EBF" w14:textId="77777777" w:rsidR="005F2068" w:rsidRDefault="005F2068" w:rsidP="005F2068">
      <w:pPr>
        <w:autoSpaceDE w:val="0"/>
        <w:autoSpaceDN w:val="0"/>
        <w:adjustRightInd w:val="0"/>
        <w:rPr>
          <w:sz w:val="22"/>
          <w:szCs w:val="22"/>
        </w:rPr>
      </w:pPr>
      <w:r>
        <w:rPr>
          <w:sz w:val="22"/>
          <w:szCs w:val="22"/>
        </w:rPr>
        <w:t xml:space="preserve">Sindrom lize tumora je registrovan kod pacijenata </w:t>
      </w:r>
      <w:r w:rsidRPr="00E26E8A">
        <w:rPr>
          <w:sz w:val="22"/>
          <w:szCs w:val="22"/>
        </w:rPr>
        <w:t>liječenih docetakselom</w:t>
      </w:r>
      <w:r>
        <w:rPr>
          <w:sz w:val="22"/>
          <w:szCs w:val="22"/>
        </w:rPr>
        <w:t xml:space="preserve"> nakon prvog ili drugog ciklusa </w:t>
      </w:r>
      <w:r w:rsidRPr="00E26E8A">
        <w:rPr>
          <w:sz w:val="22"/>
          <w:szCs w:val="22"/>
        </w:rPr>
        <w:t xml:space="preserve">(vidjeti </w:t>
      </w:r>
      <w:r>
        <w:rPr>
          <w:sz w:val="22"/>
          <w:szCs w:val="22"/>
        </w:rPr>
        <w:t>dio</w:t>
      </w:r>
      <w:r w:rsidRPr="00E26E8A">
        <w:rPr>
          <w:sz w:val="22"/>
          <w:szCs w:val="22"/>
        </w:rPr>
        <w:t xml:space="preserve"> 4.8).</w:t>
      </w:r>
      <w:r>
        <w:rPr>
          <w:sz w:val="22"/>
          <w:szCs w:val="22"/>
        </w:rPr>
        <w:t xml:space="preserve"> Pacijente kod kojih postoji rizik za sindrom lize tumora (npr. renalna </w:t>
      </w:r>
      <w:r>
        <w:rPr>
          <w:sz w:val="22"/>
          <w:szCs w:val="22"/>
        </w:rPr>
        <w:lastRenderedPageBreak/>
        <w:t>insuficijencija, hiperurikemija, velika tumorska masa, brza progresija) treba pažljivo pratiti. Prije započinjanja liječenja preporučuje se korekcija dehidratacije i terapija za visok nivo mokraćne kiseline.</w:t>
      </w:r>
    </w:p>
    <w:p w14:paraId="5991DCDD" w14:textId="77777777" w:rsidR="005F2068" w:rsidRPr="00E26E8A" w:rsidRDefault="005F2068" w:rsidP="005F2068">
      <w:pPr>
        <w:autoSpaceDE w:val="0"/>
        <w:autoSpaceDN w:val="0"/>
        <w:adjustRightInd w:val="0"/>
        <w:rPr>
          <w:sz w:val="22"/>
          <w:szCs w:val="22"/>
        </w:rPr>
      </w:pPr>
    </w:p>
    <w:p w14:paraId="4BD2DE34" w14:textId="77777777" w:rsidR="005F2068" w:rsidRPr="00E26E8A" w:rsidRDefault="005F2068" w:rsidP="005F2068">
      <w:pPr>
        <w:autoSpaceDE w:val="0"/>
        <w:autoSpaceDN w:val="0"/>
        <w:adjustRightInd w:val="0"/>
        <w:rPr>
          <w:sz w:val="22"/>
          <w:szCs w:val="22"/>
          <w:u w:val="single"/>
        </w:rPr>
      </w:pPr>
      <w:r w:rsidRPr="00E26E8A">
        <w:rPr>
          <w:sz w:val="22"/>
          <w:szCs w:val="22"/>
          <w:u w:val="single"/>
        </w:rPr>
        <w:t>Ostalo</w:t>
      </w:r>
    </w:p>
    <w:p w14:paraId="73A35B83" w14:textId="77777777" w:rsidR="005F2068" w:rsidRPr="00E26E8A" w:rsidRDefault="005F2068" w:rsidP="005F2068">
      <w:pPr>
        <w:autoSpaceDE w:val="0"/>
        <w:autoSpaceDN w:val="0"/>
        <w:adjustRightInd w:val="0"/>
        <w:rPr>
          <w:sz w:val="22"/>
          <w:szCs w:val="22"/>
          <w:u w:val="single"/>
        </w:rPr>
      </w:pPr>
    </w:p>
    <w:p w14:paraId="5CFA9CA3" w14:textId="77777777" w:rsidR="005F2068" w:rsidRPr="00E26E8A" w:rsidRDefault="005F2068" w:rsidP="005F2068">
      <w:pPr>
        <w:autoSpaceDE w:val="0"/>
        <w:autoSpaceDN w:val="0"/>
        <w:adjustRightInd w:val="0"/>
        <w:rPr>
          <w:sz w:val="22"/>
          <w:szCs w:val="22"/>
        </w:rPr>
      </w:pPr>
      <w:r w:rsidRPr="00E26E8A">
        <w:rPr>
          <w:sz w:val="22"/>
          <w:szCs w:val="22"/>
        </w:rPr>
        <w:t xml:space="preserve">Mjere kontracepcije treba da primjenjuju i žene i muškarci tokom liječenja, a za muškarce najmanje 6 mjeseci nakon prekida terapije (vidjeti </w:t>
      </w:r>
      <w:r>
        <w:rPr>
          <w:sz w:val="22"/>
          <w:szCs w:val="22"/>
        </w:rPr>
        <w:t>dio</w:t>
      </w:r>
      <w:r w:rsidRPr="00E26E8A">
        <w:rPr>
          <w:sz w:val="22"/>
          <w:szCs w:val="22"/>
        </w:rPr>
        <w:t xml:space="preserve"> 4.6).</w:t>
      </w:r>
    </w:p>
    <w:p w14:paraId="1557F05C" w14:textId="77777777" w:rsidR="005F2068" w:rsidRPr="00E26E8A" w:rsidRDefault="005F2068" w:rsidP="005F2068">
      <w:pPr>
        <w:autoSpaceDE w:val="0"/>
        <w:autoSpaceDN w:val="0"/>
        <w:adjustRightInd w:val="0"/>
        <w:rPr>
          <w:iCs/>
          <w:sz w:val="22"/>
          <w:szCs w:val="22"/>
          <w:u w:val="single"/>
        </w:rPr>
      </w:pPr>
    </w:p>
    <w:p w14:paraId="69ACB669" w14:textId="77777777" w:rsidR="005F2068" w:rsidRPr="00E26E8A" w:rsidRDefault="005F2068" w:rsidP="005F2068">
      <w:pPr>
        <w:autoSpaceDE w:val="0"/>
        <w:autoSpaceDN w:val="0"/>
        <w:adjustRightInd w:val="0"/>
        <w:rPr>
          <w:iCs/>
          <w:sz w:val="22"/>
          <w:szCs w:val="22"/>
        </w:rPr>
      </w:pPr>
      <w:r w:rsidRPr="00E26E8A">
        <w:rPr>
          <w:iCs/>
          <w:sz w:val="22"/>
          <w:szCs w:val="22"/>
        </w:rPr>
        <w:t xml:space="preserve">Trebalo bi izbjegavati istovremenu primjenu docetaksela sa jakim CYP3A4 inhibitorima (npr. ketokonazolom, itrakonazolom, klaritromicinom, indinavirom, nefazodonom, nelfinavirom, ritonavirom, sakvinavirom, telitromicinom i vorikonazolom) (vidjeti </w:t>
      </w:r>
      <w:r>
        <w:rPr>
          <w:iCs/>
          <w:sz w:val="22"/>
          <w:szCs w:val="22"/>
        </w:rPr>
        <w:t>dio</w:t>
      </w:r>
      <w:r w:rsidRPr="00E26E8A">
        <w:rPr>
          <w:iCs/>
          <w:sz w:val="22"/>
          <w:szCs w:val="22"/>
        </w:rPr>
        <w:t xml:space="preserve"> 4.5).</w:t>
      </w:r>
    </w:p>
    <w:p w14:paraId="6872759B" w14:textId="7F1F4A80" w:rsidR="005F2068" w:rsidRDefault="005F2068" w:rsidP="00480FB1">
      <w:pPr>
        <w:tabs>
          <w:tab w:val="left" w:pos="540"/>
          <w:tab w:val="left" w:pos="569"/>
        </w:tabs>
        <w:rPr>
          <w:sz w:val="22"/>
          <w:szCs w:val="22"/>
          <w:u w:val="single"/>
        </w:rPr>
      </w:pPr>
    </w:p>
    <w:p w14:paraId="5C1638C1" w14:textId="77777777" w:rsidR="00797963" w:rsidRPr="00E26E8A" w:rsidRDefault="00797963" w:rsidP="00797963">
      <w:pPr>
        <w:autoSpaceDE w:val="0"/>
        <w:autoSpaceDN w:val="0"/>
        <w:adjustRightInd w:val="0"/>
        <w:rPr>
          <w:b/>
          <w:iCs/>
          <w:sz w:val="22"/>
          <w:szCs w:val="22"/>
          <w:u w:val="single"/>
        </w:rPr>
      </w:pPr>
      <w:r w:rsidRPr="00E26E8A">
        <w:rPr>
          <w:b/>
          <w:iCs/>
          <w:sz w:val="22"/>
          <w:szCs w:val="22"/>
          <w:u w:val="single"/>
        </w:rPr>
        <w:t>Dodatna upozorenja pri primjeni u adjuvantnoj terapiji karcinoma dojke</w:t>
      </w:r>
    </w:p>
    <w:p w14:paraId="5B8C29F1" w14:textId="77777777" w:rsidR="00797963" w:rsidRPr="00E26E8A" w:rsidRDefault="00797963" w:rsidP="00797963">
      <w:pPr>
        <w:autoSpaceDE w:val="0"/>
        <w:autoSpaceDN w:val="0"/>
        <w:adjustRightInd w:val="0"/>
        <w:rPr>
          <w:sz w:val="22"/>
          <w:szCs w:val="22"/>
        </w:rPr>
      </w:pPr>
    </w:p>
    <w:p w14:paraId="2B31D69F" w14:textId="77777777" w:rsidR="00797963" w:rsidRPr="00E26E8A" w:rsidRDefault="00797963" w:rsidP="00797963">
      <w:pPr>
        <w:autoSpaceDE w:val="0"/>
        <w:autoSpaceDN w:val="0"/>
        <w:adjustRightInd w:val="0"/>
        <w:rPr>
          <w:i/>
          <w:sz w:val="22"/>
          <w:szCs w:val="22"/>
          <w:u w:val="single"/>
        </w:rPr>
      </w:pPr>
      <w:r w:rsidRPr="00E26E8A">
        <w:rPr>
          <w:i/>
          <w:sz w:val="22"/>
          <w:szCs w:val="22"/>
          <w:u w:val="single"/>
        </w:rPr>
        <w:t>Komplikovana neutropenija</w:t>
      </w:r>
    </w:p>
    <w:p w14:paraId="320363F6" w14:textId="77777777" w:rsidR="00797963" w:rsidRPr="00E26E8A" w:rsidRDefault="00797963" w:rsidP="00797963">
      <w:pPr>
        <w:autoSpaceDE w:val="0"/>
        <w:autoSpaceDN w:val="0"/>
        <w:adjustRightInd w:val="0"/>
        <w:rPr>
          <w:sz w:val="22"/>
          <w:szCs w:val="22"/>
          <w:u w:val="single"/>
        </w:rPr>
      </w:pPr>
    </w:p>
    <w:p w14:paraId="471E91CF" w14:textId="77777777" w:rsidR="00797963" w:rsidRPr="00E26E8A" w:rsidRDefault="00797963" w:rsidP="00797963">
      <w:pPr>
        <w:autoSpaceDE w:val="0"/>
        <w:autoSpaceDN w:val="0"/>
        <w:adjustRightInd w:val="0"/>
        <w:rPr>
          <w:sz w:val="22"/>
          <w:szCs w:val="22"/>
        </w:rPr>
      </w:pPr>
      <w:r w:rsidRPr="00E26E8A">
        <w:rPr>
          <w:sz w:val="22"/>
          <w:szCs w:val="22"/>
        </w:rPr>
        <w:t xml:space="preserve">Kod pacijenata kod kojih se javi komplikovana neutropenija (dugotrajna neutropenija, febrilna neutropenija ili infekcije) potrebno je razmotriti primjenu G-CSF i smanjivanje doze (vidjeti </w:t>
      </w:r>
      <w:r>
        <w:rPr>
          <w:sz w:val="22"/>
          <w:szCs w:val="22"/>
        </w:rPr>
        <w:t>dio</w:t>
      </w:r>
      <w:r w:rsidRPr="00E26E8A">
        <w:rPr>
          <w:sz w:val="22"/>
          <w:szCs w:val="22"/>
        </w:rPr>
        <w:t xml:space="preserve"> 4.2).</w:t>
      </w:r>
    </w:p>
    <w:p w14:paraId="7ACC89F0" w14:textId="77777777" w:rsidR="00797963" w:rsidRPr="00E26E8A" w:rsidRDefault="00797963" w:rsidP="00797963">
      <w:pPr>
        <w:autoSpaceDE w:val="0"/>
        <w:autoSpaceDN w:val="0"/>
        <w:adjustRightInd w:val="0"/>
        <w:rPr>
          <w:sz w:val="22"/>
          <w:szCs w:val="22"/>
          <w:u w:val="single"/>
        </w:rPr>
      </w:pPr>
    </w:p>
    <w:p w14:paraId="13D4B0EE" w14:textId="77777777" w:rsidR="00797963" w:rsidRPr="00E26E8A" w:rsidRDefault="00797963" w:rsidP="00797963">
      <w:pPr>
        <w:autoSpaceDE w:val="0"/>
        <w:autoSpaceDN w:val="0"/>
        <w:adjustRightInd w:val="0"/>
        <w:rPr>
          <w:i/>
          <w:sz w:val="22"/>
          <w:szCs w:val="22"/>
          <w:u w:val="single"/>
        </w:rPr>
      </w:pPr>
      <w:r w:rsidRPr="00E26E8A">
        <w:rPr>
          <w:i/>
          <w:sz w:val="22"/>
          <w:szCs w:val="22"/>
          <w:u w:val="single"/>
        </w:rPr>
        <w:t>Gastrointestinalne reakcije</w:t>
      </w:r>
    </w:p>
    <w:p w14:paraId="61944DEF" w14:textId="77777777" w:rsidR="00797963" w:rsidRPr="00E26E8A" w:rsidRDefault="00797963" w:rsidP="00797963">
      <w:pPr>
        <w:autoSpaceDE w:val="0"/>
        <w:autoSpaceDN w:val="0"/>
        <w:adjustRightInd w:val="0"/>
        <w:rPr>
          <w:sz w:val="22"/>
          <w:szCs w:val="22"/>
          <w:u w:val="single"/>
        </w:rPr>
      </w:pPr>
    </w:p>
    <w:p w14:paraId="117EC1DD" w14:textId="77777777" w:rsidR="00797963" w:rsidRPr="00E26E8A" w:rsidRDefault="00797963" w:rsidP="00797963">
      <w:pPr>
        <w:autoSpaceDE w:val="0"/>
        <w:autoSpaceDN w:val="0"/>
        <w:adjustRightInd w:val="0"/>
        <w:rPr>
          <w:sz w:val="22"/>
          <w:szCs w:val="22"/>
        </w:rPr>
      </w:pPr>
      <w:r w:rsidRPr="00E26E8A">
        <w:rPr>
          <w:sz w:val="22"/>
          <w:szCs w:val="22"/>
        </w:rPr>
        <w:t>Simptomi kao što su rana pojava bola i osjetljivosti u abdomenu, povišena tjelesna temperatura, dijareja sa ili bez neutropenije, mogu biti rane manifestacije ozbiljne gastrointestinalne toksi</w:t>
      </w:r>
      <w:r w:rsidRPr="00E26E8A">
        <w:rPr>
          <w:rFonts w:eastAsia="TimesNewRoman"/>
          <w:sz w:val="22"/>
          <w:szCs w:val="22"/>
        </w:rPr>
        <w:t>č</w:t>
      </w:r>
      <w:r w:rsidRPr="00E26E8A">
        <w:rPr>
          <w:sz w:val="22"/>
          <w:szCs w:val="22"/>
        </w:rPr>
        <w:t>nosti, pa ih treba odmah procijeniti i lije</w:t>
      </w:r>
      <w:r w:rsidRPr="00E26E8A">
        <w:rPr>
          <w:rFonts w:eastAsia="TimesNewRoman"/>
          <w:sz w:val="22"/>
          <w:szCs w:val="22"/>
        </w:rPr>
        <w:t>č</w:t>
      </w:r>
      <w:r w:rsidRPr="00E26E8A">
        <w:rPr>
          <w:sz w:val="22"/>
          <w:szCs w:val="22"/>
        </w:rPr>
        <w:t>iti.</w:t>
      </w:r>
    </w:p>
    <w:p w14:paraId="46DFEE50" w14:textId="77777777" w:rsidR="00797963" w:rsidRPr="00E26E8A" w:rsidRDefault="00797963" w:rsidP="00797963">
      <w:pPr>
        <w:autoSpaceDE w:val="0"/>
        <w:autoSpaceDN w:val="0"/>
        <w:adjustRightInd w:val="0"/>
        <w:rPr>
          <w:sz w:val="22"/>
          <w:szCs w:val="22"/>
        </w:rPr>
      </w:pPr>
    </w:p>
    <w:p w14:paraId="17C6414A" w14:textId="77777777" w:rsidR="00797963" w:rsidRPr="00E26E8A" w:rsidRDefault="00797963" w:rsidP="00797963">
      <w:pPr>
        <w:autoSpaceDE w:val="0"/>
        <w:autoSpaceDN w:val="0"/>
        <w:adjustRightInd w:val="0"/>
        <w:rPr>
          <w:i/>
          <w:sz w:val="22"/>
          <w:szCs w:val="22"/>
          <w:u w:val="single"/>
        </w:rPr>
      </w:pPr>
      <w:r w:rsidRPr="00E26E8A">
        <w:rPr>
          <w:i/>
          <w:sz w:val="22"/>
          <w:szCs w:val="22"/>
          <w:u w:val="single"/>
        </w:rPr>
        <w:t>Kongestivna srčana insuficijencija (CHF)</w:t>
      </w:r>
    </w:p>
    <w:p w14:paraId="2BC37FA3" w14:textId="77777777" w:rsidR="00797963" w:rsidRPr="00E26E8A" w:rsidRDefault="00797963" w:rsidP="00797963">
      <w:pPr>
        <w:autoSpaceDE w:val="0"/>
        <w:autoSpaceDN w:val="0"/>
        <w:adjustRightInd w:val="0"/>
        <w:rPr>
          <w:sz w:val="22"/>
          <w:szCs w:val="22"/>
          <w:u w:val="single"/>
        </w:rPr>
      </w:pPr>
    </w:p>
    <w:p w14:paraId="06045C32" w14:textId="29CD5617" w:rsidR="00797963" w:rsidRPr="00E26E8A" w:rsidRDefault="00797963" w:rsidP="00797963">
      <w:pPr>
        <w:autoSpaceDE w:val="0"/>
        <w:autoSpaceDN w:val="0"/>
        <w:adjustRightInd w:val="0"/>
        <w:rPr>
          <w:sz w:val="22"/>
          <w:szCs w:val="22"/>
        </w:rPr>
      </w:pPr>
      <w:r w:rsidRPr="00E26E8A">
        <w:rPr>
          <w:sz w:val="22"/>
          <w:szCs w:val="22"/>
        </w:rPr>
        <w:t>U toku terapije i u periodu pra</w:t>
      </w:r>
      <w:r w:rsidRPr="00E26E8A">
        <w:rPr>
          <w:rFonts w:eastAsia="TimesNewRoman"/>
          <w:sz w:val="22"/>
          <w:szCs w:val="22"/>
        </w:rPr>
        <w:t>ć</w:t>
      </w:r>
      <w:r w:rsidRPr="00E26E8A">
        <w:rPr>
          <w:sz w:val="22"/>
          <w:szCs w:val="22"/>
        </w:rPr>
        <w:t>enja nakon terapije, pacijenti se moraju pratiti na simptomekongestivne sr</w:t>
      </w:r>
      <w:r w:rsidRPr="00E26E8A">
        <w:rPr>
          <w:rFonts w:eastAsia="TimesNewRoman"/>
          <w:sz w:val="22"/>
          <w:szCs w:val="22"/>
        </w:rPr>
        <w:t>č</w:t>
      </w:r>
      <w:r w:rsidRPr="00E26E8A">
        <w:rPr>
          <w:sz w:val="22"/>
          <w:szCs w:val="22"/>
        </w:rPr>
        <w:t xml:space="preserve">ane insuficijencije. Kod pacijenata sa nodus-pozitivnim karcinomom dojki koji su na režimu terapije sa TAC, rizik od pojave kongestivne srčane insuficijencije je veći tokom prve godine </w:t>
      </w:r>
      <w:r w:rsidR="00BD2B3C">
        <w:rPr>
          <w:sz w:val="22"/>
          <w:szCs w:val="22"/>
        </w:rPr>
        <w:t>nakon liječenja</w:t>
      </w:r>
      <w:r w:rsidRPr="00E26E8A">
        <w:rPr>
          <w:sz w:val="22"/>
          <w:szCs w:val="22"/>
        </w:rPr>
        <w:t xml:space="preserve">(vidjeti </w:t>
      </w:r>
      <w:r>
        <w:rPr>
          <w:sz w:val="22"/>
          <w:szCs w:val="22"/>
        </w:rPr>
        <w:t>djelove</w:t>
      </w:r>
      <w:r w:rsidRPr="00E26E8A">
        <w:rPr>
          <w:sz w:val="22"/>
          <w:szCs w:val="22"/>
        </w:rPr>
        <w:t xml:space="preserve"> 4.8 i 5.1).</w:t>
      </w:r>
    </w:p>
    <w:p w14:paraId="7051A4AE" w14:textId="77777777" w:rsidR="00797963" w:rsidRPr="00E26E8A" w:rsidRDefault="00797963" w:rsidP="00797963">
      <w:pPr>
        <w:autoSpaceDE w:val="0"/>
        <w:autoSpaceDN w:val="0"/>
        <w:adjustRightInd w:val="0"/>
        <w:rPr>
          <w:sz w:val="22"/>
          <w:szCs w:val="22"/>
        </w:rPr>
      </w:pPr>
    </w:p>
    <w:p w14:paraId="0727A219" w14:textId="77777777" w:rsidR="00797963" w:rsidRPr="00E26E8A" w:rsidRDefault="00797963" w:rsidP="00797963">
      <w:pPr>
        <w:autoSpaceDE w:val="0"/>
        <w:autoSpaceDN w:val="0"/>
        <w:adjustRightInd w:val="0"/>
        <w:rPr>
          <w:sz w:val="22"/>
          <w:szCs w:val="22"/>
        </w:rPr>
      </w:pPr>
    </w:p>
    <w:p w14:paraId="1682485D" w14:textId="77777777" w:rsidR="00797963" w:rsidRPr="00E26E8A" w:rsidRDefault="00797963" w:rsidP="00797963">
      <w:pPr>
        <w:autoSpaceDE w:val="0"/>
        <w:autoSpaceDN w:val="0"/>
        <w:adjustRightInd w:val="0"/>
        <w:rPr>
          <w:i/>
          <w:sz w:val="22"/>
          <w:szCs w:val="22"/>
          <w:u w:val="single"/>
        </w:rPr>
      </w:pPr>
      <w:r w:rsidRPr="00E26E8A">
        <w:rPr>
          <w:i/>
          <w:sz w:val="22"/>
          <w:szCs w:val="22"/>
          <w:u w:val="single"/>
        </w:rPr>
        <w:t>Pacijenti sa 4 i više zahvaćenih čvorova</w:t>
      </w:r>
    </w:p>
    <w:p w14:paraId="1F1EE2DE" w14:textId="77777777" w:rsidR="00797963" w:rsidRPr="00E26E8A" w:rsidRDefault="00797963" w:rsidP="00797963">
      <w:pPr>
        <w:autoSpaceDE w:val="0"/>
        <w:autoSpaceDN w:val="0"/>
        <w:adjustRightInd w:val="0"/>
        <w:rPr>
          <w:sz w:val="22"/>
          <w:szCs w:val="22"/>
          <w:u w:val="single"/>
        </w:rPr>
      </w:pPr>
    </w:p>
    <w:p w14:paraId="7EF21245" w14:textId="77777777" w:rsidR="00797963" w:rsidRPr="00E26E8A" w:rsidRDefault="00797963" w:rsidP="00797963">
      <w:pPr>
        <w:autoSpaceDE w:val="0"/>
        <w:autoSpaceDN w:val="0"/>
        <w:adjustRightInd w:val="0"/>
        <w:rPr>
          <w:sz w:val="22"/>
          <w:szCs w:val="22"/>
        </w:rPr>
      </w:pPr>
      <w:r w:rsidRPr="00E26E8A">
        <w:rPr>
          <w:sz w:val="22"/>
          <w:szCs w:val="22"/>
        </w:rPr>
        <w:t xml:space="preserve">Pošto zapažena korist kod pacijenata sa 4 i više zahvaćenih čvorova nije bila statistički značajna za period preživljavanja bez bolesti i ukupno preživljavanje, pozitivan odnos koristi i rizika TAC terapije kod pacijenata sa 4 i više zahvaćenih </w:t>
      </w:r>
      <w:r w:rsidRPr="00E26E8A">
        <w:rPr>
          <w:rFonts w:eastAsia="TimesNewRoman"/>
          <w:sz w:val="22"/>
          <w:szCs w:val="22"/>
        </w:rPr>
        <w:t>č</w:t>
      </w:r>
      <w:r w:rsidRPr="00E26E8A">
        <w:rPr>
          <w:sz w:val="22"/>
          <w:szCs w:val="22"/>
        </w:rPr>
        <w:t xml:space="preserve">vorova nije potpuno dokazan u finalnoj analizi (vidjeti </w:t>
      </w:r>
      <w:r>
        <w:rPr>
          <w:sz w:val="22"/>
          <w:szCs w:val="22"/>
        </w:rPr>
        <w:t>dio</w:t>
      </w:r>
      <w:r w:rsidRPr="00E26E8A">
        <w:rPr>
          <w:sz w:val="22"/>
          <w:szCs w:val="22"/>
        </w:rPr>
        <w:t xml:space="preserve"> 5.1).</w:t>
      </w:r>
    </w:p>
    <w:p w14:paraId="27B3E70A" w14:textId="77777777" w:rsidR="00797963" w:rsidRPr="00E26E8A" w:rsidRDefault="00797963" w:rsidP="00797963">
      <w:pPr>
        <w:autoSpaceDE w:val="0"/>
        <w:autoSpaceDN w:val="0"/>
        <w:adjustRightInd w:val="0"/>
        <w:rPr>
          <w:sz w:val="22"/>
          <w:szCs w:val="22"/>
        </w:rPr>
      </w:pPr>
    </w:p>
    <w:p w14:paraId="3BB33BC8" w14:textId="77777777" w:rsidR="00797963" w:rsidRPr="00E26E8A" w:rsidRDefault="00797963" w:rsidP="00797963">
      <w:pPr>
        <w:autoSpaceDE w:val="0"/>
        <w:autoSpaceDN w:val="0"/>
        <w:adjustRightInd w:val="0"/>
        <w:rPr>
          <w:sz w:val="22"/>
          <w:szCs w:val="22"/>
          <w:u w:val="single"/>
        </w:rPr>
      </w:pPr>
      <w:r w:rsidRPr="00E26E8A">
        <w:rPr>
          <w:sz w:val="22"/>
          <w:szCs w:val="22"/>
          <w:u w:val="single"/>
        </w:rPr>
        <w:t>Starije osobe</w:t>
      </w:r>
    </w:p>
    <w:p w14:paraId="660936A1" w14:textId="77777777" w:rsidR="00797963" w:rsidRPr="00E26E8A" w:rsidRDefault="00797963" w:rsidP="00797963">
      <w:pPr>
        <w:autoSpaceDE w:val="0"/>
        <w:autoSpaceDN w:val="0"/>
        <w:adjustRightInd w:val="0"/>
        <w:rPr>
          <w:sz w:val="22"/>
          <w:szCs w:val="22"/>
          <w:u w:val="single"/>
        </w:rPr>
      </w:pPr>
    </w:p>
    <w:p w14:paraId="0A81A990" w14:textId="77777777" w:rsidR="00797963" w:rsidRPr="00084408" w:rsidRDefault="00797963" w:rsidP="00797963">
      <w:pPr>
        <w:autoSpaceDE w:val="0"/>
        <w:autoSpaceDN w:val="0"/>
        <w:adjustRightInd w:val="0"/>
        <w:rPr>
          <w:i/>
          <w:sz w:val="22"/>
          <w:szCs w:val="22"/>
          <w:u w:val="single"/>
        </w:rPr>
      </w:pPr>
      <w:r w:rsidRPr="00E26E8A">
        <w:rPr>
          <w:i/>
          <w:sz w:val="22"/>
          <w:szCs w:val="22"/>
          <w:u w:val="single"/>
        </w:rPr>
        <w:t>Oprez pri primjeni u adjuvantno</w:t>
      </w:r>
      <w:r w:rsidRPr="00B02007">
        <w:rPr>
          <w:i/>
          <w:sz w:val="22"/>
          <w:szCs w:val="22"/>
          <w:u w:val="single"/>
        </w:rPr>
        <w:t xml:space="preserve">m liječenju </w:t>
      </w:r>
      <w:r w:rsidRPr="00084408">
        <w:rPr>
          <w:i/>
          <w:sz w:val="22"/>
          <w:szCs w:val="22"/>
          <w:u w:val="single"/>
        </w:rPr>
        <w:t>karcinoma dojke</w:t>
      </w:r>
    </w:p>
    <w:p w14:paraId="2B52C272" w14:textId="77777777" w:rsidR="00797963" w:rsidRPr="00084408" w:rsidRDefault="00797963" w:rsidP="00797963">
      <w:pPr>
        <w:autoSpaceDE w:val="0"/>
        <w:autoSpaceDN w:val="0"/>
        <w:adjustRightInd w:val="0"/>
        <w:rPr>
          <w:i/>
          <w:sz w:val="22"/>
          <w:szCs w:val="22"/>
          <w:u w:val="single"/>
        </w:rPr>
      </w:pPr>
    </w:p>
    <w:p w14:paraId="20FA4DAF" w14:textId="77777777" w:rsidR="00797963" w:rsidRPr="00084408" w:rsidRDefault="00797963" w:rsidP="00797963">
      <w:pPr>
        <w:autoSpaceDE w:val="0"/>
        <w:autoSpaceDN w:val="0"/>
        <w:adjustRightInd w:val="0"/>
        <w:rPr>
          <w:sz w:val="22"/>
          <w:szCs w:val="22"/>
        </w:rPr>
      </w:pPr>
      <w:r w:rsidRPr="00084408">
        <w:rPr>
          <w:sz w:val="22"/>
          <w:szCs w:val="22"/>
        </w:rPr>
        <w:t>Postoje ograničeni podaci o upotrebi docetaksela u kombinaciji sa doksorubicinom i ciklofosfamidom kod pacijenata starijih od 70</w:t>
      </w:r>
      <w:r>
        <w:rPr>
          <w:sz w:val="22"/>
          <w:szCs w:val="22"/>
        </w:rPr>
        <w:t> </w:t>
      </w:r>
      <w:r w:rsidRPr="00084408">
        <w:rPr>
          <w:sz w:val="22"/>
          <w:szCs w:val="22"/>
        </w:rPr>
        <w:t>godina.</w:t>
      </w:r>
    </w:p>
    <w:p w14:paraId="3D82E3E1" w14:textId="77777777" w:rsidR="00797963" w:rsidRPr="00084408" w:rsidRDefault="00797963" w:rsidP="00797963">
      <w:pPr>
        <w:autoSpaceDE w:val="0"/>
        <w:autoSpaceDN w:val="0"/>
        <w:adjustRightInd w:val="0"/>
        <w:rPr>
          <w:sz w:val="22"/>
          <w:szCs w:val="22"/>
        </w:rPr>
      </w:pPr>
    </w:p>
    <w:p w14:paraId="616CF625" w14:textId="77777777" w:rsidR="00797963" w:rsidRPr="00797963" w:rsidRDefault="00797963" w:rsidP="00797963">
      <w:pPr>
        <w:autoSpaceDE w:val="0"/>
        <w:autoSpaceDN w:val="0"/>
        <w:adjustRightInd w:val="0"/>
        <w:rPr>
          <w:i/>
          <w:sz w:val="22"/>
          <w:szCs w:val="22"/>
          <w:u w:val="single"/>
          <w:lang w:val="de-DE"/>
        </w:rPr>
      </w:pPr>
      <w:r w:rsidRPr="00797963">
        <w:rPr>
          <w:i/>
          <w:sz w:val="22"/>
          <w:szCs w:val="22"/>
          <w:u w:val="single"/>
          <w:lang w:val="de-DE"/>
        </w:rPr>
        <w:t xml:space="preserve">Oprez pri primjeni u terapiji karcinoma prostate rezistentnog na kastraciju </w:t>
      </w:r>
    </w:p>
    <w:p w14:paraId="2C2BC741" w14:textId="77777777" w:rsidR="00797963" w:rsidRPr="00797963" w:rsidRDefault="00797963" w:rsidP="00797963">
      <w:pPr>
        <w:autoSpaceDE w:val="0"/>
        <w:autoSpaceDN w:val="0"/>
        <w:adjustRightInd w:val="0"/>
        <w:rPr>
          <w:sz w:val="22"/>
          <w:szCs w:val="22"/>
          <w:lang w:val="de-DE"/>
        </w:rPr>
      </w:pPr>
    </w:p>
    <w:p w14:paraId="2687CBFA" w14:textId="77777777" w:rsidR="00797963" w:rsidRPr="00797963" w:rsidRDefault="00797963" w:rsidP="00797963">
      <w:pPr>
        <w:autoSpaceDE w:val="0"/>
        <w:autoSpaceDN w:val="0"/>
        <w:adjustRightInd w:val="0"/>
        <w:rPr>
          <w:sz w:val="22"/>
          <w:szCs w:val="22"/>
          <w:lang w:val="de-DE"/>
        </w:rPr>
      </w:pPr>
      <w:r w:rsidRPr="00797963">
        <w:rPr>
          <w:sz w:val="22"/>
          <w:szCs w:val="22"/>
          <w:lang w:val="de-DE"/>
        </w:rPr>
        <w:t>U ispitivanju primjene lijeka u terapiji karcinoma prostate (TAX 327), od ukupno 333 pacijenta, lije</w:t>
      </w:r>
      <w:r w:rsidRPr="00797963">
        <w:rPr>
          <w:rFonts w:eastAsia="TimesNewRoman"/>
          <w:sz w:val="22"/>
          <w:szCs w:val="22"/>
          <w:lang w:val="de-DE"/>
        </w:rPr>
        <w:t>č</w:t>
      </w:r>
      <w:r w:rsidRPr="00797963">
        <w:rPr>
          <w:sz w:val="22"/>
          <w:szCs w:val="22"/>
          <w:lang w:val="de-DE"/>
        </w:rPr>
        <w:t xml:space="preserve">enih docetakselom na svake tri nedjelje, 209 bilo je starosti 65 godina i više, dok je 68 pacijenata bilo starije od 75 godina. Kod pacijenata starosti 65 godina i više, terapijom izazvana pojava promjena na noktima bila je </w:t>
      </w:r>
      <w:r w:rsidRPr="00797963">
        <w:rPr>
          <w:rFonts w:eastAsia="TimesNewRoman"/>
          <w:sz w:val="22"/>
          <w:szCs w:val="22"/>
          <w:lang w:val="de-DE"/>
        </w:rPr>
        <w:t xml:space="preserve">≥ </w:t>
      </w:r>
      <w:r w:rsidRPr="00797963">
        <w:rPr>
          <w:sz w:val="22"/>
          <w:szCs w:val="22"/>
          <w:lang w:val="de-DE"/>
        </w:rPr>
        <w:t>10% u</w:t>
      </w:r>
      <w:r w:rsidRPr="00797963">
        <w:rPr>
          <w:rFonts w:eastAsia="TimesNewRoman"/>
          <w:sz w:val="22"/>
          <w:szCs w:val="22"/>
          <w:lang w:val="de-DE"/>
        </w:rPr>
        <w:t>č</w:t>
      </w:r>
      <w:r w:rsidRPr="00797963">
        <w:rPr>
          <w:sz w:val="22"/>
          <w:szCs w:val="22"/>
          <w:lang w:val="de-DE"/>
        </w:rPr>
        <w:t>estalija nego kod mla</w:t>
      </w:r>
      <w:r w:rsidRPr="00797963">
        <w:rPr>
          <w:rFonts w:eastAsia="TimesNewRoman"/>
          <w:sz w:val="22"/>
          <w:szCs w:val="22"/>
          <w:lang w:val="de-DE"/>
        </w:rPr>
        <w:t>đ</w:t>
      </w:r>
      <w:r w:rsidRPr="00797963">
        <w:rPr>
          <w:sz w:val="22"/>
          <w:szCs w:val="22"/>
          <w:lang w:val="de-DE"/>
        </w:rPr>
        <w:t>ih pacijenata. U</w:t>
      </w:r>
      <w:r w:rsidRPr="00797963">
        <w:rPr>
          <w:rFonts w:eastAsia="TimesNewRoman"/>
          <w:sz w:val="22"/>
          <w:szCs w:val="22"/>
          <w:lang w:val="de-DE"/>
        </w:rPr>
        <w:t>č</w:t>
      </w:r>
      <w:r w:rsidRPr="00797963">
        <w:rPr>
          <w:sz w:val="22"/>
          <w:szCs w:val="22"/>
          <w:lang w:val="de-DE"/>
        </w:rPr>
        <w:t xml:space="preserve">estalost pojave terapijom izazvane povišene temperature, dijareje, anoreksije i perifernog edema bila je </w:t>
      </w:r>
      <w:r w:rsidRPr="00797963">
        <w:rPr>
          <w:rFonts w:eastAsia="TimesNewRoman"/>
          <w:sz w:val="22"/>
          <w:szCs w:val="22"/>
          <w:lang w:val="de-DE"/>
        </w:rPr>
        <w:t xml:space="preserve">≥ </w:t>
      </w:r>
      <w:r w:rsidRPr="00797963">
        <w:rPr>
          <w:sz w:val="22"/>
          <w:szCs w:val="22"/>
          <w:lang w:val="de-DE"/>
        </w:rPr>
        <w:t>10% ve</w:t>
      </w:r>
      <w:r w:rsidRPr="00797963">
        <w:rPr>
          <w:rFonts w:eastAsia="TimesNewRoman"/>
          <w:sz w:val="22"/>
          <w:szCs w:val="22"/>
          <w:lang w:val="de-DE"/>
        </w:rPr>
        <w:t>ć</w:t>
      </w:r>
      <w:r w:rsidRPr="00797963">
        <w:rPr>
          <w:sz w:val="22"/>
          <w:szCs w:val="22"/>
          <w:lang w:val="de-DE"/>
        </w:rPr>
        <w:t>a kod pacijenata starosti 75 godina i više, nego kod onih mla</w:t>
      </w:r>
      <w:r w:rsidRPr="00797963">
        <w:rPr>
          <w:rFonts w:eastAsia="TimesNewRoman"/>
          <w:sz w:val="22"/>
          <w:szCs w:val="22"/>
          <w:lang w:val="de-DE"/>
        </w:rPr>
        <w:t>đ</w:t>
      </w:r>
      <w:r w:rsidRPr="00797963">
        <w:rPr>
          <w:sz w:val="22"/>
          <w:szCs w:val="22"/>
          <w:lang w:val="de-DE"/>
        </w:rPr>
        <w:t>ih od 65 godina.</w:t>
      </w:r>
    </w:p>
    <w:p w14:paraId="42A8F49C" w14:textId="77777777" w:rsidR="00797963" w:rsidRPr="00797963" w:rsidRDefault="00797963" w:rsidP="00797963">
      <w:pPr>
        <w:autoSpaceDE w:val="0"/>
        <w:autoSpaceDN w:val="0"/>
        <w:adjustRightInd w:val="0"/>
        <w:rPr>
          <w:sz w:val="22"/>
          <w:szCs w:val="22"/>
          <w:lang w:val="de-DE"/>
        </w:rPr>
      </w:pPr>
    </w:p>
    <w:p w14:paraId="66BCE6C0" w14:textId="77777777" w:rsidR="00797963" w:rsidRPr="00797963" w:rsidRDefault="00797963" w:rsidP="00797963">
      <w:pPr>
        <w:autoSpaceDE w:val="0"/>
        <w:autoSpaceDN w:val="0"/>
        <w:adjustRightInd w:val="0"/>
        <w:rPr>
          <w:i/>
          <w:sz w:val="22"/>
          <w:szCs w:val="22"/>
          <w:u w:val="single"/>
          <w:lang w:val="de-DE"/>
        </w:rPr>
      </w:pPr>
      <w:r w:rsidRPr="00797963">
        <w:rPr>
          <w:i/>
          <w:sz w:val="22"/>
          <w:szCs w:val="22"/>
          <w:u w:val="single"/>
          <w:lang w:val="de-DE"/>
        </w:rPr>
        <w:t>Oprez pri primjeni u terapiji karcinoma prostate osjetljivog na hormone</w:t>
      </w:r>
    </w:p>
    <w:p w14:paraId="77ED4B08" w14:textId="77777777" w:rsidR="00797963" w:rsidRPr="00797963" w:rsidRDefault="00797963" w:rsidP="00797963">
      <w:pPr>
        <w:autoSpaceDE w:val="0"/>
        <w:autoSpaceDN w:val="0"/>
        <w:adjustRightInd w:val="0"/>
        <w:rPr>
          <w:i/>
          <w:sz w:val="22"/>
          <w:szCs w:val="22"/>
          <w:u w:val="single"/>
          <w:lang w:val="de-DE"/>
        </w:rPr>
      </w:pPr>
    </w:p>
    <w:p w14:paraId="656478B3" w14:textId="77777777" w:rsidR="00797963" w:rsidRPr="00797963" w:rsidRDefault="00797963" w:rsidP="00797963">
      <w:pPr>
        <w:autoSpaceDE w:val="0"/>
        <w:autoSpaceDN w:val="0"/>
        <w:adjustRightInd w:val="0"/>
        <w:rPr>
          <w:sz w:val="22"/>
          <w:szCs w:val="22"/>
          <w:lang w:val="de-DE"/>
        </w:rPr>
      </w:pPr>
      <w:r w:rsidRPr="00797963">
        <w:rPr>
          <w:sz w:val="22"/>
          <w:szCs w:val="22"/>
          <w:lang w:val="de-DE"/>
        </w:rPr>
        <w:t>U studiji primjene lijeka u terapiji karcinoma prostate osjetljivog na hormone (STAMPEDE), od ukupno 545 pacijenata liječenih docetakselom na svake 3 nedjelje, 296 pacijenata bilo je starosti 65 godina i više, dok je 48 pacijenata bilo starije od 75 godina. Više pacijenata starosti  ≥65 godina koji su primali docetaksel prijavilo je reakcije preosjetljivosti, neutropeniju, anemiju, retenciju tečnosti, dispneju i promjene na noktima u odnosu na pacijente mlađe od 65 godina. Nijedno od povećanja učestalosti nije dostiglo 10% razlike u odnosu na kontrolnu grupu. Kod pacijenata uzrasta od 75 godina i starijih, češće su prijavljivane (najmanje 10% češće) neutropenija, anemija, dijareja, dispneja i infekcije gornjih disajnih puteva u poređenju sa mlađim pacijentima.</w:t>
      </w:r>
    </w:p>
    <w:p w14:paraId="5A776289" w14:textId="77777777" w:rsidR="00797963" w:rsidRPr="00797963" w:rsidRDefault="00797963" w:rsidP="00797963">
      <w:pPr>
        <w:autoSpaceDE w:val="0"/>
        <w:autoSpaceDN w:val="0"/>
        <w:adjustRightInd w:val="0"/>
        <w:rPr>
          <w:i/>
          <w:sz w:val="22"/>
          <w:szCs w:val="22"/>
          <w:u w:val="single"/>
          <w:lang w:val="de-DE"/>
        </w:rPr>
      </w:pPr>
    </w:p>
    <w:p w14:paraId="310C171C" w14:textId="77777777" w:rsidR="00797963" w:rsidRPr="00797963" w:rsidRDefault="00797963" w:rsidP="00797963">
      <w:pPr>
        <w:autoSpaceDE w:val="0"/>
        <w:autoSpaceDN w:val="0"/>
        <w:adjustRightInd w:val="0"/>
        <w:rPr>
          <w:i/>
          <w:sz w:val="22"/>
          <w:szCs w:val="22"/>
          <w:u w:val="single"/>
          <w:lang w:val="de-DE"/>
        </w:rPr>
      </w:pPr>
      <w:r w:rsidRPr="00797963">
        <w:rPr>
          <w:i/>
          <w:sz w:val="22"/>
          <w:szCs w:val="22"/>
          <w:u w:val="single"/>
          <w:lang w:val="de-DE"/>
        </w:rPr>
        <w:t>Oprez pri primjeni u terapiji adenokarcinoma želuca</w:t>
      </w:r>
    </w:p>
    <w:p w14:paraId="37DF51E2" w14:textId="77777777" w:rsidR="00797963" w:rsidRPr="00797963" w:rsidRDefault="00797963" w:rsidP="00797963">
      <w:pPr>
        <w:autoSpaceDE w:val="0"/>
        <w:autoSpaceDN w:val="0"/>
        <w:adjustRightInd w:val="0"/>
        <w:rPr>
          <w:sz w:val="22"/>
          <w:szCs w:val="22"/>
          <w:lang w:val="de-DE"/>
        </w:rPr>
      </w:pPr>
    </w:p>
    <w:p w14:paraId="0D55143C" w14:textId="77777777" w:rsidR="00797963" w:rsidRPr="00797963" w:rsidRDefault="00797963" w:rsidP="00797963">
      <w:pPr>
        <w:autoSpaceDE w:val="0"/>
        <w:autoSpaceDN w:val="0"/>
        <w:adjustRightInd w:val="0"/>
        <w:rPr>
          <w:sz w:val="22"/>
          <w:szCs w:val="22"/>
          <w:lang w:val="de-DE"/>
        </w:rPr>
      </w:pPr>
      <w:r w:rsidRPr="00797963">
        <w:rPr>
          <w:sz w:val="22"/>
          <w:szCs w:val="22"/>
          <w:lang w:val="de-DE"/>
        </w:rPr>
        <w:t>Od 300 pacijenata lije</w:t>
      </w:r>
      <w:r w:rsidRPr="00797963">
        <w:rPr>
          <w:rFonts w:eastAsia="TimesNewRoman"/>
          <w:sz w:val="22"/>
          <w:szCs w:val="22"/>
          <w:lang w:val="de-DE"/>
        </w:rPr>
        <w:t>č</w:t>
      </w:r>
      <w:r w:rsidRPr="00797963">
        <w:rPr>
          <w:sz w:val="22"/>
          <w:szCs w:val="22"/>
          <w:lang w:val="de-DE"/>
        </w:rPr>
        <w:t>enih docetakselom u kombinaciji sa cisplatinom i 5-fluorouracilom u okviru studije</w:t>
      </w:r>
    </w:p>
    <w:p w14:paraId="13F60011" w14:textId="77777777" w:rsidR="00797963" w:rsidRPr="00BB3077" w:rsidRDefault="00797963" w:rsidP="00797963">
      <w:pPr>
        <w:autoSpaceDE w:val="0"/>
        <w:autoSpaceDN w:val="0"/>
        <w:adjustRightInd w:val="0"/>
        <w:rPr>
          <w:sz w:val="22"/>
          <w:szCs w:val="22"/>
          <w:lang w:val="de-DE"/>
        </w:rPr>
      </w:pPr>
      <w:r w:rsidRPr="00BB3077">
        <w:rPr>
          <w:sz w:val="22"/>
          <w:szCs w:val="22"/>
          <w:lang w:val="de-DE"/>
        </w:rPr>
        <w:t>primjene u terapiji karcinoma želuca (221 pacijent u fazi III i 79 pacijenata u fazi II), 74 pacijenta su imala 65 i više godina, dok su 4 bila starosti 75 i više godina. U</w:t>
      </w:r>
      <w:r w:rsidRPr="00BB3077">
        <w:rPr>
          <w:rFonts w:eastAsia="TimesNewRoman"/>
          <w:sz w:val="22"/>
          <w:szCs w:val="22"/>
          <w:lang w:val="de-DE"/>
        </w:rPr>
        <w:t>č</w:t>
      </w:r>
      <w:r w:rsidRPr="00BB3077">
        <w:rPr>
          <w:sz w:val="22"/>
          <w:szCs w:val="22"/>
          <w:lang w:val="de-DE"/>
        </w:rPr>
        <w:t>estalost ozbiljnih neželjenih dejstava bila je viša kod starijih osoba nego kod mla</w:t>
      </w:r>
      <w:r w:rsidRPr="00BB3077">
        <w:rPr>
          <w:rFonts w:eastAsia="TimesNewRoman"/>
          <w:sz w:val="22"/>
          <w:szCs w:val="22"/>
          <w:lang w:val="de-DE"/>
        </w:rPr>
        <w:t>đ</w:t>
      </w:r>
      <w:r w:rsidRPr="00BB3077">
        <w:rPr>
          <w:sz w:val="22"/>
          <w:szCs w:val="22"/>
          <w:lang w:val="de-DE"/>
        </w:rPr>
        <w:t>ih pacijenata. U</w:t>
      </w:r>
      <w:r w:rsidRPr="00BB3077">
        <w:rPr>
          <w:rFonts w:eastAsia="TimesNewRoman"/>
          <w:sz w:val="22"/>
          <w:szCs w:val="22"/>
          <w:lang w:val="de-DE"/>
        </w:rPr>
        <w:t>č</w:t>
      </w:r>
      <w:r w:rsidRPr="00BB3077">
        <w:rPr>
          <w:sz w:val="22"/>
          <w:szCs w:val="22"/>
          <w:lang w:val="de-DE"/>
        </w:rPr>
        <w:t>estalost sljede</w:t>
      </w:r>
      <w:r w:rsidRPr="00BB3077">
        <w:rPr>
          <w:rFonts w:eastAsia="TimesNewRoman"/>
          <w:sz w:val="22"/>
          <w:szCs w:val="22"/>
          <w:lang w:val="de-DE"/>
        </w:rPr>
        <w:t>ć</w:t>
      </w:r>
      <w:r w:rsidRPr="00BB3077">
        <w:rPr>
          <w:sz w:val="22"/>
          <w:szCs w:val="22"/>
          <w:lang w:val="de-DE"/>
        </w:rPr>
        <w:t xml:space="preserve">ih neželjenih dejstava (svih stepena) bila je </w:t>
      </w:r>
      <w:r w:rsidRPr="00BB3077">
        <w:rPr>
          <w:rFonts w:eastAsia="TimesNewRoman"/>
          <w:sz w:val="22"/>
          <w:szCs w:val="22"/>
          <w:lang w:val="de-DE"/>
        </w:rPr>
        <w:t>≥ </w:t>
      </w:r>
      <w:r w:rsidRPr="00BB3077">
        <w:rPr>
          <w:sz w:val="22"/>
          <w:szCs w:val="22"/>
          <w:lang w:val="de-DE"/>
        </w:rPr>
        <w:t>10% ve</w:t>
      </w:r>
      <w:r w:rsidRPr="00BB3077">
        <w:rPr>
          <w:rFonts w:eastAsia="TimesNewRoman"/>
          <w:sz w:val="22"/>
          <w:szCs w:val="22"/>
          <w:lang w:val="de-DE"/>
        </w:rPr>
        <w:t>ć</w:t>
      </w:r>
      <w:r w:rsidRPr="00BB3077">
        <w:rPr>
          <w:sz w:val="22"/>
          <w:szCs w:val="22"/>
          <w:lang w:val="de-DE"/>
        </w:rPr>
        <w:t>a kod pacijenata starih 65 godina i više, nego kod mla</w:t>
      </w:r>
      <w:r w:rsidRPr="00BB3077">
        <w:rPr>
          <w:rFonts w:eastAsia="TimesNewRoman"/>
          <w:sz w:val="22"/>
          <w:szCs w:val="22"/>
          <w:lang w:val="de-DE"/>
        </w:rPr>
        <w:t>đ</w:t>
      </w:r>
      <w:r w:rsidRPr="00BB3077">
        <w:rPr>
          <w:sz w:val="22"/>
          <w:szCs w:val="22"/>
          <w:lang w:val="de-DE"/>
        </w:rPr>
        <w:t xml:space="preserve">ih: letargija, stomatitis, neutropenijske infekcije. </w:t>
      </w:r>
    </w:p>
    <w:p w14:paraId="5F6D3D7A" w14:textId="77777777" w:rsidR="00797963" w:rsidRPr="00BB3077" w:rsidRDefault="00797963" w:rsidP="00797963">
      <w:pPr>
        <w:autoSpaceDE w:val="0"/>
        <w:autoSpaceDN w:val="0"/>
        <w:adjustRightInd w:val="0"/>
        <w:rPr>
          <w:sz w:val="22"/>
          <w:szCs w:val="22"/>
          <w:lang w:val="de-DE"/>
        </w:rPr>
      </w:pPr>
    </w:p>
    <w:p w14:paraId="7CDC5F16" w14:textId="77777777" w:rsidR="00797963" w:rsidRPr="00BB3077" w:rsidRDefault="00797963" w:rsidP="00797963">
      <w:pPr>
        <w:autoSpaceDE w:val="0"/>
        <w:autoSpaceDN w:val="0"/>
        <w:adjustRightInd w:val="0"/>
        <w:rPr>
          <w:sz w:val="22"/>
          <w:szCs w:val="22"/>
          <w:lang w:val="de-DE"/>
        </w:rPr>
      </w:pPr>
      <w:r w:rsidRPr="00BB3077">
        <w:rPr>
          <w:sz w:val="22"/>
          <w:szCs w:val="22"/>
          <w:lang w:val="de-DE"/>
        </w:rPr>
        <w:t>Starije osobe koje primaju terapiju TCF treba pažljivo pratiti.</w:t>
      </w:r>
    </w:p>
    <w:p w14:paraId="2D38D32B" w14:textId="77777777" w:rsidR="00797963" w:rsidRPr="00BB3077" w:rsidRDefault="00797963" w:rsidP="00797963">
      <w:pPr>
        <w:autoSpaceDE w:val="0"/>
        <w:autoSpaceDN w:val="0"/>
        <w:adjustRightInd w:val="0"/>
        <w:rPr>
          <w:sz w:val="22"/>
          <w:szCs w:val="22"/>
          <w:lang w:val="de-DE"/>
        </w:rPr>
      </w:pPr>
    </w:p>
    <w:p w14:paraId="7809DBFB" w14:textId="77777777" w:rsidR="00797963" w:rsidRPr="00B02007" w:rsidRDefault="00797963" w:rsidP="00797963">
      <w:pPr>
        <w:pStyle w:val="Header"/>
        <w:tabs>
          <w:tab w:val="left" w:pos="284"/>
        </w:tabs>
        <w:rPr>
          <w:sz w:val="22"/>
          <w:szCs w:val="22"/>
          <w:u w:val="single"/>
        </w:rPr>
      </w:pPr>
      <w:r>
        <w:rPr>
          <w:sz w:val="22"/>
          <w:szCs w:val="22"/>
          <w:u w:val="single"/>
        </w:rPr>
        <w:t>Podaci o e</w:t>
      </w:r>
      <w:r w:rsidRPr="00084408">
        <w:rPr>
          <w:sz w:val="22"/>
          <w:szCs w:val="22"/>
          <w:u w:val="single"/>
        </w:rPr>
        <w:t>kscipijensi</w:t>
      </w:r>
      <w:r>
        <w:rPr>
          <w:sz w:val="22"/>
          <w:szCs w:val="22"/>
          <w:u w:val="single"/>
        </w:rPr>
        <w:t>ma</w:t>
      </w:r>
    </w:p>
    <w:p w14:paraId="2D491157" w14:textId="77777777" w:rsidR="00797963" w:rsidRDefault="00797963" w:rsidP="00797963">
      <w:pPr>
        <w:pStyle w:val="Header"/>
        <w:tabs>
          <w:tab w:val="left" w:pos="284"/>
        </w:tabs>
        <w:rPr>
          <w:sz w:val="22"/>
          <w:szCs w:val="22"/>
        </w:rPr>
      </w:pPr>
    </w:p>
    <w:p w14:paraId="672AF279" w14:textId="77777777" w:rsidR="00797963" w:rsidRPr="00134395" w:rsidRDefault="00797963" w:rsidP="00797963">
      <w:pPr>
        <w:pStyle w:val="Header"/>
        <w:tabs>
          <w:tab w:val="left" w:pos="284"/>
        </w:tabs>
        <w:rPr>
          <w:i/>
          <w:iCs/>
          <w:sz w:val="22"/>
          <w:szCs w:val="22"/>
          <w:u w:val="single"/>
        </w:rPr>
      </w:pPr>
      <w:r w:rsidRPr="00134395">
        <w:rPr>
          <w:i/>
          <w:iCs/>
          <w:sz w:val="22"/>
          <w:szCs w:val="22"/>
          <w:u w:val="single"/>
        </w:rPr>
        <w:t>Sadržaj etanola</w:t>
      </w:r>
    </w:p>
    <w:p w14:paraId="75A4EAD0" w14:textId="77777777" w:rsidR="00797963" w:rsidRPr="00084408" w:rsidRDefault="00797963" w:rsidP="00797963">
      <w:pPr>
        <w:pStyle w:val="Header"/>
        <w:tabs>
          <w:tab w:val="left" w:pos="284"/>
        </w:tabs>
        <w:rPr>
          <w:sz w:val="22"/>
          <w:szCs w:val="22"/>
        </w:rPr>
      </w:pPr>
      <w:r w:rsidRPr="00084408">
        <w:rPr>
          <w:sz w:val="22"/>
          <w:szCs w:val="22"/>
        </w:rPr>
        <w:t>Bočica od 20 mg/2 ml</w:t>
      </w:r>
    </w:p>
    <w:p w14:paraId="52D12C1E" w14:textId="77777777" w:rsidR="00797963" w:rsidRPr="00084408" w:rsidRDefault="00797963" w:rsidP="00797963">
      <w:pPr>
        <w:pStyle w:val="Header"/>
        <w:tabs>
          <w:tab w:val="left" w:pos="284"/>
        </w:tabs>
        <w:rPr>
          <w:sz w:val="22"/>
          <w:szCs w:val="22"/>
        </w:rPr>
      </w:pPr>
      <w:r>
        <w:rPr>
          <w:sz w:val="22"/>
          <w:szCs w:val="22"/>
        </w:rPr>
        <w:t>Svaka bočica koncentrata od 2 ml sadrži 364 mg etanola, bezvodnog (</w:t>
      </w:r>
      <w:r w:rsidRPr="00E26E8A">
        <w:rPr>
          <w:sz w:val="22"/>
          <w:szCs w:val="22"/>
        </w:rPr>
        <w:t xml:space="preserve">vidjeti </w:t>
      </w:r>
      <w:r>
        <w:rPr>
          <w:sz w:val="22"/>
          <w:szCs w:val="22"/>
        </w:rPr>
        <w:t>dio 2),</w:t>
      </w:r>
      <w:r w:rsidRPr="00084408">
        <w:rPr>
          <w:sz w:val="22"/>
          <w:szCs w:val="22"/>
        </w:rPr>
        <w:t xml:space="preserve"> što je ekvivalentno </w:t>
      </w:r>
      <w:r>
        <w:rPr>
          <w:sz w:val="22"/>
          <w:szCs w:val="22"/>
        </w:rPr>
        <w:t xml:space="preserve">količini manjoj od 10 </w:t>
      </w:r>
      <w:r w:rsidRPr="00084408">
        <w:rPr>
          <w:sz w:val="22"/>
          <w:szCs w:val="22"/>
        </w:rPr>
        <w:t xml:space="preserve">ml piva ili 4 ml vina. </w:t>
      </w:r>
    </w:p>
    <w:p w14:paraId="3D964CCC" w14:textId="77777777" w:rsidR="00797963" w:rsidRPr="00084408" w:rsidRDefault="00797963" w:rsidP="00797963">
      <w:pPr>
        <w:pStyle w:val="Header"/>
        <w:tabs>
          <w:tab w:val="left" w:pos="284"/>
        </w:tabs>
        <w:rPr>
          <w:sz w:val="22"/>
          <w:szCs w:val="22"/>
        </w:rPr>
      </w:pPr>
      <w:r w:rsidRPr="00084408">
        <w:rPr>
          <w:sz w:val="22"/>
          <w:szCs w:val="22"/>
        </w:rPr>
        <w:t>Bočica od 80 mg/8 ml</w:t>
      </w:r>
    </w:p>
    <w:p w14:paraId="4A0CF60A" w14:textId="77777777" w:rsidR="00797963" w:rsidRPr="00084408" w:rsidRDefault="00797963" w:rsidP="00797963">
      <w:pPr>
        <w:pStyle w:val="Header"/>
        <w:tabs>
          <w:tab w:val="left" w:pos="284"/>
        </w:tabs>
        <w:rPr>
          <w:sz w:val="22"/>
          <w:szCs w:val="22"/>
        </w:rPr>
      </w:pPr>
      <w:r>
        <w:rPr>
          <w:sz w:val="22"/>
          <w:szCs w:val="22"/>
        </w:rPr>
        <w:t>Svaka bočica koncentrata od 8 ml sadrži 1455 mg etanola, bezvodnog (</w:t>
      </w:r>
      <w:r w:rsidRPr="00E26E8A">
        <w:rPr>
          <w:sz w:val="22"/>
          <w:szCs w:val="22"/>
        </w:rPr>
        <w:t xml:space="preserve">vidjeti </w:t>
      </w:r>
      <w:r>
        <w:rPr>
          <w:sz w:val="22"/>
          <w:szCs w:val="22"/>
        </w:rPr>
        <w:t>dio 2),</w:t>
      </w:r>
      <w:r w:rsidRPr="00084408">
        <w:rPr>
          <w:sz w:val="22"/>
          <w:szCs w:val="22"/>
        </w:rPr>
        <w:t xml:space="preserve"> što je ekvivalentno </w:t>
      </w:r>
      <w:r>
        <w:rPr>
          <w:sz w:val="22"/>
          <w:szCs w:val="22"/>
        </w:rPr>
        <w:t xml:space="preserve">količini manjoj od 37 </w:t>
      </w:r>
      <w:r w:rsidRPr="00084408">
        <w:rPr>
          <w:sz w:val="22"/>
          <w:szCs w:val="22"/>
        </w:rPr>
        <w:t xml:space="preserve">ml piva ili </w:t>
      </w:r>
      <w:r>
        <w:rPr>
          <w:sz w:val="22"/>
          <w:szCs w:val="22"/>
        </w:rPr>
        <w:t>15</w:t>
      </w:r>
      <w:r w:rsidRPr="00084408">
        <w:rPr>
          <w:sz w:val="22"/>
          <w:szCs w:val="22"/>
        </w:rPr>
        <w:t xml:space="preserve"> ml vina. </w:t>
      </w:r>
    </w:p>
    <w:p w14:paraId="6E47C5DB" w14:textId="77777777" w:rsidR="00797963" w:rsidRPr="00084408" w:rsidRDefault="00797963" w:rsidP="00797963">
      <w:pPr>
        <w:pStyle w:val="Header"/>
        <w:tabs>
          <w:tab w:val="left" w:pos="284"/>
        </w:tabs>
        <w:rPr>
          <w:sz w:val="22"/>
          <w:szCs w:val="22"/>
        </w:rPr>
      </w:pPr>
      <w:r w:rsidRPr="00084408">
        <w:rPr>
          <w:sz w:val="22"/>
          <w:szCs w:val="22"/>
        </w:rPr>
        <w:t>Bočica od 160 mg/16 ml</w:t>
      </w:r>
    </w:p>
    <w:p w14:paraId="527E55CC" w14:textId="77777777" w:rsidR="00797963" w:rsidRPr="00084408" w:rsidRDefault="00797963" w:rsidP="00797963">
      <w:pPr>
        <w:pStyle w:val="Header"/>
        <w:tabs>
          <w:tab w:val="left" w:pos="284"/>
        </w:tabs>
        <w:rPr>
          <w:sz w:val="22"/>
          <w:szCs w:val="22"/>
        </w:rPr>
      </w:pPr>
      <w:r>
        <w:rPr>
          <w:sz w:val="22"/>
          <w:szCs w:val="22"/>
        </w:rPr>
        <w:t>Svaka bočica koncentrata od 16 ml sadrži 2911 mg etanola, bezvodnog (</w:t>
      </w:r>
      <w:r w:rsidRPr="00E26E8A">
        <w:rPr>
          <w:sz w:val="22"/>
          <w:szCs w:val="22"/>
        </w:rPr>
        <w:t xml:space="preserve">vidjeti </w:t>
      </w:r>
      <w:r>
        <w:rPr>
          <w:sz w:val="22"/>
          <w:szCs w:val="22"/>
        </w:rPr>
        <w:t>dio 2),</w:t>
      </w:r>
      <w:r w:rsidRPr="00084408">
        <w:rPr>
          <w:sz w:val="22"/>
          <w:szCs w:val="22"/>
        </w:rPr>
        <w:t xml:space="preserve"> što je ekvivalentno </w:t>
      </w:r>
      <w:r>
        <w:rPr>
          <w:sz w:val="22"/>
          <w:szCs w:val="22"/>
        </w:rPr>
        <w:t xml:space="preserve">količini manjoj od 73 </w:t>
      </w:r>
      <w:r w:rsidRPr="00084408">
        <w:rPr>
          <w:sz w:val="22"/>
          <w:szCs w:val="22"/>
        </w:rPr>
        <w:t xml:space="preserve">ml piva ili </w:t>
      </w:r>
      <w:r>
        <w:rPr>
          <w:sz w:val="22"/>
          <w:szCs w:val="22"/>
        </w:rPr>
        <w:t>30</w:t>
      </w:r>
      <w:r w:rsidRPr="00084408">
        <w:rPr>
          <w:sz w:val="22"/>
          <w:szCs w:val="22"/>
        </w:rPr>
        <w:t xml:space="preserve"> ml vina. </w:t>
      </w:r>
    </w:p>
    <w:p w14:paraId="53AE5B09" w14:textId="77777777" w:rsidR="00797963" w:rsidRDefault="00797963" w:rsidP="00797963">
      <w:pPr>
        <w:pStyle w:val="Header"/>
        <w:tabs>
          <w:tab w:val="left" w:pos="284"/>
        </w:tabs>
        <w:rPr>
          <w:sz w:val="22"/>
          <w:szCs w:val="22"/>
        </w:rPr>
      </w:pPr>
      <w:r>
        <w:rPr>
          <w:sz w:val="22"/>
          <w:szCs w:val="22"/>
        </w:rPr>
        <w:t>Primjer izlaganja etanolu na osnovu maksimalne pojedinačne dnevne doze (</w:t>
      </w:r>
      <w:r w:rsidRPr="00E26E8A">
        <w:rPr>
          <w:sz w:val="22"/>
          <w:szCs w:val="22"/>
        </w:rPr>
        <w:t xml:space="preserve">vidjeti </w:t>
      </w:r>
      <w:r>
        <w:rPr>
          <w:sz w:val="22"/>
          <w:szCs w:val="22"/>
        </w:rPr>
        <w:t>dio 4.2)</w:t>
      </w:r>
      <w:r w:rsidRPr="00084408">
        <w:rPr>
          <w:sz w:val="22"/>
          <w:szCs w:val="22"/>
        </w:rPr>
        <w:t xml:space="preserve"> </w:t>
      </w:r>
      <w:r>
        <w:rPr>
          <w:sz w:val="22"/>
          <w:szCs w:val="22"/>
        </w:rPr>
        <w:t>je sljedeći:</w:t>
      </w:r>
    </w:p>
    <w:p w14:paraId="62E73FA2" w14:textId="77777777" w:rsidR="00797963" w:rsidRDefault="00797963" w:rsidP="00797963">
      <w:pPr>
        <w:pStyle w:val="Header"/>
        <w:numPr>
          <w:ilvl w:val="0"/>
          <w:numId w:val="14"/>
        </w:numPr>
        <w:tabs>
          <w:tab w:val="clear" w:pos="4320"/>
          <w:tab w:val="clear" w:pos="8640"/>
          <w:tab w:val="left" w:pos="284"/>
        </w:tabs>
        <w:rPr>
          <w:sz w:val="22"/>
          <w:szCs w:val="22"/>
        </w:rPr>
      </w:pPr>
      <w:r>
        <w:rPr>
          <w:sz w:val="22"/>
          <w:szCs w:val="22"/>
        </w:rPr>
        <w:t>Primjena 18 ml ovog lijeka kod odrasle osobe tjelesne težine 70 kg za rezultat će imati izlaganje količini od 46,8 mg/kg etanola, što može da izazove skok koncentracije alkohola u krvi (KAK) od 7,8 mg/100 ml.</w:t>
      </w:r>
    </w:p>
    <w:p w14:paraId="5C81221C" w14:textId="77777777" w:rsidR="00797963" w:rsidRDefault="00797963" w:rsidP="00797963">
      <w:pPr>
        <w:pStyle w:val="Header"/>
        <w:tabs>
          <w:tab w:val="left" w:pos="284"/>
        </w:tabs>
        <w:rPr>
          <w:sz w:val="22"/>
          <w:szCs w:val="22"/>
        </w:rPr>
      </w:pPr>
    </w:p>
    <w:p w14:paraId="61067A77" w14:textId="77777777" w:rsidR="00797963" w:rsidRDefault="00797963" w:rsidP="00797963">
      <w:pPr>
        <w:pStyle w:val="Header"/>
        <w:tabs>
          <w:tab w:val="left" w:pos="284"/>
        </w:tabs>
        <w:rPr>
          <w:sz w:val="22"/>
          <w:szCs w:val="22"/>
        </w:rPr>
      </w:pPr>
      <w:r>
        <w:rPr>
          <w:sz w:val="22"/>
          <w:szCs w:val="22"/>
        </w:rPr>
        <w:t>Poređenja radi, za odraslu osobu koja je popila čašu vina ili 500 ml piva, KAK će vjerovatno biti oko 50 mg/100 ml.</w:t>
      </w:r>
    </w:p>
    <w:p w14:paraId="6E7A1220" w14:textId="1E7B1465" w:rsidR="00797963" w:rsidRDefault="00797963" w:rsidP="00480FB1">
      <w:pPr>
        <w:tabs>
          <w:tab w:val="left" w:pos="540"/>
          <w:tab w:val="left" w:pos="569"/>
        </w:tabs>
        <w:rPr>
          <w:sz w:val="22"/>
          <w:szCs w:val="22"/>
          <w:u w:val="single"/>
        </w:rPr>
      </w:pPr>
    </w:p>
    <w:p w14:paraId="0929FF27" w14:textId="77777777" w:rsidR="00797963" w:rsidRDefault="00797963" w:rsidP="00797963">
      <w:pPr>
        <w:pStyle w:val="Header"/>
        <w:tabs>
          <w:tab w:val="left" w:pos="284"/>
        </w:tabs>
        <w:rPr>
          <w:sz w:val="22"/>
          <w:szCs w:val="22"/>
        </w:rPr>
      </w:pPr>
      <w:r>
        <w:rPr>
          <w:sz w:val="22"/>
          <w:szCs w:val="22"/>
        </w:rPr>
        <w:t>Istovremena primjena sa ljekovima koji sadrže npr. propilen glikol ili etanol, može dovesti do nakupljanja etanola i izazivanja neželjenih dejstava, posebno kod male djece sa malim ili nezrelim metaboličkim kapacitetom.</w:t>
      </w:r>
    </w:p>
    <w:p w14:paraId="2B2E2547" w14:textId="77777777" w:rsidR="00797963" w:rsidRDefault="00797963" w:rsidP="00797963">
      <w:pPr>
        <w:pStyle w:val="Header"/>
        <w:tabs>
          <w:tab w:val="left" w:pos="284"/>
        </w:tabs>
        <w:rPr>
          <w:sz w:val="22"/>
          <w:szCs w:val="22"/>
        </w:rPr>
      </w:pPr>
    </w:p>
    <w:p w14:paraId="2458F1C8" w14:textId="77777777" w:rsidR="00797963" w:rsidRDefault="00797963" w:rsidP="00797963">
      <w:pPr>
        <w:pStyle w:val="Header"/>
        <w:tabs>
          <w:tab w:val="left" w:pos="284"/>
        </w:tabs>
        <w:rPr>
          <w:sz w:val="22"/>
          <w:szCs w:val="22"/>
        </w:rPr>
      </w:pPr>
      <w:r>
        <w:rPr>
          <w:sz w:val="22"/>
          <w:szCs w:val="22"/>
        </w:rPr>
        <w:t>Nije vjerovatno da će količina etanola sadržanog u ovom lijeku imati dejstvo kod odraslih osoba i adolescenata, te nije vjerovatno da će njegovo dejstvo kod djece biti primjetno. Može da ima izvjesno dejstvo, kao što je somnolencija, kod novorođenčadi i male djece.</w:t>
      </w:r>
    </w:p>
    <w:p w14:paraId="03404919" w14:textId="77777777" w:rsidR="00797963" w:rsidRDefault="00797963" w:rsidP="00797963">
      <w:pPr>
        <w:pStyle w:val="Header"/>
        <w:tabs>
          <w:tab w:val="left" w:pos="284"/>
        </w:tabs>
        <w:rPr>
          <w:sz w:val="22"/>
          <w:szCs w:val="22"/>
        </w:rPr>
      </w:pPr>
    </w:p>
    <w:p w14:paraId="5440E37A" w14:textId="77777777" w:rsidR="00797963" w:rsidRDefault="00797963" w:rsidP="00797963">
      <w:pPr>
        <w:pStyle w:val="Header"/>
        <w:tabs>
          <w:tab w:val="left" w:pos="284"/>
        </w:tabs>
        <w:rPr>
          <w:sz w:val="22"/>
          <w:szCs w:val="22"/>
        </w:rPr>
      </w:pPr>
      <w:r>
        <w:rPr>
          <w:sz w:val="22"/>
          <w:szCs w:val="22"/>
        </w:rPr>
        <w:t>Sadržaj etanola u ovom lijeku treba pažljivo razmotriti kod sljedećih grupa pacijenata koji mogu biti pod povećanim rizikom za razvoj neželjenih dejstava povezanih sa etanolom:</w:t>
      </w:r>
    </w:p>
    <w:p w14:paraId="58639D48" w14:textId="77777777" w:rsidR="00797963" w:rsidRDefault="00797963" w:rsidP="00797963">
      <w:pPr>
        <w:pStyle w:val="Header"/>
        <w:numPr>
          <w:ilvl w:val="0"/>
          <w:numId w:val="14"/>
        </w:numPr>
        <w:tabs>
          <w:tab w:val="clear" w:pos="4320"/>
          <w:tab w:val="clear" w:pos="8640"/>
          <w:tab w:val="left" w:pos="284"/>
        </w:tabs>
        <w:rPr>
          <w:sz w:val="22"/>
          <w:szCs w:val="22"/>
        </w:rPr>
      </w:pPr>
      <w:r>
        <w:rPr>
          <w:sz w:val="22"/>
          <w:szCs w:val="22"/>
        </w:rPr>
        <w:t>trudnice i dojilje</w:t>
      </w:r>
    </w:p>
    <w:p w14:paraId="0095BB76" w14:textId="77777777" w:rsidR="00797963" w:rsidRDefault="00797963" w:rsidP="00797963">
      <w:pPr>
        <w:pStyle w:val="Header"/>
        <w:numPr>
          <w:ilvl w:val="0"/>
          <w:numId w:val="14"/>
        </w:numPr>
        <w:tabs>
          <w:tab w:val="clear" w:pos="4320"/>
          <w:tab w:val="clear" w:pos="8640"/>
          <w:tab w:val="left" w:pos="284"/>
        </w:tabs>
        <w:rPr>
          <w:sz w:val="22"/>
          <w:szCs w:val="22"/>
        </w:rPr>
      </w:pPr>
      <w:r>
        <w:rPr>
          <w:sz w:val="22"/>
          <w:szCs w:val="22"/>
        </w:rPr>
        <w:t>pacijenti koji imaju bolest jetre</w:t>
      </w:r>
    </w:p>
    <w:p w14:paraId="0B454B5A" w14:textId="77777777" w:rsidR="00797963" w:rsidRDefault="00797963" w:rsidP="00797963">
      <w:pPr>
        <w:pStyle w:val="Header"/>
        <w:numPr>
          <w:ilvl w:val="0"/>
          <w:numId w:val="14"/>
        </w:numPr>
        <w:tabs>
          <w:tab w:val="clear" w:pos="4320"/>
          <w:tab w:val="clear" w:pos="8640"/>
          <w:tab w:val="left" w:pos="284"/>
        </w:tabs>
        <w:rPr>
          <w:sz w:val="22"/>
          <w:szCs w:val="22"/>
        </w:rPr>
      </w:pPr>
      <w:r>
        <w:rPr>
          <w:sz w:val="22"/>
          <w:szCs w:val="22"/>
        </w:rPr>
        <w:t>pacijenti koji imaju epilepsiju</w:t>
      </w:r>
    </w:p>
    <w:p w14:paraId="7C6878FC" w14:textId="77777777" w:rsidR="00797963" w:rsidRPr="00084408" w:rsidRDefault="00797963" w:rsidP="00797963">
      <w:pPr>
        <w:pStyle w:val="Header"/>
        <w:numPr>
          <w:ilvl w:val="0"/>
          <w:numId w:val="14"/>
        </w:numPr>
        <w:tabs>
          <w:tab w:val="clear" w:pos="4320"/>
          <w:tab w:val="clear" w:pos="8640"/>
          <w:tab w:val="left" w:pos="284"/>
        </w:tabs>
        <w:rPr>
          <w:sz w:val="22"/>
          <w:szCs w:val="22"/>
        </w:rPr>
      </w:pPr>
      <w:r>
        <w:rPr>
          <w:sz w:val="22"/>
          <w:szCs w:val="22"/>
        </w:rPr>
        <w:t>pacijenti koji pate od alkoholizma.</w:t>
      </w:r>
    </w:p>
    <w:p w14:paraId="5B7CBE5B" w14:textId="77777777" w:rsidR="00797963" w:rsidRPr="00084408" w:rsidRDefault="00797963" w:rsidP="00797963">
      <w:pPr>
        <w:pStyle w:val="Header"/>
        <w:tabs>
          <w:tab w:val="left" w:pos="284"/>
        </w:tabs>
        <w:rPr>
          <w:sz w:val="22"/>
          <w:szCs w:val="22"/>
        </w:rPr>
      </w:pPr>
      <w:bookmarkStart w:id="3" w:name="_Hlk523435022"/>
    </w:p>
    <w:p w14:paraId="5B9FA00B" w14:textId="77777777" w:rsidR="00797963" w:rsidRPr="00084408" w:rsidRDefault="00797963" w:rsidP="00797963">
      <w:pPr>
        <w:pStyle w:val="Header"/>
        <w:tabs>
          <w:tab w:val="left" w:pos="284"/>
        </w:tabs>
        <w:rPr>
          <w:sz w:val="22"/>
          <w:szCs w:val="22"/>
        </w:rPr>
      </w:pPr>
      <w:r w:rsidRPr="00084408">
        <w:rPr>
          <w:sz w:val="22"/>
          <w:szCs w:val="22"/>
        </w:rPr>
        <w:lastRenderedPageBreak/>
        <w:t>Treba obratiti pažnju na moguće dejstvo na centralni nervni sistem</w:t>
      </w:r>
      <w:bookmarkEnd w:id="3"/>
      <w:r w:rsidRPr="00084408">
        <w:rPr>
          <w:sz w:val="22"/>
          <w:szCs w:val="22"/>
        </w:rPr>
        <w:t>.</w:t>
      </w:r>
    </w:p>
    <w:p w14:paraId="72CA178B" w14:textId="77777777" w:rsidR="00797963" w:rsidRPr="00797963" w:rsidRDefault="00797963" w:rsidP="00480FB1">
      <w:pPr>
        <w:tabs>
          <w:tab w:val="left" w:pos="540"/>
          <w:tab w:val="left" w:pos="569"/>
        </w:tabs>
        <w:rPr>
          <w:sz w:val="22"/>
          <w:szCs w:val="22"/>
          <w:u w:val="single"/>
        </w:rPr>
      </w:pPr>
    </w:p>
    <w:p w14:paraId="63A187C3" w14:textId="77777777" w:rsidR="00057E35" w:rsidRPr="00CF6935" w:rsidRDefault="00057E35" w:rsidP="00480FB1">
      <w:pPr>
        <w:tabs>
          <w:tab w:val="left" w:pos="540"/>
          <w:tab w:val="left" w:pos="569"/>
        </w:tabs>
        <w:rPr>
          <w:bCs/>
          <w:sz w:val="22"/>
          <w:szCs w:val="22"/>
        </w:rPr>
      </w:pPr>
    </w:p>
    <w:p w14:paraId="46E24025" w14:textId="77777777" w:rsidR="00411B4B" w:rsidRPr="000B639B" w:rsidRDefault="00411B4B" w:rsidP="00480FB1">
      <w:pPr>
        <w:tabs>
          <w:tab w:val="left" w:pos="540"/>
          <w:tab w:val="left" w:pos="569"/>
        </w:tabs>
        <w:rPr>
          <w:b/>
          <w:bCs/>
          <w:sz w:val="22"/>
          <w:szCs w:val="22"/>
          <w:lang w:val="de-DE"/>
        </w:rPr>
      </w:pPr>
      <w:r w:rsidRPr="000B639B">
        <w:rPr>
          <w:b/>
          <w:bCs/>
          <w:sz w:val="22"/>
          <w:szCs w:val="22"/>
          <w:lang w:val="de-DE"/>
        </w:rPr>
        <w:t>4.5.</w:t>
      </w:r>
      <w:r w:rsidR="000D60CC" w:rsidRPr="000B639B">
        <w:rPr>
          <w:b/>
          <w:bCs/>
          <w:sz w:val="22"/>
          <w:szCs w:val="22"/>
          <w:lang w:val="de-DE"/>
        </w:rPr>
        <w:tab/>
      </w:r>
      <w:r w:rsidRPr="000B639B">
        <w:rPr>
          <w:b/>
          <w:bCs/>
          <w:sz w:val="22"/>
          <w:szCs w:val="22"/>
          <w:lang w:val="de-DE"/>
        </w:rPr>
        <w:t>Interakcije sa drugim ljekovima i druge vrste interakcija</w:t>
      </w:r>
    </w:p>
    <w:p w14:paraId="70C3B264" w14:textId="34120F18" w:rsidR="0072020E" w:rsidRDefault="0072020E" w:rsidP="00480FB1">
      <w:pPr>
        <w:tabs>
          <w:tab w:val="left" w:pos="540"/>
          <w:tab w:val="left" w:pos="569"/>
        </w:tabs>
        <w:rPr>
          <w:bCs/>
          <w:sz w:val="22"/>
          <w:szCs w:val="22"/>
          <w:lang w:val="de-DE"/>
        </w:rPr>
      </w:pPr>
    </w:p>
    <w:p w14:paraId="45BD549C" w14:textId="77777777" w:rsidR="00CF6935" w:rsidRPr="007A05AB" w:rsidRDefault="00CF6935" w:rsidP="00CF6935">
      <w:pPr>
        <w:pStyle w:val="Header"/>
        <w:tabs>
          <w:tab w:val="left" w:pos="284"/>
        </w:tabs>
        <w:rPr>
          <w:sz w:val="22"/>
          <w:szCs w:val="22"/>
          <w:lang w:val="de-DE"/>
        </w:rPr>
      </w:pPr>
      <w:r w:rsidRPr="007A05AB">
        <w:rPr>
          <w:sz w:val="22"/>
          <w:szCs w:val="22"/>
          <w:lang w:val="de-DE"/>
        </w:rPr>
        <w:t>Količina alkohola u ovom medicinskom proizvodu može izmijeniti efekte drugih ljekova.</w:t>
      </w:r>
    </w:p>
    <w:p w14:paraId="0B63BE97" w14:textId="77777777" w:rsidR="00CF6935" w:rsidRPr="007A05AB" w:rsidRDefault="00CF6935" w:rsidP="00CF6935">
      <w:pPr>
        <w:autoSpaceDE w:val="0"/>
        <w:autoSpaceDN w:val="0"/>
        <w:adjustRightInd w:val="0"/>
        <w:rPr>
          <w:sz w:val="22"/>
          <w:szCs w:val="22"/>
          <w:lang w:val="de-DE"/>
        </w:rPr>
      </w:pPr>
    </w:p>
    <w:p w14:paraId="0C935923" w14:textId="77777777" w:rsidR="00CF6935" w:rsidRPr="007A05AB" w:rsidRDefault="00CF6935" w:rsidP="00CF6935">
      <w:pPr>
        <w:autoSpaceDE w:val="0"/>
        <w:autoSpaceDN w:val="0"/>
        <w:adjustRightInd w:val="0"/>
        <w:rPr>
          <w:sz w:val="22"/>
          <w:szCs w:val="22"/>
          <w:lang w:val="de-DE"/>
        </w:rPr>
      </w:pPr>
      <w:r w:rsidRPr="007A05AB">
        <w:rPr>
          <w:sz w:val="22"/>
          <w:szCs w:val="22"/>
          <w:lang w:val="de-DE"/>
        </w:rPr>
        <w:t xml:space="preserve">Ispitivanja </w:t>
      </w:r>
      <w:r w:rsidRPr="007A05AB">
        <w:rPr>
          <w:i/>
          <w:iCs/>
          <w:sz w:val="22"/>
          <w:szCs w:val="22"/>
          <w:lang w:val="de-DE"/>
        </w:rPr>
        <w:t xml:space="preserve">in vitro </w:t>
      </w:r>
      <w:r w:rsidRPr="007A05AB">
        <w:rPr>
          <w:sz w:val="22"/>
          <w:szCs w:val="22"/>
          <w:lang w:val="de-DE"/>
        </w:rPr>
        <w:t>su pokazala da metabolizam docetaksela može biti izmijenjen istovremenom primjenom ljekova koji indukuju, inhibiraju citohrom P450-3A ili se putem njega metabolišu (odnosno, mogu kompetitivno da inhibiraju enzim), kao što su ciklosporin, ketokonazol i eritromicin. Zbog toga, pri istovremenoj primjeni docetaksela sa navedenim ljekovima potreban je poseban oprez, zbog postojanja mogu</w:t>
      </w:r>
      <w:r w:rsidRPr="007A05AB">
        <w:rPr>
          <w:rFonts w:eastAsia="TimesNewRoman"/>
          <w:sz w:val="22"/>
          <w:szCs w:val="22"/>
          <w:lang w:val="de-DE"/>
        </w:rPr>
        <w:t>ć</w:t>
      </w:r>
      <w:r w:rsidRPr="007A05AB">
        <w:rPr>
          <w:sz w:val="22"/>
          <w:szCs w:val="22"/>
          <w:lang w:val="de-DE"/>
        </w:rPr>
        <w:t>nosti za pojavu zna</w:t>
      </w:r>
      <w:r w:rsidRPr="007A05AB">
        <w:rPr>
          <w:rFonts w:eastAsia="TimesNewRoman"/>
          <w:sz w:val="22"/>
          <w:szCs w:val="22"/>
          <w:lang w:val="de-DE"/>
        </w:rPr>
        <w:t>č</w:t>
      </w:r>
      <w:r w:rsidRPr="007A05AB">
        <w:rPr>
          <w:sz w:val="22"/>
          <w:szCs w:val="22"/>
          <w:lang w:val="de-DE"/>
        </w:rPr>
        <w:t>ajnih interakcija.</w:t>
      </w:r>
    </w:p>
    <w:p w14:paraId="0BCF42A0" w14:textId="77777777" w:rsidR="00CF6935" w:rsidRPr="007A05AB" w:rsidRDefault="00CF6935" w:rsidP="00CF6935">
      <w:pPr>
        <w:autoSpaceDE w:val="0"/>
        <w:autoSpaceDN w:val="0"/>
        <w:adjustRightInd w:val="0"/>
        <w:rPr>
          <w:sz w:val="22"/>
          <w:szCs w:val="22"/>
          <w:lang w:val="de-DE"/>
        </w:rPr>
      </w:pPr>
    </w:p>
    <w:p w14:paraId="293B9C5D" w14:textId="77777777" w:rsidR="00CF6935" w:rsidRPr="007A05AB" w:rsidRDefault="00CF6935" w:rsidP="00CF6935">
      <w:pPr>
        <w:autoSpaceDE w:val="0"/>
        <w:autoSpaceDN w:val="0"/>
        <w:adjustRightInd w:val="0"/>
        <w:rPr>
          <w:sz w:val="22"/>
          <w:szCs w:val="22"/>
          <w:lang w:val="de-DE"/>
        </w:rPr>
      </w:pPr>
      <w:r w:rsidRPr="007A05AB">
        <w:rPr>
          <w:sz w:val="22"/>
          <w:szCs w:val="22"/>
          <w:lang w:val="de-DE"/>
        </w:rPr>
        <w:t>U slučaju kombinovanja sa inhibitorima CYP3A4, pojavljivanje neželjenih reakcija vezanih za docetaksel može se povećati, kao rezultat smanjenog metabolizma. Ako se istovremena upotreba snažnog inhibitora CYP3A4 (npr. ketokonazola, itrakonazola, klaritromicina, indinavira, nefazodona, nelfinavira, ritonavira, sakvinavira, telitromicina i vorikonazola) ne može izbjeći, potreban je pažljiv klinički nadzor i prilagođavanje doze docetaksela može biti prikladno tokom liječenja snažnim inhibitorom CYP3A4 (vidjeti dio 4.4). U farmakokinetičkoj studiji sa 7 pacijenata, istovremena primjena docetaksela sa jakim inhibitorom CYP3A4 ketokonazolom dovodi do značajnog smanjenja klirensa docetaksela za 49%.</w:t>
      </w:r>
    </w:p>
    <w:p w14:paraId="6EEA6403" w14:textId="77777777" w:rsidR="00CF6935" w:rsidRPr="007A05AB" w:rsidRDefault="00CF6935" w:rsidP="00CF6935">
      <w:pPr>
        <w:autoSpaceDE w:val="0"/>
        <w:autoSpaceDN w:val="0"/>
        <w:adjustRightInd w:val="0"/>
        <w:rPr>
          <w:sz w:val="22"/>
          <w:szCs w:val="22"/>
          <w:lang w:val="de-DE"/>
        </w:rPr>
      </w:pPr>
    </w:p>
    <w:p w14:paraId="310BCB31" w14:textId="77777777" w:rsidR="00CF6935" w:rsidRPr="007A05AB" w:rsidRDefault="00CF6935" w:rsidP="00CF6935">
      <w:pPr>
        <w:autoSpaceDE w:val="0"/>
        <w:autoSpaceDN w:val="0"/>
        <w:adjustRightInd w:val="0"/>
        <w:rPr>
          <w:sz w:val="22"/>
          <w:szCs w:val="22"/>
          <w:lang w:val="de-DE"/>
        </w:rPr>
      </w:pPr>
      <w:r w:rsidRPr="007A05AB">
        <w:rPr>
          <w:sz w:val="22"/>
          <w:szCs w:val="22"/>
          <w:lang w:val="de-DE"/>
        </w:rPr>
        <w:t>Farmakokinetika docetaksela u prisustvu prednizona ispitivana je kod pacijenata sa metastatskim rakom prostate. Docetaksel se metabolizuje pomoću CYP3A4 i poznato je da prednizon indukuje CYP3A4. Nije primijećeno statistički značajno dejstvo prednizona na farmakokinetiku docetaksela.</w:t>
      </w:r>
    </w:p>
    <w:p w14:paraId="2C7ED345" w14:textId="77777777" w:rsidR="00CF6935" w:rsidRPr="007A05AB" w:rsidRDefault="00CF6935" w:rsidP="00CF6935">
      <w:pPr>
        <w:autoSpaceDE w:val="0"/>
        <w:autoSpaceDN w:val="0"/>
        <w:adjustRightInd w:val="0"/>
        <w:rPr>
          <w:sz w:val="22"/>
          <w:szCs w:val="22"/>
          <w:lang w:val="de-DE"/>
        </w:rPr>
      </w:pPr>
    </w:p>
    <w:p w14:paraId="187BC7F3" w14:textId="77777777" w:rsidR="00CF6935" w:rsidRPr="007A05AB" w:rsidRDefault="00CF6935" w:rsidP="00CF6935">
      <w:pPr>
        <w:autoSpaceDE w:val="0"/>
        <w:autoSpaceDN w:val="0"/>
        <w:adjustRightInd w:val="0"/>
        <w:rPr>
          <w:sz w:val="22"/>
          <w:szCs w:val="22"/>
          <w:lang w:val="de-DE"/>
        </w:rPr>
      </w:pPr>
      <w:r w:rsidRPr="007A05AB">
        <w:rPr>
          <w:sz w:val="22"/>
          <w:szCs w:val="22"/>
          <w:lang w:val="de-DE"/>
        </w:rPr>
        <w:t xml:space="preserve">Docetaksel se u velikom stepenu vezuje za proteine (&gt; 95%). Iako potencijalne </w:t>
      </w:r>
      <w:r w:rsidRPr="007A05AB">
        <w:rPr>
          <w:i/>
          <w:iCs/>
          <w:sz w:val="22"/>
          <w:szCs w:val="22"/>
          <w:lang w:val="de-DE"/>
        </w:rPr>
        <w:t xml:space="preserve">in vivo </w:t>
      </w:r>
      <w:r w:rsidRPr="007A05AB">
        <w:rPr>
          <w:sz w:val="22"/>
          <w:szCs w:val="22"/>
          <w:lang w:val="de-DE"/>
        </w:rPr>
        <w:t xml:space="preserve">interakcije docetaksela sa istovremeno primijenjenim ljekovima nijesu formalno ispitivane, </w:t>
      </w:r>
      <w:r w:rsidRPr="007A05AB">
        <w:rPr>
          <w:i/>
          <w:iCs/>
          <w:sz w:val="22"/>
          <w:szCs w:val="22"/>
          <w:lang w:val="de-DE"/>
        </w:rPr>
        <w:t xml:space="preserve">in vitro </w:t>
      </w:r>
      <w:r w:rsidRPr="007A05AB">
        <w:rPr>
          <w:sz w:val="22"/>
          <w:szCs w:val="22"/>
          <w:lang w:val="de-DE"/>
        </w:rPr>
        <w:t>ispitivanja sa agensima koji se snažno vezuju za proteine, npr. eritromicinom, difenhidraminom, propranololom, propafenonom, fenitoinom, salicilatima, sulfametoksazolom i natrijum valproatom nijesu pokazala uticaj na vezivanje docetaksela za proteine. Dodatno, ni deksametazon nije uticao na vezivanje docetaksela za proteine. Docetaksel nije uticao na vezivanje digitoksina.</w:t>
      </w:r>
    </w:p>
    <w:p w14:paraId="5FB26C7F" w14:textId="77777777" w:rsidR="00CF6935" w:rsidRPr="007A05AB" w:rsidRDefault="00CF6935" w:rsidP="00CF6935">
      <w:pPr>
        <w:autoSpaceDE w:val="0"/>
        <w:autoSpaceDN w:val="0"/>
        <w:adjustRightInd w:val="0"/>
        <w:rPr>
          <w:sz w:val="22"/>
          <w:szCs w:val="22"/>
          <w:lang w:val="de-DE"/>
        </w:rPr>
      </w:pPr>
    </w:p>
    <w:p w14:paraId="5AF93F51" w14:textId="77777777" w:rsidR="00CF6935" w:rsidRPr="007A05AB" w:rsidRDefault="00CF6935" w:rsidP="00CF6935">
      <w:pPr>
        <w:autoSpaceDE w:val="0"/>
        <w:autoSpaceDN w:val="0"/>
        <w:adjustRightInd w:val="0"/>
        <w:rPr>
          <w:sz w:val="22"/>
          <w:szCs w:val="22"/>
          <w:lang w:val="de-DE"/>
        </w:rPr>
      </w:pPr>
      <w:r w:rsidRPr="007A05AB">
        <w:rPr>
          <w:sz w:val="22"/>
          <w:szCs w:val="22"/>
          <w:lang w:val="de-DE"/>
        </w:rPr>
        <w:t>Istovremena primjena docetaksela, doksorubicina i ciklofosfamida nije imala uticaja na farmakokinetiku ovih ljekova pojedina</w:t>
      </w:r>
      <w:r w:rsidRPr="007A05AB">
        <w:rPr>
          <w:rFonts w:eastAsia="TimesNewRoman"/>
          <w:sz w:val="22"/>
          <w:szCs w:val="22"/>
          <w:lang w:val="de-DE"/>
        </w:rPr>
        <w:t>č</w:t>
      </w:r>
      <w:r w:rsidRPr="007A05AB">
        <w:rPr>
          <w:sz w:val="22"/>
          <w:szCs w:val="22"/>
          <w:lang w:val="de-DE"/>
        </w:rPr>
        <w:t>no. Ograni</w:t>
      </w:r>
      <w:r w:rsidRPr="007A05AB">
        <w:rPr>
          <w:rFonts w:eastAsia="TimesNewRoman"/>
          <w:sz w:val="22"/>
          <w:szCs w:val="22"/>
          <w:lang w:val="de-DE"/>
        </w:rPr>
        <w:t>č</w:t>
      </w:r>
      <w:r w:rsidRPr="007A05AB">
        <w:rPr>
          <w:sz w:val="22"/>
          <w:szCs w:val="22"/>
          <w:lang w:val="de-DE"/>
        </w:rPr>
        <w:t>eni podaci dobijeni na osnovu jedne nekontrolisane studije ukazuju na interakciju izme</w:t>
      </w:r>
      <w:r w:rsidRPr="007A05AB">
        <w:rPr>
          <w:rFonts w:eastAsia="TimesNewRoman"/>
          <w:sz w:val="22"/>
          <w:szCs w:val="22"/>
          <w:lang w:val="de-DE"/>
        </w:rPr>
        <w:t>đ</w:t>
      </w:r>
      <w:r w:rsidRPr="007A05AB">
        <w:rPr>
          <w:sz w:val="22"/>
          <w:szCs w:val="22"/>
          <w:lang w:val="de-DE"/>
        </w:rPr>
        <w:t>u docetaksela i karboplatina. Klirens karboplatina primijenjenog u kombinaciji sa docetakselom bio je oko 50% viši od vrijednosti registrovanih pri primjeni karboplatina u monoterapiji.</w:t>
      </w:r>
    </w:p>
    <w:p w14:paraId="33D9D5C0" w14:textId="77777777" w:rsidR="00CF6935" w:rsidRPr="000B639B" w:rsidRDefault="00CF6935" w:rsidP="00480FB1">
      <w:pPr>
        <w:tabs>
          <w:tab w:val="left" w:pos="540"/>
          <w:tab w:val="left" w:pos="569"/>
        </w:tabs>
        <w:rPr>
          <w:bCs/>
          <w:sz w:val="22"/>
          <w:szCs w:val="22"/>
          <w:lang w:val="de-DE"/>
        </w:rPr>
      </w:pPr>
    </w:p>
    <w:p w14:paraId="1E9F9633" w14:textId="77777777" w:rsidR="0072020E" w:rsidRDefault="0072020E" w:rsidP="00480FB1">
      <w:pPr>
        <w:tabs>
          <w:tab w:val="left" w:pos="540"/>
          <w:tab w:val="left" w:pos="569"/>
        </w:tabs>
        <w:rPr>
          <w:b/>
          <w:sz w:val="22"/>
          <w:szCs w:val="22"/>
          <w:lang w:val="sr-Latn-CS"/>
        </w:rPr>
      </w:pPr>
      <w:r w:rsidRPr="00BB3077">
        <w:rPr>
          <w:b/>
          <w:bCs/>
          <w:sz w:val="22"/>
          <w:szCs w:val="22"/>
          <w:lang w:val="de-DE"/>
        </w:rPr>
        <w:t xml:space="preserve">4.6. </w:t>
      </w:r>
      <w:r w:rsidR="00480FB1" w:rsidRPr="00BB3077">
        <w:rPr>
          <w:b/>
          <w:bCs/>
          <w:sz w:val="22"/>
          <w:szCs w:val="22"/>
          <w:lang w:val="de-DE"/>
        </w:rPr>
        <w:tab/>
      </w:r>
      <w:r w:rsidR="006D20A5">
        <w:rPr>
          <w:b/>
          <w:sz w:val="22"/>
          <w:szCs w:val="22"/>
          <w:lang w:val="sr-Latn-CS"/>
        </w:rPr>
        <w:t>Plodnost, trudnoća i dojenje</w:t>
      </w:r>
    </w:p>
    <w:p w14:paraId="6B51DD58" w14:textId="77777777" w:rsidR="002031B3" w:rsidRPr="00BB3077" w:rsidRDefault="002031B3" w:rsidP="00480FB1">
      <w:pPr>
        <w:tabs>
          <w:tab w:val="left" w:pos="540"/>
          <w:tab w:val="left" w:pos="569"/>
        </w:tabs>
        <w:rPr>
          <w:sz w:val="22"/>
          <w:szCs w:val="22"/>
          <w:u w:val="single"/>
          <w:lang w:val="de-DE"/>
        </w:rPr>
      </w:pPr>
    </w:p>
    <w:p w14:paraId="2AF52172" w14:textId="77777777" w:rsidR="007A05AB" w:rsidRPr="00BB3077" w:rsidRDefault="007A05AB" w:rsidP="007A05AB">
      <w:pPr>
        <w:autoSpaceDE w:val="0"/>
        <w:autoSpaceDN w:val="0"/>
        <w:adjustRightInd w:val="0"/>
        <w:rPr>
          <w:sz w:val="22"/>
          <w:szCs w:val="22"/>
          <w:u w:val="single"/>
          <w:lang w:val="de-DE"/>
        </w:rPr>
      </w:pPr>
      <w:r w:rsidRPr="00BB3077">
        <w:rPr>
          <w:sz w:val="22"/>
          <w:szCs w:val="22"/>
          <w:u w:val="single"/>
          <w:lang w:val="de-DE"/>
        </w:rPr>
        <w:t>Trudnoća</w:t>
      </w:r>
    </w:p>
    <w:p w14:paraId="1910CE5C" w14:textId="77777777" w:rsidR="007A05AB" w:rsidRPr="00BB3077" w:rsidRDefault="007A05AB" w:rsidP="007A05AB">
      <w:pPr>
        <w:autoSpaceDE w:val="0"/>
        <w:autoSpaceDN w:val="0"/>
        <w:adjustRightInd w:val="0"/>
        <w:rPr>
          <w:sz w:val="22"/>
          <w:szCs w:val="22"/>
          <w:lang w:val="de-DE"/>
        </w:rPr>
      </w:pPr>
    </w:p>
    <w:p w14:paraId="34C95EE3" w14:textId="77777777" w:rsidR="007A05AB" w:rsidRPr="00BB3077" w:rsidRDefault="007A05AB" w:rsidP="007A05AB">
      <w:pPr>
        <w:autoSpaceDE w:val="0"/>
        <w:autoSpaceDN w:val="0"/>
        <w:adjustRightInd w:val="0"/>
        <w:rPr>
          <w:sz w:val="22"/>
          <w:szCs w:val="22"/>
          <w:lang w:val="de-DE"/>
        </w:rPr>
      </w:pPr>
      <w:r w:rsidRPr="00BB3077">
        <w:rPr>
          <w:sz w:val="22"/>
          <w:szCs w:val="22"/>
          <w:lang w:val="de-DE"/>
        </w:rPr>
        <w:t>Nema podataka o primjeni docetaksela kod trudnica. Pokazalo se da je docetaksel i embriotoksi</w:t>
      </w:r>
      <w:r w:rsidRPr="00BB3077">
        <w:rPr>
          <w:rFonts w:eastAsia="TimesNewRoman"/>
          <w:sz w:val="22"/>
          <w:szCs w:val="22"/>
          <w:lang w:val="de-DE"/>
        </w:rPr>
        <w:t>č</w:t>
      </w:r>
      <w:r w:rsidRPr="00BB3077">
        <w:rPr>
          <w:sz w:val="22"/>
          <w:szCs w:val="22"/>
          <w:lang w:val="de-DE"/>
        </w:rPr>
        <w:t>an i fetotoksi</w:t>
      </w:r>
      <w:r w:rsidRPr="00BB3077">
        <w:rPr>
          <w:rFonts w:eastAsia="TimesNewRoman"/>
          <w:sz w:val="22"/>
          <w:szCs w:val="22"/>
          <w:lang w:val="de-DE"/>
        </w:rPr>
        <w:t>č</w:t>
      </w:r>
      <w:r w:rsidRPr="00BB3077">
        <w:rPr>
          <w:sz w:val="22"/>
          <w:szCs w:val="22"/>
          <w:lang w:val="de-DE"/>
        </w:rPr>
        <w:t>an kod ze</w:t>
      </w:r>
      <w:r w:rsidRPr="00BB3077">
        <w:rPr>
          <w:rFonts w:eastAsia="TimesNewRoman"/>
          <w:sz w:val="22"/>
          <w:szCs w:val="22"/>
          <w:lang w:val="de-DE"/>
        </w:rPr>
        <w:t>č</w:t>
      </w:r>
      <w:r w:rsidRPr="00BB3077">
        <w:rPr>
          <w:sz w:val="22"/>
          <w:szCs w:val="22"/>
          <w:lang w:val="de-DE"/>
        </w:rPr>
        <w:t>eva i pacova (vidjeti dio 5.3). Kao i drugi citotoksi</w:t>
      </w:r>
      <w:r w:rsidRPr="00BB3077">
        <w:rPr>
          <w:rFonts w:eastAsia="TimesNewRoman"/>
          <w:sz w:val="22"/>
          <w:szCs w:val="22"/>
          <w:lang w:val="de-DE"/>
        </w:rPr>
        <w:t>č</w:t>
      </w:r>
      <w:r w:rsidRPr="00BB3077">
        <w:rPr>
          <w:sz w:val="22"/>
          <w:szCs w:val="22"/>
          <w:lang w:val="de-DE"/>
        </w:rPr>
        <w:t>ni ljekovi, pri primjeni u trudno</w:t>
      </w:r>
      <w:r w:rsidRPr="00BB3077">
        <w:rPr>
          <w:rFonts w:eastAsia="TimesNewRoman"/>
          <w:sz w:val="22"/>
          <w:szCs w:val="22"/>
          <w:lang w:val="de-DE"/>
        </w:rPr>
        <w:t>ć</w:t>
      </w:r>
      <w:r w:rsidRPr="00BB3077">
        <w:rPr>
          <w:sz w:val="22"/>
          <w:szCs w:val="22"/>
          <w:lang w:val="de-DE"/>
        </w:rPr>
        <w:t>i, docetaksel može dovesti do ošte</w:t>
      </w:r>
      <w:r w:rsidRPr="00BB3077">
        <w:rPr>
          <w:rFonts w:eastAsia="TimesNewRoman"/>
          <w:sz w:val="22"/>
          <w:szCs w:val="22"/>
          <w:lang w:val="de-DE"/>
        </w:rPr>
        <w:t>ć</w:t>
      </w:r>
      <w:r w:rsidRPr="00BB3077">
        <w:rPr>
          <w:sz w:val="22"/>
          <w:szCs w:val="22"/>
          <w:lang w:val="de-DE"/>
        </w:rPr>
        <w:t>enja fetusa. Zbog toga, docetaksel se ne smije koristiti tokom trudno</w:t>
      </w:r>
      <w:r w:rsidRPr="00BB3077">
        <w:rPr>
          <w:rFonts w:eastAsia="TimesNewRoman"/>
          <w:sz w:val="22"/>
          <w:szCs w:val="22"/>
          <w:lang w:val="de-DE"/>
        </w:rPr>
        <w:t>ć</w:t>
      </w:r>
      <w:r w:rsidRPr="00BB3077">
        <w:rPr>
          <w:sz w:val="22"/>
          <w:szCs w:val="22"/>
          <w:lang w:val="de-DE"/>
        </w:rPr>
        <w:t xml:space="preserve">e, osim ako to nije jasno indikovano.  </w:t>
      </w:r>
    </w:p>
    <w:p w14:paraId="2C49FE89" w14:textId="77777777" w:rsidR="007A05AB" w:rsidRPr="00BB3077" w:rsidRDefault="007A05AB" w:rsidP="007A05AB">
      <w:pPr>
        <w:autoSpaceDE w:val="0"/>
        <w:autoSpaceDN w:val="0"/>
        <w:adjustRightInd w:val="0"/>
        <w:rPr>
          <w:sz w:val="22"/>
          <w:szCs w:val="22"/>
          <w:u w:val="single"/>
          <w:lang w:val="de-DE"/>
        </w:rPr>
      </w:pPr>
    </w:p>
    <w:p w14:paraId="2DB69FF8" w14:textId="77777777" w:rsidR="007A05AB" w:rsidRPr="00BB3077" w:rsidRDefault="007A05AB" w:rsidP="007A05AB">
      <w:pPr>
        <w:autoSpaceDE w:val="0"/>
        <w:autoSpaceDN w:val="0"/>
        <w:adjustRightInd w:val="0"/>
        <w:rPr>
          <w:sz w:val="22"/>
          <w:szCs w:val="22"/>
          <w:lang w:val="de-DE"/>
        </w:rPr>
      </w:pPr>
      <w:r w:rsidRPr="00BB3077">
        <w:rPr>
          <w:sz w:val="22"/>
          <w:szCs w:val="22"/>
          <w:lang w:val="de-DE"/>
        </w:rPr>
        <w:t>Ženama u reproduktivnom dobu koje primaju docetaksel mora se savjetovati efikasna kontracepcija radi izbjegavanja trudno</w:t>
      </w:r>
      <w:r w:rsidRPr="00BB3077">
        <w:rPr>
          <w:rFonts w:eastAsia="TimesNewRoman"/>
          <w:sz w:val="22"/>
          <w:szCs w:val="22"/>
          <w:lang w:val="de-DE"/>
        </w:rPr>
        <w:t>ć</w:t>
      </w:r>
      <w:r w:rsidRPr="00BB3077">
        <w:rPr>
          <w:sz w:val="22"/>
          <w:szCs w:val="22"/>
          <w:lang w:val="de-DE"/>
        </w:rPr>
        <w:t>e, a u slu</w:t>
      </w:r>
      <w:r w:rsidRPr="00BB3077">
        <w:rPr>
          <w:rFonts w:eastAsia="TimesNewRoman"/>
          <w:sz w:val="22"/>
          <w:szCs w:val="22"/>
          <w:lang w:val="de-DE"/>
        </w:rPr>
        <w:t>č</w:t>
      </w:r>
      <w:r w:rsidRPr="00BB3077">
        <w:rPr>
          <w:sz w:val="22"/>
          <w:szCs w:val="22"/>
          <w:lang w:val="de-DE"/>
        </w:rPr>
        <w:t>aju da ostanu u drugom stanju potrebno je da o tome odmah obavijeste ljekara koji ih lije</w:t>
      </w:r>
      <w:r w:rsidRPr="00BB3077">
        <w:rPr>
          <w:rFonts w:eastAsia="TimesNewRoman"/>
          <w:sz w:val="22"/>
          <w:szCs w:val="22"/>
          <w:lang w:val="de-DE"/>
        </w:rPr>
        <w:t>č</w:t>
      </w:r>
      <w:r w:rsidRPr="00BB3077">
        <w:rPr>
          <w:sz w:val="22"/>
          <w:szCs w:val="22"/>
          <w:lang w:val="de-DE"/>
        </w:rPr>
        <w:t>i.</w:t>
      </w:r>
    </w:p>
    <w:p w14:paraId="5223AA89" w14:textId="77777777" w:rsidR="007A05AB" w:rsidRPr="00BB3077" w:rsidRDefault="007A05AB" w:rsidP="007A05AB">
      <w:pPr>
        <w:autoSpaceDE w:val="0"/>
        <w:autoSpaceDN w:val="0"/>
        <w:adjustRightInd w:val="0"/>
        <w:rPr>
          <w:sz w:val="22"/>
          <w:szCs w:val="22"/>
          <w:lang w:val="de-DE"/>
        </w:rPr>
      </w:pPr>
    </w:p>
    <w:p w14:paraId="3D522183" w14:textId="77777777" w:rsidR="007A05AB" w:rsidRPr="00147B58" w:rsidRDefault="007A05AB" w:rsidP="007A05AB">
      <w:pPr>
        <w:autoSpaceDE w:val="0"/>
        <w:autoSpaceDN w:val="0"/>
        <w:adjustRightInd w:val="0"/>
        <w:rPr>
          <w:sz w:val="22"/>
          <w:szCs w:val="22"/>
          <w:u w:val="single"/>
        </w:rPr>
      </w:pPr>
      <w:r w:rsidRPr="00147B58">
        <w:rPr>
          <w:sz w:val="22"/>
          <w:szCs w:val="22"/>
          <w:u w:val="single"/>
        </w:rPr>
        <w:t>Dojenje</w:t>
      </w:r>
    </w:p>
    <w:p w14:paraId="12DC6CF8" w14:textId="77777777" w:rsidR="007A05AB" w:rsidRPr="00147B58" w:rsidRDefault="007A05AB" w:rsidP="007A05AB">
      <w:pPr>
        <w:autoSpaceDE w:val="0"/>
        <w:autoSpaceDN w:val="0"/>
        <w:adjustRightInd w:val="0"/>
        <w:rPr>
          <w:sz w:val="22"/>
          <w:szCs w:val="22"/>
        </w:rPr>
      </w:pPr>
    </w:p>
    <w:p w14:paraId="2D4D196C" w14:textId="77777777" w:rsidR="007A05AB" w:rsidRPr="00147B58" w:rsidRDefault="007A05AB" w:rsidP="007A05AB">
      <w:pPr>
        <w:autoSpaceDE w:val="0"/>
        <w:autoSpaceDN w:val="0"/>
        <w:adjustRightInd w:val="0"/>
        <w:rPr>
          <w:sz w:val="22"/>
          <w:szCs w:val="22"/>
        </w:rPr>
      </w:pPr>
      <w:bookmarkStart w:id="4" w:name="_Hlk149214239"/>
      <w:r w:rsidRPr="00147B58">
        <w:rPr>
          <w:sz w:val="22"/>
          <w:szCs w:val="22"/>
        </w:rPr>
        <w:t>Docetaksel je lipofilna supstanca, ali nije poznato da li se izlu</w:t>
      </w:r>
      <w:r w:rsidRPr="00147B58">
        <w:rPr>
          <w:rFonts w:eastAsia="TimesNewRoman"/>
          <w:sz w:val="22"/>
          <w:szCs w:val="22"/>
        </w:rPr>
        <w:t>č</w:t>
      </w:r>
      <w:r w:rsidRPr="00147B58">
        <w:rPr>
          <w:sz w:val="22"/>
          <w:szCs w:val="22"/>
        </w:rPr>
        <w:t>uje u</w:t>
      </w:r>
      <w:commentRangeStart w:id="5"/>
      <w:r w:rsidRPr="00147B58">
        <w:rPr>
          <w:sz w:val="22"/>
          <w:szCs w:val="22"/>
        </w:rPr>
        <w:t xml:space="preserve"> </w:t>
      </w:r>
      <w:r>
        <w:rPr>
          <w:sz w:val="22"/>
          <w:szCs w:val="22"/>
        </w:rPr>
        <w:t>mli</w:t>
      </w:r>
      <w:r w:rsidRPr="00147B58">
        <w:rPr>
          <w:sz w:val="22"/>
          <w:szCs w:val="22"/>
        </w:rPr>
        <w:t xml:space="preserve">jeko </w:t>
      </w:r>
      <w:commentRangeEnd w:id="5"/>
      <w:r>
        <w:rPr>
          <w:rStyle w:val="CommentReference"/>
        </w:rPr>
        <w:commentReference w:id="5"/>
      </w:r>
      <w:r w:rsidRPr="00147B58">
        <w:rPr>
          <w:sz w:val="22"/>
          <w:szCs w:val="22"/>
        </w:rPr>
        <w:t>dojilje. Shodno tome, zbog mogu</w:t>
      </w:r>
      <w:r w:rsidRPr="00147B58">
        <w:rPr>
          <w:rFonts w:eastAsia="TimesNewRoman"/>
          <w:sz w:val="22"/>
          <w:szCs w:val="22"/>
        </w:rPr>
        <w:t>ć</w:t>
      </w:r>
      <w:r w:rsidRPr="00147B58">
        <w:rPr>
          <w:sz w:val="22"/>
          <w:szCs w:val="22"/>
        </w:rPr>
        <w:t>eg neželjenog dejstva na odoj</w:t>
      </w:r>
      <w:r w:rsidRPr="00147B58">
        <w:rPr>
          <w:rFonts w:eastAsia="TimesNewRoman"/>
          <w:sz w:val="22"/>
          <w:szCs w:val="22"/>
        </w:rPr>
        <w:t>č</w:t>
      </w:r>
      <w:r w:rsidRPr="00147B58">
        <w:rPr>
          <w:sz w:val="22"/>
          <w:szCs w:val="22"/>
        </w:rPr>
        <w:t>e, u toku lije</w:t>
      </w:r>
      <w:r w:rsidRPr="00147B58">
        <w:rPr>
          <w:rFonts w:eastAsia="TimesNewRoman"/>
          <w:sz w:val="22"/>
          <w:szCs w:val="22"/>
        </w:rPr>
        <w:t>č</w:t>
      </w:r>
      <w:r w:rsidRPr="00147B58">
        <w:rPr>
          <w:sz w:val="22"/>
          <w:szCs w:val="22"/>
        </w:rPr>
        <w:t xml:space="preserve">enja </w:t>
      </w:r>
      <w:r>
        <w:rPr>
          <w:sz w:val="22"/>
          <w:szCs w:val="22"/>
        </w:rPr>
        <w:t xml:space="preserve">kao i nedjelju dana poslije posljednje doze </w:t>
      </w:r>
      <w:r w:rsidRPr="00147B58">
        <w:rPr>
          <w:sz w:val="22"/>
          <w:szCs w:val="22"/>
        </w:rPr>
        <w:t>docetakse</w:t>
      </w:r>
      <w:r>
        <w:rPr>
          <w:sz w:val="22"/>
          <w:szCs w:val="22"/>
        </w:rPr>
        <w:t>la</w:t>
      </w:r>
      <w:r w:rsidRPr="00147B58">
        <w:rPr>
          <w:sz w:val="22"/>
          <w:szCs w:val="22"/>
        </w:rPr>
        <w:t xml:space="preserve"> dojenje mora da se prekine.</w:t>
      </w:r>
    </w:p>
    <w:bookmarkEnd w:id="4"/>
    <w:p w14:paraId="01D507F9" w14:textId="77777777" w:rsidR="007A05AB" w:rsidRPr="00147B58" w:rsidRDefault="007A05AB" w:rsidP="007A05AB">
      <w:pPr>
        <w:autoSpaceDE w:val="0"/>
        <w:autoSpaceDN w:val="0"/>
        <w:adjustRightInd w:val="0"/>
        <w:rPr>
          <w:sz w:val="22"/>
          <w:szCs w:val="22"/>
        </w:rPr>
      </w:pPr>
    </w:p>
    <w:p w14:paraId="649F96B9" w14:textId="77777777" w:rsidR="007A05AB" w:rsidRPr="00147B58" w:rsidRDefault="007A05AB" w:rsidP="007A05AB">
      <w:pPr>
        <w:autoSpaceDE w:val="0"/>
        <w:autoSpaceDN w:val="0"/>
        <w:adjustRightInd w:val="0"/>
        <w:rPr>
          <w:sz w:val="22"/>
          <w:szCs w:val="22"/>
          <w:u w:val="single"/>
        </w:rPr>
      </w:pPr>
      <w:r w:rsidRPr="00147B58">
        <w:rPr>
          <w:sz w:val="22"/>
          <w:szCs w:val="22"/>
          <w:u w:val="single"/>
        </w:rPr>
        <w:t>Kontracepcija kod muškaraca i žena</w:t>
      </w:r>
    </w:p>
    <w:p w14:paraId="59662B0C" w14:textId="77777777" w:rsidR="007A05AB" w:rsidRPr="00147B58" w:rsidRDefault="007A05AB" w:rsidP="007A05AB">
      <w:pPr>
        <w:autoSpaceDE w:val="0"/>
        <w:autoSpaceDN w:val="0"/>
        <w:adjustRightInd w:val="0"/>
        <w:rPr>
          <w:sz w:val="22"/>
          <w:szCs w:val="22"/>
        </w:rPr>
      </w:pPr>
    </w:p>
    <w:p w14:paraId="3F8E5529" w14:textId="70D60FE5" w:rsidR="007A05AB" w:rsidRPr="003228E7" w:rsidRDefault="007A05AB" w:rsidP="007A05AB">
      <w:pPr>
        <w:autoSpaceDE w:val="0"/>
        <w:autoSpaceDN w:val="0"/>
        <w:adjustRightInd w:val="0"/>
        <w:rPr>
          <w:sz w:val="22"/>
          <w:szCs w:val="22"/>
        </w:rPr>
      </w:pPr>
      <w:r w:rsidRPr="003228E7">
        <w:rPr>
          <w:sz w:val="22"/>
          <w:szCs w:val="22"/>
        </w:rPr>
        <w:t xml:space="preserve">Na osnovu nalaza o reproduktivnoj toksičnosti i genetskoj toksičnosti (vidjeti </w:t>
      </w:r>
      <w:r w:rsidR="006A399E">
        <w:rPr>
          <w:sz w:val="22"/>
          <w:szCs w:val="22"/>
        </w:rPr>
        <w:t>dio</w:t>
      </w:r>
      <w:r w:rsidRPr="003228E7">
        <w:rPr>
          <w:sz w:val="22"/>
          <w:szCs w:val="22"/>
        </w:rPr>
        <w:t xml:space="preserve"> 5.3), ženama u reproduktivnom periodu treba savjetovati da koriste efikasnu kontracepciju tokom liječenja docetakselom i najmanje 6 m</w:t>
      </w:r>
      <w:r>
        <w:rPr>
          <w:sz w:val="22"/>
          <w:szCs w:val="22"/>
        </w:rPr>
        <w:t>j</w:t>
      </w:r>
      <w:r w:rsidRPr="003228E7">
        <w:rPr>
          <w:sz w:val="22"/>
          <w:szCs w:val="22"/>
        </w:rPr>
        <w:t>eseci nakon posljednje doze.</w:t>
      </w:r>
    </w:p>
    <w:p w14:paraId="5265CBA7" w14:textId="77777777" w:rsidR="007A05AB" w:rsidRPr="003228E7" w:rsidRDefault="007A05AB" w:rsidP="007A05AB">
      <w:pPr>
        <w:autoSpaceDE w:val="0"/>
        <w:autoSpaceDN w:val="0"/>
        <w:adjustRightInd w:val="0"/>
        <w:rPr>
          <w:sz w:val="22"/>
          <w:szCs w:val="22"/>
        </w:rPr>
      </w:pPr>
    </w:p>
    <w:p w14:paraId="2642A3A1" w14:textId="54461F20" w:rsidR="007A05AB" w:rsidRPr="00147B58" w:rsidRDefault="007A05AB" w:rsidP="007A05AB">
      <w:pPr>
        <w:autoSpaceDE w:val="0"/>
        <w:autoSpaceDN w:val="0"/>
        <w:adjustRightInd w:val="0"/>
        <w:rPr>
          <w:sz w:val="22"/>
          <w:szCs w:val="22"/>
        </w:rPr>
      </w:pPr>
      <w:r w:rsidRPr="003228E7">
        <w:rPr>
          <w:sz w:val="22"/>
          <w:szCs w:val="22"/>
        </w:rPr>
        <w:t xml:space="preserve">Na osnovu nalaza genetske toksičnosti (vidjeti </w:t>
      </w:r>
      <w:r w:rsidR="006A399E">
        <w:rPr>
          <w:sz w:val="22"/>
          <w:szCs w:val="22"/>
        </w:rPr>
        <w:t>dio</w:t>
      </w:r>
      <w:r w:rsidRPr="003228E7">
        <w:rPr>
          <w:sz w:val="22"/>
          <w:szCs w:val="22"/>
        </w:rPr>
        <w:t xml:space="preserve"> 5.3), pacijentima sa partnerkama u reproduktivnom periodu treba savjetovati da koriste efikasnu kontracepciju tokom liječenja docetakselom i najmanje 3 mjeseca nakon posljednje doze.</w:t>
      </w:r>
    </w:p>
    <w:p w14:paraId="658C28C9" w14:textId="77777777" w:rsidR="007A05AB" w:rsidRPr="00147B58" w:rsidRDefault="007A05AB" w:rsidP="007A05AB">
      <w:pPr>
        <w:autoSpaceDE w:val="0"/>
        <w:autoSpaceDN w:val="0"/>
        <w:adjustRightInd w:val="0"/>
        <w:rPr>
          <w:sz w:val="22"/>
          <w:szCs w:val="22"/>
        </w:rPr>
      </w:pPr>
    </w:p>
    <w:p w14:paraId="4D0583EE" w14:textId="77777777" w:rsidR="007A05AB" w:rsidRPr="00147B58" w:rsidRDefault="007A05AB" w:rsidP="007A05AB">
      <w:pPr>
        <w:autoSpaceDE w:val="0"/>
        <w:autoSpaceDN w:val="0"/>
        <w:adjustRightInd w:val="0"/>
        <w:rPr>
          <w:sz w:val="22"/>
          <w:szCs w:val="22"/>
          <w:u w:val="single"/>
        </w:rPr>
      </w:pPr>
      <w:r w:rsidRPr="00147B58">
        <w:rPr>
          <w:sz w:val="22"/>
          <w:szCs w:val="22"/>
          <w:u w:val="single"/>
        </w:rPr>
        <w:t>Plodnost</w:t>
      </w:r>
    </w:p>
    <w:p w14:paraId="67A3244A" w14:textId="77777777" w:rsidR="007A05AB" w:rsidRPr="00147B58" w:rsidRDefault="007A05AB" w:rsidP="007A05AB">
      <w:pPr>
        <w:autoSpaceDE w:val="0"/>
        <w:autoSpaceDN w:val="0"/>
        <w:adjustRightInd w:val="0"/>
        <w:rPr>
          <w:sz w:val="22"/>
          <w:szCs w:val="22"/>
        </w:rPr>
      </w:pPr>
    </w:p>
    <w:p w14:paraId="78B41B1F" w14:textId="77777777" w:rsidR="007A05AB" w:rsidRPr="00147B58" w:rsidRDefault="007A05AB" w:rsidP="007A05AB">
      <w:pPr>
        <w:autoSpaceDE w:val="0"/>
        <w:autoSpaceDN w:val="0"/>
        <w:adjustRightInd w:val="0"/>
        <w:rPr>
          <w:sz w:val="22"/>
          <w:szCs w:val="22"/>
        </w:rPr>
      </w:pPr>
      <w:bookmarkStart w:id="6" w:name="_Hlk149214437"/>
      <w:r>
        <w:rPr>
          <w:sz w:val="22"/>
          <w:szCs w:val="22"/>
        </w:rPr>
        <w:t>Na osnovu</w:t>
      </w:r>
      <w:r w:rsidRPr="00147B58">
        <w:rPr>
          <w:sz w:val="22"/>
          <w:szCs w:val="22"/>
        </w:rPr>
        <w:t xml:space="preserve"> neklinički</w:t>
      </w:r>
      <w:r>
        <w:rPr>
          <w:sz w:val="22"/>
          <w:szCs w:val="22"/>
        </w:rPr>
        <w:t>h</w:t>
      </w:r>
      <w:r w:rsidRPr="00147B58">
        <w:rPr>
          <w:sz w:val="22"/>
          <w:szCs w:val="22"/>
        </w:rPr>
        <w:t xml:space="preserve"> studija docetaksel može </w:t>
      </w:r>
      <w:r>
        <w:rPr>
          <w:sz w:val="22"/>
          <w:szCs w:val="22"/>
        </w:rPr>
        <w:t>oslabiti</w:t>
      </w:r>
      <w:r w:rsidRPr="00147B58">
        <w:rPr>
          <w:sz w:val="22"/>
          <w:szCs w:val="22"/>
        </w:rPr>
        <w:t xml:space="preserve"> plodnost muškaraca (vidjeti </w:t>
      </w:r>
      <w:r>
        <w:rPr>
          <w:sz w:val="22"/>
          <w:szCs w:val="22"/>
        </w:rPr>
        <w:t>diodio</w:t>
      </w:r>
      <w:r w:rsidRPr="00147B58">
        <w:rPr>
          <w:sz w:val="22"/>
          <w:szCs w:val="22"/>
        </w:rPr>
        <w:t xml:space="preserve"> 5.3). Zbog toga se muškarcima koji </w:t>
      </w:r>
      <w:r>
        <w:rPr>
          <w:sz w:val="22"/>
          <w:szCs w:val="22"/>
        </w:rPr>
        <w:t>se liječe</w:t>
      </w:r>
      <w:r w:rsidRPr="00147B58">
        <w:rPr>
          <w:sz w:val="22"/>
          <w:szCs w:val="22"/>
        </w:rPr>
        <w:t xml:space="preserve"> docetakselom savjetuje da </w:t>
      </w:r>
      <w:r>
        <w:rPr>
          <w:sz w:val="22"/>
          <w:szCs w:val="22"/>
        </w:rPr>
        <w:t>potraže savjet o konzervaciji</w:t>
      </w:r>
      <w:r w:rsidRPr="00147B58">
        <w:rPr>
          <w:sz w:val="22"/>
          <w:szCs w:val="22"/>
        </w:rPr>
        <w:t xml:space="preserve"> sperme prije početka liječenja.</w:t>
      </w:r>
    </w:p>
    <w:bookmarkEnd w:id="6"/>
    <w:p w14:paraId="19B52144" w14:textId="77777777" w:rsidR="00227BDB" w:rsidRDefault="00227BDB" w:rsidP="00396DFD">
      <w:pPr>
        <w:tabs>
          <w:tab w:val="left" w:pos="540"/>
          <w:tab w:val="left" w:pos="569"/>
        </w:tabs>
        <w:ind w:left="540" w:hanging="540"/>
        <w:rPr>
          <w:b/>
          <w:bCs/>
          <w:sz w:val="22"/>
          <w:szCs w:val="22"/>
        </w:rPr>
      </w:pPr>
    </w:p>
    <w:p w14:paraId="54C9DD5B" w14:textId="77777777"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5F3DD9FA" w14:textId="4D7054C3" w:rsidR="0072020E" w:rsidRDefault="0072020E" w:rsidP="00480FB1">
      <w:pPr>
        <w:tabs>
          <w:tab w:val="left" w:pos="540"/>
          <w:tab w:val="left" w:pos="569"/>
        </w:tabs>
        <w:rPr>
          <w:b/>
          <w:bCs/>
          <w:sz w:val="22"/>
          <w:szCs w:val="22"/>
        </w:rPr>
      </w:pPr>
    </w:p>
    <w:p w14:paraId="4927CE66" w14:textId="77777777" w:rsidR="00900FC9" w:rsidRPr="009B5AE7" w:rsidRDefault="00900FC9" w:rsidP="00900FC9">
      <w:pPr>
        <w:autoSpaceDE w:val="0"/>
        <w:autoSpaceDN w:val="0"/>
        <w:adjustRightInd w:val="0"/>
        <w:rPr>
          <w:sz w:val="22"/>
          <w:szCs w:val="22"/>
        </w:rPr>
      </w:pPr>
      <w:r w:rsidRPr="009B5AE7">
        <w:rPr>
          <w:sz w:val="22"/>
          <w:szCs w:val="22"/>
        </w:rPr>
        <w:t>Nijesu vršena ispitivanja efekata na sposobnost upravljanja motornim vozilima i rukovanja mašinama.</w:t>
      </w:r>
    </w:p>
    <w:p w14:paraId="1725FC45" w14:textId="77777777" w:rsidR="00900FC9" w:rsidRPr="009B5AE7" w:rsidRDefault="00900FC9" w:rsidP="00900FC9">
      <w:pPr>
        <w:pStyle w:val="Header"/>
        <w:tabs>
          <w:tab w:val="left" w:pos="284"/>
        </w:tabs>
        <w:rPr>
          <w:sz w:val="22"/>
          <w:szCs w:val="22"/>
        </w:rPr>
      </w:pPr>
    </w:p>
    <w:p w14:paraId="274B950C" w14:textId="77777777" w:rsidR="00900FC9" w:rsidRPr="009B5AE7" w:rsidRDefault="00900FC9" w:rsidP="00900FC9">
      <w:pPr>
        <w:pStyle w:val="Header"/>
        <w:tabs>
          <w:tab w:val="left" w:pos="284"/>
        </w:tabs>
        <w:rPr>
          <w:sz w:val="22"/>
          <w:szCs w:val="22"/>
        </w:rPr>
      </w:pPr>
      <w:r>
        <w:rPr>
          <w:sz w:val="22"/>
          <w:szCs w:val="22"/>
        </w:rPr>
        <w:t>N</w:t>
      </w:r>
      <w:r w:rsidRPr="009B5AE7">
        <w:rPr>
          <w:sz w:val="22"/>
          <w:szCs w:val="22"/>
        </w:rPr>
        <w:t xml:space="preserve">eželjena dejstva lijeka mogu uticati na sposobnost pacijenta da upravlja motornim vozilom i rukuje mašinama (vidjeti </w:t>
      </w:r>
      <w:r>
        <w:rPr>
          <w:sz w:val="22"/>
          <w:szCs w:val="22"/>
        </w:rPr>
        <w:t>djelovdjelovedjelove</w:t>
      </w:r>
      <w:r w:rsidRPr="009B5AE7">
        <w:rPr>
          <w:sz w:val="22"/>
          <w:szCs w:val="22"/>
        </w:rPr>
        <w:t xml:space="preserve"> 4.4 i 4.8). Stoga pacijente treba upozoriti na potencijalni uticaj neželjenih dejstava ovog lijeka na sposobnost upravljanja vozilima i rukovanja mašinama i treba ih posavjetovati da ne upravljaju vozilima i ne rukuju mašinama ako dožive ova neželjena dejstva tokom liječenja.</w:t>
      </w:r>
    </w:p>
    <w:p w14:paraId="697091BB" w14:textId="77777777" w:rsidR="00900FC9" w:rsidRPr="00786071" w:rsidRDefault="00900FC9" w:rsidP="00480FB1">
      <w:pPr>
        <w:tabs>
          <w:tab w:val="left" w:pos="540"/>
          <w:tab w:val="left" w:pos="569"/>
        </w:tabs>
        <w:rPr>
          <w:b/>
          <w:bCs/>
          <w:sz w:val="22"/>
          <w:szCs w:val="22"/>
        </w:rPr>
      </w:pPr>
    </w:p>
    <w:p w14:paraId="62E03791" w14:textId="77777777"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4EC09728" w14:textId="77777777" w:rsidR="004E70AD" w:rsidRPr="00786071" w:rsidRDefault="004E70AD" w:rsidP="00480FB1">
      <w:pPr>
        <w:tabs>
          <w:tab w:val="left" w:pos="540"/>
          <w:tab w:val="left" w:pos="569"/>
        </w:tabs>
        <w:rPr>
          <w:b/>
          <w:bCs/>
          <w:sz w:val="22"/>
          <w:szCs w:val="22"/>
        </w:rPr>
      </w:pPr>
    </w:p>
    <w:p w14:paraId="21C8F8D6" w14:textId="77777777" w:rsidR="003E494C" w:rsidRPr="00BB3077" w:rsidRDefault="003E494C" w:rsidP="003E494C">
      <w:pPr>
        <w:autoSpaceDE w:val="0"/>
        <w:autoSpaceDN w:val="0"/>
        <w:adjustRightInd w:val="0"/>
        <w:rPr>
          <w:sz w:val="22"/>
          <w:szCs w:val="22"/>
          <w:u w:val="single"/>
        </w:rPr>
      </w:pPr>
      <w:r w:rsidRPr="00BB3077">
        <w:rPr>
          <w:sz w:val="22"/>
          <w:szCs w:val="22"/>
          <w:u w:val="single"/>
        </w:rPr>
        <w:t>Sažetak profila bezbjednosti za sve indikacije</w:t>
      </w:r>
    </w:p>
    <w:p w14:paraId="35FF0036" w14:textId="77777777" w:rsidR="003E494C" w:rsidRPr="00BB3077" w:rsidRDefault="003E494C" w:rsidP="003E494C">
      <w:pPr>
        <w:autoSpaceDE w:val="0"/>
        <w:autoSpaceDN w:val="0"/>
        <w:adjustRightInd w:val="0"/>
        <w:rPr>
          <w:sz w:val="22"/>
          <w:szCs w:val="22"/>
        </w:rPr>
      </w:pPr>
    </w:p>
    <w:p w14:paraId="12B7E2A0" w14:textId="77777777" w:rsidR="003E494C" w:rsidRPr="00BB3077" w:rsidRDefault="003E494C" w:rsidP="003E494C">
      <w:pPr>
        <w:autoSpaceDE w:val="0"/>
        <w:autoSpaceDN w:val="0"/>
        <w:adjustRightInd w:val="0"/>
        <w:rPr>
          <w:sz w:val="22"/>
          <w:szCs w:val="22"/>
        </w:rPr>
      </w:pPr>
      <w:r w:rsidRPr="00BB3077">
        <w:rPr>
          <w:sz w:val="22"/>
          <w:szCs w:val="22"/>
        </w:rPr>
        <w:t>Podaci o neželjenim reakcijama za koje se smatra da su moguće ili vjerovatno u vezi sa primjenom docetaksela dobijeni su od:</w:t>
      </w:r>
    </w:p>
    <w:p w14:paraId="337DC0C9" w14:textId="77777777" w:rsidR="003E494C" w:rsidRPr="00BB3077" w:rsidRDefault="003E494C" w:rsidP="003E494C">
      <w:pPr>
        <w:numPr>
          <w:ilvl w:val="0"/>
          <w:numId w:val="15"/>
        </w:numPr>
        <w:tabs>
          <w:tab w:val="left" w:pos="284"/>
        </w:tabs>
        <w:autoSpaceDE w:val="0"/>
        <w:autoSpaceDN w:val="0"/>
        <w:adjustRightInd w:val="0"/>
        <w:jc w:val="both"/>
        <w:rPr>
          <w:sz w:val="22"/>
          <w:szCs w:val="22"/>
        </w:rPr>
      </w:pPr>
      <w:r w:rsidRPr="00BB3077">
        <w:rPr>
          <w:sz w:val="22"/>
          <w:szCs w:val="22"/>
        </w:rPr>
        <w:t>1312 pacijenata koji su primali docetaksel u dozi 100 mg/m² i 121 pacijenta koji su primali docetaksel u dozi 75 mg/m²; kao monoterapiju;</w:t>
      </w:r>
    </w:p>
    <w:p w14:paraId="7A599C62" w14:textId="77777777" w:rsidR="003E494C" w:rsidRPr="00BB3077" w:rsidRDefault="003E494C" w:rsidP="003E494C">
      <w:pPr>
        <w:numPr>
          <w:ilvl w:val="0"/>
          <w:numId w:val="15"/>
        </w:numPr>
        <w:tabs>
          <w:tab w:val="left" w:pos="284"/>
        </w:tabs>
        <w:autoSpaceDE w:val="0"/>
        <w:autoSpaceDN w:val="0"/>
        <w:adjustRightInd w:val="0"/>
        <w:jc w:val="both"/>
        <w:rPr>
          <w:sz w:val="22"/>
          <w:szCs w:val="22"/>
        </w:rPr>
      </w:pPr>
      <w:r w:rsidRPr="00BB3077">
        <w:rPr>
          <w:sz w:val="22"/>
          <w:szCs w:val="22"/>
        </w:rPr>
        <w:t>258 pacijenata koji su dobijali docetaksel u kombinaciji sa doksorubicinom;</w:t>
      </w:r>
    </w:p>
    <w:p w14:paraId="5AD152BC"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406 pacijenata koji su primali docetaksel u kombinaciji sa cisplatinom;</w:t>
      </w:r>
    </w:p>
    <w:p w14:paraId="2B5FEF4F"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92 pacijenta lije</w:t>
      </w:r>
      <w:r w:rsidRPr="009B5AE7">
        <w:rPr>
          <w:rFonts w:eastAsia="TimesNewRoman"/>
          <w:sz w:val="22"/>
          <w:szCs w:val="22"/>
        </w:rPr>
        <w:t>č</w:t>
      </w:r>
      <w:r w:rsidRPr="009B5AE7">
        <w:rPr>
          <w:sz w:val="22"/>
          <w:szCs w:val="22"/>
        </w:rPr>
        <w:t>ena docetakselom u kombinaciji sa trastuzumabom;</w:t>
      </w:r>
    </w:p>
    <w:p w14:paraId="1A6C6A97"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255 pacijenata koji su primali docetaksel u kombinaciji sa kapecitabinom;</w:t>
      </w:r>
    </w:p>
    <w:p w14:paraId="4C41E1DF"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 xml:space="preserve">332 pacijenta </w:t>
      </w:r>
      <w:r w:rsidRPr="00B02007">
        <w:rPr>
          <w:sz w:val="22"/>
          <w:szCs w:val="22"/>
        </w:rPr>
        <w:t xml:space="preserve">(TAX 327) </w:t>
      </w:r>
      <w:r w:rsidRPr="009B5AE7">
        <w:rPr>
          <w:sz w:val="22"/>
          <w:szCs w:val="22"/>
        </w:rPr>
        <w:t>koji su primali docetaksel u kombinaciji sa prednizonom ili prednizolonom (navedena su klini</w:t>
      </w:r>
      <w:r w:rsidRPr="009B5AE7">
        <w:rPr>
          <w:rFonts w:eastAsia="TimesNewRoman"/>
          <w:sz w:val="22"/>
          <w:szCs w:val="22"/>
        </w:rPr>
        <w:t>č</w:t>
      </w:r>
      <w:r w:rsidRPr="009B5AE7">
        <w:rPr>
          <w:sz w:val="22"/>
          <w:szCs w:val="22"/>
        </w:rPr>
        <w:t>ki zna</w:t>
      </w:r>
      <w:r w:rsidRPr="009B5AE7">
        <w:rPr>
          <w:rFonts w:eastAsia="TimesNewRoman"/>
          <w:sz w:val="22"/>
          <w:szCs w:val="22"/>
        </w:rPr>
        <w:t>č</w:t>
      </w:r>
      <w:r w:rsidRPr="009B5AE7">
        <w:rPr>
          <w:sz w:val="22"/>
          <w:szCs w:val="22"/>
        </w:rPr>
        <w:t>ajna neželjena dejstva povezana sa primijenjenom terapijom);</w:t>
      </w:r>
    </w:p>
    <w:p w14:paraId="1682F8A3"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1276 pacijenata (744 u TAX316 studiji i 532 u GEICAM 9805 studiji) koji su dobijali docetaksel u kombinaciji sa doksorubicinom i ciklofosfamidom (navedena su klini</w:t>
      </w:r>
      <w:r w:rsidRPr="009B5AE7">
        <w:rPr>
          <w:rFonts w:eastAsia="TimesNewRoman"/>
          <w:sz w:val="22"/>
          <w:szCs w:val="22"/>
        </w:rPr>
        <w:t>č</w:t>
      </w:r>
      <w:r w:rsidRPr="009B5AE7">
        <w:rPr>
          <w:sz w:val="22"/>
          <w:szCs w:val="22"/>
        </w:rPr>
        <w:t>ki zna</w:t>
      </w:r>
      <w:r w:rsidRPr="009B5AE7">
        <w:rPr>
          <w:rFonts w:eastAsia="TimesNewRoman"/>
          <w:sz w:val="22"/>
          <w:szCs w:val="22"/>
        </w:rPr>
        <w:t>č</w:t>
      </w:r>
      <w:r w:rsidRPr="009B5AE7">
        <w:rPr>
          <w:sz w:val="22"/>
          <w:szCs w:val="22"/>
        </w:rPr>
        <w:t>ajna neželjena dejstva povezana sa primijenjenom terapijom);</w:t>
      </w:r>
    </w:p>
    <w:p w14:paraId="398949C6" w14:textId="77777777" w:rsidR="003E494C" w:rsidRPr="009B5AE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300 pacijenata sa adenokarcinomom želuca (221 pacijent u fazi III i 79 u fazi II studije) koji su dobijali docetaksel u kombinaciji sa cisplatinom i 5-fluorouracilom (navedena su klini</w:t>
      </w:r>
      <w:r w:rsidRPr="009B5AE7">
        <w:rPr>
          <w:rFonts w:eastAsia="TimesNewRoman"/>
          <w:sz w:val="22"/>
          <w:szCs w:val="22"/>
        </w:rPr>
        <w:t>č</w:t>
      </w:r>
      <w:r w:rsidRPr="009B5AE7">
        <w:rPr>
          <w:sz w:val="22"/>
          <w:szCs w:val="22"/>
        </w:rPr>
        <w:t>ki zna</w:t>
      </w:r>
      <w:r w:rsidRPr="009B5AE7">
        <w:rPr>
          <w:rFonts w:eastAsia="TimesNewRoman"/>
          <w:sz w:val="22"/>
          <w:szCs w:val="22"/>
        </w:rPr>
        <w:t>č</w:t>
      </w:r>
      <w:r w:rsidRPr="009B5AE7">
        <w:rPr>
          <w:sz w:val="22"/>
          <w:szCs w:val="22"/>
        </w:rPr>
        <w:t>ajna neželjena dejstva povezana sa primijenjenom terapijom);</w:t>
      </w:r>
    </w:p>
    <w:p w14:paraId="62E0127C" w14:textId="77777777" w:rsidR="003E494C" w:rsidRPr="00B02007" w:rsidRDefault="003E494C" w:rsidP="003E494C">
      <w:pPr>
        <w:numPr>
          <w:ilvl w:val="0"/>
          <w:numId w:val="15"/>
        </w:numPr>
        <w:tabs>
          <w:tab w:val="left" w:pos="284"/>
        </w:tabs>
        <w:autoSpaceDE w:val="0"/>
        <w:autoSpaceDN w:val="0"/>
        <w:adjustRightInd w:val="0"/>
        <w:jc w:val="both"/>
        <w:rPr>
          <w:sz w:val="22"/>
          <w:szCs w:val="22"/>
        </w:rPr>
      </w:pPr>
      <w:r w:rsidRPr="009B5AE7">
        <w:rPr>
          <w:sz w:val="22"/>
          <w:szCs w:val="22"/>
        </w:rPr>
        <w:t>174 i 251 pacijent sa karcinomom glave i vrata, koji su primali docetaksel u kombinaciji sa cisplatinom i 5-fluorouracilom (navedena su klini</w:t>
      </w:r>
      <w:r w:rsidRPr="009B5AE7">
        <w:rPr>
          <w:rFonts w:eastAsia="TimesNewRoman"/>
          <w:sz w:val="22"/>
          <w:szCs w:val="22"/>
        </w:rPr>
        <w:t>č</w:t>
      </w:r>
      <w:r w:rsidRPr="009B5AE7">
        <w:rPr>
          <w:sz w:val="22"/>
          <w:szCs w:val="22"/>
        </w:rPr>
        <w:t>ki zna</w:t>
      </w:r>
      <w:r w:rsidRPr="009B5AE7">
        <w:rPr>
          <w:rFonts w:eastAsia="TimesNewRoman"/>
          <w:sz w:val="22"/>
          <w:szCs w:val="22"/>
        </w:rPr>
        <w:t>č</w:t>
      </w:r>
      <w:r w:rsidRPr="009B5AE7">
        <w:rPr>
          <w:sz w:val="22"/>
          <w:szCs w:val="22"/>
        </w:rPr>
        <w:t>ajna neželjena dejstva povezana sa primijenjenom terapijom).</w:t>
      </w:r>
    </w:p>
    <w:p w14:paraId="49320BEB" w14:textId="77777777" w:rsidR="003E494C" w:rsidRPr="009B5AE7" w:rsidRDefault="003E494C" w:rsidP="003E494C">
      <w:pPr>
        <w:pStyle w:val="NormalIndent"/>
        <w:numPr>
          <w:ilvl w:val="0"/>
          <w:numId w:val="15"/>
        </w:numPr>
        <w:spacing w:after="0"/>
        <w:rPr>
          <w:szCs w:val="22"/>
          <w:lang w:val="sr-Latn-ME"/>
        </w:rPr>
      </w:pPr>
      <w:r w:rsidRPr="009B5AE7">
        <w:rPr>
          <w:szCs w:val="22"/>
          <w:lang w:val="sr-Latn-ME"/>
        </w:rPr>
        <w:t>545 pacijenata (</w:t>
      </w:r>
      <w:r w:rsidRPr="00B02007">
        <w:rPr>
          <w:szCs w:val="22"/>
          <w:lang w:val="sr-Latn-ME"/>
        </w:rPr>
        <w:t>studija</w:t>
      </w:r>
      <w:r w:rsidRPr="009B5AE7">
        <w:rPr>
          <w:szCs w:val="22"/>
          <w:lang w:val="sr-Latn-ME"/>
        </w:rPr>
        <w:t xml:space="preserve"> STAMPEDE) koji su primali docetaksel u kombinaciji sa prednizonom ili prednizolonom i </w:t>
      </w:r>
      <w:r>
        <w:rPr>
          <w:szCs w:val="22"/>
          <w:lang w:val="sr-Latn-ME"/>
        </w:rPr>
        <w:t>terapijom androgene deprivacije (</w:t>
      </w:r>
      <w:r w:rsidRPr="009B5AE7">
        <w:rPr>
          <w:szCs w:val="22"/>
          <w:lang w:val="sr-Latn-ME"/>
        </w:rPr>
        <w:t>ADT</w:t>
      </w:r>
      <w:r>
        <w:rPr>
          <w:szCs w:val="22"/>
          <w:lang w:val="sr-Latn-ME"/>
        </w:rPr>
        <w:t>)</w:t>
      </w:r>
      <w:r w:rsidRPr="009B5AE7">
        <w:rPr>
          <w:szCs w:val="22"/>
          <w:lang w:val="sr-Latn-ME"/>
        </w:rPr>
        <w:t>.</w:t>
      </w:r>
    </w:p>
    <w:p w14:paraId="20000D4A" w14:textId="77777777" w:rsidR="003E494C" w:rsidRPr="009B5AE7" w:rsidRDefault="003E494C" w:rsidP="003E494C">
      <w:pPr>
        <w:autoSpaceDE w:val="0"/>
        <w:autoSpaceDN w:val="0"/>
        <w:adjustRightInd w:val="0"/>
        <w:ind w:left="360"/>
        <w:rPr>
          <w:sz w:val="22"/>
          <w:szCs w:val="22"/>
        </w:rPr>
      </w:pPr>
    </w:p>
    <w:p w14:paraId="3D0A9E55" w14:textId="77777777" w:rsidR="003E494C" w:rsidRPr="009B5AE7" w:rsidRDefault="003E494C" w:rsidP="003E494C">
      <w:pPr>
        <w:autoSpaceDE w:val="0"/>
        <w:autoSpaceDN w:val="0"/>
        <w:adjustRightInd w:val="0"/>
        <w:ind w:left="720"/>
        <w:rPr>
          <w:sz w:val="22"/>
          <w:szCs w:val="22"/>
        </w:rPr>
      </w:pPr>
    </w:p>
    <w:p w14:paraId="5B690389" w14:textId="77777777" w:rsidR="003E494C" w:rsidRPr="009B5AE7" w:rsidRDefault="003E494C" w:rsidP="003E494C">
      <w:pPr>
        <w:autoSpaceDE w:val="0"/>
        <w:autoSpaceDN w:val="0"/>
        <w:adjustRightInd w:val="0"/>
        <w:rPr>
          <w:sz w:val="22"/>
          <w:szCs w:val="22"/>
        </w:rPr>
      </w:pPr>
      <w:r w:rsidRPr="009B5AE7">
        <w:rPr>
          <w:sz w:val="22"/>
          <w:szCs w:val="22"/>
        </w:rPr>
        <w:lastRenderedPageBreak/>
        <w:t>Neželjena dejstva su opisana na osnovu NCI Opštih kriterijuma toksi</w:t>
      </w:r>
      <w:r w:rsidRPr="009B5AE7">
        <w:rPr>
          <w:rFonts w:eastAsia="TimesNewRoman"/>
          <w:sz w:val="22"/>
          <w:szCs w:val="22"/>
        </w:rPr>
        <w:t>č</w:t>
      </w:r>
      <w:r w:rsidRPr="009B5AE7">
        <w:rPr>
          <w:sz w:val="22"/>
          <w:szCs w:val="22"/>
        </w:rPr>
        <w:t>nosti (stepen 3=G3; stepen 3-4=G3/4: stepen 4=G4), kao i terminima COSTART i MedDRA. U</w:t>
      </w:r>
      <w:r w:rsidRPr="009B5AE7">
        <w:rPr>
          <w:rFonts w:eastAsia="TimesNewRoman"/>
          <w:sz w:val="22"/>
          <w:szCs w:val="22"/>
        </w:rPr>
        <w:t>č</w:t>
      </w:r>
      <w:r w:rsidRPr="009B5AE7">
        <w:rPr>
          <w:sz w:val="22"/>
          <w:szCs w:val="22"/>
        </w:rPr>
        <w:t>estalosti javljanja su definisane na sljede</w:t>
      </w:r>
      <w:r w:rsidRPr="009B5AE7">
        <w:rPr>
          <w:rFonts w:eastAsia="TimesNewRoman"/>
          <w:sz w:val="22"/>
          <w:szCs w:val="22"/>
        </w:rPr>
        <w:t>ć</w:t>
      </w:r>
      <w:r w:rsidRPr="009B5AE7">
        <w:rPr>
          <w:sz w:val="22"/>
          <w:szCs w:val="22"/>
        </w:rPr>
        <w:t>i na</w:t>
      </w:r>
      <w:r w:rsidRPr="009B5AE7">
        <w:rPr>
          <w:rFonts w:eastAsia="TimesNewRoman"/>
          <w:sz w:val="22"/>
          <w:szCs w:val="22"/>
        </w:rPr>
        <w:t>č</w:t>
      </w:r>
      <w:r w:rsidRPr="009B5AE7">
        <w:rPr>
          <w:sz w:val="22"/>
          <w:szCs w:val="22"/>
        </w:rPr>
        <w:t xml:space="preserve">in: veoma </w:t>
      </w:r>
      <w:r w:rsidRPr="009B5AE7">
        <w:rPr>
          <w:rFonts w:eastAsia="TimesNewRoman"/>
          <w:sz w:val="22"/>
          <w:szCs w:val="22"/>
        </w:rPr>
        <w:t>č</w:t>
      </w:r>
      <w:r w:rsidRPr="009B5AE7">
        <w:rPr>
          <w:sz w:val="22"/>
          <w:szCs w:val="22"/>
        </w:rPr>
        <w:t>esto (</w:t>
      </w:r>
      <w:r w:rsidRPr="009B5AE7">
        <w:rPr>
          <w:rFonts w:eastAsia="TimesNewRoman"/>
          <w:sz w:val="22"/>
          <w:szCs w:val="22"/>
        </w:rPr>
        <w:t>≥</w:t>
      </w:r>
      <w:r>
        <w:rPr>
          <w:rFonts w:eastAsia="TimesNewRoman"/>
          <w:sz w:val="22"/>
          <w:szCs w:val="22"/>
        </w:rPr>
        <w:t xml:space="preserve"> </w:t>
      </w:r>
      <w:r w:rsidRPr="009B5AE7">
        <w:rPr>
          <w:sz w:val="22"/>
          <w:szCs w:val="22"/>
        </w:rPr>
        <w:t xml:space="preserve">1/10), </w:t>
      </w:r>
      <w:r w:rsidRPr="009B5AE7">
        <w:rPr>
          <w:rFonts w:eastAsia="TimesNewRoman"/>
          <w:sz w:val="22"/>
          <w:szCs w:val="22"/>
        </w:rPr>
        <w:t>č</w:t>
      </w:r>
      <w:r w:rsidRPr="009B5AE7">
        <w:rPr>
          <w:sz w:val="22"/>
          <w:szCs w:val="22"/>
        </w:rPr>
        <w:t>esto (</w:t>
      </w:r>
      <w:r w:rsidRPr="009B5AE7">
        <w:rPr>
          <w:rFonts w:eastAsia="TimesNewRoman"/>
          <w:sz w:val="22"/>
          <w:szCs w:val="22"/>
        </w:rPr>
        <w:t>≥</w:t>
      </w:r>
      <w:r>
        <w:rPr>
          <w:rFonts w:eastAsia="TimesNewRoman"/>
          <w:sz w:val="22"/>
          <w:szCs w:val="22"/>
        </w:rPr>
        <w:t xml:space="preserve"> </w:t>
      </w:r>
      <w:r w:rsidRPr="009B5AE7">
        <w:rPr>
          <w:sz w:val="22"/>
          <w:szCs w:val="22"/>
        </w:rPr>
        <w:t>1/100 do &lt;</w:t>
      </w:r>
      <w:r>
        <w:rPr>
          <w:sz w:val="22"/>
          <w:szCs w:val="22"/>
        </w:rPr>
        <w:t xml:space="preserve"> </w:t>
      </w:r>
      <w:r w:rsidRPr="009B5AE7">
        <w:rPr>
          <w:sz w:val="22"/>
          <w:szCs w:val="22"/>
        </w:rPr>
        <w:t>1/10), povremeno (</w:t>
      </w:r>
      <w:r w:rsidRPr="009B5AE7">
        <w:rPr>
          <w:rFonts w:eastAsia="TimesNewRoman"/>
          <w:sz w:val="22"/>
          <w:szCs w:val="22"/>
        </w:rPr>
        <w:t>≥</w:t>
      </w:r>
      <w:r>
        <w:rPr>
          <w:rFonts w:eastAsia="TimesNewRoman"/>
          <w:sz w:val="22"/>
          <w:szCs w:val="22"/>
        </w:rPr>
        <w:t xml:space="preserve"> </w:t>
      </w:r>
      <w:r w:rsidRPr="009B5AE7">
        <w:rPr>
          <w:sz w:val="22"/>
          <w:szCs w:val="22"/>
        </w:rPr>
        <w:t>1/1000 do &lt;</w:t>
      </w:r>
      <w:r>
        <w:rPr>
          <w:sz w:val="22"/>
          <w:szCs w:val="22"/>
        </w:rPr>
        <w:t xml:space="preserve"> </w:t>
      </w:r>
      <w:r w:rsidRPr="009B5AE7">
        <w:rPr>
          <w:sz w:val="22"/>
          <w:szCs w:val="22"/>
        </w:rPr>
        <w:t>1/100), rijetko (</w:t>
      </w:r>
      <w:r w:rsidRPr="009B5AE7">
        <w:rPr>
          <w:rFonts w:eastAsia="TimesNewRoman"/>
          <w:sz w:val="22"/>
          <w:szCs w:val="22"/>
        </w:rPr>
        <w:t>≥</w:t>
      </w:r>
      <w:r>
        <w:rPr>
          <w:rFonts w:eastAsia="TimesNewRoman"/>
          <w:sz w:val="22"/>
          <w:szCs w:val="22"/>
        </w:rPr>
        <w:t xml:space="preserve"> </w:t>
      </w:r>
      <w:r w:rsidRPr="009B5AE7">
        <w:rPr>
          <w:sz w:val="22"/>
          <w:szCs w:val="22"/>
        </w:rPr>
        <w:t>1/10000 do &lt;</w:t>
      </w:r>
      <w:r>
        <w:rPr>
          <w:sz w:val="22"/>
          <w:szCs w:val="22"/>
        </w:rPr>
        <w:t xml:space="preserve"> </w:t>
      </w:r>
      <w:r w:rsidRPr="009B5AE7">
        <w:rPr>
          <w:sz w:val="22"/>
          <w:szCs w:val="22"/>
        </w:rPr>
        <w:t>1/1000), veoma rijetko (&lt;</w:t>
      </w:r>
      <w:r>
        <w:rPr>
          <w:sz w:val="22"/>
          <w:szCs w:val="22"/>
        </w:rPr>
        <w:t xml:space="preserve"> </w:t>
      </w:r>
      <w:r w:rsidRPr="009B5AE7">
        <w:rPr>
          <w:sz w:val="22"/>
          <w:szCs w:val="22"/>
        </w:rPr>
        <w:t>1/10000); nepoznato (ne može biti procijenjeno na osnovu dostupnih podataka).</w:t>
      </w:r>
    </w:p>
    <w:p w14:paraId="66B984BF" w14:textId="77777777" w:rsidR="003E494C" w:rsidRPr="009B5AE7" w:rsidRDefault="003E494C" w:rsidP="003E494C">
      <w:pPr>
        <w:autoSpaceDE w:val="0"/>
        <w:autoSpaceDN w:val="0"/>
        <w:adjustRightInd w:val="0"/>
        <w:rPr>
          <w:sz w:val="22"/>
          <w:szCs w:val="22"/>
        </w:rPr>
      </w:pPr>
    </w:p>
    <w:p w14:paraId="76267564" w14:textId="77777777" w:rsidR="003E494C" w:rsidRPr="009B5AE7" w:rsidRDefault="003E494C" w:rsidP="003E494C">
      <w:pPr>
        <w:autoSpaceDE w:val="0"/>
        <w:autoSpaceDN w:val="0"/>
        <w:adjustRightInd w:val="0"/>
        <w:rPr>
          <w:sz w:val="22"/>
          <w:szCs w:val="22"/>
        </w:rPr>
      </w:pPr>
      <w:r w:rsidRPr="009B5AE7">
        <w:rPr>
          <w:sz w:val="22"/>
          <w:szCs w:val="22"/>
        </w:rPr>
        <w:t>U svakoj od kategorija u</w:t>
      </w:r>
      <w:r w:rsidRPr="009B5AE7">
        <w:rPr>
          <w:rFonts w:eastAsia="TimesNewRoman"/>
          <w:sz w:val="22"/>
          <w:szCs w:val="22"/>
        </w:rPr>
        <w:t>č</w:t>
      </w:r>
      <w:r w:rsidRPr="009B5AE7">
        <w:rPr>
          <w:sz w:val="22"/>
          <w:szCs w:val="22"/>
        </w:rPr>
        <w:t>estalosti, neželjena dejstva su prikazana po opadaju</w:t>
      </w:r>
      <w:r w:rsidRPr="009B5AE7">
        <w:rPr>
          <w:rFonts w:eastAsia="TimesNewRoman"/>
          <w:sz w:val="22"/>
          <w:szCs w:val="22"/>
        </w:rPr>
        <w:t>ć</w:t>
      </w:r>
      <w:r w:rsidRPr="009B5AE7">
        <w:rPr>
          <w:sz w:val="22"/>
          <w:szCs w:val="22"/>
        </w:rPr>
        <w:t>oj ozbiljnosti.</w:t>
      </w:r>
    </w:p>
    <w:p w14:paraId="3C726DA5" w14:textId="77777777" w:rsidR="003E494C" w:rsidRPr="009B5AE7" w:rsidRDefault="003E494C" w:rsidP="003E494C">
      <w:pPr>
        <w:autoSpaceDE w:val="0"/>
        <w:autoSpaceDN w:val="0"/>
        <w:adjustRightInd w:val="0"/>
        <w:rPr>
          <w:sz w:val="22"/>
          <w:szCs w:val="22"/>
        </w:rPr>
      </w:pPr>
    </w:p>
    <w:p w14:paraId="0CE53793" w14:textId="77777777" w:rsidR="003E494C" w:rsidRPr="009B5AE7" w:rsidRDefault="003E494C" w:rsidP="003E494C">
      <w:pPr>
        <w:autoSpaceDE w:val="0"/>
        <w:autoSpaceDN w:val="0"/>
        <w:adjustRightInd w:val="0"/>
        <w:rPr>
          <w:sz w:val="22"/>
          <w:szCs w:val="22"/>
        </w:rPr>
      </w:pPr>
      <w:r w:rsidRPr="009B5AE7">
        <w:rPr>
          <w:sz w:val="22"/>
          <w:szCs w:val="22"/>
        </w:rPr>
        <w:t>Naj</w:t>
      </w:r>
      <w:r w:rsidRPr="009B5AE7">
        <w:rPr>
          <w:rFonts w:eastAsia="TimesNewRoman"/>
          <w:sz w:val="22"/>
          <w:szCs w:val="22"/>
        </w:rPr>
        <w:t>č</w:t>
      </w:r>
      <w:r w:rsidRPr="009B5AE7">
        <w:rPr>
          <w:sz w:val="22"/>
          <w:szCs w:val="22"/>
        </w:rPr>
        <w:t>eš</w:t>
      </w:r>
      <w:r w:rsidRPr="009B5AE7">
        <w:rPr>
          <w:rFonts w:eastAsia="TimesNewRoman"/>
          <w:sz w:val="22"/>
          <w:szCs w:val="22"/>
        </w:rPr>
        <w:t>ć</w:t>
      </w:r>
      <w:r w:rsidRPr="009B5AE7">
        <w:rPr>
          <w:sz w:val="22"/>
          <w:szCs w:val="22"/>
        </w:rPr>
        <w:t>e prijavljivana neželjena dejstva samog docetaksela su: neutropenija (koja je bila reverzibilna i nije kumulativna; srednje vrijeme do najniže vrijednosti bilo je 7 dana, isto kao i srednje vrijeme trajanja teške neutropenije (&lt;</w:t>
      </w:r>
      <w:r>
        <w:rPr>
          <w:sz w:val="22"/>
          <w:szCs w:val="22"/>
        </w:rPr>
        <w:t xml:space="preserve"> </w:t>
      </w:r>
      <w:r w:rsidRPr="009B5AE7">
        <w:rPr>
          <w:sz w:val="22"/>
          <w:szCs w:val="22"/>
        </w:rPr>
        <w:t>500</w:t>
      </w:r>
      <w:r>
        <w:rPr>
          <w:sz w:val="22"/>
          <w:szCs w:val="22"/>
        </w:rPr>
        <w:t> </w:t>
      </w:r>
      <w:r w:rsidRPr="009B5AE7">
        <w:rPr>
          <w:rFonts w:eastAsia="TimesNewRoman"/>
          <w:sz w:val="22"/>
          <w:szCs w:val="22"/>
        </w:rPr>
        <w:t>ć</w:t>
      </w:r>
      <w:r w:rsidRPr="009B5AE7">
        <w:rPr>
          <w:sz w:val="22"/>
          <w:szCs w:val="22"/>
        </w:rPr>
        <w:t>elija/mm³)), anemija, alopecija, mu</w:t>
      </w:r>
      <w:r w:rsidRPr="009B5AE7">
        <w:rPr>
          <w:rFonts w:eastAsia="TimesNewRoman"/>
          <w:sz w:val="22"/>
          <w:szCs w:val="22"/>
        </w:rPr>
        <w:t>č</w:t>
      </w:r>
      <w:r w:rsidRPr="009B5AE7">
        <w:rPr>
          <w:sz w:val="22"/>
          <w:szCs w:val="22"/>
        </w:rPr>
        <w:t>nina, povra</w:t>
      </w:r>
      <w:r w:rsidRPr="009B5AE7">
        <w:rPr>
          <w:rFonts w:eastAsia="TimesNewRoman"/>
          <w:sz w:val="22"/>
          <w:szCs w:val="22"/>
        </w:rPr>
        <w:t>ć</w:t>
      </w:r>
      <w:r w:rsidRPr="009B5AE7">
        <w:rPr>
          <w:sz w:val="22"/>
          <w:szCs w:val="22"/>
        </w:rPr>
        <w:t>anje, stomatitis, dijareja i astenija. Težina neželjenih dejstava koje izaziva docetaksel može se pove</w:t>
      </w:r>
      <w:r w:rsidRPr="009B5AE7">
        <w:rPr>
          <w:rFonts w:eastAsia="TimesNewRoman"/>
          <w:sz w:val="22"/>
          <w:szCs w:val="22"/>
        </w:rPr>
        <w:t>ć</w:t>
      </w:r>
      <w:r w:rsidRPr="009B5AE7">
        <w:rPr>
          <w:sz w:val="22"/>
          <w:szCs w:val="22"/>
        </w:rPr>
        <w:t>ati kad se docetaksel daje u kombinaciji sa drugim hemoterapijskim ljekovima.</w:t>
      </w:r>
    </w:p>
    <w:p w14:paraId="5091B3B4" w14:textId="77777777" w:rsidR="003E494C" w:rsidRPr="009B5AE7" w:rsidRDefault="003E494C" w:rsidP="003E494C">
      <w:pPr>
        <w:autoSpaceDE w:val="0"/>
        <w:autoSpaceDN w:val="0"/>
        <w:adjustRightInd w:val="0"/>
        <w:rPr>
          <w:sz w:val="22"/>
          <w:szCs w:val="22"/>
        </w:rPr>
      </w:pPr>
    </w:p>
    <w:p w14:paraId="00A7EE2A" w14:textId="77777777" w:rsidR="003E494C" w:rsidRPr="009B5AE7" w:rsidRDefault="003E494C" w:rsidP="003E494C">
      <w:pPr>
        <w:autoSpaceDE w:val="0"/>
        <w:autoSpaceDN w:val="0"/>
        <w:adjustRightInd w:val="0"/>
        <w:rPr>
          <w:sz w:val="22"/>
          <w:szCs w:val="22"/>
        </w:rPr>
      </w:pPr>
      <w:r w:rsidRPr="009B5AE7">
        <w:rPr>
          <w:sz w:val="22"/>
          <w:szCs w:val="22"/>
        </w:rPr>
        <w:t xml:space="preserve">Za kombinaciju sa trastuzumabom, prikazana su neželjena dejstva (svih stepena) prijavljena kod </w:t>
      </w:r>
      <w:r w:rsidRPr="009B5AE7">
        <w:rPr>
          <w:rFonts w:eastAsia="TimesNewRoman"/>
          <w:sz w:val="22"/>
          <w:szCs w:val="22"/>
        </w:rPr>
        <w:t>≥</w:t>
      </w:r>
      <w:r>
        <w:rPr>
          <w:rFonts w:eastAsia="TimesNewRoman"/>
          <w:sz w:val="22"/>
          <w:szCs w:val="22"/>
        </w:rPr>
        <w:t xml:space="preserve"> </w:t>
      </w:r>
      <w:r w:rsidRPr="009B5AE7">
        <w:rPr>
          <w:sz w:val="22"/>
          <w:szCs w:val="22"/>
        </w:rPr>
        <w:t>10%. U grupi pacijenata lije</w:t>
      </w:r>
      <w:r w:rsidRPr="009B5AE7">
        <w:rPr>
          <w:rFonts w:eastAsia="TimesNewRoman"/>
          <w:sz w:val="22"/>
          <w:szCs w:val="22"/>
        </w:rPr>
        <w:t>č</w:t>
      </w:r>
      <w:r w:rsidRPr="009B5AE7">
        <w:rPr>
          <w:sz w:val="22"/>
          <w:szCs w:val="22"/>
        </w:rPr>
        <w:t>enih kombinacijom sa trastuzumabom uo</w:t>
      </w:r>
      <w:r w:rsidRPr="009B5AE7">
        <w:rPr>
          <w:rFonts w:eastAsia="TimesNewRoman"/>
          <w:sz w:val="22"/>
          <w:szCs w:val="22"/>
        </w:rPr>
        <w:t>č</w:t>
      </w:r>
      <w:r w:rsidRPr="009B5AE7">
        <w:rPr>
          <w:sz w:val="22"/>
          <w:szCs w:val="22"/>
        </w:rPr>
        <w:t>ena je pove</w:t>
      </w:r>
      <w:r w:rsidRPr="009B5AE7">
        <w:rPr>
          <w:rFonts w:eastAsia="TimesNewRoman"/>
          <w:sz w:val="22"/>
          <w:szCs w:val="22"/>
        </w:rPr>
        <w:t>ć</w:t>
      </w:r>
      <w:r w:rsidRPr="009B5AE7">
        <w:rPr>
          <w:sz w:val="22"/>
          <w:szCs w:val="22"/>
        </w:rPr>
        <w:t>ana u</w:t>
      </w:r>
      <w:r w:rsidRPr="009B5AE7">
        <w:rPr>
          <w:rFonts w:eastAsia="TimesNewRoman"/>
          <w:sz w:val="22"/>
          <w:szCs w:val="22"/>
        </w:rPr>
        <w:t>č</w:t>
      </w:r>
      <w:r w:rsidRPr="009B5AE7">
        <w:rPr>
          <w:sz w:val="22"/>
          <w:szCs w:val="22"/>
        </w:rPr>
        <w:t>estalost javljanja ozbiljnih neželjenih dejstava (40% prema 31%) i neželjenih dejstava 4. stepena težine (34% prema 23%) u odnosu na grupu koja je primala docetaksel u monoterapiji.</w:t>
      </w:r>
    </w:p>
    <w:p w14:paraId="456878B4" w14:textId="77777777" w:rsidR="003E494C" w:rsidRPr="009B5AE7" w:rsidRDefault="003E494C" w:rsidP="003E494C">
      <w:pPr>
        <w:autoSpaceDE w:val="0"/>
        <w:autoSpaceDN w:val="0"/>
        <w:adjustRightInd w:val="0"/>
        <w:rPr>
          <w:sz w:val="22"/>
          <w:szCs w:val="22"/>
        </w:rPr>
      </w:pPr>
    </w:p>
    <w:p w14:paraId="53EB7B1D" w14:textId="77777777" w:rsidR="003E494C" w:rsidRPr="00B02007" w:rsidRDefault="003E494C" w:rsidP="003E494C">
      <w:pPr>
        <w:autoSpaceDE w:val="0"/>
        <w:autoSpaceDN w:val="0"/>
        <w:adjustRightInd w:val="0"/>
        <w:rPr>
          <w:sz w:val="22"/>
          <w:szCs w:val="22"/>
        </w:rPr>
      </w:pPr>
      <w:r w:rsidRPr="009B5AE7">
        <w:rPr>
          <w:sz w:val="22"/>
          <w:szCs w:val="22"/>
        </w:rPr>
        <w:t>Za kombinaciju sa kapecitabinom, prikazana su naj</w:t>
      </w:r>
      <w:r w:rsidRPr="009B5AE7">
        <w:rPr>
          <w:rFonts w:eastAsia="TimesNewRoman"/>
          <w:sz w:val="22"/>
          <w:szCs w:val="22"/>
        </w:rPr>
        <w:t>č</w:t>
      </w:r>
      <w:r w:rsidRPr="009B5AE7">
        <w:rPr>
          <w:sz w:val="22"/>
          <w:szCs w:val="22"/>
        </w:rPr>
        <w:t>eš</w:t>
      </w:r>
      <w:r w:rsidRPr="009B5AE7">
        <w:rPr>
          <w:rFonts w:eastAsia="TimesNewRoman"/>
          <w:sz w:val="22"/>
          <w:szCs w:val="22"/>
        </w:rPr>
        <w:t>ć</w:t>
      </w:r>
      <w:r w:rsidRPr="009B5AE7">
        <w:rPr>
          <w:sz w:val="22"/>
          <w:szCs w:val="22"/>
        </w:rPr>
        <w:t>a, terapijom izazvana neželjena dejstva (</w:t>
      </w:r>
      <w:r w:rsidRPr="009B5AE7">
        <w:rPr>
          <w:rFonts w:eastAsia="TimesNewRoman"/>
          <w:sz w:val="22"/>
          <w:szCs w:val="22"/>
        </w:rPr>
        <w:t>≥</w:t>
      </w:r>
      <w:r>
        <w:rPr>
          <w:rFonts w:eastAsia="TimesNewRoman"/>
          <w:sz w:val="22"/>
          <w:szCs w:val="22"/>
        </w:rPr>
        <w:t xml:space="preserve"> </w:t>
      </w:r>
      <w:r w:rsidRPr="009B5AE7">
        <w:rPr>
          <w:sz w:val="22"/>
          <w:szCs w:val="22"/>
        </w:rPr>
        <w:t>5%), prijavljena u studiji faze III kod pacijenata sa karcinomom dojke, kod kojih se antraciklinska terapija pokazala neuspješnom (pogledajte sažetak karakteristika lijeka za kapecitabin).</w:t>
      </w:r>
    </w:p>
    <w:p w14:paraId="0BDEF828" w14:textId="77777777" w:rsidR="003E494C" w:rsidRPr="005F707A" w:rsidRDefault="003E494C" w:rsidP="003E494C">
      <w:pPr>
        <w:autoSpaceDE w:val="0"/>
        <w:autoSpaceDN w:val="0"/>
        <w:adjustRightInd w:val="0"/>
        <w:rPr>
          <w:sz w:val="22"/>
          <w:szCs w:val="22"/>
        </w:rPr>
      </w:pPr>
    </w:p>
    <w:p w14:paraId="03E2CA3C" w14:textId="77777777" w:rsidR="003E494C" w:rsidRPr="004811D0" w:rsidRDefault="003E494C" w:rsidP="003E494C">
      <w:pPr>
        <w:autoSpaceDE w:val="0"/>
        <w:autoSpaceDN w:val="0"/>
        <w:adjustRightInd w:val="0"/>
        <w:rPr>
          <w:sz w:val="22"/>
          <w:szCs w:val="22"/>
        </w:rPr>
      </w:pPr>
      <w:r w:rsidRPr="004811D0">
        <w:rPr>
          <w:sz w:val="22"/>
          <w:szCs w:val="22"/>
        </w:rPr>
        <w:t xml:space="preserve">Za kombinacije sa </w:t>
      </w:r>
      <w:r w:rsidRPr="00416799">
        <w:rPr>
          <w:sz w:val="22"/>
          <w:szCs w:val="22"/>
        </w:rPr>
        <w:t>terapij</w:t>
      </w:r>
      <w:r>
        <w:rPr>
          <w:sz w:val="22"/>
          <w:szCs w:val="22"/>
        </w:rPr>
        <w:t>om</w:t>
      </w:r>
      <w:r w:rsidRPr="00416799">
        <w:rPr>
          <w:sz w:val="22"/>
          <w:szCs w:val="22"/>
        </w:rPr>
        <w:t xml:space="preserve"> androgene deprivacije</w:t>
      </w:r>
      <w:r w:rsidRPr="004811D0">
        <w:rPr>
          <w:sz w:val="22"/>
          <w:szCs w:val="22"/>
        </w:rPr>
        <w:t xml:space="preserve"> </w:t>
      </w:r>
      <w:r>
        <w:rPr>
          <w:sz w:val="22"/>
          <w:szCs w:val="22"/>
        </w:rPr>
        <w:t>(</w:t>
      </w:r>
      <w:r w:rsidRPr="004811D0">
        <w:rPr>
          <w:sz w:val="22"/>
          <w:szCs w:val="22"/>
        </w:rPr>
        <w:t>ADT</w:t>
      </w:r>
      <w:r>
        <w:rPr>
          <w:sz w:val="22"/>
          <w:szCs w:val="22"/>
        </w:rPr>
        <w:t>)</w:t>
      </w:r>
      <w:r w:rsidRPr="004811D0">
        <w:rPr>
          <w:sz w:val="22"/>
          <w:szCs w:val="22"/>
        </w:rPr>
        <w:t xml:space="preserve"> i prednizonom ili prednizolonom (studija STAMPEDE), primjenom CTCAE skale ocjenjivanja, prikazana su neželjena dejstva koja su se javljala tokom 6 ciklusa liječenja docetakselom i koja su imala najmanje 2% veću učestalost u grupi koja je liječena docetakselom u odnosu na kontrolnu grupu.</w:t>
      </w:r>
    </w:p>
    <w:p w14:paraId="2E752003" w14:textId="77777777" w:rsidR="003E494C" w:rsidRPr="004811D0" w:rsidRDefault="003E494C" w:rsidP="003E494C">
      <w:pPr>
        <w:autoSpaceDE w:val="0"/>
        <w:autoSpaceDN w:val="0"/>
        <w:adjustRightInd w:val="0"/>
        <w:rPr>
          <w:sz w:val="22"/>
          <w:szCs w:val="22"/>
        </w:rPr>
      </w:pPr>
    </w:p>
    <w:p w14:paraId="5E59E01D" w14:textId="77777777" w:rsidR="003E494C" w:rsidRPr="004811D0" w:rsidRDefault="003E494C" w:rsidP="003E494C">
      <w:pPr>
        <w:autoSpaceDE w:val="0"/>
        <w:autoSpaceDN w:val="0"/>
        <w:adjustRightInd w:val="0"/>
        <w:rPr>
          <w:sz w:val="22"/>
          <w:szCs w:val="22"/>
        </w:rPr>
      </w:pPr>
      <w:r w:rsidRPr="004811D0">
        <w:rPr>
          <w:sz w:val="22"/>
          <w:szCs w:val="22"/>
        </w:rPr>
        <w:t>Sljede</w:t>
      </w:r>
      <w:r w:rsidRPr="004811D0">
        <w:rPr>
          <w:rFonts w:eastAsia="TimesNewRoman"/>
          <w:sz w:val="22"/>
          <w:szCs w:val="22"/>
        </w:rPr>
        <w:t>ć</w:t>
      </w:r>
      <w:r w:rsidRPr="004811D0">
        <w:rPr>
          <w:sz w:val="22"/>
          <w:szCs w:val="22"/>
        </w:rPr>
        <w:t xml:space="preserve">e neželjene reakcije se javljaju </w:t>
      </w:r>
      <w:r w:rsidRPr="004811D0">
        <w:rPr>
          <w:rFonts w:eastAsia="TimesNewRoman"/>
          <w:sz w:val="22"/>
          <w:szCs w:val="22"/>
        </w:rPr>
        <w:t>č</w:t>
      </w:r>
      <w:r w:rsidRPr="004811D0">
        <w:rPr>
          <w:sz w:val="22"/>
          <w:szCs w:val="22"/>
        </w:rPr>
        <w:t>esto pri primjeni docetaksela:</w:t>
      </w:r>
    </w:p>
    <w:p w14:paraId="38F7AE40" w14:textId="77777777" w:rsidR="003E494C" w:rsidRPr="004811D0" w:rsidRDefault="003E494C" w:rsidP="003E494C">
      <w:pPr>
        <w:autoSpaceDE w:val="0"/>
        <w:autoSpaceDN w:val="0"/>
        <w:adjustRightInd w:val="0"/>
        <w:rPr>
          <w:i/>
          <w:iCs/>
          <w:sz w:val="22"/>
          <w:szCs w:val="22"/>
        </w:rPr>
      </w:pPr>
    </w:p>
    <w:p w14:paraId="10E48E71" w14:textId="77777777" w:rsidR="003E494C" w:rsidRPr="004811D0" w:rsidRDefault="003E494C" w:rsidP="003E494C">
      <w:pPr>
        <w:autoSpaceDE w:val="0"/>
        <w:autoSpaceDN w:val="0"/>
        <w:adjustRightInd w:val="0"/>
        <w:rPr>
          <w:iCs/>
          <w:sz w:val="22"/>
          <w:szCs w:val="22"/>
          <w:u w:val="single"/>
        </w:rPr>
      </w:pPr>
      <w:r w:rsidRPr="004811D0">
        <w:rPr>
          <w:iCs/>
          <w:sz w:val="22"/>
          <w:szCs w:val="22"/>
          <w:u w:val="single"/>
        </w:rPr>
        <w:t>Poremećaji imunog sistema:</w:t>
      </w:r>
    </w:p>
    <w:p w14:paraId="2B393994" w14:textId="77777777" w:rsidR="003E494C" w:rsidRPr="004811D0" w:rsidRDefault="003E494C" w:rsidP="003E494C">
      <w:pPr>
        <w:autoSpaceDE w:val="0"/>
        <w:autoSpaceDN w:val="0"/>
        <w:adjustRightInd w:val="0"/>
        <w:rPr>
          <w:i/>
          <w:iCs/>
          <w:sz w:val="22"/>
          <w:szCs w:val="22"/>
        </w:rPr>
      </w:pPr>
    </w:p>
    <w:p w14:paraId="4D62A2E7" w14:textId="6BE820E8" w:rsidR="003E494C" w:rsidRPr="004811D0" w:rsidRDefault="003E494C" w:rsidP="003E494C">
      <w:pPr>
        <w:autoSpaceDE w:val="0"/>
        <w:autoSpaceDN w:val="0"/>
        <w:adjustRightInd w:val="0"/>
        <w:rPr>
          <w:iCs/>
          <w:sz w:val="22"/>
          <w:szCs w:val="22"/>
        </w:rPr>
      </w:pPr>
      <w:r w:rsidRPr="004811D0">
        <w:rPr>
          <w:iCs/>
          <w:sz w:val="22"/>
          <w:szCs w:val="22"/>
        </w:rPr>
        <w:t xml:space="preserve">Reakcije preosjetljivosti generalno su nastajale u roku od nekoliko minuta nakon početka infuzije docetaksela i obično su bile blage do umjerene. Najčešće prijavljeni simptomi bili su crvenilo, osip sa pruritusom ili bez njega, stezanje u grudima, bol u leđima, dispneja i groznica ili drhtavica. Teške reakcije je karakterisala hipotenzija i/ili bronhospazam ili generalizovani osip/eritem (vidjeti </w:t>
      </w:r>
      <w:r>
        <w:rPr>
          <w:iCs/>
          <w:sz w:val="22"/>
          <w:szCs w:val="22"/>
        </w:rPr>
        <w:t>dio</w:t>
      </w:r>
      <w:r w:rsidRPr="004811D0">
        <w:rPr>
          <w:iCs/>
          <w:sz w:val="22"/>
          <w:szCs w:val="22"/>
        </w:rPr>
        <w:t xml:space="preserve"> 4.4).</w:t>
      </w:r>
    </w:p>
    <w:p w14:paraId="5C106456" w14:textId="77777777" w:rsidR="003E494C" w:rsidRPr="004811D0" w:rsidRDefault="003E494C" w:rsidP="003E494C">
      <w:pPr>
        <w:autoSpaceDE w:val="0"/>
        <w:autoSpaceDN w:val="0"/>
        <w:adjustRightInd w:val="0"/>
        <w:rPr>
          <w:i/>
          <w:iCs/>
          <w:sz w:val="22"/>
          <w:szCs w:val="22"/>
        </w:rPr>
      </w:pPr>
    </w:p>
    <w:p w14:paraId="7BE63112" w14:textId="77777777" w:rsidR="003E494C" w:rsidRPr="004811D0" w:rsidRDefault="003E494C" w:rsidP="003E494C">
      <w:pPr>
        <w:autoSpaceDE w:val="0"/>
        <w:autoSpaceDN w:val="0"/>
        <w:adjustRightInd w:val="0"/>
        <w:rPr>
          <w:iCs/>
          <w:sz w:val="22"/>
          <w:szCs w:val="22"/>
          <w:u w:val="single"/>
        </w:rPr>
      </w:pPr>
      <w:r w:rsidRPr="004811D0">
        <w:rPr>
          <w:iCs/>
          <w:sz w:val="22"/>
          <w:szCs w:val="22"/>
          <w:u w:val="single"/>
        </w:rPr>
        <w:t>Poreme</w:t>
      </w:r>
      <w:r w:rsidRPr="004811D0">
        <w:rPr>
          <w:rFonts w:eastAsia="TimesNewRoman"/>
          <w:iCs/>
          <w:sz w:val="22"/>
          <w:szCs w:val="22"/>
          <w:u w:val="single"/>
        </w:rPr>
        <w:t>ć</w:t>
      </w:r>
      <w:r w:rsidRPr="004811D0">
        <w:rPr>
          <w:iCs/>
          <w:sz w:val="22"/>
          <w:szCs w:val="22"/>
          <w:u w:val="single"/>
        </w:rPr>
        <w:t>aji nervnog sistema:</w:t>
      </w:r>
    </w:p>
    <w:p w14:paraId="48F58D14" w14:textId="77777777" w:rsidR="003E494C" w:rsidRPr="004811D0" w:rsidRDefault="003E494C" w:rsidP="003E494C">
      <w:pPr>
        <w:autoSpaceDE w:val="0"/>
        <w:autoSpaceDN w:val="0"/>
        <w:adjustRightInd w:val="0"/>
        <w:rPr>
          <w:i/>
          <w:iCs/>
          <w:sz w:val="22"/>
          <w:szCs w:val="22"/>
        </w:rPr>
      </w:pPr>
    </w:p>
    <w:p w14:paraId="0F3216C1" w14:textId="77777777" w:rsidR="003E494C" w:rsidRPr="004811D0" w:rsidRDefault="003E494C" w:rsidP="003E494C">
      <w:pPr>
        <w:autoSpaceDE w:val="0"/>
        <w:autoSpaceDN w:val="0"/>
        <w:adjustRightInd w:val="0"/>
        <w:rPr>
          <w:sz w:val="22"/>
          <w:szCs w:val="22"/>
        </w:rPr>
      </w:pPr>
      <w:r w:rsidRPr="004811D0">
        <w:rPr>
          <w:sz w:val="22"/>
          <w:szCs w:val="22"/>
        </w:rPr>
        <w:t>Pojava teške periferne neurotoksi</w:t>
      </w:r>
      <w:r w:rsidRPr="004811D0">
        <w:rPr>
          <w:rFonts w:eastAsia="TimesNewRoman"/>
          <w:sz w:val="22"/>
          <w:szCs w:val="22"/>
        </w:rPr>
        <w:t>č</w:t>
      </w:r>
      <w:r w:rsidRPr="004811D0">
        <w:rPr>
          <w:sz w:val="22"/>
          <w:szCs w:val="22"/>
        </w:rPr>
        <w:t xml:space="preserve">nosti koja zahtijeva smanjivanje doze (vidjeti </w:t>
      </w:r>
      <w:r>
        <w:rPr>
          <w:sz w:val="22"/>
          <w:szCs w:val="22"/>
        </w:rPr>
        <w:t>djelovdjelovedjelove</w:t>
      </w:r>
      <w:r w:rsidRPr="004811D0">
        <w:rPr>
          <w:sz w:val="22"/>
          <w:szCs w:val="22"/>
        </w:rPr>
        <w:t xml:space="preserve"> 4.2 i 4.4). Blagi do</w:t>
      </w:r>
    </w:p>
    <w:p w14:paraId="0F9F9F77" w14:textId="77777777" w:rsidR="003E494C" w:rsidRPr="004811D0" w:rsidRDefault="003E494C" w:rsidP="003E494C">
      <w:pPr>
        <w:autoSpaceDE w:val="0"/>
        <w:autoSpaceDN w:val="0"/>
        <w:adjustRightInd w:val="0"/>
        <w:rPr>
          <w:sz w:val="22"/>
          <w:szCs w:val="22"/>
        </w:rPr>
      </w:pPr>
      <w:r w:rsidRPr="004811D0">
        <w:rPr>
          <w:sz w:val="22"/>
          <w:szCs w:val="22"/>
        </w:rPr>
        <w:t>umjereni neuro-senzorni poreme</w:t>
      </w:r>
      <w:r w:rsidRPr="004811D0">
        <w:rPr>
          <w:rFonts w:eastAsia="TimesNewRoman"/>
          <w:sz w:val="22"/>
          <w:szCs w:val="22"/>
        </w:rPr>
        <w:t>ć</w:t>
      </w:r>
      <w:r w:rsidRPr="004811D0">
        <w:rPr>
          <w:sz w:val="22"/>
          <w:szCs w:val="22"/>
        </w:rPr>
        <w:t>aji koji se karakterišu parestezijom, dizestezijom ili bolom, uklju</w:t>
      </w:r>
      <w:r w:rsidRPr="004811D0">
        <w:rPr>
          <w:rFonts w:eastAsia="TimesNewRoman"/>
          <w:sz w:val="22"/>
          <w:szCs w:val="22"/>
        </w:rPr>
        <w:t>č</w:t>
      </w:r>
      <w:r w:rsidRPr="004811D0">
        <w:rPr>
          <w:sz w:val="22"/>
          <w:szCs w:val="22"/>
        </w:rPr>
        <w:t>uju</w:t>
      </w:r>
      <w:r w:rsidRPr="004811D0">
        <w:rPr>
          <w:rFonts w:eastAsia="TimesNewRoman"/>
          <w:sz w:val="22"/>
          <w:szCs w:val="22"/>
        </w:rPr>
        <w:t>ć</w:t>
      </w:r>
      <w:r w:rsidRPr="004811D0">
        <w:rPr>
          <w:sz w:val="22"/>
          <w:szCs w:val="22"/>
        </w:rPr>
        <w:t>i osje</w:t>
      </w:r>
      <w:r w:rsidRPr="004811D0">
        <w:rPr>
          <w:rFonts w:eastAsia="TimesNewRoman"/>
          <w:sz w:val="22"/>
          <w:szCs w:val="22"/>
        </w:rPr>
        <w:t>ć</w:t>
      </w:r>
      <w:r w:rsidRPr="004811D0">
        <w:rPr>
          <w:sz w:val="22"/>
          <w:szCs w:val="22"/>
        </w:rPr>
        <w:t>aj pe</w:t>
      </w:r>
      <w:r w:rsidRPr="004811D0">
        <w:rPr>
          <w:rFonts w:eastAsia="TimesNewRoman"/>
          <w:sz w:val="22"/>
          <w:szCs w:val="22"/>
        </w:rPr>
        <w:t>č</w:t>
      </w:r>
      <w:r w:rsidRPr="004811D0">
        <w:rPr>
          <w:sz w:val="22"/>
          <w:szCs w:val="22"/>
        </w:rPr>
        <w:t>enja. Neuro-motorni poreme</w:t>
      </w:r>
      <w:r w:rsidRPr="004811D0">
        <w:rPr>
          <w:rFonts w:eastAsia="TimesNewRoman"/>
          <w:sz w:val="22"/>
          <w:szCs w:val="22"/>
        </w:rPr>
        <w:t>ć</w:t>
      </w:r>
      <w:r w:rsidRPr="004811D0">
        <w:rPr>
          <w:sz w:val="22"/>
          <w:szCs w:val="22"/>
        </w:rPr>
        <w:t>aji se karakterišu, uglavnom, slaboš</w:t>
      </w:r>
      <w:r w:rsidRPr="004811D0">
        <w:rPr>
          <w:rFonts w:eastAsia="TimesNewRoman"/>
          <w:sz w:val="22"/>
          <w:szCs w:val="22"/>
        </w:rPr>
        <w:t>ć</w:t>
      </w:r>
      <w:r w:rsidRPr="004811D0">
        <w:rPr>
          <w:sz w:val="22"/>
          <w:szCs w:val="22"/>
        </w:rPr>
        <w:t>u.</w:t>
      </w:r>
    </w:p>
    <w:p w14:paraId="79B5584A" w14:textId="77777777" w:rsidR="003E494C" w:rsidRPr="004811D0" w:rsidRDefault="003E494C" w:rsidP="003E494C">
      <w:pPr>
        <w:autoSpaceDE w:val="0"/>
        <w:autoSpaceDN w:val="0"/>
        <w:adjustRightInd w:val="0"/>
        <w:rPr>
          <w:sz w:val="22"/>
          <w:szCs w:val="22"/>
        </w:rPr>
      </w:pPr>
    </w:p>
    <w:p w14:paraId="3D091AB3" w14:textId="77777777" w:rsidR="003E494C" w:rsidRPr="004811D0" w:rsidRDefault="003E494C" w:rsidP="003E494C">
      <w:pPr>
        <w:autoSpaceDE w:val="0"/>
        <w:autoSpaceDN w:val="0"/>
        <w:adjustRightInd w:val="0"/>
        <w:rPr>
          <w:iCs/>
          <w:sz w:val="22"/>
          <w:szCs w:val="22"/>
          <w:u w:val="single"/>
        </w:rPr>
      </w:pPr>
      <w:r w:rsidRPr="004811D0">
        <w:rPr>
          <w:iCs/>
          <w:sz w:val="22"/>
          <w:szCs w:val="22"/>
          <w:u w:val="single"/>
        </w:rPr>
        <w:t>Poreme</w:t>
      </w:r>
      <w:r w:rsidRPr="004811D0">
        <w:rPr>
          <w:rFonts w:eastAsia="TimesNewRoman"/>
          <w:iCs/>
          <w:sz w:val="22"/>
          <w:szCs w:val="22"/>
          <w:u w:val="single"/>
        </w:rPr>
        <w:t>ć</w:t>
      </w:r>
      <w:r w:rsidRPr="004811D0">
        <w:rPr>
          <w:iCs/>
          <w:sz w:val="22"/>
          <w:szCs w:val="22"/>
          <w:u w:val="single"/>
        </w:rPr>
        <w:t>aji kože i potkožnog tkiva:</w:t>
      </w:r>
    </w:p>
    <w:p w14:paraId="21521CC5" w14:textId="77777777" w:rsidR="003E494C" w:rsidRPr="004811D0" w:rsidRDefault="003E494C" w:rsidP="003E494C">
      <w:pPr>
        <w:autoSpaceDE w:val="0"/>
        <w:autoSpaceDN w:val="0"/>
        <w:adjustRightInd w:val="0"/>
        <w:rPr>
          <w:i/>
          <w:iCs/>
          <w:sz w:val="22"/>
          <w:szCs w:val="22"/>
        </w:rPr>
      </w:pPr>
    </w:p>
    <w:p w14:paraId="66267FF0" w14:textId="77777777" w:rsidR="003E494C" w:rsidRPr="004811D0" w:rsidRDefault="003E494C" w:rsidP="003E494C">
      <w:pPr>
        <w:autoSpaceDE w:val="0"/>
        <w:autoSpaceDN w:val="0"/>
        <w:adjustRightInd w:val="0"/>
        <w:rPr>
          <w:sz w:val="22"/>
          <w:szCs w:val="22"/>
        </w:rPr>
      </w:pPr>
      <w:r w:rsidRPr="004811D0">
        <w:rPr>
          <w:sz w:val="22"/>
          <w:szCs w:val="22"/>
        </w:rPr>
        <w:t>Primijećene su reverzibilne kožne reakcije, koje su, po pravilu, blagog do umjerenog intenziteta. Reakcije je karakterisao osip, uklju</w:t>
      </w:r>
      <w:r w:rsidRPr="004811D0">
        <w:rPr>
          <w:rFonts w:eastAsia="TimesNewRoman"/>
          <w:sz w:val="22"/>
          <w:szCs w:val="22"/>
        </w:rPr>
        <w:t>č</w:t>
      </w:r>
      <w:r w:rsidRPr="004811D0">
        <w:rPr>
          <w:sz w:val="22"/>
          <w:szCs w:val="22"/>
        </w:rPr>
        <w:t>uju</w:t>
      </w:r>
      <w:r w:rsidRPr="004811D0">
        <w:rPr>
          <w:rFonts w:eastAsia="TimesNewRoman"/>
          <w:sz w:val="22"/>
          <w:szCs w:val="22"/>
        </w:rPr>
        <w:t>ć</w:t>
      </w:r>
      <w:r w:rsidRPr="004811D0">
        <w:rPr>
          <w:sz w:val="22"/>
          <w:szCs w:val="22"/>
        </w:rPr>
        <w:t>i i lokalizovane erupcije uglavnom po stopalima i dlanovima (uklju</w:t>
      </w:r>
      <w:r w:rsidRPr="004811D0">
        <w:rPr>
          <w:rFonts w:eastAsia="TimesNewRoman"/>
          <w:sz w:val="22"/>
          <w:szCs w:val="22"/>
        </w:rPr>
        <w:t>č</w:t>
      </w:r>
      <w:r w:rsidRPr="004811D0">
        <w:rPr>
          <w:sz w:val="22"/>
          <w:szCs w:val="22"/>
        </w:rPr>
        <w:t>uju</w:t>
      </w:r>
      <w:r w:rsidRPr="004811D0">
        <w:rPr>
          <w:rFonts w:eastAsia="TimesNewRoman"/>
          <w:sz w:val="22"/>
          <w:szCs w:val="22"/>
        </w:rPr>
        <w:t>ć</w:t>
      </w:r>
      <w:r w:rsidRPr="004811D0">
        <w:rPr>
          <w:sz w:val="22"/>
          <w:szCs w:val="22"/>
        </w:rPr>
        <w:t>i i težak šaka-stopalo sindrom), ali i na nadlakticama, licu ili grudnom košu, a često pra</w:t>
      </w:r>
      <w:r w:rsidRPr="004811D0">
        <w:rPr>
          <w:rFonts w:eastAsia="TimesNewRoman"/>
          <w:sz w:val="22"/>
          <w:szCs w:val="22"/>
        </w:rPr>
        <w:t>ć</w:t>
      </w:r>
      <w:r w:rsidRPr="004811D0">
        <w:rPr>
          <w:sz w:val="22"/>
          <w:szCs w:val="22"/>
        </w:rPr>
        <w:t>eno svrabom. Erupcije su se, po pravilu, javljale u periodu od nedjelju dana po infuziji docetaksela. Rje</w:t>
      </w:r>
      <w:r w:rsidRPr="004811D0">
        <w:rPr>
          <w:rFonts w:eastAsia="TimesNewRoman"/>
          <w:sz w:val="22"/>
          <w:szCs w:val="22"/>
        </w:rPr>
        <w:t>đ</w:t>
      </w:r>
      <w:r w:rsidRPr="004811D0">
        <w:rPr>
          <w:sz w:val="22"/>
          <w:szCs w:val="22"/>
        </w:rPr>
        <w:t>e su prijavljeni teški simptomi, kao što su erupcije pra</w:t>
      </w:r>
      <w:r w:rsidRPr="004811D0">
        <w:rPr>
          <w:rFonts w:eastAsia="TimesNewRoman"/>
          <w:sz w:val="22"/>
          <w:szCs w:val="22"/>
        </w:rPr>
        <w:t>ć</w:t>
      </w:r>
      <w:r w:rsidRPr="004811D0">
        <w:rPr>
          <w:sz w:val="22"/>
          <w:szCs w:val="22"/>
        </w:rPr>
        <w:t xml:space="preserve">ene deskvamacijom, koje su rijetko vodile obustavi ili potpunom prekidu terapije docetakselom (vidjeti </w:t>
      </w:r>
      <w:r>
        <w:rPr>
          <w:sz w:val="22"/>
          <w:szCs w:val="22"/>
        </w:rPr>
        <w:t>djelovdjelovedjelove</w:t>
      </w:r>
      <w:r w:rsidRPr="004811D0">
        <w:rPr>
          <w:sz w:val="22"/>
          <w:szCs w:val="22"/>
        </w:rPr>
        <w:t xml:space="preserve"> 4.2 i 4.4). Teške poreme</w:t>
      </w:r>
      <w:r w:rsidRPr="004811D0">
        <w:rPr>
          <w:rFonts w:eastAsia="TimesNewRoman"/>
          <w:sz w:val="22"/>
          <w:szCs w:val="22"/>
        </w:rPr>
        <w:t>ć</w:t>
      </w:r>
      <w:r w:rsidRPr="004811D0">
        <w:rPr>
          <w:sz w:val="22"/>
          <w:szCs w:val="22"/>
        </w:rPr>
        <w:t>aje stanja noktiju karakterišu hipo- ili hiperpigmentacija, a ponekad, bol i oniholiza.</w:t>
      </w:r>
    </w:p>
    <w:p w14:paraId="6E071A3D" w14:textId="77777777" w:rsidR="003E494C" w:rsidRPr="004811D0" w:rsidRDefault="003E494C" w:rsidP="003E494C">
      <w:pPr>
        <w:autoSpaceDE w:val="0"/>
        <w:autoSpaceDN w:val="0"/>
        <w:adjustRightInd w:val="0"/>
        <w:rPr>
          <w:i/>
          <w:iCs/>
          <w:sz w:val="22"/>
          <w:szCs w:val="22"/>
        </w:rPr>
      </w:pPr>
    </w:p>
    <w:p w14:paraId="21868043" w14:textId="77777777" w:rsidR="003E494C" w:rsidRPr="004811D0" w:rsidRDefault="003E494C" w:rsidP="003E494C">
      <w:pPr>
        <w:autoSpaceDE w:val="0"/>
        <w:autoSpaceDN w:val="0"/>
        <w:adjustRightInd w:val="0"/>
        <w:rPr>
          <w:iCs/>
          <w:sz w:val="22"/>
          <w:szCs w:val="22"/>
          <w:u w:val="single"/>
        </w:rPr>
      </w:pPr>
      <w:r w:rsidRPr="004811D0">
        <w:rPr>
          <w:iCs/>
          <w:sz w:val="22"/>
          <w:szCs w:val="22"/>
          <w:u w:val="single"/>
        </w:rPr>
        <w:t>Opšti poreme</w:t>
      </w:r>
      <w:r w:rsidRPr="004811D0">
        <w:rPr>
          <w:rFonts w:eastAsia="TimesNewRoman"/>
          <w:iCs/>
          <w:sz w:val="22"/>
          <w:szCs w:val="22"/>
          <w:u w:val="single"/>
        </w:rPr>
        <w:t>ć</w:t>
      </w:r>
      <w:r w:rsidRPr="004811D0">
        <w:rPr>
          <w:iCs/>
          <w:sz w:val="22"/>
          <w:szCs w:val="22"/>
          <w:u w:val="single"/>
        </w:rPr>
        <w:t>aji i pojave na mjestu primjene:</w:t>
      </w:r>
    </w:p>
    <w:p w14:paraId="3FF3459C" w14:textId="77777777" w:rsidR="003E494C" w:rsidRPr="004811D0" w:rsidRDefault="003E494C" w:rsidP="003E494C">
      <w:pPr>
        <w:autoSpaceDE w:val="0"/>
        <w:autoSpaceDN w:val="0"/>
        <w:adjustRightInd w:val="0"/>
        <w:rPr>
          <w:i/>
          <w:iCs/>
          <w:sz w:val="22"/>
          <w:szCs w:val="22"/>
        </w:rPr>
      </w:pPr>
    </w:p>
    <w:p w14:paraId="72C23F25" w14:textId="77777777" w:rsidR="003E494C" w:rsidRPr="004811D0" w:rsidRDefault="003E494C" w:rsidP="003E494C">
      <w:pPr>
        <w:autoSpaceDE w:val="0"/>
        <w:autoSpaceDN w:val="0"/>
        <w:adjustRightInd w:val="0"/>
        <w:rPr>
          <w:sz w:val="22"/>
          <w:szCs w:val="22"/>
        </w:rPr>
      </w:pPr>
      <w:r w:rsidRPr="004811D0">
        <w:rPr>
          <w:sz w:val="22"/>
          <w:szCs w:val="22"/>
        </w:rPr>
        <w:lastRenderedPageBreak/>
        <w:t>Reakcije na mjestu infuzije bile su, po pravilu, blage i sastojale su se od hiperpigmentacije, zapaljenja, crvenila ili suvo</w:t>
      </w:r>
      <w:r w:rsidRPr="004811D0">
        <w:rPr>
          <w:rFonts w:eastAsia="TimesNewRoman"/>
          <w:sz w:val="22"/>
          <w:szCs w:val="22"/>
        </w:rPr>
        <w:t>ć</w:t>
      </w:r>
      <w:r w:rsidRPr="004811D0">
        <w:rPr>
          <w:sz w:val="22"/>
          <w:szCs w:val="22"/>
        </w:rPr>
        <w:t>e kože, flebitisa ili ekstravazacije i oticanja vene.</w:t>
      </w:r>
    </w:p>
    <w:p w14:paraId="20FD679A" w14:textId="2277F211" w:rsidR="003E494C" w:rsidRPr="004811D0" w:rsidRDefault="003E494C" w:rsidP="003E494C">
      <w:pPr>
        <w:autoSpaceDE w:val="0"/>
        <w:autoSpaceDN w:val="0"/>
        <w:adjustRightInd w:val="0"/>
        <w:rPr>
          <w:sz w:val="22"/>
          <w:szCs w:val="22"/>
        </w:rPr>
      </w:pPr>
      <w:r w:rsidRPr="004811D0">
        <w:rPr>
          <w:sz w:val="22"/>
          <w:szCs w:val="22"/>
        </w:rPr>
        <w:t>Retencija te</w:t>
      </w:r>
      <w:r w:rsidRPr="004811D0">
        <w:rPr>
          <w:rFonts w:eastAsia="TimesNewRoman"/>
          <w:sz w:val="22"/>
          <w:szCs w:val="22"/>
        </w:rPr>
        <w:t>č</w:t>
      </w:r>
      <w:r w:rsidRPr="004811D0">
        <w:rPr>
          <w:sz w:val="22"/>
          <w:szCs w:val="22"/>
        </w:rPr>
        <w:t>nosti obuhvata događaje kao što su periferni edem i, rje</w:t>
      </w:r>
      <w:r w:rsidRPr="004811D0">
        <w:rPr>
          <w:rFonts w:eastAsia="TimesNewRoman"/>
          <w:sz w:val="22"/>
          <w:szCs w:val="22"/>
        </w:rPr>
        <w:t>đ</w:t>
      </w:r>
      <w:r w:rsidRPr="004811D0">
        <w:rPr>
          <w:sz w:val="22"/>
          <w:szCs w:val="22"/>
        </w:rPr>
        <w:t>e, pleuralni izliv, perikardijalni izliv, ascites i porast tjelesne mase. Periferni edem obi</w:t>
      </w:r>
      <w:r w:rsidRPr="004811D0">
        <w:rPr>
          <w:rFonts w:eastAsia="TimesNewRoman"/>
          <w:sz w:val="22"/>
          <w:szCs w:val="22"/>
        </w:rPr>
        <w:t>č</w:t>
      </w:r>
      <w:r w:rsidRPr="004811D0">
        <w:rPr>
          <w:sz w:val="22"/>
          <w:szCs w:val="22"/>
        </w:rPr>
        <w:t>no po</w:t>
      </w:r>
      <w:r w:rsidRPr="004811D0">
        <w:rPr>
          <w:rFonts w:eastAsia="TimesNewRoman"/>
          <w:sz w:val="22"/>
          <w:szCs w:val="22"/>
        </w:rPr>
        <w:t>č</w:t>
      </w:r>
      <w:r w:rsidRPr="004811D0">
        <w:rPr>
          <w:sz w:val="22"/>
          <w:szCs w:val="22"/>
        </w:rPr>
        <w:t>inje na donjim ekstremitetima i može da postane generalizovan, uz porast tjelesne mase za 3 ili više kilograma. Po u</w:t>
      </w:r>
      <w:r w:rsidRPr="004811D0">
        <w:rPr>
          <w:rFonts w:eastAsia="TimesNewRoman"/>
          <w:sz w:val="22"/>
          <w:szCs w:val="22"/>
        </w:rPr>
        <w:t>č</w:t>
      </w:r>
      <w:r w:rsidRPr="004811D0">
        <w:rPr>
          <w:sz w:val="22"/>
          <w:szCs w:val="22"/>
        </w:rPr>
        <w:t>estalosti i težini, retencija te</w:t>
      </w:r>
      <w:r w:rsidRPr="004811D0">
        <w:rPr>
          <w:rFonts w:eastAsia="TimesNewRoman"/>
          <w:sz w:val="22"/>
          <w:szCs w:val="22"/>
        </w:rPr>
        <w:t>č</w:t>
      </w:r>
      <w:r w:rsidRPr="004811D0">
        <w:rPr>
          <w:sz w:val="22"/>
          <w:szCs w:val="22"/>
        </w:rPr>
        <w:t xml:space="preserve">nosti je kumulativna (vidjeti </w:t>
      </w:r>
      <w:r w:rsidR="006A399E">
        <w:rPr>
          <w:sz w:val="22"/>
          <w:szCs w:val="22"/>
        </w:rPr>
        <w:t>dio</w:t>
      </w:r>
      <w:r w:rsidRPr="004811D0">
        <w:rPr>
          <w:sz w:val="22"/>
          <w:szCs w:val="22"/>
        </w:rPr>
        <w:t xml:space="preserve"> 4.4).</w:t>
      </w:r>
    </w:p>
    <w:p w14:paraId="347C4DD9" w14:textId="77777777" w:rsidR="003E494C" w:rsidRPr="004811D0" w:rsidRDefault="003E494C" w:rsidP="003E494C">
      <w:pPr>
        <w:autoSpaceDE w:val="0"/>
        <w:autoSpaceDN w:val="0"/>
        <w:adjustRightInd w:val="0"/>
        <w:rPr>
          <w:i/>
          <w:iCs/>
          <w:sz w:val="22"/>
          <w:szCs w:val="22"/>
        </w:rPr>
      </w:pPr>
    </w:p>
    <w:p w14:paraId="1FC33B93" w14:textId="77777777" w:rsidR="003E494C" w:rsidRPr="00134395" w:rsidRDefault="003E494C" w:rsidP="003E494C">
      <w:pPr>
        <w:autoSpaceDE w:val="0"/>
        <w:autoSpaceDN w:val="0"/>
        <w:adjustRightInd w:val="0"/>
        <w:rPr>
          <w:bCs/>
          <w:iCs/>
          <w:sz w:val="22"/>
          <w:szCs w:val="22"/>
          <w:u w:val="single"/>
        </w:rPr>
      </w:pPr>
      <w:bookmarkStart w:id="7" w:name="_Hlk28261452"/>
      <w:r w:rsidRPr="00134395">
        <w:rPr>
          <w:iCs/>
          <w:sz w:val="22"/>
          <w:szCs w:val="22"/>
          <w:u w:val="single"/>
        </w:rPr>
        <w:t>Tabelarni prikaz neželjenih reakcija kod karcinoma dojke za docetaksel</w:t>
      </w:r>
      <w:r w:rsidRPr="00134395">
        <w:rPr>
          <w:b/>
          <w:i/>
          <w:iCs/>
          <w:sz w:val="22"/>
          <w:szCs w:val="22"/>
          <w:u w:val="single"/>
        </w:rPr>
        <w:t xml:space="preserve"> </w:t>
      </w:r>
      <w:r w:rsidRPr="00134395">
        <w:rPr>
          <w:iCs/>
          <w:sz w:val="22"/>
          <w:szCs w:val="22"/>
          <w:u w:val="single"/>
        </w:rPr>
        <w:t>100 mg/m</w:t>
      </w:r>
      <w:r w:rsidRPr="00134395">
        <w:rPr>
          <w:iCs/>
          <w:sz w:val="22"/>
          <w:szCs w:val="22"/>
          <w:u w:val="single"/>
          <w:vertAlign w:val="superscript"/>
        </w:rPr>
        <w:t>2</w:t>
      </w:r>
      <w:r w:rsidRPr="00134395">
        <w:rPr>
          <w:iCs/>
          <w:sz w:val="22"/>
          <w:szCs w:val="22"/>
          <w:u w:val="single"/>
        </w:rPr>
        <w:t xml:space="preserve"> kao monoterapija</w:t>
      </w:r>
    </w:p>
    <w:bookmarkEnd w:id="7"/>
    <w:p w14:paraId="0E6708CA" w14:textId="25565C5A" w:rsidR="003E494C" w:rsidRDefault="003E494C" w:rsidP="00A46C9A">
      <w:pPr>
        <w:spacing w:after="200" w:line="276" w:lineRule="auto"/>
        <w:rPr>
          <w:rFonts w:eastAsia="Calibri"/>
          <w:sz w:val="22"/>
          <w:szCs w:val="22"/>
          <w:u w:val="single"/>
          <w:lang w:val="sr-Latn-RS"/>
        </w:rPr>
      </w:pPr>
    </w:p>
    <w:p w14:paraId="193EE472" w14:textId="77777777" w:rsidR="003E494C" w:rsidRPr="004811D0" w:rsidRDefault="003E494C" w:rsidP="003E494C">
      <w:pPr>
        <w:autoSpaceDE w:val="0"/>
        <w:autoSpaceDN w:val="0"/>
        <w:adjustRightInd w:val="0"/>
        <w:rPr>
          <w:sz w:val="22"/>
          <w:szCs w:val="22"/>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2"/>
        <w:gridCol w:w="2442"/>
        <w:gridCol w:w="2442"/>
        <w:gridCol w:w="2443"/>
      </w:tblGrid>
      <w:tr w:rsidR="003E494C" w:rsidRPr="00B02007" w14:paraId="7C21F497" w14:textId="77777777" w:rsidTr="002C66FC">
        <w:trPr>
          <w:trHeight w:val="1014"/>
        </w:trPr>
        <w:tc>
          <w:tcPr>
            <w:tcW w:w="2442" w:type="dxa"/>
          </w:tcPr>
          <w:p w14:paraId="1CCE9B8B" w14:textId="77777777" w:rsidR="003E494C" w:rsidRPr="003A78D0" w:rsidRDefault="003E494C" w:rsidP="002C66FC">
            <w:pPr>
              <w:autoSpaceDE w:val="0"/>
              <w:autoSpaceDN w:val="0"/>
              <w:adjustRightInd w:val="0"/>
              <w:rPr>
                <w:b/>
                <w:sz w:val="22"/>
                <w:szCs w:val="22"/>
                <w:lang w:val="de-DE"/>
              </w:rPr>
            </w:pPr>
            <w:r w:rsidRPr="003A78D0">
              <w:rPr>
                <w:b/>
                <w:sz w:val="22"/>
                <w:szCs w:val="22"/>
                <w:lang w:val="de-DE"/>
              </w:rPr>
              <w:t>Organski sistemi po MedDRA klasifikaciji</w:t>
            </w:r>
          </w:p>
        </w:tc>
        <w:tc>
          <w:tcPr>
            <w:tcW w:w="2442" w:type="dxa"/>
          </w:tcPr>
          <w:p w14:paraId="3D31EAD4" w14:textId="77777777" w:rsidR="003E494C" w:rsidRPr="004811D0" w:rsidRDefault="003E494C" w:rsidP="002C66FC">
            <w:pPr>
              <w:autoSpaceDE w:val="0"/>
              <w:autoSpaceDN w:val="0"/>
              <w:adjustRightInd w:val="0"/>
              <w:rPr>
                <w:b/>
                <w:bCs/>
                <w:sz w:val="22"/>
                <w:szCs w:val="22"/>
              </w:rPr>
            </w:pPr>
            <w:r w:rsidRPr="004811D0">
              <w:rPr>
                <w:b/>
                <w:bCs/>
                <w:sz w:val="22"/>
                <w:szCs w:val="22"/>
              </w:rPr>
              <w:t xml:space="preserve">Veoma </w:t>
            </w:r>
            <w:r w:rsidRPr="004811D0">
              <w:rPr>
                <w:rFonts w:eastAsia="TimesNewRoman,Bold"/>
                <w:b/>
                <w:bCs/>
                <w:sz w:val="22"/>
                <w:szCs w:val="22"/>
              </w:rPr>
              <w:t>č</w:t>
            </w:r>
            <w:r w:rsidRPr="004811D0">
              <w:rPr>
                <w:b/>
                <w:bCs/>
                <w:sz w:val="22"/>
                <w:szCs w:val="22"/>
              </w:rPr>
              <w:t>esta neželjena dejstva</w:t>
            </w:r>
          </w:p>
          <w:p w14:paraId="3F0A9DDC" w14:textId="77777777" w:rsidR="003E494C" w:rsidRPr="004811D0" w:rsidRDefault="003E494C" w:rsidP="002C66FC">
            <w:pPr>
              <w:autoSpaceDE w:val="0"/>
              <w:autoSpaceDN w:val="0"/>
              <w:adjustRightInd w:val="0"/>
              <w:rPr>
                <w:b/>
                <w:bCs/>
                <w:sz w:val="22"/>
                <w:szCs w:val="22"/>
              </w:rPr>
            </w:pPr>
            <w:r w:rsidRPr="004811D0">
              <w:rPr>
                <w:b/>
                <w:bCs/>
                <w:sz w:val="22"/>
                <w:szCs w:val="22"/>
              </w:rPr>
              <w:t xml:space="preserve"> </w:t>
            </w:r>
          </w:p>
          <w:p w14:paraId="1556C868" w14:textId="77777777" w:rsidR="003E494C" w:rsidRPr="004811D0" w:rsidRDefault="003E494C" w:rsidP="002C66FC">
            <w:pPr>
              <w:autoSpaceDE w:val="0"/>
              <w:autoSpaceDN w:val="0"/>
              <w:adjustRightInd w:val="0"/>
              <w:rPr>
                <w:sz w:val="22"/>
                <w:szCs w:val="22"/>
              </w:rPr>
            </w:pPr>
          </w:p>
        </w:tc>
        <w:tc>
          <w:tcPr>
            <w:tcW w:w="2442" w:type="dxa"/>
          </w:tcPr>
          <w:p w14:paraId="3D52FC32" w14:textId="77777777" w:rsidR="003E494C" w:rsidRPr="004811D0" w:rsidRDefault="003E494C" w:rsidP="002C66FC">
            <w:pPr>
              <w:autoSpaceDE w:val="0"/>
              <w:autoSpaceDN w:val="0"/>
              <w:adjustRightInd w:val="0"/>
              <w:rPr>
                <w:b/>
                <w:bCs/>
                <w:sz w:val="22"/>
                <w:szCs w:val="22"/>
              </w:rPr>
            </w:pPr>
            <w:r w:rsidRPr="004811D0">
              <w:rPr>
                <w:rFonts w:eastAsia="TimesNewRoman,Bold"/>
                <w:b/>
                <w:bCs/>
                <w:sz w:val="22"/>
                <w:szCs w:val="22"/>
              </w:rPr>
              <w:t>Č</w:t>
            </w:r>
            <w:r w:rsidRPr="004811D0">
              <w:rPr>
                <w:b/>
                <w:bCs/>
                <w:sz w:val="22"/>
                <w:szCs w:val="22"/>
              </w:rPr>
              <w:t>esta neželjena dejstva</w:t>
            </w:r>
          </w:p>
          <w:p w14:paraId="33A1EFC5" w14:textId="77777777" w:rsidR="003E494C" w:rsidRPr="004811D0" w:rsidRDefault="003E494C" w:rsidP="002C66FC">
            <w:pPr>
              <w:autoSpaceDE w:val="0"/>
              <w:autoSpaceDN w:val="0"/>
              <w:adjustRightInd w:val="0"/>
              <w:rPr>
                <w:b/>
                <w:bCs/>
                <w:sz w:val="22"/>
                <w:szCs w:val="22"/>
              </w:rPr>
            </w:pPr>
          </w:p>
          <w:p w14:paraId="667817BB" w14:textId="77777777" w:rsidR="003E494C" w:rsidRPr="004811D0" w:rsidRDefault="003E494C" w:rsidP="002C66FC">
            <w:pPr>
              <w:autoSpaceDE w:val="0"/>
              <w:autoSpaceDN w:val="0"/>
              <w:adjustRightInd w:val="0"/>
              <w:rPr>
                <w:sz w:val="22"/>
                <w:szCs w:val="22"/>
              </w:rPr>
            </w:pPr>
          </w:p>
        </w:tc>
        <w:tc>
          <w:tcPr>
            <w:tcW w:w="2443" w:type="dxa"/>
          </w:tcPr>
          <w:p w14:paraId="28333F7F" w14:textId="77777777" w:rsidR="003E494C" w:rsidRPr="004811D0" w:rsidRDefault="003E494C" w:rsidP="002C66FC">
            <w:pPr>
              <w:autoSpaceDE w:val="0"/>
              <w:autoSpaceDN w:val="0"/>
              <w:adjustRightInd w:val="0"/>
              <w:rPr>
                <w:b/>
                <w:bCs/>
                <w:sz w:val="22"/>
                <w:szCs w:val="22"/>
              </w:rPr>
            </w:pPr>
            <w:r w:rsidRPr="004811D0">
              <w:rPr>
                <w:b/>
                <w:bCs/>
                <w:sz w:val="22"/>
                <w:szCs w:val="22"/>
              </w:rPr>
              <w:t>Povremena neželjena</w:t>
            </w:r>
          </w:p>
          <w:p w14:paraId="5117A774" w14:textId="77777777" w:rsidR="003E494C" w:rsidRPr="004811D0" w:rsidRDefault="003E494C" w:rsidP="002C66FC">
            <w:pPr>
              <w:autoSpaceDE w:val="0"/>
              <w:autoSpaceDN w:val="0"/>
              <w:adjustRightInd w:val="0"/>
              <w:rPr>
                <w:b/>
                <w:bCs/>
                <w:sz w:val="22"/>
                <w:szCs w:val="22"/>
              </w:rPr>
            </w:pPr>
            <w:r w:rsidRPr="004811D0">
              <w:rPr>
                <w:b/>
                <w:bCs/>
                <w:sz w:val="22"/>
                <w:szCs w:val="22"/>
              </w:rPr>
              <w:t>dejstva</w:t>
            </w:r>
          </w:p>
          <w:p w14:paraId="137FEF73" w14:textId="77777777" w:rsidR="003E494C" w:rsidRPr="004811D0" w:rsidRDefault="003E494C" w:rsidP="002C66FC">
            <w:pPr>
              <w:autoSpaceDE w:val="0"/>
              <w:autoSpaceDN w:val="0"/>
              <w:adjustRightInd w:val="0"/>
              <w:rPr>
                <w:b/>
                <w:bCs/>
                <w:sz w:val="22"/>
                <w:szCs w:val="22"/>
              </w:rPr>
            </w:pPr>
            <w:r w:rsidRPr="004811D0">
              <w:rPr>
                <w:b/>
                <w:bCs/>
                <w:sz w:val="22"/>
                <w:szCs w:val="22"/>
              </w:rPr>
              <w:t xml:space="preserve"> </w:t>
            </w:r>
          </w:p>
          <w:p w14:paraId="2E11CE3E" w14:textId="77777777" w:rsidR="003E494C" w:rsidRPr="004811D0" w:rsidRDefault="003E494C" w:rsidP="002C66FC">
            <w:pPr>
              <w:autoSpaceDE w:val="0"/>
              <w:autoSpaceDN w:val="0"/>
              <w:adjustRightInd w:val="0"/>
              <w:rPr>
                <w:sz w:val="22"/>
                <w:szCs w:val="22"/>
              </w:rPr>
            </w:pPr>
          </w:p>
        </w:tc>
      </w:tr>
      <w:tr w:rsidR="003E494C" w:rsidRPr="00B02007" w14:paraId="775C624E" w14:textId="77777777" w:rsidTr="002C66FC">
        <w:trPr>
          <w:trHeight w:val="1256"/>
        </w:trPr>
        <w:tc>
          <w:tcPr>
            <w:tcW w:w="2442" w:type="dxa"/>
          </w:tcPr>
          <w:p w14:paraId="3DB13D6A" w14:textId="77777777" w:rsidR="003E494C" w:rsidRPr="004811D0" w:rsidRDefault="003E494C" w:rsidP="002C66FC">
            <w:pPr>
              <w:autoSpaceDE w:val="0"/>
              <w:autoSpaceDN w:val="0"/>
              <w:adjustRightInd w:val="0"/>
              <w:rPr>
                <w:sz w:val="22"/>
                <w:szCs w:val="22"/>
              </w:rPr>
            </w:pPr>
            <w:r w:rsidRPr="004811D0">
              <w:rPr>
                <w:sz w:val="22"/>
                <w:szCs w:val="22"/>
              </w:rPr>
              <w:t>Infekcije i infestacije</w:t>
            </w:r>
          </w:p>
        </w:tc>
        <w:tc>
          <w:tcPr>
            <w:tcW w:w="2442" w:type="dxa"/>
          </w:tcPr>
          <w:p w14:paraId="538DEF63" w14:textId="77777777" w:rsidR="003E494C" w:rsidRPr="004811D0" w:rsidRDefault="003E494C" w:rsidP="002C66FC">
            <w:pPr>
              <w:autoSpaceDE w:val="0"/>
              <w:autoSpaceDN w:val="0"/>
              <w:adjustRightInd w:val="0"/>
              <w:rPr>
                <w:sz w:val="22"/>
                <w:szCs w:val="22"/>
              </w:rPr>
            </w:pPr>
            <w:r w:rsidRPr="004811D0">
              <w:rPr>
                <w:sz w:val="22"/>
                <w:szCs w:val="22"/>
              </w:rPr>
              <w:t>Infekcije (G3/4: 5,7%;</w:t>
            </w:r>
          </w:p>
          <w:p w14:paraId="072587AE" w14:textId="77777777" w:rsidR="003E494C" w:rsidRPr="004811D0" w:rsidRDefault="003E494C" w:rsidP="002C66FC">
            <w:pPr>
              <w:autoSpaceDE w:val="0"/>
              <w:autoSpaceDN w:val="0"/>
              <w:adjustRightInd w:val="0"/>
              <w:rPr>
                <w:sz w:val="22"/>
                <w:szCs w:val="22"/>
              </w:rPr>
            </w:pPr>
            <w:r w:rsidRPr="004811D0">
              <w:rPr>
                <w:sz w:val="22"/>
                <w:szCs w:val="22"/>
              </w:rPr>
              <w:t>uklju</w:t>
            </w:r>
            <w:r w:rsidRPr="004811D0">
              <w:rPr>
                <w:rFonts w:eastAsia="TimesNewRoman"/>
                <w:sz w:val="22"/>
                <w:szCs w:val="22"/>
              </w:rPr>
              <w:t>č</w:t>
            </w:r>
            <w:r w:rsidRPr="004811D0">
              <w:rPr>
                <w:sz w:val="22"/>
                <w:szCs w:val="22"/>
              </w:rPr>
              <w:t>uju</w:t>
            </w:r>
            <w:r w:rsidRPr="004811D0">
              <w:rPr>
                <w:rFonts w:eastAsia="TimesNewRoman"/>
                <w:sz w:val="22"/>
                <w:szCs w:val="22"/>
              </w:rPr>
              <w:t>ć</w:t>
            </w:r>
            <w:r w:rsidRPr="004811D0">
              <w:rPr>
                <w:sz w:val="22"/>
                <w:szCs w:val="22"/>
              </w:rPr>
              <w:t>i sepsu i pneumoniju, sa smrtnim ishodom u 1,7%)</w:t>
            </w:r>
          </w:p>
          <w:p w14:paraId="45D2C21A" w14:textId="77777777" w:rsidR="003E494C" w:rsidRPr="004811D0" w:rsidRDefault="003E494C" w:rsidP="002C66FC">
            <w:pPr>
              <w:autoSpaceDE w:val="0"/>
              <w:autoSpaceDN w:val="0"/>
              <w:adjustRightInd w:val="0"/>
              <w:rPr>
                <w:sz w:val="22"/>
                <w:szCs w:val="22"/>
              </w:rPr>
            </w:pPr>
          </w:p>
        </w:tc>
        <w:tc>
          <w:tcPr>
            <w:tcW w:w="2442" w:type="dxa"/>
          </w:tcPr>
          <w:p w14:paraId="416D3982" w14:textId="77777777" w:rsidR="003E494C" w:rsidRPr="004811D0" w:rsidRDefault="003E494C" w:rsidP="002C66FC">
            <w:pPr>
              <w:autoSpaceDE w:val="0"/>
              <w:autoSpaceDN w:val="0"/>
              <w:adjustRightInd w:val="0"/>
              <w:rPr>
                <w:sz w:val="22"/>
                <w:szCs w:val="22"/>
              </w:rPr>
            </w:pPr>
            <w:r w:rsidRPr="004811D0">
              <w:rPr>
                <w:sz w:val="22"/>
                <w:szCs w:val="22"/>
              </w:rPr>
              <w:t>Infekcija povezana sa</w:t>
            </w:r>
          </w:p>
          <w:p w14:paraId="164416CE" w14:textId="77777777" w:rsidR="003E494C" w:rsidRPr="004811D0" w:rsidRDefault="003E494C" w:rsidP="002C66FC">
            <w:pPr>
              <w:autoSpaceDE w:val="0"/>
              <w:autoSpaceDN w:val="0"/>
              <w:adjustRightInd w:val="0"/>
              <w:rPr>
                <w:sz w:val="22"/>
                <w:szCs w:val="22"/>
              </w:rPr>
            </w:pPr>
            <w:r w:rsidRPr="004811D0">
              <w:rPr>
                <w:sz w:val="22"/>
                <w:szCs w:val="22"/>
              </w:rPr>
              <w:t>neutropenijom G4</w:t>
            </w:r>
          </w:p>
          <w:p w14:paraId="4D2BA9DD" w14:textId="77777777" w:rsidR="003E494C" w:rsidRPr="004811D0" w:rsidRDefault="003E494C" w:rsidP="002C66FC">
            <w:pPr>
              <w:autoSpaceDE w:val="0"/>
              <w:autoSpaceDN w:val="0"/>
              <w:adjustRightInd w:val="0"/>
              <w:rPr>
                <w:sz w:val="22"/>
                <w:szCs w:val="22"/>
              </w:rPr>
            </w:pPr>
            <w:r w:rsidRPr="004811D0">
              <w:rPr>
                <w:sz w:val="22"/>
                <w:szCs w:val="22"/>
              </w:rPr>
              <w:t>(G3/4: 4,6%)</w:t>
            </w:r>
          </w:p>
          <w:p w14:paraId="1F2052A3" w14:textId="77777777" w:rsidR="003E494C" w:rsidRPr="004811D0" w:rsidRDefault="003E494C" w:rsidP="002C66FC">
            <w:pPr>
              <w:autoSpaceDE w:val="0"/>
              <w:autoSpaceDN w:val="0"/>
              <w:adjustRightInd w:val="0"/>
              <w:rPr>
                <w:sz w:val="22"/>
                <w:szCs w:val="22"/>
              </w:rPr>
            </w:pPr>
          </w:p>
        </w:tc>
        <w:tc>
          <w:tcPr>
            <w:tcW w:w="2443" w:type="dxa"/>
          </w:tcPr>
          <w:p w14:paraId="360EF867" w14:textId="77777777" w:rsidR="003E494C" w:rsidRPr="004811D0" w:rsidRDefault="003E494C" w:rsidP="002C66FC">
            <w:pPr>
              <w:autoSpaceDE w:val="0"/>
              <w:autoSpaceDN w:val="0"/>
              <w:adjustRightInd w:val="0"/>
              <w:rPr>
                <w:sz w:val="22"/>
                <w:szCs w:val="22"/>
              </w:rPr>
            </w:pPr>
          </w:p>
        </w:tc>
      </w:tr>
      <w:tr w:rsidR="003E494C" w:rsidRPr="00B02007" w14:paraId="0CD40BE8" w14:textId="77777777" w:rsidTr="002C66FC">
        <w:trPr>
          <w:trHeight w:val="1774"/>
        </w:trPr>
        <w:tc>
          <w:tcPr>
            <w:tcW w:w="2442" w:type="dxa"/>
          </w:tcPr>
          <w:p w14:paraId="2E3430D7"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krvi i</w:t>
            </w:r>
          </w:p>
          <w:p w14:paraId="23426E2A" w14:textId="77777777" w:rsidR="003E494C" w:rsidRPr="004811D0" w:rsidRDefault="003E494C" w:rsidP="002C66FC">
            <w:pPr>
              <w:autoSpaceDE w:val="0"/>
              <w:autoSpaceDN w:val="0"/>
              <w:adjustRightInd w:val="0"/>
              <w:rPr>
                <w:sz w:val="22"/>
                <w:szCs w:val="22"/>
              </w:rPr>
            </w:pPr>
            <w:r w:rsidRPr="004811D0">
              <w:rPr>
                <w:sz w:val="22"/>
                <w:szCs w:val="22"/>
              </w:rPr>
              <w:t>limfnog sistema</w:t>
            </w:r>
          </w:p>
          <w:p w14:paraId="468914BA" w14:textId="77777777" w:rsidR="003E494C" w:rsidRPr="004811D0" w:rsidRDefault="003E494C" w:rsidP="002C66FC">
            <w:pPr>
              <w:autoSpaceDE w:val="0"/>
              <w:autoSpaceDN w:val="0"/>
              <w:adjustRightInd w:val="0"/>
              <w:rPr>
                <w:sz w:val="22"/>
                <w:szCs w:val="22"/>
              </w:rPr>
            </w:pPr>
          </w:p>
        </w:tc>
        <w:tc>
          <w:tcPr>
            <w:tcW w:w="2442" w:type="dxa"/>
          </w:tcPr>
          <w:p w14:paraId="13ED0AC0" w14:textId="77777777" w:rsidR="003E494C" w:rsidRPr="004811D0" w:rsidRDefault="003E494C" w:rsidP="002C66FC">
            <w:pPr>
              <w:autoSpaceDE w:val="0"/>
              <w:autoSpaceDN w:val="0"/>
              <w:adjustRightInd w:val="0"/>
              <w:rPr>
                <w:sz w:val="22"/>
                <w:szCs w:val="22"/>
              </w:rPr>
            </w:pPr>
            <w:r w:rsidRPr="004811D0">
              <w:rPr>
                <w:sz w:val="22"/>
                <w:szCs w:val="22"/>
              </w:rPr>
              <w:t>Neutropenija (G4; 76,4%);</w:t>
            </w:r>
          </w:p>
          <w:p w14:paraId="07C21FCD" w14:textId="77777777" w:rsidR="003E494C" w:rsidRPr="004811D0" w:rsidRDefault="003E494C" w:rsidP="002C66FC">
            <w:pPr>
              <w:autoSpaceDE w:val="0"/>
              <w:autoSpaceDN w:val="0"/>
              <w:adjustRightInd w:val="0"/>
              <w:rPr>
                <w:sz w:val="22"/>
                <w:szCs w:val="22"/>
              </w:rPr>
            </w:pPr>
          </w:p>
          <w:p w14:paraId="3D4AA9DB" w14:textId="77777777" w:rsidR="003E494C" w:rsidRPr="004811D0" w:rsidRDefault="003E494C" w:rsidP="002C66FC">
            <w:pPr>
              <w:autoSpaceDE w:val="0"/>
              <w:autoSpaceDN w:val="0"/>
              <w:adjustRightInd w:val="0"/>
              <w:rPr>
                <w:sz w:val="22"/>
                <w:szCs w:val="22"/>
              </w:rPr>
            </w:pPr>
            <w:r w:rsidRPr="004811D0">
              <w:rPr>
                <w:sz w:val="22"/>
                <w:szCs w:val="22"/>
              </w:rPr>
              <w:t>Anemija (G3/4: 8,9%);</w:t>
            </w:r>
          </w:p>
          <w:p w14:paraId="7462FABE" w14:textId="77777777" w:rsidR="003E494C" w:rsidRPr="004811D0" w:rsidRDefault="003E494C" w:rsidP="002C66FC">
            <w:pPr>
              <w:autoSpaceDE w:val="0"/>
              <w:autoSpaceDN w:val="0"/>
              <w:adjustRightInd w:val="0"/>
              <w:rPr>
                <w:sz w:val="22"/>
                <w:szCs w:val="22"/>
              </w:rPr>
            </w:pPr>
          </w:p>
          <w:p w14:paraId="143A301B" w14:textId="77777777" w:rsidR="003E494C" w:rsidRPr="004811D0" w:rsidRDefault="003E494C" w:rsidP="002C66FC">
            <w:pPr>
              <w:autoSpaceDE w:val="0"/>
              <w:autoSpaceDN w:val="0"/>
              <w:adjustRightInd w:val="0"/>
              <w:rPr>
                <w:sz w:val="22"/>
                <w:szCs w:val="22"/>
              </w:rPr>
            </w:pPr>
            <w:r w:rsidRPr="004811D0">
              <w:rPr>
                <w:sz w:val="22"/>
                <w:szCs w:val="22"/>
              </w:rPr>
              <w:t>Febrilna neutropenija</w:t>
            </w:r>
          </w:p>
          <w:p w14:paraId="175430A3" w14:textId="77777777" w:rsidR="003E494C" w:rsidRPr="004811D0" w:rsidRDefault="003E494C" w:rsidP="002C66FC">
            <w:pPr>
              <w:autoSpaceDE w:val="0"/>
              <w:autoSpaceDN w:val="0"/>
              <w:adjustRightInd w:val="0"/>
              <w:rPr>
                <w:sz w:val="22"/>
                <w:szCs w:val="22"/>
              </w:rPr>
            </w:pPr>
          </w:p>
        </w:tc>
        <w:tc>
          <w:tcPr>
            <w:tcW w:w="2442" w:type="dxa"/>
          </w:tcPr>
          <w:p w14:paraId="13DA92DE" w14:textId="77777777" w:rsidR="003E494C" w:rsidRPr="004811D0" w:rsidRDefault="003E494C" w:rsidP="002C66FC">
            <w:pPr>
              <w:autoSpaceDE w:val="0"/>
              <w:autoSpaceDN w:val="0"/>
              <w:adjustRightInd w:val="0"/>
              <w:rPr>
                <w:sz w:val="22"/>
                <w:szCs w:val="22"/>
              </w:rPr>
            </w:pPr>
            <w:r w:rsidRPr="004811D0">
              <w:rPr>
                <w:sz w:val="22"/>
                <w:szCs w:val="22"/>
              </w:rPr>
              <w:t>Trombocitopenija (G4;</w:t>
            </w:r>
          </w:p>
          <w:p w14:paraId="43410439" w14:textId="77777777" w:rsidR="003E494C" w:rsidRPr="004811D0" w:rsidRDefault="003E494C" w:rsidP="002C66FC">
            <w:pPr>
              <w:autoSpaceDE w:val="0"/>
              <w:autoSpaceDN w:val="0"/>
              <w:adjustRightInd w:val="0"/>
              <w:rPr>
                <w:sz w:val="22"/>
                <w:szCs w:val="22"/>
              </w:rPr>
            </w:pPr>
            <w:r w:rsidRPr="004811D0">
              <w:rPr>
                <w:sz w:val="22"/>
                <w:szCs w:val="22"/>
              </w:rPr>
              <w:t>0,2%)</w:t>
            </w:r>
          </w:p>
          <w:p w14:paraId="304BD3AD" w14:textId="77777777" w:rsidR="003E494C" w:rsidRPr="004811D0" w:rsidRDefault="003E494C" w:rsidP="002C66FC">
            <w:pPr>
              <w:autoSpaceDE w:val="0"/>
              <w:autoSpaceDN w:val="0"/>
              <w:adjustRightInd w:val="0"/>
              <w:rPr>
                <w:sz w:val="22"/>
                <w:szCs w:val="22"/>
              </w:rPr>
            </w:pPr>
          </w:p>
        </w:tc>
        <w:tc>
          <w:tcPr>
            <w:tcW w:w="2443" w:type="dxa"/>
          </w:tcPr>
          <w:p w14:paraId="68046CEF" w14:textId="77777777" w:rsidR="003E494C" w:rsidRPr="004811D0" w:rsidRDefault="003E494C" w:rsidP="002C66FC">
            <w:pPr>
              <w:autoSpaceDE w:val="0"/>
              <w:autoSpaceDN w:val="0"/>
              <w:adjustRightInd w:val="0"/>
              <w:rPr>
                <w:sz w:val="22"/>
                <w:szCs w:val="22"/>
              </w:rPr>
            </w:pPr>
          </w:p>
        </w:tc>
      </w:tr>
      <w:tr w:rsidR="003E494C" w:rsidRPr="00B02007" w14:paraId="2310DDF7" w14:textId="77777777" w:rsidTr="002C66FC">
        <w:trPr>
          <w:trHeight w:val="760"/>
        </w:trPr>
        <w:tc>
          <w:tcPr>
            <w:tcW w:w="2442" w:type="dxa"/>
          </w:tcPr>
          <w:p w14:paraId="3DD97928"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imunog</w:t>
            </w:r>
          </w:p>
          <w:p w14:paraId="5B09BE02" w14:textId="77777777" w:rsidR="003E494C" w:rsidRPr="004811D0" w:rsidRDefault="003E494C" w:rsidP="002C66FC">
            <w:pPr>
              <w:autoSpaceDE w:val="0"/>
              <w:autoSpaceDN w:val="0"/>
              <w:adjustRightInd w:val="0"/>
              <w:rPr>
                <w:sz w:val="22"/>
                <w:szCs w:val="22"/>
              </w:rPr>
            </w:pPr>
            <w:r w:rsidRPr="004811D0">
              <w:rPr>
                <w:sz w:val="22"/>
                <w:szCs w:val="22"/>
              </w:rPr>
              <w:t>sistema</w:t>
            </w:r>
          </w:p>
          <w:p w14:paraId="1FCB41B3" w14:textId="77777777" w:rsidR="003E494C" w:rsidRPr="004811D0" w:rsidRDefault="003E494C" w:rsidP="002C66FC">
            <w:pPr>
              <w:autoSpaceDE w:val="0"/>
              <w:autoSpaceDN w:val="0"/>
              <w:adjustRightInd w:val="0"/>
              <w:rPr>
                <w:sz w:val="22"/>
                <w:szCs w:val="22"/>
              </w:rPr>
            </w:pPr>
          </w:p>
        </w:tc>
        <w:tc>
          <w:tcPr>
            <w:tcW w:w="2442" w:type="dxa"/>
          </w:tcPr>
          <w:p w14:paraId="53A423E0" w14:textId="77777777" w:rsidR="003E494C" w:rsidRPr="004811D0" w:rsidRDefault="003E494C" w:rsidP="002C66FC">
            <w:pPr>
              <w:autoSpaceDE w:val="0"/>
              <w:autoSpaceDN w:val="0"/>
              <w:adjustRightInd w:val="0"/>
              <w:rPr>
                <w:sz w:val="22"/>
                <w:szCs w:val="22"/>
              </w:rPr>
            </w:pPr>
            <w:r w:rsidRPr="004811D0">
              <w:rPr>
                <w:sz w:val="22"/>
                <w:szCs w:val="22"/>
              </w:rPr>
              <w:t>Preosjetljivost (G3/4:</w:t>
            </w:r>
          </w:p>
          <w:p w14:paraId="5B013CE3" w14:textId="77777777" w:rsidR="003E494C" w:rsidRPr="004811D0" w:rsidRDefault="003E494C" w:rsidP="002C66FC">
            <w:pPr>
              <w:autoSpaceDE w:val="0"/>
              <w:autoSpaceDN w:val="0"/>
              <w:adjustRightInd w:val="0"/>
              <w:rPr>
                <w:sz w:val="22"/>
                <w:szCs w:val="22"/>
              </w:rPr>
            </w:pPr>
            <w:r w:rsidRPr="004811D0">
              <w:rPr>
                <w:sz w:val="22"/>
                <w:szCs w:val="22"/>
              </w:rPr>
              <w:t>5,3%)</w:t>
            </w:r>
          </w:p>
          <w:p w14:paraId="5989BB9C" w14:textId="77777777" w:rsidR="003E494C" w:rsidRPr="004811D0" w:rsidRDefault="003E494C" w:rsidP="002C66FC">
            <w:pPr>
              <w:autoSpaceDE w:val="0"/>
              <w:autoSpaceDN w:val="0"/>
              <w:adjustRightInd w:val="0"/>
              <w:rPr>
                <w:sz w:val="22"/>
                <w:szCs w:val="22"/>
              </w:rPr>
            </w:pPr>
          </w:p>
        </w:tc>
        <w:tc>
          <w:tcPr>
            <w:tcW w:w="2442" w:type="dxa"/>
          </w:tcPr>
          <w:p w14:paraId="13EF4623" w14:textId="77777777" w:rsidR="003E494C" w:rsidRPr="004811D0" w:rsidRDefault="003E494C" w:rsidP="002C66FC">
            <w:pPr>
              <w:autoSpaceDE w:val="0"/>
              <w:autoSpaceDN w:val="0"/>
              <w:adjustRightInd w:val="0"/>
              <w:rPr>
                <w:sz w:val="22"/>
                <w:szCs w:val="22"/>
              </w:rPr>
            </w:pPr>
          </w:p>
        </w:tc>
        <w:tc>
          <w:tcPr>
            <w:tcW w:w="2443" w:type="dxa"/>
          </w:tcPr>
          <w:p w14:paraId="5D6266DC" w14:textId="77777777" w:rsidR="003E494C" w:rsidRPr="004811D0" w:rsidRDefault="003E494C" w:rsidP="002C66FC">
            <w:pPr>
              <w:autoSpaceDE w:val="0"/>
              <w:autoSpaceDN w:val="0"/>
              <w:adjustRightInd w:val="0"/>
              <w:rPr>
                <w:sz w:val="22"/>
                <w:szCs w:val="22"/>
              </w:rPr>
            </w:pPr>
          </w:p>
        </w:tc>
      </w:tr>
      <w:tr w:rsidR="003E494C" w:rsidRPr="00B02007" w14:paraId="70ADE923" w14:textId="77777777" w:rsidTr="002C66FC">
        <w:trPr>
          <w:trHeight w:val="749"/>
        </w:trPr>
        <w:tc>
          <w:tcPr>
            <w:tcW w:w="2442" w:type="dxa"/>
          </w:tcPr>
          <w:p w14:paraId="5920109D"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 xml:space="preserve">aji </w:t>
            </w:r>
          </w:p>
          <w:p w14:paraId="3E2A469B" w14:textId="77777777" w:rsidR="003E494C" w:rsidRPr="004811D0" w:rsidRDefault="003E494C" w:rsidP="002C66FC">
            <w:pPr>
              <w:autoSpaceDE w:val="0"/>
              <w:autoSpaceDN w:val="0"/>
              <w:adjustRightInd w:val="0"/>
              <w:rPr>
                <w:sz w:val="22"/>
                <w:szCs w:val="22"/>
              </w:rPr>
            </w:pPr>
            <w:r w:rsidRPr="004811D0">
              <w:rPr>
                <w:sz w:val="22"/>
                <w:szCs w:val="22"/>
              </w:rPr>
              <w:t>metabolizma i ishrane</w:t>
            </w:r>
          </w:p>
          <w:p w14:paraId="76E36D8A" w14:textId="77777777" w:rsidR="003E494C" w:rsidRPr="004811D0" w:rsidRDefault="003E494C" w:rsidP="002C66FC">
            <w:pPr>
              <w:autoSpaceDE w:val="0"/>
              <w:autoSpaceDN w:val="0"/>
              <w:adjustRightInd w:val="0"/>
              <w:rPr>
                <w:sz w:val="22"/>
                <w:szCs w:val="22"/>
              </w:rPr>
            </w:pPr>
          </w:p>
        </w:tc>
        <w:tc>
          <w:tcPr>
            <w:tcW w:w="2442" w:type="dxa"/>
          </w:tcPr>
          <w:p w14:paraId="0DEE410B" w14:textId="77777777" w:rsidR="003E494C" w:rsidRPr="004811D0" w:rsidRDefault="003E494C" w:rsidP="002C66FC">
            <w:pPr>
              <w:autoSpaceDE w:val="0"/>
              <w:autoSpaceDN w:val="0"/>
              <w:adjustRightInd w:val="0"/>
              <w:rPr>
                <w:sz w:val="22"/>
                <w:szCs w:val="22"/>
              </w:rPr>
            </w:pPr>
            <w:r w:rsidRPr="004811D0">
              <w:rPr>
                <w:sz w:val="22"/>
                <w:szCs w:val="22"/>
              </w:rPr>
              <w:t>Anoreksija</w:t>
            </w:r>
          </w:p>
        </w:tc>
        <w:tc>
          <w:tcPr>
            <w:tcW w:w="2442" w:type="dxa"/>
          </w:tcPr>
          <w:p w14:paraId="08420ADB" w14:textId="77777777" w:rsidR="003E494C" w:rsidRPr="004811D0" w:rsidRDefault="003E494C" w:rsidP="002C66FC">
            <w:pPr>
              <w:autoSpaceDE w:val="0"/>
              <w:autoSpaceDN w:val="0"/>
              <w:adjustRightInd w:val="0"/>
              <w:rPr>
                <w:sz w:val="22"/>
                <w:szCs w:val="22"/>
              </w:rPr>
            </w:pPr>
          </w:p>
        </w:tc>
        <w:tc>
          <w:tcPr>
            <w:tcW w:w="2443" w:type="dxa"/>
          </w:tcPr>
          <w:p w14:paraId="68A72E73" w14:textId="77777777" w:rsidR="003E494C" w:rsidRPr="004811D0" w:rsidRDefault="003E494C" w:rsidP="002C66FC">
            <w:pPr>
              <w:autoSpaceDE w:val="0"/>
              <w:autoSpaceDN w:val="0"/>
              <w:adjustRightInd w:val="0"/>
              <w:rPr>
                <w:sz w:val="22"/>
                <w:szCs w:val="22"/>
              </w:rPr>
            </w:pPr>
          </w:p>
        </w:tc>
      </w:tr>
      <w:tr w:rsidR="003E494C" w:rsidRPr="00B02007" w14:paraId="3B9F5174" w14:textId="77777777" w:rsidTr="002C66FC">
        <w:trPr>
          <w:trHeight w:val="2281"/>
        </w:trPr>
        <w:tc>
          <w:tcPr>
            <w:tcW w:w="2442" w:type="dxa"/>
          </w:tcPr>
          <w:p w14:paraId="5AD5CB1D"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nervnog</w:t>
            </w:r>
          </w:p>
          <w:p w14:paraId="56DE0AD9" w14:textId="77777777" w:rsidR="003E494C" w:rsidRPr="004811D0" w:rsidRDefault="003E494C" w:rsidP="002C66FC">
            <w:pPr>
              <w:autoSpaceDE w:val="0"/>
              <w:autoSpaceDN w:val="0"/>
              <w:adjustRightInd w:val="0"/>
              <w:rPr>
                <w:sz w:val="22"/>
                <w:szCs w:val="22"/>
              </w:rPr>
            </w:pPr>
            <w:r w:rsidRPr="004811D0">
              <w:rPr>
                <w:sz w:val="22"/>
                <w:szCs w:val="22"/>
              </w:rPr>
              <w:t>sistema</w:t>
            </w:r>
          </w:p>
          <w:p w14:paraId="1F531594" w14:textId="77777777" w:rsidR="003E494C" w:rsidRPr="004811D0" w:rsidRDefault="003E494C" w:rsidP="002C66FC">
            <w:pPr>
              <w:autoSpaceDE w:val="0"/>
              <w:autoSpaceDN w:val="0"/>
              <w:adjustRightInd w:val="0"/>
              <w:rPr>
                <w:sz w:val="22"/>
                <w:szCs w:val="22"/>
              </w:rPr>
            </w:pPr>
          </w:p>
        </w:tc>
        <w:tc>
          <w:tcPr>
            <w:tcW w:w="2442" w:type="dxa"/>
          </w:tcPr>
          <w:p w14:paraId="516F9413" w14:textId="77777777" w:rsidR="003E494C" w:rsidRPr="004811D0" w:rsidRDefault="003E494C" w:rsidP="002C66FC">
            <w:pPr>
              <w:autoSpaceDE w:val="0"/>
              <w:autoSpaceDN w:val="0"/>
              <w:adjustRightInd w:val="0"/>
              <w:rPr>
                <w:sz w:val="22"/>
                <w:szCs w:val="22"/>
              </w:rPr>
            </w:pPr>
            <w:r w:rsidRPr="004811D0">
              <w:rPr>
                <w:sz w:val="22"/>
                <w:szCs w:val="22"/>
              </w:rPr>
              <w:t>Periferna senzorna</w:t>
            </w:r>
          </w:p>
          <w:p w14:paraId="4090776A" w14:textId="77777777" w:rsidR="003E494C" w:rsidRPr="004811D0" w:rsidRDefault="003E494C" w:rsidP="002C66FC">
            <w:pPr>
              <w:autoSpaceDE w:val="0"/>
              <w:autoSpaceDN w:val="0"/>
              <w:adjustRightInd w:val="0"/>
              <w:rPr>
                <w:sz w:val="22"/>
                <w:szCs w:val="22"/>
              </w:rPr>
            </w:pPr>
            <w:r w:rsidRPr="004811D0">
              <w:rPr>
                <w:sz w:val="22"/>
                <w:szCs w:val="22"/>
              </w:rPr>
              <w:t>neuropatija (G3; 4,1%);</w:t>
            </w:r>
          </w:p>
          <w:p w14:paraId="01420789" w14:textId="77777777" w:rsidR="003E494C" w:rsidRPr="004811D0" w:rsidRDefault="003E494C" w:rsidP="002C66FC">
            <w:pPr>
              <w:autoSpaceDE w:val="0"/>
              <w:autoSpaceDN w:val="0"/>
              <w:adjustRightInd w:val="0"/>
              <w:rPr>
                <w:sz w:val="22"/>
                <w:szCs w:val="22"/>
              </w:rPr>
            </w:pPr>
          </w:p>
          <w:p w14:paraId="5D27C711" w14:textId="77777777" w:rsidR="003E494C" w:rsidRPr="004811D0" w:rsidRDefault="003E494C" w:rsidP="002C66FC">
            <w:pPr>
              <w:autoSpaceDE w:val="0"/>
              <w:autoSpaceDN w:val="0"/>
              <w:adjustRightInd w:val="0"/>
              <w:rPr>
                <w:sz w:val="22"/>
                <w:szCs w:val="22"/>
              </w:rPr>
            </w:pPr>
            <w:r w:rsidRPr="004811D0">
              <w:rPr>
                <w:sz w:val="22"/>
                <w:szCs w:val="22"/>
              </w:rPr>
              <w:t>Periferna motorna</w:t>
            </w:r>
          </w:p>
          <w:p w14:paraId="5A0CCF23" w14:textId="77777777" w:rsidR="003E494C" w:rsidRPr="004811D0" w:rsidRDefault="003E494C" w:rsidP="002C66FC">
            <w:pPr>
              <w:autoSpaceDE w:val="0"/>
              <w:autoSpaceDN w:val="0"/>
              <w:adjustRightInd w:val="0"/>
              <w:rPr>
                <w:sz w:val="22"/>
                <w:szCs w:val="22"/>
              </w:rPr>
            </w:pPr>
            <w:r w:rsidRPr="004811D0">
              <w:rPr>
                <w:sz w:val="22"/>
                <w:szCs w:val="22"/>
              </w:rPr>
              <w:t>neuropatija (G3/4: 4%);</w:t>
            </w:r>
          </w:p>
          <w:p w14:paraId="38734F9A" w14:textId="77777777" w:rsidR="003E494C" w:rsidRPr="004811D0" w:rsidRDefault="003E494C" w:rsidP="002C66FC">
            <w:pPr>
              <w:autoSpaceDE w:val="0"/>
              <w:autoSpaceDN w:val="0"/>
              <w:adjustRightInd w:val="0"/>
              <w:rPr>
                <w:sz w:val="22"/>
                <w:szCs w:val="22"/>
              </w:rPr>
            </w:pPr>
          </w:p>
          <w:p w14:paraId="3AC19146" w14:textId="77777777" w:rsidR="003E494C" w:rsidRPr="004811D0" w:rsidRDefault="003E494C" w:rsidP="002C66FC">
            <w:pPr>
              <w:autoSpaceDE w:val="0"/>
              <w:autoSpaceDN w:val="0"/>
              <w:adjustRightInd w:val="0"/>
              <w:rPr>
                <w:sz w:val="22"/>
                <w:szCs w:val="22"/>
              </w:rPr>
            </w:pPr>
            <w:r w:rsidRPr="004811D0">
              <w:rPr>
                <w:sz w:val="22"/>
                <w:szCs w:val="22"/>
              </w:rPr>
              <w:t>Disgeuzija (teška;</w:t>
            </w:r>
          </w:p>
          <w:p w14:paraId="2EEF0B77" w14:textId="77777777" w:rsidR="003E494C" w:rsidRPr="004811D0" w:rsidRDefault="003E494C" w:rsidP="002C66FC">
            <w:pPr>
              <w:autoSpaceDE w:val="0"/>
              <w:autoSpaceDN w:val="0"/>
              <w:adjustRightInd w:val="0"/>
              <w:rPr>
                <w:sz w:val="22"/>
                <w:szCs w:val="22"/>
              </w:rPr>
            </w:pPr>
            <w:r w:rsidRPr="004811D0">
              <w:rPr>
                <w:sz w:val="22"/>
                <w:szCs w:val="22"/>
              </w:rPr>
              <w:t>0,07%)</w:t>
            </w:r>
          </w:p>
          <w:p w14:paraId="23979053" w14:textId="77777777" w:rsidR="003E494C" w:rsidRPr="004811D0" w:rsidRDefault="003E494C" w:rsidP="002C66FC">
            <w:pPr>
              <w:autoSpaceDE w:val="0"/>
              <w:autoSpaceDN w:val="0"/>
              <w:adjustRightInd w:val="0"/>
              <w:rPr>
                <w:sz w:val="22"/>
                <w:szCs w:val="22"/>
              </w:rPr>
            </w:pPr>
          </w:p>
        </w:tc>
        <w:tc>
          <w:tcPr>
            <w:tcW w:w="2442" w:type="dxa"/>
          </w:tcPr>
          <w:p w14:paraId="08888D8F" w14:textId="77777777" w:rsidR="003E494C" w:rsidRPr="004811D0" w:rsidRDefault="003E494C" w:rsidP="002C66FC">
            <w:pPr>
              <w:autoSpaceDE w:val="0"/>
              <w:autoSpaceDN w:val="0"/>
              <w:adjustRightInd w:val="0"/>
              <w:rPr>
                <w:sz w:val="22"/>
                <w:szCs w:val="22"/>
              </w:rPr>
            </w:pPr>
          </w:p>
        </w:tc>
        <w:tc>
          <w:tcPr>
            <w:tcW w:w="2443" w:type="dxa"/>
          </w:tcPr>
          <w:p w14:paraId="79AB4C69" w14:textId="77777777" w:rsidR="003E494C" w:rsidRPr="004811D0" w:rsidRDefault="003E494C" w:rsidP="002C66FC">
            <w:pPr>
              <w:autoSpaceDE w:val="0"/>
              <w:autoSpaceDN w:val="0"/>
              <w:adjustRightInd w:val="0"/>
              <w:rPr>
                <w:sz w:val="22"/>
                <w:szCs w:val="22"/>
              </w:rPr>
            </w:pPr>
          </w:p>
        </w:tc>
      </w:tr>
      <w:tr w:rsidR="003E494C" w:rsidRPr="00B02007" w14:paraId="55592DA2" w14:textId="77777777" w:rsidTr="002C66FC">
        <w:trPr>
          <w:trHeight w:val="507"/>
        </w:trPr>
        <w:tc>
          <w:tcPr>
            <w:tcW w:w="2442" w:type="dxa"/>
          </w:tcPr>
          <w:p w14:paraId="6A04ABF9" w14:textId="77777777" w:rsidR="003E494C" w:rsidRPr="004811D0" w:rsidRDefault="003E494C"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ani poreme</w:t>
            </w:r>
            <w:r w:rsidRPr="004811D0">
              <w:rPr>
                <w:rFonts w:eastAsia="TimesNewRoman"/>
                <w:sz w:val="22"/>
                <w:szCs w:val="22"/>
              </w:rPr>
              <w:t>ć</w:t>
            </w:r>
            <w:r w:rsidRPr="004811D0">
              <w:rPr>
                <w:sz w:val="22"/>
                <w:szCs w:val="22"/>
              </w:rPr>
              <w:t>aji</w:t>
            </w:r>
          </w:p>
        </w:tc>
        <w:tc>
          <w:tcPr>
            <w:tcW w:w="2442" w:type="dxa"/>
          </w:tcPr>
          <w:p w14:paraId="504671AF" w14:textId="77777777" w:rsidR="003E494C" w:rsidRPr="004811D0" w:rsidRDefault="003E494C" w:rsidP="002C66FC">
            <w:pPr>
              <w:autoSpaceDE w:val="0"/>
              <w:autoSpaceDN w:val="0"/>
              <w:adjustRightInd w:val="0"/>
              <w:rPr>
                <w:sz w:val="22"/>
                <w:szCs w:val="22"/>
              </w:rPr>
            </w:pPr>
          </w:p>
        </w:tc>
        <w:tc>
          <w:tcPr>
            <w:tcW w:w="2442" w:type="dxa"/>
          </w:tcPr>
          <w:p w14:paraId="39841493" w14:textId="77777777" w:rsidR="003E494C" w:rsidRPr="004811D0" w:rsidRDefault="003E494C" w:rsidP="002C66FC">
            <w:pPr>
              <w:autoSpaceDE w:val="0"/>
              <w:autoSpaceDN w:val="0"/>
              <w:adjustRightInd w:val="0"/>
              <w:rPr>
                <w:sz w:val="22"/>
                <w:szCs w:val="22"/>
              </w:rPr>
            </w:pPr>
            <w:r w:rsidRPr="004811D0">
              <w:rPr>
                <w:sz w:val="22"/>
                <w:szCs w:val="22"/>
              </w:rPr>
              <w:t>Aritmija (G3/4: 0,7%)</w:t>
            </w:r>
          </w:p>
        </w:tc>
        <w:tc>
          <w:tcPr>
            <w:tcW w:w="2443" w:type="dxa"/>
          </w:tcPr>
          <w:p w14:paraId="1B16289E" w14:textId="77777777" w:rsidR="003E494C" w:rsidRPr="004811D0" w:rsidRDefault="003E494C"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 xml:space="preserve">ana insuficijencija </w:t>
            </w:r>
          </w:p>
          <w:p w14:paraId="3C20E760" w14:textId="77777777" w:rsidR="003E494C" w:rsidRPr="004811D0" w:rsidRDefault="003E494C" w:rsidP="002C66FC">
            <w:pPr>
              <w:autoSpaceDE w:val="0"/>
              <w:autoSpaceDN w:val="0"/>
              <w:adjustRightInd w:val="0"/>
              <w:rPr>
                <w:sz w:val="22"/>
                <w:szCs w:val="22"/>
              </w:rPr>
            </w:pPr>
          </w:p>
        </w:tc>
      </w:tr>
      <w:tr w:rsidR="003E494C" w:rsidRPr="00B02007" w14:paraId="256E2954" w14:textId="77777777" w:rsidTr="002C66FC">
        <w:trPr>
          <w:trHeight w:val="242"/>
        </w:trPr>
        <w:tc>
          <w:tcPr>
            <w:tcW w:w="2442" w:type="dxa"/>
          </w:tcPr>
          <w:p w14:paraId="59387EEF" w14:textId="77777777" w:rsidR="003E494C" w:rsidRPr="004811D0" w:rsidRDefault="003E494C" w:rsidP="002C66FC">
            <w:pPr>
              <w:autoSpaceDE w:val="0"/>
              <w:autoSpaceDN w:val="0"/>
              <w:adjustRightInd w:val="0"/>
              <w:rPr>
                <w:sz w:val="22"/>
                <w:szCs w:val="22"/>
              </w:rPr>
            </w:pPr>
            <w:r w:rsidRPr="004811D0">
              <w:rPr>
                <w:sz w:val="22"/>
                <w:szCs w:val="22"/>
              </w:rPr>
              <w:t>Vaskularni poreme</w:t>
            </w:r>
            <w:r w:rsidRPr="004811D0">
              <w:rPr>
                <w:rFonts w:eastAsia="TimesNewRoman"/>
                <w:sz w:val="22"/>
                <w:szCs w:val="22"/>
              </w:rPr>
              <w:t>ć</w:t>
            </w:r>
            <w:r w:rsidRPr="004811D0">
              <w:rPr>
                <w:sz w:val="22"/>
                <w:szCs w:val="22"/>
              </w:rPr>
              <w:t>aji</w:t>
            </w:r>
          </w:p>
        </w:tc>
        <w:tc>
          <w:tcPr>
            <w:tcW w:w="2442" w:type="dxa"/>
          </w:tcPr>
          <w:p w14:paraId="676A83EB" w14:textId="77777777" w:rsidR="003E494C" w:rsidRPr="004811D0" w:rsidRDefault="003E494C" w:rsidP="002C66FC">
            <w:pPr>
              <w:autoSpaceDE w:val="0"/>
              <w:autoSpaceDN w:val="0"/>
              <w:adjustRightInd w:val="0"/>
              <w:rPr>
                <w:sz w:val="22"/>
                <w:szCs w:val="22"/>
              </w:rPr>
            </w:pPr>
          </w:p>
        </w:tc>
        <w:tc>
          <w:tcPr>
            <w:tcW w:w="2442" w:type="dxa"/>
          </w:tcPr>
          <w:p w14:paraId="7C53BA31" w14:textId="77777777" w:rsidR="003E494C" w:rsidRPr="004811D0" w:rsidRDefault="003E494C" w:rsidP="002C66FC">
            <w:pPr>
              <w:autoSpaceDE w:val="0"/>
              <w:autoSpaceDN w:val="0"/>
              <w:adjustRightInd w:val="0"/>
              <w:rPr>
                <w:sz w:val="22"/>
                <w:szCs w:val="22"/>
              </w:rPr>
            </w:pPr>
            <w:r w:rsidRPr="004811D0">
              <w:rPr>
                <w:sz w:val="22"/>
                <w:szCs w:val="22"/>
              </w:rPr>
              <w:t>Hipotenzija</w:t>
            </w:r>
          </w:p>
          <w:p w14:paraId="331AD240" w14:textId="77777777" w:rsidR="003E494C" w:rsidRPr="004811D0" w:rsidRDefault="003E494C" w:rsidP="002C66FC">
            <w:pPr>
              <w:autoSpaceDE w:val="0"/>
              <w:autoSpaceDN w:val="0"/>
              <w:adjustRightInd w:val="0"/>
              <w:rPr>
                <w:sz w:val="22"/>
                <w:szCs w:val="22"/>
              </w:rPr>
            </w:pPr>
          </w:p>
          <w:p w14:paraId="2700C32F" w14:textId="77777777" w:rsidR="003E494C" w:rsidRPr="004811D0" w:rsidRDefault="003E494C" w:rsidP="002C66FC">
            <w:pPr>
              <w:autoSpaceDE w:val="0"/>
              <w:autoSpaceDN w:val="0"/>
              <w:adjustRightInd w:val="0"/>
              <w:rPr>
                <w:sz w:val="22"/>
                <w:szCs w:val="22"/>
              </w:rPr>
            </w:pPr>
            <w:r w:rsidRPr="004811D0">
              <w:rPr>
                <w:sz w:val="22"/>
                <w:szCs w:val="22"/>
              </w:rPr>
              <w:t>Hipertenzija</w:t>
            </w:r>
          </w:p>
          <w:p w14:paraId="634CA50F" w14:textId="77777777" w:rsidR="003E494C" w:rsidRPr="004811D0" w:rsidRDefault="003E494C" w:rsidP="002C66FC">
            <w:pPr>
              <w:autoSpaceDE w:val="0"/>
              <w:autoSpaceDN w:val="0"/>
              <w:adjustRightInd w:val="0"/>
              <w:rPr>
                <w:sz w:val="22"/>
                <w:szCs w:val="22"/>
              </w:rPr>
            </w:pPr>
          </w:p>
          <w:p w14:paraId="0E651921" w14:textId="77777777" w:rsidR="003E494C" w:rsidRPr="004811D0" w:rsidRDefault="003E494C" w:rsidP="002C66FC">
            <w:pPr>
              <w:autoSpaceDE w:val="0"/>
              <w:autoSpaceDN w:val="0"/>
              <w:adjustRightInd w:val="0"/>
              <w:rPr>
                <w:sz w:val="22"/>
                <w:szCs w:val="22"/>
              </w:rPr>
            </w:pPr>
            <w:r w:rsidRPr="004811D0">
              <w:rPr>
                <w:sz w:val="22"/>
                <w:szCs w:val="22"/>
              </w:rPr>
              <w:t>Krvarenje</w:t>
            </w:r>
          </w:p>
        </w:tc>
        <w:tc>
          <w:tcPr>
            <w:tcW w:w="2443" w:type="dxa"/>
          </w:tcPr>
          <w:p w14:paraId="5781B0F2" w14:textId="77777777" w:rsidR="003E494C" w:rsidRPr="004811D0" w:rsidRDefault="003E494C" w:rsidP="002C66FC">
            <w:pPr>
              <w:autoSpaceDE w:val="0"/>
              <w:autoSpaceDN w:val="0"/>
              <w:adjustRightInd w:val="0"/>
              <w:rPr>
                <w:sz w:val="22"/>
                <w:szCs w:val="22"/>
              </w:rPr>
            </w:pPr>
          </w:p>
        </w:tc>
      </w:tr>
      <w:tr w:rsidR="003E494C" w:rsidRPr="00B02007" w14:paraId="007F9869" w14:textId="77777777" w:rsidTr="002C66FC">
        <w:trPr>
          <w:trHeight w:val="1002"/>
        </w:trPr>
        <w:tc>
          <w:tcPr>
            <w:tcW w:w="2442" w:type="dxa"/>
          </w:tcPr>
          <w:p w14:paraId="0E344732" w14:textId="77777777" w:rsidR="003E494C" w:rsidRPr="004811D0" w:rsidRDefault="003E494C" w:rsidP="002C66FC">
            <w:pPr>
              <w:autoSpaceDE w:val="0"/>
              <w:autoSpaceDN w:val="0"/>
              <w:adjustRightInd w:val="0"/>
              <w:rPr>
                <w:sz w:val="22"/>
                <w:szCs w:val="22"/>
              </w:rPr>
            </w:pPr>
            <w:r w:rsidRPr="004811D0">
              <w:rPr>
                <w:sz w:val="22"/>
                <w:szCs w:val="22"/>
              </w:rPr>
              <w:t>Respiratorni, torakalni i medijastinalni</w:t>
            </w:r>
          </w:p>
          <w:p w14:paraId="069C0E2D"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2BD892FD" w14:textId="77777777" w:rsidR="003E494C" w:rsidRPr="004811D0" w:rsidRDefault="003E494C" w:rsidP="002C66FC">
            <w:pPr>
              <w:autoSpaceDE w:val="0"/>
              <w:autoSpaceDN w:val="0"/>
              <w:adjustRightInd w:val="0"/>
              <w:rPr>
                <w:sz w:val="22"/>
                <w:szCs w:val="22"/>
              </w:rPr>
            </w:pPr>
          </w:p>
        </w:tc>
        <w:tc>
          <w:tcPr>
            <w:tcW w:w="2442" w:type="dxa"/>
          </w:tcPr>
          <w:p w14:paraId="2E8BC80E" w14:textId="77777777" w:rsidR="003E494C" w:rsidRPr="004811D0" w:rsidRDefault="003E494C" w:rsidP="002C66FC">
            <w:pPr>
              <w:autoSpaceDE w:val="0"/>
              <w:autoSpaceDN w:val="0"/>
              <w:adjustRightInd w:val="0"/>
              <w:rPr>
                <w:sz w:val="22"/>
                <w:szCs w:val="22"/>
              </w:rPr>
            </w:pPr>
            <w:r w:rsidRPr="004811D0">
              <w:rPr>
                <w:sz w:val="22"/>
                <w:szCs w:val="22"/>
              </w:rPr>
              <w:t>Dispneja (teška: 2,7%)</w:t>
            </w:r>
          </w:p>
          <w:p w14:paraId="43869A40" w14:textId="77777777" w:rsidR="003E494C" w:rsidRPr="004811D0" w:rsidRDefault="003E494C" w:rsidP="002C66FC">
            <w:pPr>
              <w:autoSpaceDE w:val="0"/>
              <w:autoSpaceDN w:val="0"/>
              <w:adjustRightInd w:val="0"/>
              <w:rPr>
                <w:sz w:val="22"/>
                <w:szCs w:val="22"/>
              </w:rPr>
            </w:pPr>
          </w:p>
        </w:tc>
        <w:tc>
          <w:tcPr>
            <w:tcW w:w="2442" w:type="dxa"/>
          </w:tcPr>
          <w:p w14:paraId="1DD868F0" w14:textId="77777777" w:rsidR="003E494C" w:rsidRPr="004811D0" w:rsidRDefault="003E494C" w:rsidP="002C66FC">
            <w:pPr>
              <w:autoSpaceDE w:val="0"/>
              <w:autoSpaceDN w:val="0"/>
              <w:adjustRightInd w:val="0"/>
              <w:rPr>
                <w:sz w:val="22"/>
                <w:szCs w:val="22"/>
              </w:rPr>
            </w:pPr>
          </w:p>
        </w:tc>
        <w:tc>
          <w:tcPr>
            <w:tcW w:w="2443" w:type="dxa"/>
          </w:tcPr>
          <w:p w14:paraId="123E70F1" w14:textId="77777777" w:rsidR="003E494C" w:rsidRPr="004811D0" w:rsidRDefault="003E494C" w:rsidP="002C66FC">
            <w:pPr>
              <w:autoSpaceDE w:val="0"/>
              <w:autoSpaceDN w:val="0"/>
              <w:adjustRightInd w:val="0"/>
              <w:rPr>
                <w:sz w:val="22"/>
                <w:szCs w:val="22"/>
              </w:rPr>
            </w:pPr>
          </w:p>
        </w:tc>
      </w:tr>
      <w:tr w:rsidR="003E494C" w:rsidRPr="00B02007" w14:paraId="7F2A87E9" w14:textId="77777777" w:rsidTr="002C66FC">
        <w:trPr>
          <w:trHeight w:val="2281"/>
        </w:trPr>
        <w:tc>
          <w:tcPr>
            <w:tcW w:w="2442" w:type="dxa"/>
          </w:tcPr>
          <w:p w14:paraId="3A0692DE" w14:textId="77777777" w:rsidR="003E494C" w:rsidRPr="004811D0" w:rsidRDefault="003E494C" w:rsidP="002C66FC">
            <w:pPr>
              <w:autoSpaceDE w:val="0"/>
              <w:autoSpaceDN w:val="0"/>
              <w:adjustRightInd w:val="0"/>
              <w:rPr>
                <w:sz w:val="22"/>
                <w:szCs w:val="22"/>
              </w:rPr>
            </w:pPr>
            <w:r w:rsidRPr="004811D0">
              <w:rPr>
                <w:sz w:val="22"/>
                <w:szCs w:val="22"/>
              </w:rPr>
              <w:lastRenderedPageBreak/>
              <w:t>Gastrointestinalni</w:t>
            </w:r>
          </w:p>
          <w:p w14:paraId="293D1442"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273F0377" w14:textId="77777777" w:rsidR="003E494C" w:rsidRPr="004811D0" w:rsidRDefault="003E494C" w:rsidP="002C66FC">
            <w:pPr>
              <w:autoSpaceDE w:val="0"/>
              <w:autoSpaceDN w:val="0"/>
              <w:adjustRightInd w:val="0"/>
              <w:rPr>
                <w:sz w:val="22"/>
                <w:szCs w:val="22"/>
              </w:rPr>
            </w:pPr>
          </w:p>
        </w:tc>
        <w:tc>
          <w:tcPr>
            <w:tcW w:w="2442" w:type="dxa"/>
          </w:tcPr>
          <w:p w14:paraId="3774BDC1" w14:textId="77777777" w:rsidR="003E494C" w:rsidRPr="004811D0" w:rsidRDefault="003E494C" w:rsidP="002C66FC">
            <w:pPr>
              <w:autoSpaceDE w:val="0"/>
              <w:autoSpaceDN w:val="0"/>
              <w:adjustRightInd w:val="0"/>
              <w:rPr>
                <w:sz w:val="22"/>
                <w:szCs w:val="22"/>
              </w:rPr>
            </w:pPr>
            <w:r w:rsidRPr="004811D0">
              <w:rPr>
                <w:sz w:val="22"/>
                <w:szCs w:val="22"/>
              </w:rPr>
              <w:t>Stomatitis (G3/4: 5,3%);</w:t>
            </w:r>
          </w:p>
          <w:p w14:paraId="14A06092" w14:textId="77777777" w:rsidR="003E494C" w:rsidRPr="004811D0" w:rsidRDefault="003E494C" w:rsidP="002C66FC">
            <w:pPr>
              <w:autoSpaceDE w:val="0"/>
              <w:autoSpaceDN w:val="0"/>
              <w:adjustRightInd w:val="0"/>
              <w:rPr>
                <w:sz w:val="22"/>
                <w:szCs w:val="22"/>
              </w:rPr>
            </w:pPr>
          </w:p>
          <w:p w14:paraId="67A57124" w14:textId="77777777" w:rsidR="003E494C" w:rsidRPr="004811D0" w:rsidRDefault="003E494C" w:rsidP="002C66FC">
            <w:pPr>
              <w:autoSpaceDE w:val="0"/>
              <w:autoSpaceDN w:val="0"/>
              <w:adjustRightInd w:val="0"/>
              <w:rPr>
                <w:sz w:val="22"/>
                <w:szCs w:val="22"/>
              </w:rPr>
            </w:pPr>
            <w:r w:rsidRPr="004811D0">
              <w:rPr>
                <w:sz w:val="22"/>
                <w:szCs w:val="22"/>
              </w:rPr>
              <w:t>Dijareja (G3/4: 4%);</w:t>
            </w:r>
          </w:p>
          <w:p w14:paraId="50F26372" w14:textId="77777777" w:rsidR="003E494C" w:rsidRPr="004811D0" w:rsidRDefault="003E494C" w:rsidP="002C66FC">
            <w:pPr>
              <w:autoSpaceDE w:val="0"/>
              <w:autoSpaceDN w:val="0"/>
              <w:adjustRightInd w:val="0"/>
              <w:rPr>
                <w:sz w:val="22"/>
                <w:szCs w:val="22"/>
              </w:rPr>
            </w:pPr>
          </w:p>
          <w:p w14:paraId="7DDDDF6E" w14:textId="77777777" w:rsidR="003E494C" w:rsidRPr="004811D0" w:rsidRDefault="003E494C" w:rsidP="002C66FC">
            <w:pPr>
              <w:autoSpaceDE w:val="0"/>
              <w:autoSpaceDN w:val="0"/>
              <w:adjustRightInd w:val="0"/>
              <w:rPr>
                <w:sz w:val="22"/>
                <w:szCs w:val="22"/>
              </w:rPr>
            </w:pPr>
            <w:r w:rsidRPr="004811D0">
              <w:rPr>
                <w:sz w:val="22"/>
                <w:szCs w:val="22"/>
              </w:rPr>
              <w:t>Mu</w:t>
            </w:r>
            <w:r w:rsidRPr="004811D0">
              <w:rPr>
                <w:rFonts w:eastAsia="TimesNewRoman"/>
                <w:sz w:val="22"/>
                <w:szCs w:val="22"/>
              </w:rPr>
              <w:t>č</w:t>
            </w:r>
            <w:r w:rsidRPr="004811D0">
              <w:rPr>
                <w:sz w:val="22"/>
                <w:szCs w:val="22"/>
              </w:rPr>
              <w:t>nina (G3/4: 4%);</w:t>
            </w:r>
          </w:p>
          <w:p w14:paraId="43D1890E" w14:textId="77777777" w:rsidR="003E494C" w:rsidRPr="004811D0" w:rsidRDefault="003E494C" w:rsidP="002C66FC">
            <w:pPr>
              <w:autoSpaceDE w:val="0"/>
              <w:autoSpaceDN w:val="0"/>
              <w:adjustRightInd w:val="0"/>
              <w:rPr>
                <w:sz w:val="22"/>
                <w:szCs w:val="22"/>
              </w:rPr>
            </w:pPr>
          </w:p>
          <w:p w14:paraId="5883AEEF" w14:textId="77777777" w:rsidR="003E494C" w:rsidRPr="004811D0" w:rsidRDefault="003E494C" w:rsidP="002C66FC">
            <w:pPr>
              <w:autoSpaceDE w:val="0"/>
              <w:autoSpaceDN w:val="0"/>
              <w:adjustRightInd w:val="0"/>
              <w:rPr>
                <w:sz w:val="22"/>
                <w:szCs w:val="22"/>
              </w:rPr>
            </w:pPr>
            <w:r w:rsidRPr="004811D0">
              <w:rPr>
                <w:sz w:val="22"/>
                <w:szCs w:val="22"/>
              </w:rPr>
              <w:t>Povraćanje (G3/4: 3%)</w:t>
            </w:r>
          </w:p>
        </w:tc>
        <w:tc>
          <w:tcPr>
            <w:tcW w:w="2442" w:type="dxa"/>
          </w:tcPr>
          <w:p w14:paraId="4EDAE04A" w14:textId="77777777" w:rsidR="003E494C" w:rsidRPr="004811D0" w:rsidRDefault="003E494C" w:rsidP="002C66FC">
            <w:pPr>
              <w:autoSpaceDE w:val="0"/>
              <w:autoSpaceDN w:val="0"/>
              <w:adjustRightInd w:val="0"/>
              <w:rPr>
                <w:sz w:val="22"/>
                <w:szCs w:val="22"/>
              </w:rPr>
            </w:pPr>
            <w:r w:rsidRPr="004811D0">
              <w:rPr>
                <w:sz w:val="22"/>
                <w:szCs w:val="22"/>
              </w:rPr>
              <w:t>Opstipacija (teška: 0,2%);</w:t>
            </w:r>
          </w:p>
          <w:p w14:paraId="3DDB4C14" w14:textId="77777777" w:rsidR="003E494C" w:rsidRPr="004811D0" w:rsidRDefault="003E494C" w:rsidP="002C66FC">
            <w:pPr>
              <w:autoSpaceDE w:val="0"/>
              <w:autoSpaceDN w:val="0"/>
              <w:adjustRightInd w:val="0"/>
              <w:rPr>
                <w:sz w:val="22"/>
                <w:szCs w:val="22"/>
              </w:rPr>
            </w:pPr>
          </w:p>
          <w:p w14:paraId="210262E6" w14:textId="77777777" w:rsidR="003E494C" w:rsidRPr="004811D0" w:rsidRDefault="003E494C" w:rsidP="002C66FC">
            <w:pPr>
              <w:autoSpaceDE w:val="0"/>
              <w:autoSpaceDN w:val="0"/>
              <w:adjustRightInd w:val="0"/>
              <w:rPr>
                <w:sz w:val="22"/>
                <w:szCs w:val="22"/>
              </w:rPr>
            </w:pPr>
            <w:r w:rsidRPr="004811D0">
              <w:rPr>
                <w:sz w:val="22"/>
                <w:szCs w:val="22"/>
              </w:rPr>
              <w:t>Bol u abdomenu (težak: 1%);</w:t>
            </w:r>
          </w:p>
          <w:p w14:paraId="7398DDE7" w14:textId="77777777" w:rsidR="003E494C" w:rsidRPr="004811D0" w:rsidRDefault="003E494C" w:rsidP="002C66FC">
            <w:pPr>
              <w:autoSpaceDE w:val="0"/>
              <w:autoSpaceDN w:val="0"/>
              <w:adjustRightInd w:val="0"/>
              <w:rPr>
                <w:sz w:val="22"/>
                <w:szCs w:val="22"/>
              </w:rPr>
            </w:pPr>
          </w:p>
          <w:p w14:paraId="4A85EAA4" w14:textId="77777777" w:rsidR="003E494C" w:rsidRPr="004811D0" w:rsidRDefault="003E494C" w:rsidP="002C66FC">
            <w:pPr>
              <w:autoSpaceDE w:val="0"/>
              <w:autoSpaceDN w:val="0"/>
              <w:adjustRightInd w:val="0"/>
              <w:rPr>
                <w:sz w:val="22"/>
                <w:szCs w:val="22"/>
              </w:rPr>
            </w:pPr>
            <w:r w:rsidRPr="004811D0">
              <w:rPr>
                <w:sz w:val="22"/>
                <w:szCs w:val="22"/>
              </w:rPr>
              <w:t>Gastrointestinalno</w:t>
            </w:r>
          </w:p>
          <w:p w14:paraId="0E877C02" w14:textId="77777777" w:rsidR="003E494C" w:rsidRPr="004811D0" w:rsidRDefault="003E494C" w:rsidP="002C66FC">
            <w:pPr>
              <w:autoSpaceDE w:val="0"/>
              <w:autoSpaceDN w:val="0"/>
              <w:adjustRightInd w:val="0"/>
              <w:rPr>
                <w:sz w:val="22"/>
                <w:szCs w:val="22"/>
              </w:rPr>
            </w:pPr>
            <w:r w:rsidRPr="004811D0">
              <w:rPr>
                <w:sz w:val="22"/>
                <w:szCs w:val="22"/>
              </w:rPr>
              <w:t>krvarenje (teško: 0,3%)</w:t>
            </w:r>
          </w:p>
          <w:p w14:paraId="7EAD17D0" w14:textId="77777777" w:rsidR="003E494C" w:rsidRPr="004811D0" w:rsidRDefault="003E494C" w:rsidP="002C66FC">
            <w:pPr>
              <w:autoSpaceDE w:val="0"/>
              <w:autoSpaceDN w:val="0"/>
              <w:adjustRightInd w:val="0"/>
              <w:rPr>
                <w:sz w:val="22"/>
                <w:szCs w:val="22"/>
              </w:rPr>
            </w:pPr>
          </w:p>
        </w:tc>
        <w:tc>
          <w:tcPr>
            <w:tcW w:w="2443" w:type="dxa"/>
          </w:tcPr>
          <w:p w14:paraId="51778484" w14:textId="77777777" w:rsidR="003E494C" w:rsidRPr="004811D0" w:rsidRDefault="003E494C" w:rsidP="002C66FC">
            <w:pPr>
              <w:autoSpaceDE w:val="0"/>
              <w:autoSpaceDN w:val="0"/>
              <w:adjustRightInd w:val="0"/>
              <w:rPr>
                <w:sz w:val="22"/>
                <w:szCs w:val="22"/>
              </w:rPr>
            </w:pPr>
            <w:r w:rsidRPr="004811D0">
              <w:rPr>
                <w:sz w:val="22"/>
                <w:szCs w:val="22"/>
              </w:rPr>
              <w:t>Ezofagitis (težak: 0,4%)</w:t>
            </w:r>
          </w:p>
          <w:p w14:paraId="7123A2D4" w14:textId="77777777" w:rsidR="003E494C" w:rsidRPr="004811D0" w:rsidRDefault="003E494C" w:rsidP="002C66FC">
            <w:pPr>
              <w:autoSpaceDE w:val="0"/>
              <w:autoSpaceDN w:val="0"/>
              <w:adjustRightInd w:val="0"/>
              <w:rPr>
                <w:sz w:val="22"/>
                <w:szCs w:val="22"/>
              </w:rPr>
            </w:pPr>
          </w:p>
        </w:tc>
      </w:tr>
      <w:tr w:rsidR="003E494C" w:rsidRPr="00B02007" w14:paraId="5AD8F95F" w14:textId="77777777" w:rsidTr="002C66FC">
        <w:trPr>
          <w:trHeight w:val="2016"/>
        </w:trPr>
        <w:tc>
          <w:tcPr>
            <w:tcW w:w="2442" w:type="dxa"/>
          </w:tcPr>
          <w:p w14:paraId="1DAD013D"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kože i</w:t>
            </w:r>
          </w:p>
          <w:p w14:paraId="111543ED" w14:textId="77777777" w:rsidR="003E494C" w:rsidRPr="004811D0" w:rsidRDefault="003E494C" w:rsidP="002C66FC">
            <w:pPr>
              <w:autoSpaceDE w:val="0"/>
              <w:autoSpaceDN w:val="0"/>
              <w:adjustRightInd w:val="0"/>
              <w:rPr>
                <w:sz w:val="22"/>
                <w:szCs w:val="22"/>
              </w:rPr>
            </w:pPr>
            <w:r w:rsidRPr="004811D0">
              <w:rPr>
                <w:sz w:val="22"/>
                <w:szCs w:val="22"/>
              </w:rPr>
              <w:t xml:space="preserve">potkožnog tkiva </w:t>
            </w:r>
          </w:p>
          <w:p w14:paraId="77DB8880" w14:textId="77777777" w:rsidR="003E494C" w:rsidRPr="004811D0" w:rsidRDefault="003E494C" w:rsidP="002C66FC">
            <w:pPr>
              <w:autoSpaceDE w:val="0"/>
              <w:autoSpaceDN w:val="0"/>
              <w:adjustRightInd w:val="0"/>
              <w:rPr>
                <w:sz w:val="22"/>
                <w:szCs w:val="22"/>
              </w:rPr>
            </w:pPr>
          </w:p>
        </w:tc>
        <w:tc>
          <w:tcPr>
            <w:tcW w:w="2442" w:type="dxa"/>
          </w:tcPr>
          <w:p w14:paraId="3C10998D" w14:textId="77777777" w:rsidR="003E494C" w:rsidRPr="004811D0" w:rsidRDefault="003E494C" w:rsidP="002C66FC">
            <w:pPr>
              <w:autoSpaceDE w:val="0"/>
              <w:autoSpaceDN w:val="0"/>
              <w:adjustRightInd w:val="0"/>
              <w:rPr>
                <w:sz w:val="22"/>
                <w:szCs w:val="22"/>
              </w:rPr>
            </w:pPr>
            <w:r w:rsidRPr="004811D0">
              <w:rPr>
                <w:sz w:val="22"/>
                <w:szCs w:val="22"/>
              </w:rPr>
              <w:t>Alopecija;</w:t>
            </w:r>
          </w:p>
          <w:p w14:paraId="63DF8439" w14:textId="77777777" w:rsidR="003E494C" w:rsidRPr="004811D0" w:rsidRDefault="003E494C" w:rsidP="002C66FC">
            <w:pPr>
              <w:autoSpaceDE w:val="0"/>
              <w:autoSpaceDN w:val="0"/>
              <w:adjustRightInd w:val="0"/>
              <w:rPr>
                <w:sz w:val="22"/>
                <w:szCs w:val="22"/>
              </w:rPr>
            </w:pPr>
          </w:p>
          <w:p w14:paraId="10E05BEC" w14:textId="77777777" w:rsidR="003E494C" w:rsidRPr="004811D0" w:rsidRDefault="003E494C" w:rsidP="002C66FC">
            <w:pPr>
              <w:autoSpaceDE w:val="0"/>
              <w:autoSpaceDN w:val="0"/>
              <w:adjustRightInd w:val="0"/>
              <w:rPr>
                <w:sz w:val="22"/>
                <w:szCs w:val="22"/>
              </w:rPr>
            </w:pPr>
            <w:r w:rsidRPr="004811D0">
              <w:rPr>
                <w:sz w:val="22"/>
                <w:szCs w:val="22"/>
              </w:rPr>
              <w:t>Kožne reakcije (G3/4:</w:t>
            </w:r>
          </w:p>
          <w:p w14:paraId="0A331EB7" w14:textId="77777777" w:rsidR="003E494C" w:rsidRPr="004811D0" w:rsidRDefault="003E494C" w:rsidP="002C66FC">
            <w:pPr>
              <w:autoSpaceDE w:val="0"/>
              <w:autoSpaceDN w:val="0"/>
              <w:adjustRightInd w:val="0"/>
              <w:rPr>
                <w:sz w:val="22"/>
                <w:szCs w:val="22"/>
              </w:rPr>
            </w:pPr>
            <w:r w:rsidRPr="004811D0">
              <w:rPr>
                <w:sz w:val="22"/>
                <w:szCs w:val="22"/>
              </w:rPr>
              <w:t>5,9%);</w:t>
            </w:r>
          </w:p>
          <w:p w14:paraId="662E0BE0" w14:textId="77777777" w:rsidR="003E494C" w:rsidRPr="004811D0" w:rsidRDefault="003E494C" w:rsidP="002C66FC">
            <w:pPr>
              <w:autoSpaceDE w:val="0"/>
              <w:autoSpaceDN w:val="0"/>
              <w:adjustRightInd w:val="0"/>
              <w:rPr>
                <w:sz w:val="22"/>
                <w:szCs w:val="22"/>
              </w:rPr>
            </w:pPr>
          </w:p>
          <w:p w14:paraId="0F8A6F76" w14:textId="77777777" w:rsidR="003E494C" w:rsidRPr="004811D0" w:rsidRDefault="003E494C" w:rsidP="002C66FC">
            <w:pPr>
              <w:autoSpaceDE w:val="0"/>
              <w:autoSpaceDN w:val="0"/>
              <w:adjustRightInd w:val="0"/>
              <w:rPr>
                <w:sz w:val="22"/>
                <w:szCs w:val="22"/>
              </w:rPr>
            </w:pPr>
            <w:r w:rsidRPr="004811D0">
              <w:rPr>
                <w:sz w:val="22"/>
                <w:szCs w:val="22"/>
              </w:rPr>
              <w:t>Promjene na noktima</w:t>
            </w:r>
          </w:p>
          <w:p w14:paraId="4CE2C899" w14:textId="77777777" w:rsidR="003E494C" w:rsidRPr="004811D0" w:rsidRDefault="003E494C" w:rsidP="002C66FC">
            <w:pPr>
              <w:autoSpaceDE w:val="0"/>
              <w:autoSpaceDN w:val="0"/>
              <w:adjustRightInd w:val="0"/>
              <w:rPr>
                <w:sz w:val="22"/>
                <w:szCs w:val="22"/>
              </w:rPr>
            </w:pPr>
            <w:r w:rsidRPr="004811D0">
              <w:rPr>
                <w:sz w:val="22"/>
                <w:szCs w:val="22"/>
              </w:rPr>
              <w:t>(teške: 2,6%)</w:t>
            </w:r>
          </w:p>
          <w:p w14:paraId="33368168" w14:textId="77777777" w:rsidR="003E494C" w:rsidRPr="004811D0" w:rsidRDefault="003E494C" w:rsidP="002C66FC">
            <w:pPr>
              <w:autoSpaceDE w:val="0"/>
              <w:autoSpaceDN w:val="0"/>
              <w:adjustRightInd w:val="0"/>
              <w:rPr>
                <w:sz w:val="22"/>
                <w:szCs w:val="22"/>
              </w:rPr>
            </w:pPr>
          </w:p>
        </w:tc>
        <w:tc>
          <w:tcPr>
            <w:tcW w:w="2442" w:type="dxa"/>
          </w:tcPr>
          <w:p w14:paraId="4D0F34DE" w14:textId="77777777" w:rsidR="003E494C" w:rsidRPr="004811D0" w:rsidRDefault="003E494C" w:rsidP="002C66FC">
            <w:pPr>
              <w:autoSpaceDE w:val="0"/>
              <w:autoSpaceDN w:val="0"/>
              <w:adjustRightInd w:val="0"/>
              <w:rPr>
                <w:sz w:val="22"/>
                <w:szCs w:val="22"/>
              </w:rPr>
            </w:pPr>
          </w:p>
        </w:tc>
        <w:tc>
          <w:tcPr>
            <w:tcW w:w="2443" w:type="dxa"/>
          </w:tcPr>
          <w:p w14:paraId="5B6C0A6E" w14:textId="77777777" w:rsidR="003E494C" w:rsidRPr="004811D0" w:rsidRDefault="003E494C" w:rsidP="002C66FC">
            <w:pPr>
              <w:autoSpaceDE w:val="0"/>
              <w:autoSpaceDN w:val="0"/>
              <w:adjustRightInd w:val="0"/>
              <w:rPr>
                <w:sz w:val="22"/>
                <w:szCs w:val="22"/>
              </w:rPr>
            </w:pPr>
          </w:p>
        </w:tc>
      </w:tr>
      <w:tr w:rsidR="003E494C" w:rsidRPr="00B02007" w14:paraId="72C7D1C1" w14:textId="77777777" w:rsidTr="002C66FC">
        <w:trPr>
          <w:trHeight w:val="1014"/>
        </w:trPr>
        <w:tc>
          <w:tcPr>
            <w:tcW w:w="2442" w:type="dxa"/>
          </w:tcPr>
          <w:p w14:paraId="50E3A26E" w14:textId="77777777" w:rsidR="003E494C" w:rsidRPr="004811D0" w:rsidRDefault="003E494C"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47DB2589" w14:textId="77777777" w:rsidR="003E494C" w:rsidRPr="004811D0" w:rsidRDefault="003E494C" w:rsidP="002C66FC">
            <w:pPr>
              <w:autoSpaceDE w:val="0"/>
              <w:autoSpaceDN w:val="0"/>
              <w:adjustRightInd w:val="0"/>
              <w:rPr>
                <w:sz w:val="22"/>
                <w:szCs w:val="22"/>
              </w:rPr>
            </w:pPr>
            <w:r w:rsidRPr="004811D0">
              <w:rPr>
                <w:sz w:val="22"/>
                <w:szCs w:val="22"/>
              </w:rPr>
              <w:t>miši</w:t>
            </w:r>
            <w:r w:rsidRPr="004811D0">
              <w:rPr>
                <w:rFonts w:eastAsia="TimesNewRoman"/>
                <w:sz w:val="22"/>
                <w:szCs w:val="22"/>
              </w:rPr>
              <w:t>ć</w:t>
            </w:r>
            <w:r w:rsidRPr="004811D0">
              <w:rPr>
                <w:sz w:val="22"/>
                <w:szCs w:val="22"/>
              </w:rPr>
              <w:t>noskeletnog</w:t>
            </w:r>
          </w:p>
          <w:p w14:paraId="3D3BCEDD" w14:textId="77777777" w:rsidR="003E494C" w:rsidRPr="004811D0" w:rsidRDefault="003E494C" w:rsidP="002C66FC">
            <w:pPr>
              <w:autoSpaceDE w:val="0"/>
              <w:autoSpaceDN w:val="0"/>
              <w:adjustRightInd w:val="0"/>
              <w:rPr>
                <w:sz w:val="22"/>
                <w:szCs w:val="22"/>
              </w:rPr>
            </w:pPr>
            <w:r w:rsidRPr="004811D0">
              <w:rPr>
                <w:sz w:val="22"/>
                <w:szCs w:val="22"/>
              </w:rPr>
              <w:t>sistema i vezivnog tkiva</w:t>
            </w:r>
          </w:p>
          <w:p w14:paraId="3A7BC2D0" w14:textId="77777777" w:rsidR="003E494C" w:rsidRPr="004811D0" w:rsidRDefault="003E494C" w:rsidP="002C66FC">
            <w:pPr>
              <w:autoSpaceDE w:val="0"/>
              <w:autoSpaceDN w:val="0"/>
              <w:adjustRightInd w:val="0"/>
              <w:rPr>
                <w:sz w:val="22"/>
                <w:szCs w:val="22"/>
              </w:rPr>
            </w:pPr>
          </w:p>
        </w:tc>
        <w:tc>
          <w:tcPr>
            <w:tcW w:w="2442" w:type="dxa"/>
          </w:tcPr>
          <w:p w14:paraId="38ED66D3" w14:textId="77777777" w:rsidR="003E494C" w:rsidRPr="004811D0" w:rsidRDefault="003E494C" w:rsidP="002C66FC">
            <w:pPr>
              <w:autoSpaceDE w:val="0"/>
              <w:autoSpaceDN w:val="0"/>
              <w:adjustRightInd w:val="0"/>
              <w:rPr>
                <w:sz w:val="22"/>
                <w:szCs w:val="22"/>
              </w:rPr>
            </w:pPr>
            <w:r w:rsidRPr="004811D0">
              <w:rPr>
                <w:sz w:val="22"/>
                <w:szCs w:val="22"/>
              </w:rPr>
              <w:t>Mialgija (teška: 1,4%)</w:t>
            </w:r>
          </w:p>
        </w:tc>
        <w:tc>
          <w:tcPr>
            <w:tcW w:w="2442" w:type="dxa"/>
          </w:tcPr>
          <w:p w14:paraId="068E8E83" w14:textId="77777777" w:rsidR="003E494C" w:rsidRPr="004811D0" w:rsidRDefault="003E494C" w:rsidP="002C66FC">
            <w:pPr>
              <w:autoSpaceDE w:val="0"/>
              <w:autoSpaceDN w:val="0"/>
              <w:adjustRightInd w:val="0"/>
              <w:rPr>
                <w:sz w:val="22"/>
                <w:szCs w:val="22"/>
              </w:rPr>
            </w:pPr>
            <w:r w:rsidRPr="004811D0">
              <w:rPr>
                <w:sz w:val="22"/>
                <w:szCs w:val="22"/>
              </w:rPr>
              <w:t>Artralgija</w:t>
            </w:r>
          </w:p>
          <w:p w14:paraId="25FDF39C" w14:textId="77777777" w:rsidR="003E494C" w:rsidRPr="004811D0" w:rsidRDefault="003E494C" w:rsidP="002C66FC">
            <w:pPr>
              <w:autoSpaceDE w:val="0"/>
              <w:autoSpaceDN w:val="0"/>
              <w:adjustRightInd w:val="0"/>
              <w:rPr>
                <w:sz w:val="22"/>
                <w:szCs w:val="22"/>
              </w:rPr>
            </w:pPr>
          </w:p>
        </w:tc>
        <w:tc>
          <w:tcPr>
            <w:tcW w:w="2443" w:type="dxa"/>
          </w:tcPr>
          <w:p w14:paraId="1A776E1B" w14:textId="77777777" w:rsidR="003E494C" w:rsidRPr="004811D0" w:rsidRDefault="003E494C" w:rsidP="002C66FC">
            <w:pPr>
              <w:autoSpaceDE w:val="0"/>
              <w:autoSpaceDN w:val="0"/>
              <w:adjustRightInd w:val="0"/>
              <w:rPr>
                <w:sz w:val="22"/>
                <w:szCs w:val="22"/>
              </w:rPr>
            </w:pPr>
          </w:p>
        </w:tc>
      </w:tr>
      <w:tr w:rsidR="003E494C" w:rsidRPr="00B02007" w14:paraId="60433119" w14:textId="77777777" w:rsidTr="002C66FC">
        <w:trPr>
          <w:trHeight w:val="1774"/>
        </w:trPr>
        <w:tc>
          <w:tcPr>
            <w:tcW w:w="2442" w:type="dxa"/>
          </w:tcPr>
          <w:p w14:paraId="76C6D20B" w14:textId="77777777" w:rsidR="003E494C" w:rsidRPr="004811D0" w:rsidRDefault="003E494C" w:rsidP="002C66FC">
            <w:pPr>
              <w:autoSpaceDE w:val="0"/>
              <w:autoSpaceDN w:val="0"/>
              <w:adjustRightInd w:val="0"/>
              <w:rPr>
                <w:sz w:val="22"/>
                <w:szCs w:val="22"/>
              </w:rPr>
            </w:pPr>
            <w:r w:rsidRPr="004811D0">
              <w:rPr>
                <w:sz w:val="22"/>
                <w:szCs w:val="22"/>
              </w:rPr>
              <w:t>Opšti poreme</w:t>
            </w:r>
            <w:r w:rsidRPr="004811D0">
              <w:rPr>
                <w:rFonts w:eastAsia="TimesNewRoman"/>
                <w:sz w:val="22"/>
                <w:szCs w:val="22"/>
              </w:rPr>
              <w:t>ć</w:t>
            </w:r>
            <w:r w:rsidRPr="004811D0">
              <w:rPr>
                <w:sz w:val="22"/>
                <w:szCs w:val="22"/>
              </w:rPr>
              <w:t>aji i</w:t>
            </w:r>
          </w:p>
          <w:p w14:paraId="4474F6CB" w14:textId="77777777" w:rsidR="003E494C" w:rsidRPr="004811D0" w:rsidRDefault="003E494C" w:rsidP="002C66FC">
            <w:pPr>
              <w:autoSpaceDE w:val="0"/>
              <w:autoSpaceDN w:val="0"/>
              <w:adjustRightInd w:val="0"/>
              <w:rPr>
                <w:sz w:val="22"/>
                <w:szCs w:val="22"/>
              </w:rPr>
            </w:pPr>
            <w:r w:rsidRPr="004811D0">
              <w:rPr>
                <w:sz w:val="22"/>
                <w:szCs w:val="22"/>
              </w:rPr>
              <w:t>promjene na mjestu</w:t>
            </w:r>
          </w:p>
          <w:p w14:paraId="562C9AE4" w14:textId="77777777" w:rsidR="003E494C" w:rsidRPr="004811D0" w:rsidRDefault="003E494C" w:rsidP="002C66FC">
            <w:pPr>
              <w:autoSpaceDE w:val="0"/>
              <w:autoSpaceDN w:val="0"/>
              <w:adjustRightInd w:val="0"/>
              <w:rPr>
                <w:sz w:val="22"/>
                <w:szCs w:val="22"/>
              </w:rPr>
            </w:pPr>
            <w:r w:rsidRPr="004811D0">
              <w:rPr>
                <w:sz w:val="22"/>
                <w:szCs w:val="22"/>
              </w:rPr>
              <w:t>primjene</w:t>
            </w:r>
          </w:p>
          <w:p w14:paraId="083F122B" w14:textId="77777777" w:rsidR="003E494C" w:rsidRPr="004811D0" w:rsidRDefault="003E494C" w:rsidP="002C66FC">
            <w:pPr>
              <w:autoSpaceDE w:val="0"/>
              <w:autoSpaceDN w:val="0"/>
              <w:adjustRightInd w:val="0"/>
              <w:rPr>
                <w:sz w:val="22"/>
                <w:szCs w:val="22"/>
              </w:rPr>
            </w:pPr>
          </w:p>
        </w:tc>
        <w:tc>
          <w:tcPr>
            <w:tcW w:w="2442" w:type="dxa"/>
          </w:tcPr>
          <w:p w14:paraId="76A8C054" w14:textId="77777777" w:rsidR="003E494C" w:rsidRPr="004811D0" w:rsidRDefault="003E494C" w:rsidP="002C66FC">
            <w:pPr>
              <w:autoSpaceDE w:val="0"/>
              <w:autoSpaceDN w:val="0"/>
              <w:adjustRightInd w:val="0"/>
              <w:rPr>
                <w:sz w:val="22"/>
                <w:szCs w:val="22"/>
              </w:rPr>
            </w:pPr>
            <w:r w:rsidRPr="004811D0">
              <w:rPr>
                <w:sz w:val="22"/>
                <w:szCs w:val="22"/>
              </w:rPr>
              <w:t>Retencija te</w:t>
            </w:r>
            <w:r w:rsidRPr="004811D0">
              <w:rPr>
                <w:rFonts w:eastAsia="TimesNewRoman"/>
                <w:sz w:val="22"/>
                <w:szCs w:val="22"/>
              </w:rPr>
              <w:t>č</w:t>
            </w:r>
            <w:r w:rsidRPr="004811D0">
              <w:rPr>
                <w:sz w:val="22"/>
                <w:szCs w:val="22"/>
              </w:rPr>
              <w:t>nosti (teška: 6,5%);</w:t>
            </w:r>
          </w:p>
          <w:p w14:paraId="42E74602" w14:textId="77777777" w:rsidR="003E494C" w:rsidRPr="004811D0" w:rsidRDefault="003E494C" w:rsidP="002C66FC">
            <w:pPr>
              <w:autoSpaceDE w:val="0"/>
              <w:autoSpaceDN w:val="0"/>
              <w:adjustRightInd w:val="0"/>
              <w:rPr>
                <w:sz w:val="22"/>
                <w:szCs w:val="22"/>
              </w:rPr>
            </w:pPr>
          </w:p>
          <w:p w14:paraId="3D759F5B" w14:textId="77777777" w:rsidR="003E494C" w:rsidRPr="004811D0" w:rsidRDefault="003E494C" w:rsidP="002C66FC">
            <w:pPr>
              <w:autoSpaceDE w:val="0"/>
              <w:autoSpaceDN w:val="0"/>
              <w:adjustRightInd w:val="0"/>
              <w:rPr>
                <w:sz w:val="22"/>
                <w:szCs w:val="22"/>
              </w:rPr>
            </w:pPr>
            <w:r w:rsidRPr="004811D0">
              <w:rPr>
                <w:sz w:val="22"/>
                <w:szCs w:val="22"/>
              </w:rPr>
              <w:t>Astenija (teška; 11,2%);</w:t>
            </w:r>
          </w:p>
          <w:p w14:paraId="646F3DB9" w14:textId="77777777" w:rsidR="003E494C" w:rsidRPr="004811D0" w:rsidRDefault="003E494C" w:rsidP="002C66FC">
            <w:pPr>
              <w:autoSpaceDE w:val="0"/>
              <w:autoSpaceDN w:val="0"/>
              <w:adjustRightInd w:val="0"/>
              <w:rPr>
                <w:sz w:val="22"/>
                <w:szCs w:val="22"/>
              </w:rPr>
            </w:pPr>
          </w:p>
          <w:p w14:paraId="1A9FCFFB" w14:textId="77777777" w:rsidR="003E494C" w:rsidRPr="004811D0" w:rsidRDefault="003E494C" w:rsidP="002C66FC">
            <w:pPr>
              <w:autoSpaceDE w:val="0"/>
              <w:autoSpaceDN w:val="0"/>
              <w:adjustRightInd w:val="0"/>
              <w:rPr>
                <w:sz w:val="22"/>
                <w:szCs w:val="22"/>
              </w:rPr>
            </w:pPr>
            <w:r w:rsidRPr="004811D0">
              <w:rPr>
                <w:sz w:val="22"/>
                <w:szCs w:val="22"/>
              </w:rPr>
              <w:t>Bol</w:t>
            </w:r>
          </w:p>
          <w:p w14:paraId="7FFA87A1" w14:textId="77777777" w:rsidR="003E494C" w:rsidRPr="004811D0" w:rsidRDefault="003E494C" w:rsidP="002C66FC">
            <w:pPr>
              <w:autoSpaceDE w:val="0"/>
              <w:autoSpaceDN w:val="0"/>
              <w:adjustRightInd w:val="0"/>
              <w:rPr>
                <w:sz w:val="22"/>
                <w:szCs w:val="22"/>
              </w:rPr>
            </w:pPr>
          </w:p>
        </w:tc>
        <w:tc>
          <w:tcPr>
            <w:tcW w:w="2442" w:type="dxa"/>
          </w:tcPr>
          <w:p w14:paraId="49321536" w14:textId="77777777" w:rsidR="003E494C" w:rsidRPr="004811D0" w:rsidRDefault="003E494C" w:rsidP="002C66FC">
            <w:pPr>
              <w:autoSpaceDE w:val="0"/>
              <w:autoSpaceDN w:val="0"/>
              <w:adjustRightInd w:val="0"/>
              <w:rPr>
                <w:sz w:val="22"/>
                <w:szCs w:val="22"/>
              </w:rPr>
            </w:pPr>
            <w:r w:rsidRPr="004811D0">
              <w:rPr>
                <w:sz w:val="22"/>
                <w:szCs w:val="22"/>
              </w:rPr>
              <w:t>Reakcije na mjestu infuzije;</w:t>
            </w:r>
          </w:p>
          <w:p w14:paraId="21649DD9" w14:textId="77777777" w:rsidR="003E494C" w:rsidRPr="004811D0" w:rsidRDefault="003E494C" w:rsidP="002C66FC">
            <w:pPr>
              <w:autoSpaceDE w:val="0"/>
              <w:autoSpaceDN w:val="0"/>
              <w:adjustRightInd w:val="0"/>
              <w:rPr>
                <w:sz w:val="22"/>
                <w:szCs w:val="22"/>
              </w:rPr>
            </w:pPr>
          </w:p>
          <w:p w14:paraId="2C085085" w14:textId="77777777" w:rsidR="003E494C" w:rsidRPr="004811D0" w:rsidRDefault="003E494C" w:rsidP="002C66FC">
            <w:pPr>
              <w:autoSpaceDE w:val="0"/>
              <w:autoSpaceDN w:val="0"/>
              <w:adjustRightInd w:val="0"/>
              <w:rPr>
                <w:sz w:val="22"/>
                <w:szCs w:val="22"/>
              </w:rPr>
            </w:pPr>
            <w:r w:rsidRPr="004811D0">
              <w:rPr>
                <w:sz w:val="22"/>
                <w:szCs w:val="22"/>
              </w:rPr>
              <w:t>Nekardijalni bol u</w:t>
            </w:r>
          </w:p>
          <w:p w14:paraId="5605CB1E" w14:textId="77777777" w:rsidR="003E494C" w:rsidRPr="004811D0" w:rsidRDefault="003E494C" w:rsidP="002C66FC">
            <w:pPr>
              <w:autoSpaceDE w:val="0"/>
              <w:autoSpaceDN w:val="0"/>
              <w:adjustRightInd w:val="0"/>
              <w:rPr>
                <w:sz w:val="22"/>
                <w:szCs w:val="22"/>
              </w:rPr>
            </w:pPr>
            <w:r w:rsidRPr="004811D0">
              <w:rPr>
                <w:sz w:val="22"/>
                <w:szCs w:val="22"/>
              </w:rPr>
              <w:t>grudima (težak: 0,4%)</w:t>
            </w:r>
          </w:p>
          <w:p w14:paraId="374E1EB5" w14:textId="77777777" w:rsidR="003E494C" w:rsidRPr="004811D0" w:rsidRDefault="003E494C" w:rsidP="002C66FC">
            <w:pPr>
              <w:autoSpaceDE w:val="0"/>
              <w:autoSpaceDN w:val="0"/>
              <w:adjustRightInd w:val="0"/>
              <w:rPr>
                <w:sz w:val="22"/>
                <w:szCs w:val="22"/>
              </w:rPr>
            </w:pPr>
          </w:p>
        </w:tc>
        <w:tc>
          <w:tcPr>
            <w:tcW w:w="2443" w:type="dxa"/>
          </w:tcPr>
          <w:p w14:paraId="4AFCD34E" w14:textId="77777777" w:rsidR="003E494C" w:rsidRPr="004811D0" w:rsidRDefault="003E494C" w:rsidP="002C66FC">
            <w:pPr>
              <w:autoSpaceDE w:val="0"/>
              <w:autoSpaceDN w:val="0"/>
              <w:adjustRightInd w:val="0"/>
              <w:rPr>
                <w:sz w:val="22"/>
                <w:szCs w:val="22"/>
              </w:rPr>
            </w:pPr>
          </w:p>
        </w:tc>
      </w:tr>
      <w:tr w:rsidR="003E494C" w:rsidRPr="00BB3077" w14:paraId="0F5D7144" w14:textId="77777777" w:rsidTr="002C66FC">
        <w:trPr>
          <w:trHeight w:val="3030"/>
        </w:trPr>
        <w:tc>
          <w:tcPr>
            <w:tcW w:w="2442" w:type="dxa"/>
          </w:tcPr>
          <w:p w14:paraId="0CBF7D27" w14:textId="77777777" w:rsidR="003E494C" w:rsidRPr="004811D0" w:rsidRDefault="003E494C" w:rsidP="002C66FC">
            <w:pPr>
              <w:autoSpaceDE w:val="0"/>
              <w:autoSpaceDN w:val="0"/>
              <w:adjustRightInd w:val="0"/>
              <w:rPr>
                <w:sz w:val="22"/>
                <w:szCs w:val="22"/>
              </w:rPr>
            </w:pPr>
            <w:r w:rsidRPr="004811D0">
              <w:rPr>
                <w:sz w:val="22"/>
                <w:szCs w:val="22"/>
              </w:rPr>
              <w:t>Ispitivanja</w:t>
            </w:r>
          </w:p>
        </w:tc>
        <w:tc>
          <w:tcPr>
            <w:tcW w:w="2442" w:type="dxa"/>
          </w:tcPr>
          <w:p w14:paraId="2930F851" w14:textId="77777777" w:rsidR="003E494C" w:rsidRPr="004811D0" w:rsidRDefault="003E494C" w:rsidP="002C66FC">
            <w:pPr>
              <w:autoSpaceDE w:val="0"/>
              <w:autoSpaceDN w:val="0"/>
              <w:adjustRightInd w:val="0"/>
              <w:rPr>
                <w:sz w:val="22"/>
                <w:szCs w:val="22"/>
              </w:rPr>
            </w:pPr>
            <w:r w:rsidRPr="004811D0">
              <w:rPr>
                <w:sz w:val="22"/>
                <w:szCs w:val="22"/>
              </w:rPr>
              <w:t>-</w:t>
            </w:r>
          </w:p>
        </w:tc>
        <w:tc>
          <w:tcPr>
            <w:tcW w:w="2442" w:type="dxa"/>
          </w:tcPr>
          <w:p w14:paraId="56B30946" w14:textId="77777777" w:rsidR="003E494C" w:rsidRPr="003A78D0" w:rsidRDefault="003E494C" w:rsidP="002C66FC">
            <w:pPr>
              <w:autoSpaceDE w:val="0"/>
              <w:autoSpaceDN w:val="0"/>
              <w:adjustRightInd w:val="0"/>
              <w:rPr>
                <w:sz w:val="22"/>
                <w:szCs w:val="22"/>
                <w:lang w:val="de-DE"/>
              </w:rPr>
            </w:pPr>
            <w:r w:rsidRPr="003A78D0">
              <w:rPr>
                <w:sz w:val="22"/>
                <w:szCs w:val="22"/>
                <w:lang w:val="de-DE"/>
              </w:rPr>
              <w:t>Povišen bilirubin u krvi G3/4 (&lt; 5%);</w:t>
            </w:r>
          </w:p>
          <w:p w14:paraId="2D77B812" w14:textId="77777777" w:rsidR="003E494C" w:rsidRPr="003A78D0" w:rsidRDefault="003E494C" w:rsidP="002C66FC">
            <w:pPr>
              <w:autoSpaceDE w:val="0"/>
              <w:autoSpaceDN w:val="0"/>
              <w:adjustRightInd w:val="0"/>
              <w:rPr>
                <w:sz w:val="22"/>
                <w:szCs w:val="22"/>
                <w:lang w:val="de-DE"/>
              </w:rPr>
            </w:pPr>
          </w:p>
          <w:p w14:paraId="64DD44C2" w14:textId="77777777" w:rsidR="003E494C" w:rsidRPr="003A78D0" w:rsidRDefault="003E494C" w:rsidP="002C66FC">
            <w:pPr>
              <w:autoSpaceDE w:val="0"/>
              <w:autoSpaceDN w:val="0"/>
              <w:adjustRightInd w:val="0"/>
              <w:rPr>
                <w:sz w:val="22"/>
                <w:szCs w:val="22"/>
                <w:lang w:val="de-DE"/>
              </w:rPr>
            </w:pPr>
            <w:r w:rsidRPr="003A78D0">
              <w:rPr>
                <w:sz w:val="22"/>
                <w:szCs w:val="22"/>
                <w:lang w:val="de-DE"/>
              </w:rPr>
              <w:t>Povišene vrijednosti</w:t>
            </w:r>
          </w:p>
          <w:p w14:paraId="17A3A57D" w14:textId="77777777" w:rsidR="003E494C" w:rsidRPr="003A78D0" w:rsidRDefault="003E494C" w:rsidP="002C66FC">
            <w:pPr>
              <w:autoSpaceDE w:val="0"/>
              <w:autoSpaceDN w:val="0"/>
              <w:adjustRightInd w:val="0"/>
              <w:rPr>
                <w:sz w:val="22"/>
                <w:szCs w:val="22"/>
                <w:lang w:val="de-DE"/>
              </w:rPr>
            </w:pPr>
            <w:r w:rsidRPr="003A78D0">
              <w:rPr>
                <w:sz w:val="22"/>
                <w:szCs w:val="22"/>
                <w:lang w:val="de-DE"/>
              </w:rPr>
              <w:t>alkalne fosfataze G3/4</w:t>
            </w:r>
          </w:p>
          <w:p w14:paraId="7C106C2C" w14:textId="77777777" w:rsidR="003E494C" w:rsidRPr="003A78D0" w:rsidRDefault="003E494C" w:rsidP="002C66FC">
            <w:pPr>
              <w:autoSpaceDE w:val="0"/>
              <w:autoSpaceDN w:val="0"/>
              <w:adjustRightInd w:val="0"/>
              <w:rPr>
                <w:sz w:val="22"/>
                <w:szCs w:val="22"/>
                <w:lang w:val="de-DE"/>
              </w:rPr>
            </w:pPr>
            <w:r w:rsidRPr="003A78D0">
              <w:rPr>
                <w:sz w:val="22"/>
                <w:szCs w:val="22"/>
                <w:lang w:val="de-DE"/>
              </w:rPr>
              <w:t>(&lt; 4%);</w:t>
            </w:r>
          </w:p>
          <w:p w14:paraId="1D12C3EE" w14:textId="77777777" w:rsidR="003E494C" w:rsidRPr="003A78D0" w:rsidRDefault="003E494C" w:rsidP="002C66FC">
            <w:pPr>
              <w:autoSpaceDE w:val="0"/>
              <w:autoSpaceDN w:val="0"/>
              <w:adjustRightInd w:val="0"/>
              <w:rPr>
                <w:sz w:val="22"/>
                <w:szCs w:val="22"/>
                <w:lang w:val="de-DE"/>
              </w:rPr>
            </w:pPr>
          </w:p>
          <w:p w14:paraId="73F34352" w14:textId="77777777" w:rsidR="003E494C" w:rsidRPr="003A78D0" w:rsidRDefault="003E494C" w:rsidP="002C66FC">
            <w:pPr>
              <w:autoSpaceDE w:val="0"/>
              <w:autoSpaceDN w:val="0"/>
              <w:adjustRightInd w:val="0"/>
              <w:rPr>
                <w:sz w:val="22"/>
                <w:szCs w:val="22"/>
                <w:lang w:val="de-DE"/>
              </w:rPr>
            </w:pPr>
            <w:r w:rsidRPr="003A78D0">
              <w:rPr>
                <w:sz w:val="22"/>
                <w:szCs w:val="22"/>
                <w:lang w:val="de-DE"/>
              </w:rPr>
              <w:t>Povišene vrijednosti AST G3/4 (&lt; 3%);</w:t>
            </w:r>
          </w:p>
          <w:p w14:paraId="566A9407" w14:textId="77777777" w:rsidR="003E494C" w:rsidRPr="003A78D0" w:rsidRDefault="003E494C" w:rsidP="002C66FC">
            <w:pPr>
              <w:autoSpaceDE w:val="0"/>
              <w:autoSpaceDN w:val="0"/>
              <w:adjustRightInd w:val="0"/>
              <w:rPr>
                <w:sz w:val="22"/>
                <w:szCs w:val="22"/>
                <w:lang w:val="de-DE"/>
              </w:rPr>
            </w:pPr>
          </w:p>
          <w:p w14:paraId="51BDB878" w14:textId="77777777" w:rsidR="003E494C" w:rsidRPr="003A78D0" w:rsidRDefault="003E494C" w:rsidP="002C66FC">
            <w:pPr>
              <w:autoSpaceDE w:val="0"/>
              <w:autoSpaceDN w:val="0"/>
              <w:adjustRightInd w:val="0"/>
              <w:rPr>
                <w:sz w:val="22"/>
                <w:szCs w:val="22"/>
                <w:lang w:val="de-DE"/>
              </w:rPr>
            </w:pPr>
            <w:r w:rsidRPr="003A78D0">
              <w:rPr>
                <w:sz w:val="22"/>
                <w:szCs w:val="22"/>
                <w:lang w:val="de-DE"/>
              </w:rPr>
              <w:t>Povišene vrijednosti ALT G3/4 (&lt; 2%)</w:t>
            </w:r>
          </w:p>
        </w:tc>
        <w:tc>
          <w:tcPr>
            <w:tcW w:w="2443" w:type="dxa"/>
          </w:tcPr>
          <w:p w14:paraId="765AAAF5" w14:textId="77777777" w:rsidR="003E494C" w:rsidRPr="003A78D0" w:rsidRDefault="003E494C" w:rsidP="002C66FC">
            <w:pPr>
              <w:autoSpaceDE w:val="0"/>
              <w:autoSpaceDN w:val="0"/>
              <w:adjustRightInd w:val="0"/>
              <w:rPr>
                <w:sz w:val="22"/>
                <w:szCs w:val="22"/>
                <w:lang w:val="de-DE"/>
              </w:rPr>
            </w:pPr>
          </w:p>
        </w:tc>
      </w:tr>
    </w:tbl>
    <w:p w14:paraId="0ECF05B6" w14:textId="77777777" w:rsidR="003E494C" w:rsidRPr="003A78D0" w:rsidRDefault="003E494C" w:rsidP="003E494C">
      <w:pPr>
        <w:autoSpaceDE w:val="0"/>
        <w:autoSpaceDN w:val="0"/>
        <w:adjustRightInd w:val="0"/>
        <w:rPr>
          <w:sz w:val="22"/>
          <w:szCs w:val="22"/>
          <w:lang w:val="de-DE"/>
        </w:rPr>
      </w:pPr>
    </w:p>
    <w:p w14:paraId="371ADFF3" w14:textId="77777777" w:rsidR="003E494C" w:rsidRPr="003A78D0" w:rsidRDefault="003E494C" w:rsidP="003E494C">
      <w:pPr>
        <w:autoSpaceDE w:val="0"/>
        <w:autoSpaceDN w:val="0"/>
        <w:adjustRightInd w:val="0"/>
        <w:rPr>
          <w:sz w:val="22"/>
          <w:szCs w:val="22"/>
          <w:u w:val="single"/>
          <w:lang w:val="de-DE"/>
        </w:rPr>
      </w:pPr>
      <w:r w:rsidRPr="003A78D0">
        <w:rPr>
          <w:sz w:val="22"/>
          <w:szCs w:val="22"/>
          <w:u w:val="single"/>
          <w:lang w:val="de-DE"/>
        </w:rPr>
        <w:t>Opis odabranih neželjenih reakcija monoterapijom docetaksela 100 mg/m² kod karcinoma dojke</w:t>
      </w:r>
    </w:p>
    <w:p w14:paraId="1D0E3609" w14:textId="77777777" w:rsidR="003E494C" w:rsidRPr="003A78D0" w:rsidRDefault="003E494C" w:rsidP="003E494C">
      <w:pPr>
        <w:autoSpaceDE w:val="0"/>
        <w:autoSpaceDN w:val="0"/>
        <w:adjustRightInd w:val="0"/>
        <w:rPr>
          <w:i/>
          <w:iCs/>
          <w:sz w:val="22"/>
          <w:szCs w:val="22"/>
          <w:lang w:val="de-DE"/>
        </w:rPr>
      </w:pPr>
    </w:p>
    <w:p w14:paraId="453BB90E" w14:textId="77777777" w:rsidR="003E494C" w:rsidRPr="004811D0" w:rsidRDefault="003E494C" w:rsidP="003E494C">
      <w:pPr>
        <w:autoSpaceDE w:val="0"/>
        <w:autoSpaceDN w:val="0"/>
        <w:adjustRightInd w:val="0"/>
        <w:rPr>
          <w:i/>
          <w:iCs/>
          <w:sz w:val="22"/>
          <w:szCs w:val="22"/>
          <w:u w:val="single"/>
        </w:rPr>
      </w:pPr>
      <w:r w:rsidRPr="004811D0">
        <w:rPr>
          <w:i/>
          <w:iCs/>
          <w:sz w:val="22"/>
          <w:szCs w:val="22"/>
          <w:u w:val="single"/>
        </w:rPr>
        <w:t>Poremećaji krvi i limfnog sistema:</w:t>
      </w:r>
    </w:p>
    <w:p w14:paraId="1F373A5C" w14:textId="77777777" w:rsidR="003E494C" w:rsidRPr="004811D0" w:rsidRDefault="003E494C" w:rsidP="003E494C">
      <w:pPr>
        <w:autoSpaceDE w:val="0"/>
        <w:autoSpaceDN w:val="0"/>
        <w:adjustRightInd w:val="0"/>
        <w:rPr>
          <w:sz w:val="22"/>
          <w:szCs w:val="22"/>
        </w:rPr>
      </w:pPr>
      <w:r w:rsidRPr="004811D0">
        <w:rPr>
          <w:sz w:val="22"/>
          <w:szCs w:val="22"/>
        </w:rPr>
        <w:t>Rijetko: epizode krvarenja povezane sa trombocitopenijom stepena 3/4.</w:t>
      </w:r>
    </w:p>
    <w:p w14:paraId="24C6A0F5" w14:textId="77777777" w:rsidR="003E494C" w:rsidRPr="004811D0" w:rsidRDefault="003E494C" w:rsidP="003E494C">
      <w:pPr>
        <w:autoSpaceDE w:val="0"/>
        <w:autoSpaceDN w:val="0"/>
        <w:adjustRightInd w:val="0"/>
        <w:rPr>
          <w:iCs/>
          <w:sz w:val="22"/>
          <w:szCs w:val="22"/>
        </w:rPr>
      </w:pPr>
      <w:r w:rsidRPr="004811D0">
        <w:rPr>
          <w:iCs/>
          <w:sz w:val="22"/>
          <w:szCs w:val="22"/>
        </w:rPr>
        <w:t>Nepoznato: leukopenija</w:t>
      </w:r>
    </w:p>
    <w:p w14:paraId="7319A00E" w14:textId="77777777" w:rsidR="003E494C" w:rsidRPr="004811D0" w:rsidRDefault="003E494C" w:rsidP="003E494C">
      <w:pPr>
        <w:autoSpaceDE w:val="0"/>
        <w:autoSpaceDN w:val="0"/>
        <w:adjustRightInd w:val="0"/>
        <w:rPr>
          <w:iCs/>
          <w:sz w:val="22"/>
          <w:szCs w:val="22"/>
        </w:rPr>
      </w:pPr>
    </w:p>
    <w:p w14:paraId="391E3D1C" w14:textId="77777777" w:rsidR="003E494C" w:rsidRPr="004811D0" w:rsidRDefault="003E494C" w:rsidP="003E494C">
      <w:pPr>
        <w:autoSpaceDE w:val="0"/>
        <w:autoSpaceDN w:val="0"/>
        <w:adjustRightInd w:val="0"/>
        <w:rPr>
          <w:iCs/>
          <w:sz w:val="22"/>
          <w:szCs w:val="22"/>
        </w:rPr>
      </w:pPr>
    </w:p>
    <w:p w14:paraId="581B371C" w14:textId="77777777" w:rsidR="003E494C" w:rsidRPr="004811D0" w:rsidRDefault="003E494C" w:rsidP="003E494C">
      <w:pPr>
        <w:autoSpaceDE w:val="0"/>
        <w:autoSpaceDN w:val="0"/>
        <w:adjustRightInd w:val="0"/>
        <w:rPr>
          <w:i/>
          <w:iCs/>
          <w:sz w:val="22"/>
          <w:szCs w:val="22"/>
          <w:u w:val="single"/>
        </w:rPr>
      </w:pPr>
      <w:r w:rsidRPr="004811D0">
        <w:rPr>
          <w:i/>
          <w:iCs/>
          <w:sz w:val="22"/>
          <w:szCs w:val="22"/>
          <w:u w:val="single"/>
        </w:rPr>
        <w:t>Poremećaji nervnog sistema:</w:t>
      </w:r>
    </w:p>
    <w:p w14:paraId="271E0224" w14:textId="77777777" w:rsidR="003E494C" w:rsidRPr="004811D0" w:rsidRDefault="003E494C" w:rsidP="003E494C">
      <w:pPr>
        <w:autoSpaceDE w:val="0"/>
        <w:autoSpaceDN w:val="0"/>
        <w:adjustRightInd w:val="0"/>
        <w:rPr>
          <w:sz w:val="22"/>
          <w:szCs w:val="22"/>
        </w:rPr>
      </w:pPr>
      <w:r w:rsidRPr="004811D0">
        <w:rPr>
          <w:sz w:val="22"/>
          <w:szCs w:val="22"/>
        </w:rPr>
        <w:t>Podaci o reverzibilnosti odnose se na 35,3% pacijenata kod kojih se javila neurotoksi</w:t>
      </w:r>
      <w:r w:rsidRPr="004811D0">
        <w:rPr>
          <w:rFonts w:eastAsia="TimesNewRoman"/>
          <w:sz w:val="22"/>
          <w:szCs w:val="22"/>
        </w:rPr>
        <w:t>č</w:t>
      </w:r>
      <w:r w:rsidRPr="004811D0">
        <w:rPr>
          <w:sz w:val="22"/>
          <w:szCs w:val="22"/>
        </w:rPr>
        <w:t>nost poslije terapije docetakselom u dozi od 100 mg/m² u monoterapiji. Poreme</w:t>
      </w:r>
      <w:r w:rsidRPr="004811D0">
        <w:rPr>
          <w:rFonts w:eastAsia="TimesNewRoman"/>
          <w:sz w:val="22"/>
          <w:szCs w:val="22"/>
        </w:rPr>
        <w:t>ć</w:t>
      </w:r>
      <w:r w:rsidRPr="004811D0">
        <w:rPr>
          <w:sz w:val="22"/>
          <w:szCs w:val="22"/>
        </w:rPr>
        <w:t>aji su se spontano povla</w:t>
      </w:r>
      <w:r w:rsidRPr="004811D0">
        <w:rPr>
          <w:rFonts w:eastAsia="TimesNewRoman"/>
          <w:sz w:val="22"/>
          <w:szCs w:val="22"/>
        </w:rPr>
        <w:t>č</w:t>
      </w:r>
      <w:r w:rsidRPr="004811D0">
        <w:rPr>
          <w:sz w:val="22"/>
          <w:szCs w:val="22"/>
        </w:rPr>
        <w:t>ili u roku od 3 mjeseca.</w:t>
      </w:r>
    </w:p>
    <w:p w14:paraId="4544F82B" w14:textId="77777777" w:rsidR="003E494C" w:rsidRPr="004811D0" w:rsidRDefault="003E494C" w:rsidP="003E494C">
      <w:pPr>
        <w:autoSpaceDE w:val="0"/>
        <w:autoSpaceDN w:val="0"/>
        <w:adjustRightInd w:val="0"/>
        <w:rPr>
          <w:i/>
          <w:iCs/>
          <w:sz w:val="22"/>
          <w:szCs w:val="22"/>
        </w:rPr>
      </w:pPr>
    </w:p>
    <w:p w14:paraId="01F16257" w14:textId="77777777" w:rsidR="003E494C" w:rsidRPr="004811D0" w:rsidRDefault="003E494C" w:rsidP="003E494C">
      <w:pPr>
        <w:autoSpaceDE w:val="0"/>
        <w:autoSpaceDN w:val="0"/>
        <w:adjustRightInd w:val="0"/>
        <w:rPr>
          <w:i/>
          <w:iCs/>
          <w:sz w:val="22"/>
          <w:szCs w:val="22"/>
          <w:u w:val="single"/>
        </w:rPr>
      </w:pPr>
      <w:r w:rsidRPr="004811D0">
        <w:rPr>
          <w:i/>
          <w:iCs/>
          <w:sz w:val="22"/>
          <w:szCs w:val="22"/>
          <w:u w:val="single"/>
        </w:rPr>
        <w:t>Poremećaji kože i potkožnog tkiva:</w:t>
      </w:r>
    </w:p>
    <w:p w14:paraId="2456597B" w14:textId="77777777" w:rsidR="003E494C" w:rsidRPr="004811D0" w:rsidRDefault="003E494C" w:rsidP="003E494C">
      <w:pPr>
        <w:autoSpaceDE w:val="0"/>
        <w:autoSpaceDN w:val="0"/>
        <w:adjustRightInd w:val="0"/>
        <w:rPr>
          <w:sz w:val="22"/>
          <w:szCs w:val="22"/>
        </w:rPr>
      </w:pPr>
      <w:r w:rsidRPr="004811D0">
        <w:rPr>
          <w:sz w:val="22"/>
          <w:szCs w:val="22"/>
        </w:rPr>
        <w:t>Veoma rijetko: jedan slu</w:t>
      </w:r>
      <w:r w:rsidRPr="004811D0">
        <w:rPr>
          <w:rFonts w:eastAsia="TimesNewRoman"/>
          <w:sz w:val="22"/>
          <w:szCs w:val="22"/>
        </w:rPr>
        <w:t>č</w:t>
      </w:r>
      <w:r w:rsidRPr="004811D0">
        <w:rPr>
          <w:sz w:val="22"/>
          <w:szCs w:val="22"/>
        </w:rPr>
        <w:t>aj alopecije, ireverzibilne na kraju ispitivanja. 73% kožnih reakcija povla</w:t>
      </w:r>
      <w:r w:rsidRPr="004811D0">
        <w:rPr>
          <w:rFonts w:eastAsia="TimesNewRoman"/>
          <w:sz w:val="22"/>
          <w:szCs w:val="22"/>
        </w:rPr>
        <w:t>č</w:t>
      </w:r>
      <w:r w:rsidRPr="004811D0">
        <w:rPr>
          <w:sz w:val="22"/>
          <w:szCs w:val="22"/>
        </w:rPr>
        <w:t>ilo se u roku od 21 dan.</w:t>
      </w:r>
    </w:p>
    <w:p w14:paraId="1FB38E2B" w14:textId="77777777" w:rsidR="003E494C" w:rsidRPr="004811D0" w:rsidRDefault="003E494C" w:rsidP="003E494C">
      <w:pPr>
        <w:autoSpaceDE w:val="0"/>
        <w:autoSpaceDN w:val="0"/>
        <w:adjustRightInd w:val="0"/>
        <w:rPr>
          <w:sz w:val="22"/>
          <w:szCs w:val="22"/>
        </w:rPr>
      </w:pPr>
    </w:p>
    <w:p w14:paraId="4661C0DE" w14:textId="77777777" w:rsidR="003E494C" w:rsidRPr="004811D0" w:rsidRDefault="003E494C" w:rsidP="003E494C">
      <w:pPr>
        <w:autoSpaceDE w:val="0"/>
        <w:autoSpaceDN w:val="0"/>
        <w:adjustRightInd w:val="0"/>
        <w:rPr>
          <w:i/>
          <w:iCs/>
          <w:sz w:val="22"/>
          <w:szCs w:val="22"/>
          <w:u w:val="single"/>
        </w:rPr>
      </w:pPr>
      <w:r w:rsidRPr="004811D0">
        <w:rPr>
          <w:i/>
          <w:iCs/>
          <w:sz w:val="22"/>
          <w:szCs w:val="22"/>
          <w:u w:val="single"/>
        </w:rPr>
        <w:lastRenderedPageBreak/>
        <w:t>Opšti poremećaji i promjene na mjestu primjene:</w:t>
      </w:r>
    </w:p>
    <w:p w14:paraId="2F30D5CC" w14:textId="77777777" w:rsidR="003E494C" w:rsidRPr="004811D0" w:rsidRDefault="003E494C" w:rsidP="003E494C">
      <w:pPr>
        <w:autoSpaceDE w:val="0"/>
        <w:autoSpaceDN w:val="0"/>
        <w:adjustRightInd w:val="0"/>
        <w:rPr>
          <w:sz w:val="22"/>
          <w:szCs w:val="22"/>
        </w:rPr>
      </w:pPr>
      <w:r w:rsidRPr="004811D0">
        <w:rPr>
          <w:sz w:val="22"/>
          <w:szCs w:val="22"/>
        </w:rPr>
        <w:t>Medijana kumulativne doze do prekida terapije bila je viša od 1000 mg/m², a medijana vremena do povla</w:t>
      </w:r>
      <w:r w:rsidRPr="004811D0">
        <w:rPr>
          <w:rFonts w:eastAsia="TimesNewRoman"/>
          <w:sz w:val="22"/>
          <w:szCs w:val="22"/>
        </w:rPr>
        <w:t>č</w:t>
      </w:r>
      <w:r w:rsidRPr="004811D0">
        <w:rPr>
          <w:sz w:val="22"/>
          <w:szCs w:val="22"/>
        </w:rPr>
        <w:t>enja retencije te</w:t>
      </w:r>
      <w:r w:rsidRPr="004811D0">
        <w:rPr>
          <w:rFonts w:eastAsia="TimesNewRoman"/>
          <w:sz w:val="22"/>
          <w:szCs w:val="22"/>
        </w:rPr>
        <w:t>č</w:t>
      </w:r>
      <w:r w:rsidRPr="004811D0">
        <w:rPr>
          <w:sz w:val="22"/>
          <w:szCs w:val="22"/>
        </w:rPr>
        <w:t>nosti bila je 16,4 nedjelje (raspon 0 do 42 nedjelje). Pojava retencije te</w:t>
      </w:r>
      <w:r w:rsidRPr="004811D0">
        <w:rPr>
          <w:rFonts w:eastAsia="TimesNewRoman"/>
          <w:sz w:val="22"/>
          <w:szCs w:val="22"/>
        </w:rPr>
        <w:t>č</w:t>
      </w:r>
      <w:r w:rsidRPr="004811D0">
        <w:rPr>
          <w:sz w:val="22"/>
          <w:szCs w:val="22"/>
        </w:rPr>
        <w:t>nosti umjerenog do jakog intenziteta bila je odložena (medijana kumulativne doze: 818,8 mg/m²) kod pacijenata koji su primali premedikaciju, u odnosu na one koji premedikaciju nijesu primali (medijana kumulativne doze: 489,7 mg/m²); mada je kod nekih pacijenata registrovana u ranim tokovima terapije.</w:t>
      </w:r>
    </w:p>
    <w:p w14:paraId="7F86C215" w14:textId="77777777" w:rsidR="003E494C" w:rsidRPr="004811D0" w:rsidRDefault="003E494C" w:rsidP="003E494C">
      <w:pPr>
        <w:autoSpaceDE w:val="0"/>
        <w:autoSpaceDN w:val="0"/>
        <w:adjustRightInd w:val="0"/>
        <w:rPr>
          <w:b/>
          <w:bCs/>
          <w:i/>
          <w:iCs/>
          <w:sz w:val="22"/>
          <w:szCs w:val="22"/>
        </w:rPr>
      </w:pPr>
    </w:p>
    <w:p w14:paraId="6FD08AB3" w14:textId="77777777" w:rsidR="003E494C" w:rsidRPr="00134395" w:rsidRDefault="003E494C" w:rsidP="003E494C">
      <w:pPr>
        <w:autoSpaceDE w:val="0"/>
        <w:autoSpaceDN w:val="0"/>
        <w:adjustRightInd w:val="0"/>
        <w:rPr>
          <w:bCs/>
          <w:iCs/>
          <w:sz w:val="22"/>
          <w:szCs w:val="22"/>
        </w:rPr>
      </w:pPr>
      <w:r w:rsidRPr="00134395">
        <w:rPr>
          <w:iCs/>
          <w:sz w:val="22"/>
          <w:szCs w:val="22"/>
          <w:u w:val="single"/>
        </w:rPr>
        <w:t>Tabelarni prikaz neželjenih reakcija kod nemikrocelularnog karcinoma pluća za</w:t>
      </w:r>
      <w:r w:rsidRPr="00134395">
        <w:rPr>
          <w:i/>
          <w:iCs/>
          <w:sz w:val="22"/>
          <w:szCs w:val="22"/>
          <w:u w:val="single"/>
        </w:rPr>
        <w:t xml:space="preserve"> docetaksel 75 mg/m</w:t>
      </w:r>
      <w:r w:rsidRPr="00134395">
        <w:rPr>
          <w:i/>
          <w:iCs/>
          <w:sz w:val="22"/>
          <w:szCs w:val="22"/>
          <w:u w:val="single"/>
          <w:vertAlign w:val="superscript"/>
        </w:rPr>
        <w:t>2</w:t>
      </w:r>
      <w:r w:rsidRPr="00134395">
        <w:rPr>
          <w:i/>
          <w:iCs/>
          <w:sz w:val="22"/>
          <w:szCs w:val="22"/>
          <w:u w:val="single"/>
        </w:rPr>
        <w:t xml:space="preserve"> kao monoterapija</w:t>
      </w:r>
    </w:p>
    <w:p w14:paraId="7D21A682" w14:textId="6F60444E" w:rsidR="003E494C" w:rsidRDefault="003E494C" w:rsidP="00A46C9A">
      <w:pPr>
        <w:spacing w:after="200" w:line="276" w:lineRule="auto"/>
        <w:rPr>
          <w:rFonts w:eastAsia="Calibri"/>
          <w:sz w:val="22"/>
          <w:szCs w:val="22"/>
          <w:u w:val="single"/>
          <w:lang w:val="sr-Latn-RS"/>
        </w:rPr>
      </w:pPr>
    </w:p>
    <w:p w14:paraId="4AF6FFD6" w14:textId="77777777" w:rsidR="003A78D0" w:rsidRPr="004811D0" w:rsidRDefault="003A78D0" w:rsidP="003A78D0">
      <w:pPr>
        <w:autoSpaceDE w:val="0"/>
        <w:autoSpaceDN w:val="0"/>
        <w:adjustRightInd w:val="0"/>
        <w:rPr>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3222"/>
        <w:gridCol w:w="3222"/>
      </w:tblGrid>
      <w:tr w:rsidR="003A78D0" w:rsidRPr="00B02007" w14:paraId="7AB250CE" w14:textId="77777777" w:rsidTr="002C66FC">
        <w:trPr>
          <w:trHeight w:val="758"/>
        </w:trPr>
        <w:tc>
          <w:tcPr>
            <w:tcW w:w="3222" w:type="dxa"/>
          </w:tcPr>
          <w:p w14:paraId="00C18E83" w14:textId="77777777" w:rsidR="003A78D0" w:rsidRPr="004811D0" w:rsidRDefault="003A78D0" w:rsidP="002C66FC">
            <w:pPr>
              <w:autoSpaceDE w:val="0"/>
              <w:autoSpaceDN w:val="0"/>
              <w:adjustRightInd w:val="0"/>
              <w:rPr>
                <w:sz w:val="22"/>
                <w:szCs w:val="22"/>
              </w:rPr>
            </w:pPr>
            <w:r w:rsidRPr="004811D0">
              <w:rPr>
                <w:b/>
                <w:bCs/>
                <w:sz w:val="22"/>
                <w:szCs w:val="22"/>
              </w:rPr>
              <w:t>Organski sistemi po</w:t>
            </w:r>
          </w:p>
          <w:p w14:paraId="1C84DBEF" w14:textId="77777777" w:rsidR="003A78D0" w:rsidRPr="004811D0" w:rsidRDefault="003A78D0" w:rsidP="002C66FC">
            <w:pPr>
              <w:autoSpaceDE w:val="0"/>
              <w:autoSpaceDN w:val="0"/>
              <w:adjustRightInd w:val="0"/>
              <w:rPr>
                <w:b/>
                <w:bCs/>
                <w:sz w:val="22"/>
                <w:szCs w:val="22"/>
              </w:rPr>
            </w:pPr>
            <w:r w:rsidRPr="004811D0">
              <w:rPr>
                <w:b/>
                <w:bCs/>
                <w:sz w:val="22"/>
                <w:szCs w:val="22"/>
              </w:rPr>
              <w:t>MedDRA</w:t>
            </w:r>
          </w:p>
          <w:p w14:paraId="2FF616F9" w14:textId="77777777" w:rsidR="003A78D0" w:rsidRPr="004811D0" w:rsidRDefault="003A78D0" w:rsidP="002C66FC">
            <w:pPr>
              <w:autoSpaceDE w:val="0"/>
              <w:autoSpaceDN w:val="0"/>
              <w:adjustRightInd w:val="0"/>
              <w:rPr>
                <w:sz w:val="22"/>
                <w:szCs w:val="22"/>
              </w:rPr>
            </w:pPr>
          </w:p>
        </w:tc>
        <w:tc>
          <w:tcPr>
            <w:tcW w:w="3222" w:type="dxa"/>
          </w:tcPr>
          <w:p w14:paraId="0EDC27D0" w14:textId="77777777" w:rsidR="003A78D0" w:rsidRPr="004811D0" w:rsidRDefault="003A78D0" w:rsidP="002C66FC">
            <w:pPr>
              <w:autoSpaceDE w:val="0"/>
              <w:autoSpaceDN w:val="0"/>
              <w:adjustRightInd w:val="0"/>
              <w:rPr>
                <w:b/>
                <w:bCs/>
                <w:sz w:val="22"/>
                <w:szCs w:val="22"/>
              </w:rPr>
            </w:pPr>
            <w:r w:rsidRPr="004811D0">
              <w:rPr>
                <w:b/>
                <w:bCs/>
                <w:sz w:val="22"/>
                <w:szCs w:val="22"/>
              </w:rPr>
              <w:t xml:space="preserve">Veoma </w:t>
            </w:r>
            <w:r w:rsidRPr="004811D0">
              <w:rPr>
                <w:rFonts w:eastAsia="TimesNewRoman,Bold"/>
                <w:b/>
                <w:bCs/>
                <w:sz w:val="22"/>
                <w:szCs w:val="22"/>
              </w:rPr>
              <w:t>č</w:t>
            </w:r>
            <w:r w:rsidRPr="004811D0">
              <w:rPr>
                <w:b/>
                <w:bCs/>
                <w:sz w:val="22"/>
                <w:szCs w:val="22"/>
              </w:rPr>
              <w:t xml:space="preserve">esta neželjena dejstva </w:t>
            </w:r>
          </w:p>
          <w:p w14:paraId="2EF00E20" w14:textId="77777777" w:rsidR="003A78D0" w:rsidRPr="004811D0" w:rsidRDefault="003A78D0" w:rsidP="002C66FC">
            <w:pPr>
              <w:autoSpaceDE w:val="0"/>
              <w:autoSpaceDN w:val="0"/>
              <w:adjustRightInd w:val="0"/>
              <w:rPr>
                <w:sz w:val="22"/>
                <w:szCs w:val="22"/>
              </w:rPr>
            </w:pPr>
          </w:p>
        </w:tc>
        <w:tc>
          <w:tcPr>
            <w:tcW w:w="3222" w:type="dxa"/>
          </w:tcPr>
          <w:p w14:paraId="4A5A9C42" w14:textId="77777777" w:rsidR="003A78D0" w:rsidRPr="004811D0" w:rsidRDefault="003A78D0" w:rsidP="002C66FC">
            <w:pPr>
              <w:autoSpaceDE w:val="0"/>
              <w:autoSpaceDN w:val="0"/>
              <w:adjustRightInd w:val="0"/>
              <w:rPr>
                <w:b/>
                <w:bCs/>
                <w:sz w:val="22"/>
                <w:szCs w:val="22"/>
              </w:rPr>
            </w:pPr>
            <w:r w:rsidRPr="004811D0">
              <w:rPr>
                <w:rFonts w:eastAsia="TimesNewRoman,Bold"/>
                <w:b/>
                <w:bCs/>
                <w:sz w:val="22"/>
                <w:szCs w:val="22"/>
              </w:rPr>
              <w:t>Č</w:t>
            </w:r>
            <w:r w:rsidRPr="004811D0">
              <w:rPr>
                <w:b/>
                <w:bCs/>
                <w:sz w:val="22"/>
                <w:szCs w:val="22"/>
              </w:rPr>
              <w:t>esta neželjena dejstva</w:t>
            </w:r>
          </w:p>
          <w:p w14:paraId="11295BC5" w14:textId="77777777" w:rsidR="003A78D0" w:rsidRPr="004811D0" w:rsidRDefault="003A78D0" w:rsidP="002C66FC">
            <w:pPr>
              <w:autoSpaceDE w:val="0"/>
              <w:autoSpaceDN w:val="0"/>
              <w:adjustRightInd w:val="0"/>
              <w:rPr>
                <w:sz w:val="22"/>
                <w:szCs w:val="22"/>
              </w:rPr>
            </w:pPr>
          </w:p>
        </w:tc>
      </w:tr>
      <w:tr w:rsidR="003A78D0" w:rsidRPr="00B02007" w14:paraId="3DD39F85" w14:textId="77777777" w:rsidTr="002C66FC">
        <w:trPr>
          <w:trHeight w:val="505"/>
        </w:trPr>
        <w:tc>
          <w:tcPr>
            <w:tcW w:w="3222" w:type="dxa"/>
          </w:tcPr>
          <w:p w14:paraId="25D2F08A" w14:textId="77777777" w:rsidR="003A78D0" w:rsidRPr="004811D0" w:rsidRDefault="003A78D0" w:rsidP="002C66FC">
            <w:pPr>
              <w:autoSpaceDE w:val="0"/>
              <w:autoSpaceDN w:val="0"/>
              <w:adjustRightInd w:val="0"/>
              <w:rPr>
                <w:sz w:val="22"/>
                <w:szCs w:val="22"/>
              </w:rPr>
            </w:pPr>
            <w:r w:rsidRPr="004811D0">
              <w:rPr>
                <w:sz w:val="22"/>
                <w:szCs w:val="22"/>
              </w:rPr>
              <w:t>Infekcije i infestacije</w:t>
            </w:r>
          </w:p>
        </w:tc>
        <w:tc>
          <w:tcPr>
            <w:tcW w:w="3222" w:type="dxa"/>
          </w:tcPr>
          <w:p w14:paraId="2862A1CB" w14:textId="77777777" w:rsidR="003A78D0" w:rsidRPr="004811D0" w:rsidRDefault="003A78D0" w:rsidP="002C66FC">
            <w:pPr>
              <w:autoSpaceDE w:val="0"/>
              <w:autoSpaceDN w:val="0"/>
              <w:adjustRightInd w:val="0"/>
              <w:rPr>
                <w:sz w:val="22"/>
                <w:szCs w:val="22"/>
              </w:rPr>
            </w:pPr>
            <w:r w:rsidRPr="004811D0">
              <w:rPr>
                <w:sz w:val="22"/>
                <w:szCs w:val="22"/>
              </w:rPr>
              <w:t>Infekcije (G3/4: 5%)</w:t>
            </w:r>
          </w:p>
        </w:tc>
        <w:tc>
          <w:tcPr>
            <w:tcW w:w="3222" w:type="dxa"/>
          </w:tcPr>
          <w:p w14:paraId="6AE5C368" w14:textId="77777777" w:rsidR="003A78D0" w:rsidRPr="004811D0" w:rsidRDefault="003A78D0" w:rsidP="002C66FC">
            <w:pPr>
              <w:autoSpaceDE w:val="0"/>
              <w:autoSpaceDN w:val="0"/>
              <w:adjustRightInd w:val="0"/>
              <w:rPr>
                <w:sz w:val="22"/>
                <w:szCs w:val="22"/>
              </w:rPr>
            </w:pPr>
          </w:p>
          <w:p w14:paraId="0B8664BF" w14:textId="77777777" w:rsidR="003A78D0" w:rsidRPr="004811D0" w:rsidRDefault="003A78D0" w:rsidP="002C66FC">
            <w:pPr>
              <w:autoSpaceDE w:val="0"/>
              <w:autoSpaceDN w:val="0"/>
              <w:adjustRightInd w:val="0"/>
              <w:rPr>
                <w:sz w:val="22"/>
                <w:szCs w:val="22"/>
              </w:rPr>
            </w:pPr>
          </w:p>
        </w:tc>
      </w:tr>
      <w:tr w:rsidR="003A78D0" w:rsidRPr="00B02007" w14:paraId="56343B76" w14:textId="77777777" w:rsidTr="002C66FC">
        <w:trPr>
          <w:trHeight w:val="1505"/>
        </w:trPr>
        <w:tc>
          <w:tcPr>
            <w:tcW w:w="3222" w:type="dxa"/>
          </w:tcPr>
          <w:p w14:paraId="7A9B8AA1"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krvi i</w:t>
            </w:r>
          </w:p>
          <w:p w14:paraId="3C22301C" w14:textId="77777777" w:rsidR="003A78D0" w:rsidRPr="004811D0" w:rsidRDefault="003A78D0" w:rsidP="002C66FC">
            <w:pPr>
              <w:autoSpaceDE w:val="0"/>
              <w:autoSpaceDN w:val="0"/>
              <w:adjustRightInd w:val="0"/>
              <w:rPr>
                <w:sz w:val="22"/>
                <w:szCs w:val="22"/>
              </w:rPr>
            </w:pPr>
            <w:r w:rsidRPr="004811D0">
              <w:rPr>
                <w:sz w:val="22"/>
                <w:szCs w:val="22"/>
              </w:rPr>
              <w:t>limfnog sistema</w:t>
            </w:r>
          </w:p>
          <w:p w14:paraId="069C7220" w14:textId="77777777" w:rsidR="003A78D0" w:rsidRPr="004811D0" w:rsidRDefault="003A78D0" w:rsidP="002C66FC">
            <w:pPr>
              <w:autoSpaceDE w:val="0"/>
              <w:autoSpaceDN w:val="0"/>
              <w:adjustRightInd w:val="0"/>
              <w:rPr>
                <w:sz w:val="22"/>
                <w:szCs w:val="22"/>
              </w:rPr>
            </w:pPr>
          </w:p>
        </w:tc>
        <w:tc>
          <w:tcPr>
            <w:tcW w:w="3222" w:type="dxa"/>
          </w:tcPr>
          <w:p w14:paraId="3AD2E1D5" w14:textId="77777777" w:rsidR="003A78D0" w:rsidRPr="004811D0" w:rsidRDefault="003A78D0" w:rsidP="002C66FC">
            <w:pPr>
              <w:autoSpaceDE w:val="0"/>
              <w:autoSpaceDN w:val="0"/>
              <w:adjustRightInd w:val="0"/>
              <w:rPr>
                <w:sz w:val="22"/>
                <w:szCs w:val="22"/>
              </w:rPr>
            </w:pPr>
            <w:r w:rsidRPr="004811D0">
              <w:rPr>
                <w:sz w:val="22"/>
                <w:szCs w:val="22"/>
              </w:rPr>
              <w:t>Neutropenija (G4: 54,2%);</w:t>
            </w:r>
          </w:p>
          <w:p w14:paraId="472E88A9" w14:textId="77777777" w:rsidR="003A78D0" w:rsidRPr="004811D0" w:rsidRDefault="003A78D0" w:rsidP="002C66FC">
            <w:pPr>
              <w:autoSpaceDE w:val="0"/>
              <w:autoSpaceDN w:val="0"/>
              <w:adjustRightInd w:val="0"/>
              <w:rPr>
                <w:sz w:val="22"/>
                <w:szCs w:val="22"/>
              </w:rPr>
            </w:pPr>
          </w:p>
          <w:p w14:paraId="5F3DA4E4" w14:textId="77777777" w:rsidR="003A78D0" w:rsidRPr="004811D0" w:rsidRDefault="003A78D0" w:rsidP="002C66FC">
            <w:pPr>
              <w:autoSpaceDE w:val="0"/>
              <w:autoSpaceDN w:val="0"/>
              <w:adjustRightInd w:val="0"/>
              <w:rPr>
                <w:sz w:val="22"/>
                <w:szCs w:val="22"/>
              </w:rPr>
            </w:pPr>
            <w:r w:rsidRPr="004811D0">
              <w:rPr>
                <w:sz w:val="22"/>
                <w:szCs w:val="22"/>
              </w:rPr>
              <w:t>Anemija (G3/4: 10,8%);</w:t>
            </w:r>
          </w:p>
          <w:p w14:paraId="5AEBB570" w14:textId="77777777" w:rsidR="003A78D0" w:rsidRPr="004811D0" w:rsidRDefault="003A78D0" w:rsidP="002C66FC">
            <w:pPr>
              <w:autoSpaceDE w:val="0"/>
              <w:autoSpaceDN w:val="0"/>
              <w:adjustRightInd w:val="0"/>
              <w:rPr>
                <w:sz w:val="22"/>
                <w:szCs w:val="22"/>
              </w:rPr>
            </w:pPr>
          </w:p>
          <w:p w14:paraId="1F9C7822" w14:textId="77777777" w:rsidR="003A78D0" w:rsidRPr="004811D0" w:rsidRDefault="003A78D0" w:rsidP="002C66FC">
            <w:pPr>
              <w:autoSpaceDE w:val="0"/>
              <w:autoSpaceDN w:val="0"/>
              <w:adjustRightInd w:val="0"/>
              <w:rPr>
                <w:sz w:val="22"/>
                <w:szCs w:val="22"/>
              </w:rPr>
            </w:pPr>
            <w:r w:rsidRPr="004811D0">
              <w:rPr>
                <w:sz w:val="22"/>
                <w:szCs w:val="22"/>
              </w:rPr>
              <w:t>Trombocitopenija (G4:</w:t>
            </w:r>
          </w:p>
          <w:p w14:paraId="50B98026" w14:textId="77777777" w:rsidR="003A78D0" w:rsidRPr="004811D0" w:rsidRDefault="003A78D0" w:rsidP="002C66FC">
            <w:pPr>
              <w:autoSpaceDE w:val="0"/>
              <w:autoSpaceDN w:val="0"/>
              <w:adjustRightInd w:val="0"/>
              <w:rPr>
                <w:sz w:val="22"/>
                <w:szCs w:val="22"/>
              </w:rPr>
            </w:pPr>
            <w:r w:rsidRPr="004811D0">
              <w:rPr>
                <w:sz w:val="22"/>
                <w:szCs w:val="22"/>
              </w:rPr>
              <w:t>1,7%)</w:t>
            </w:r>
          </w:p>
        </w:tc>
        <w:tc>
          <w:tcPr>
            <w:tcW w:w="3222" w:type="dxa"/>
          </w:tcPr>
          <w:p w14:paraId="77761CCD" w14:textId="77777777" w:rsidR="003A78D0" w:rsidRPr="004811D0" w:rsidRDefault="003A78D0" w:rsidP="002C66FC">
            <w:pPr>
              <w:autoSpaceDE w:val="0"/>
              <w:autoSpaceDN w:val="0"/>
              <w:adjustRightInd w:val="0"/>
              <w:rPr>
                <w:sz w:val="22"/>
                <w:szCs w:val="22"/>
              </w:rPr>
            </w:pPr>
            <w:r w:rsidRPr="004811D0">
              <w:rPr>
                <w:sz w:val="22"/>
                <w:szCs w:val="22"/>
              </w:rPr>
              <w:t>Febrilna neutropenija</w:t>
            </w:r>
          </w:p>
          <w:p w14:paraId="093BCD00" w14:textId="77777777" w:rsidR="003A78D0" w:rsidRPr="004811D0" w:rsidRDefault="003A78D0" w:rsidP="002C66FC">
            <w:pPr>
              <w:autoSpaceDE w:val="0"/>
              <w:autoSpaceDN w:val="0"/>
              <w:adjustRightInd w:val="0"/>
              <w:rPr>
                <w:sz w:val="22"/>
                <w:szCs w:val="22"/>
              </w:rPr>
            </w:pPr>
          </w:p>
        </w:tc>
      </w:tr>
      <w:tr w:rsidR="003A78D0" w:rsidRPr="00B02007" w14:paraId="71309208" w14:textId="77777777" w:rsidTr="002C66FC">
        <w:trPr>
          <w:trHeight w:val="758"/>
        </w:trPr>
        <w:tc>
          <w:tcPr>
            <w:tcW w:w="3222" w:type="dxa"/>
          </w:tcPr>
          <w:p w14:paraId="2CD9FC21" w14:textId="77777777" w:rsidR="003A78D0" w:rsidRPr="004811D0" w:rsidRDefault="003A78D0" w:rsidP="002C66FC">
            <w:pPr>
              <w:autoSpaceDE w:val="0"/>
              <w:autoSpaceDN w:val="0"/>
              <w:adjustRightInd w:val="0"/>
              <w:rPr>
                <w:sz w:val="22"/>
                <w:szCs w:val="22"/>
                <w:lang w:val="hr-HR"/>
              </w:rPr>
            </w:pPr>
            <w:r w:rsidRPr="004811D0">
              <w:rPr>
                <w:sz w:val="22"/>
                <w:szCs w:val="22"/>
                <w:lang w:val="hr-HR"/>
              </w:rPr>
              <w:t>Poreme</w:t>
            </w:r>
            <w:r w:rsidRPr="004811D0">
              <w:rPr>
                <w:rFonts w:eastAsia="TimesNewRoman"/>
                <w:sz w:val="22"/>
                <w:szCs w:val="22"/>
                <w:lang w:val="hr-HR"/>
              </w:rPr>
              <w:t>ć</w:t>
            </w:r>
            <w:r w:rsidRPr="004811D0">
              <w:rPr>
                <w:sz w:val="22"/>
                <w:szCs w:val="22"/>
                <w:lang w:val="hr-HR"/>
              </w:rPr>
              <w:t>aji imunog</w:t>
            </w:r>
          </w:p>
          <w:p w14:paraId="41AA44CC" w14:textId="77777777" w:rsidR="003A78D0" w:rsidRPr="004811D0" w:rsidRDefault="003A78D0" w:rsidP="002C66FC">
            <w:pPr>
              <w:autoSpaceDE w:val="0"/>
              <w:autoSpaceDN w:val="0"/>
              <w:adjustRightInd w:val="0"/>
              <w:rPr>
                <w:sz w:val="22"/>
                <w:szCs w:val="22"/>
                <w:lang w:val="hr-HR"/>
              </w:rPr>
            </w:pPr>
            <w:r w:rsidRPr="004811D0">
              <w:rPr>
                <w:sz w:val="22"/>
                <w:szCs w:val="22"/>
                <w:lang w:val="hr-HR"/>
              </w:rPr>
              <w:t>sistema</w:t>
            </w:r>
          </w:p>
          <w:p w14:paraId="3C1E1289" w14:textId="77777777" w:rsidR="003A78D0" w:rsidRPr="004811D0" w:rsidRDefault="003A78D0" w:rsidP="002C66FC">
            <w:pPr>
              <w:autoSpaceDE w:val="0"/>
              <w:autoSpaceDN w:val="0"/>
              <w:adjustRightInd w:val="0"/>
              <w:rPr>
                <w:sz w:val="22"/>
                <w:szCs w:val="22"/>
                <w:lang w:val="hr-HR"/>
              </w:rPr>
            </w:pPr>
          </w:p>
        </w:tc>
        <w:tc>
          <w:tcPr>
            <w:tcW w:w="3222" w:type="dxa"/>
          </w:tcPr>
          <w:p w14:paraId="68B9F619" w14:textId="77777777" w:rsidR="003A78D0" w:rsidRPr="004811D0" w:rsidRDefault="003A78D0" w:rsidP="002C66FC">
            <w:pPr>
              <w:autoSpaceDE w:val="0"/>
              <w:autoSpaceDN w:val="0"/>
              <w:adjustRightInd w:val="0"/>
              <w:rPr>
                <w:sz w:val="22"/>
                <w:szCs w:val="22"/>
                <w:lang w:val="hr-HR"/>
              </w:rPr>
            </w:pPr>
            <w:r w:rsidRPr="004811D0">
              <w:rPr>
                <w:sz w:val="22"/>
                <w:szCs w:val="22"/>
                <w:lang w:val="hr-HR"/>
              </w:rPr>
              <w:t>-</w:t>
            </w:r>
          </w:p>
        </w:tc>
        <w:tc>
          <w:tcPr>
            <w:tcW w:w="3222" w:type="dxa"/>
          </w:tcPr>
          <w:p w14:paraId="4122FF3D" w14:textId="77777777" w:rsidR="003A78D0" w:rsidRPr="004811D0" w:rsidRDefault="003A78D0" w:rsidP="002C66FC">
            <w:pPr>
              <w:autoSpaceDE w:val="0"/>
              <w:autoSpaceDN w:val="0"/>
              <w:adjustRightInd w:val="0"/>
              <w:rPr>
                <w:sz w:val="22"/>
                <w:szCs w:val="22"/>
                <w:lang w:val="hr-HR"/>
              </w:rPr>
            </w:pPr>
            <w:r w:rsidRPr="004811D0">
              <w:rPr>
                <w:sz w:val="22"/>
                <w:szCs w:val="22"/>
                <w:lang w:val="hr-HR"/>
              </w:rPr>
              <w:t>Preosjetljivost (nije teška)</w:t>
            </w:r>
          </w:p>
          <w:p w14:paraId="76A69F0C" w14:textId="77777777" w:rsidR="003A78D0" w:rsidRPr="004811D0" w:rsidRDefault="003A78D0" w:rsidP="002C66FC">
            <w:pPr>
              <w:autoSpaceDE w:val="0"/>
              <w:autoSpaceDN w:val="0"/>
              <w:adjustRightInd w:val="0"/>
              <w:rPr>
                <w:sz w:val="22"/>
                <w:szCs w:val="22"/>
                <w:lang w:val="hr-HR"/>
              </w:rPr>
            </w:pPr>
          </w:p>
        </w:tc>
      </w:tr>
      <w:tr w:rsidR="003A78D0" w:rsidRPr="00B02007" w14:paraId="3B5FF779" w14:textId="77777777" w:rsidTr="002C66FC">
        <w:trPr>
          <w:trHeight w:val="705"/>
        </w:trPr>
        <w:tc>
          <w:tcPr>
            <w:tcW w:w="3222" w:type="dxa"/>
          </w:tcPr>
          <w:p w14:paraId="6F5F34B7"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 xml:space="preserve">aji </w:t>
            </w:r>
          </w:p>
          <w:p w14:paraId="32763B68" w14:textId="77777777" w:rsidR="003A78D0" w:rsidRPr="004811D0" w:rsidRDefault="003A78D0" w:rsidP="002C66FC">
            <w:pPr>
              <w:autoSpaceDE w:val="0"/>
              <w:autoSpaceDN w:val="0"/>
              <w:adjustRightInd w:val="0"/>
              <w:rPr>
                <w:sz w:val="22"/>
                <w:szCs w:val="22"/>
              </w:rPr>
            </w:pPr>
            <w:r w:rsidRPr="004811D0">
              <w:rPr>
                <w:sz w:val="22"/>
                <w:szCs w:val="22"/>
              </w:rPr>
              <w:t>metabolizma i ishrane</w:t>
            </w:r>
          </w:p>
        </w:tc>
        <w:tc>
          <w:tcPr>
            <w:tcW w:w="3222" w:type="dxa"/>
          </w:tcPr>
          <w:p w14:paraId="7CD1C00C" w14:textId="77777777" w:rsidR="003A78D0" w:rsidRPr="004811D0" w:rsidRDefault="003A78D0" w:rsidP="002C66FC">
            <w:pPr>
              <w:autoSpaceDE w:val="0"/>
              <w:autoSpaceDN w:val="0"/>
              <w:adjustRightInd w:val="0"/>
              <w:rPr>
                <w:sz w:val="22"/>
                <w:szCs w:val="22"/>
              </w:rPr>
            </w:pPr>
            <w:r w:rsidRPr="004811D0">
              <w:rPr>
                <w:sz w:val="22"/>
                <w:szCs w:val="22"/>
              </w:rPr>
              <w:t>Anoreksija</w:t>
            </w:r>
          </w:p>
        </w:tc>
        <w:tc>
          <w:tcPr>
            <w:tcW w:w="3222" w:type="dxa"/>
          </w:tcPr>
          <w:p w14:paraId="15C18034" w14:textId="77777777" w:rsidR="003A78D0" w:rsidRPr="004811D0" w:rsidRDefault="003A78D0" w:rsidP="002C66FC">
            <w:pPr>
              <w:autoSpaceDE w:val="0"/>
              <w:autoSpaceDN w:val="0"/>
              <w:adjustRightInd w:val="0"/>
              <w:rPr>
                <w:sz w:val="22"/>
                <w:szCs w:val="22"/>
              </w:rPr>
            </w:pPr>
          </w:p>
        </w:tc>
      </w:tr>
      <w:tr w:rsidR="003A78D0" w:rsidRPr="00B02007" w14:paraId="4A7A2A28" w14:textId="77777777" w:rsidTr="002C66FC">
        <w:trPr>
          <w:trHeight w:val="758"/>
        </w:trPr>
        <w:tc>
          <w:tcPr>
            <w:tcW w:w="3222" w:type="dxa"/>
          </w:tcPr>
          <w:p w14:paraId="6BA5B9B7"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nervnog</w:t>
            </w:r>
          </w:p>
          <w:p w14:paraId="4FD29CBD" w14:textId="77777777" w:rsidR="003A78D0" w:rsidRPr="004811D0" w:rsidRDefault="003A78D0" w:rsidP="002C66FC">
            <w:pPr>
              <w:autoSpaceDE w:val="0"/>
              <w:autoSpaceDN w:val="0"/>
              <w:adjustRightInd w:val="0"/>
              <w:rPr>
                <w:sz w:val="22"/>
                <w:szCs w:val="22"/>
              </w:rPr>
            </w:pPr>
            <w:r w:rsidRPr="004811D0">
              <w:rPr>
                <w:sz w:val="22"/>
                <w:szCs w:val="22"/>
              </w:rPr>
              <w:t>sistema</w:t>
            </w:r>
          </w:p>
          <w:p w14:paraId="5DD3D0DB" w14:textId="77777777" w:rsidR="003A78D0" w:rsidRPr="004811D0" w:rsidRDefault="003A78D0" w:rsidP="002C66FC">
            <w:pPr>
              <w:autoSpaceDE w:val="0"/>
              <w:autoSpaceDN w:val="0"/>
              <w:adjustRightInd w:val="0"/>
              <w:rPr>
                <w:sz w:val="22"/>
                <w:szCs w:val="22"/>
              </w:rPr>
            </w:pPr>
          </w:p>
        </w:tc>
        <w:tc>
          <w:tcPr>
            <w:tcW w:w="3222" w:type="dxa"/>
          </w:tcPr>
          <w:p w14:paraId="2200455D" w14:textId="77777777" w:rsidR="003A78D0" w:rsidRPr="004811D0" w:rsidRDefault="003A78D0" w:rsidP="002C66FC">
            <w:pPr>
              <w:autoSpaceDE w:val="0"/>
              <w:autoSpaceDN w:val="0"/>
              <w:adjustRightInd w:val="0"/>
              <w:rPr>
                <w:sz w:val="22"/>
                <w:szCs w:val="22"/>
              </w:rPr>
            </w:pPr>
            <w:r w:rsidRPr="004811D0">
              <w:rPr>
                <w:sz w:val="22"/>
                <w:szCs w:val="22"/>
              </w:rPr>
              <w:t>Periferna senzorna</w:t>
            </w:r>
          </w:p>
          <w:p w14:paraId="7F71D886" w14:textId="77777777" w:rsidR="003A78D0" w:rsidRPr="004811D0" w:rsidRDefault="003A78D0" w:rsidP="002C66FC">
            <w:pPr>
              <w:autoSpaceDE w:val="0"/>
              <w:autoSpaceDN w:val="0"/>
              <w:adjustRightInd w:val="0"/>
              <w:rPr>
                <w:sz w:val="22"/>
                <w:szCs w:val="22"/>
              </w:rPr>
            </w:pPr>
            <w:r w:rsidRPr="004811D0">
              <w:rPr>
                <w:sz w:val="22"/>
                <w:szCs w:val="22"/>
              </w:rPr>
              <w:t>neuropatija (G3/4: 0,8%)</w:t>
            </w:r>
          </w:p>
          <w:p w14:paraId="4D8C816B" w14:textId="77777777" w:rsidR="003A78D0" w:rsidRPr="004811D0" w:rsidRDefault="003A78D0" w:rsidP="002C66FC">
            <w:pPr>
              <w:autoSpaceDE w:val="0"/>
              <w:autoSpaceDN w:val="0"/>
              <w:adjustRightInd w:val="0"/>
              <w:rPr>
                <w:sz w:val="22"/>
                <w:szCs w:val="22"/>
              </w:rPr>
            </w:pPr>
          </w:p>
        </w:tc>
        <w:tc>
          <w:tcPr>
            <w:tcW w:w="3222" w:type="dxa"/>
          </w:tcPr>
          <w:p w14:paraId="224DBFB6" w14:textId="77777777" w:rsidR="003A78D0" w:rsidRPr="004811D0" w:rsidRDefault="003A78D0" w:rsidP="002C66FC">
            <w:pPr>
              <w:autoSpaceDE w:val="0"/>
              <w:autoSpaceDN w:val="0"/>
              <w:adjustRightInd w:val="0"/>
              <w:rPr>
                <w:sz w:val="22"/>
                <w:szCs w:val="22"/>
              </w:rPr>
            </w:pPr>
            <w:r w:rsidRPr="004811D0">
              <w:rPr>
                <w:sz w:val="22"/>
                <w:szCs w:val="22"/>
              </w:rPr>
              <w:t>Periferna motorna</w:t>
            </w:r>
          </w:p>
          <w:p w14:paraId="1BC07ACB" w14:textId="77777777" w:rsidR="003A78D0" w:rsidRPr="004811D0" w:rsidRDefault="003A78D0" w:rsidP="002C66FC">
            <w:pPr>
              <w:autoSpaceDE w:val="0"/>
              <w:autoSpaceDN w:val="0"/>
              <w:adjustRightInd w:val="0"/>
              <w:rPr>
                <w:sz w:val="22"/>
                <w:szCs w:val="22"/>
              </w:rPr>
            </w:pPr>
            <w:r w:rsidRPr="004811D0">
              <w:rPr>
                <w:sz w:val="22"/>
                <w:szCs w:val="22"/>
              </w:rPr>
              <w:t>neuropatija (G3/4: 2,5%)</w:t>
            </w:r>
          </w:p>
          <w:p w14:paraId="423370C6" w14:textId="77777777" w:rsidR="003A78D0" w:rsidRPr="004811D0" w:rsidRDefault="003A78D0" w:rsidP="002C66FC">
            <w:pPr>
              <w:autoSpaceDE w:val="0"/>
              <w:autoSpaceDN w:val="0"/>
              <w:adjustRightInd w:val="0"/>
              <w:rPr>
                <w:sz w:val="22"/>
                <w:szCs w:val="22"/>
              </w:rPr>
            </w:pPr>
          </w:p>
        </w:tc>
      </w:tr>
      <w:tr w:rsidR="003A78D0" w:rsidRPr="00B02007" w14:paraId="4AF7E5E3" w14:textId="77777777" w:rsidTr="002C66FC">
        <w:trPr>
          <w:trHeight w:val="505"/>
        </w:trPr>
        <w:tc>
          <w:tcPr>
            <w:tcW w:w="3222" w:type="dxa"/>
          </w:tcPr>
          <w:p w14:paraId="4BB00C49" w14:textId="77777777" w:rsidR="003A78D0" w:rsidRPr="004811D0" w:rsidRDefault="003A78D0"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ani poreme</w:t>
            </w:r>
            <w:r w:rsidRPr="004811D0">
              <w:rPr>
                <w:rFonts w:eastAsia="TimesNewRoman"/>
                <w:sz w:val="22"/>
                <w:szCs w:val="22"/>
              </w:rPr>
              <w:t>ć</w:t>
            </w:r>
            <w:r w:rsidRPr="004811D0">
              <w:rPr>
                <w:sz w:val="22"/>
                <w:szCs w:val="22"/>
              </w:rPr>
              <w:t>aji</w:t>
            </w:r>
          </w:p>
        </w:tc>
        <w:tc>
          <w:tcPr>
            <w:tcW w:w="3222" w:type="dxa"/>
          </w:tcPr>
          <w:p w14:paraId="3BD4187F" w14:textId="77777777" w:rsidR="003A78D0" w:rsidRPr="004811D0" w:rsidRDefault="003A78D0" w:rsidP="002C66FC">
            <w:pPr>
              <w:autoSpaceDE w:val="0"/>
              <w:autoSpaceDN w:val="0"/>
              <w:adjustRightInd w:val="0"/>
              <w:rPr>
                <w:sz w:val="22"/>
                <w:szCs w:val="22"/>
              </w:rPr>
            </w:pPr>
            <w:r w:rsidRPr="004811D0">
              <w:rPr>
                <w:sz w:val="22"/>
                <w:szCs w:val="22"/>
              </w:rPr>
              <w:t>-</w:t>
            </w:r>
          </w:p>
        </w:tc>
        <w:tc>
          <w:tcPr>
            <w:tcW w:w="3222" w:type="dxa"/>
          </w:tcPr>
          <w:p w14:paraId="52BCA105" w14:textId="77777777" w:rsidR="003A78D0" w:rsidRPr="004811D0" w:rsidRDefault="003A78D0" w:rsidP="002C66FC">
            <w:pPr>
              <w:autoSpaceDE w:val="0"/>
              <w:autoSpaceDN w:val="0"/>
              <w:adjustRightInd w:val="0"/>
              <w:rPr>
                <w:sz w:val="22"/>
                <w:szCs w:val="22"/>
              </w:rPr>
            </w:pPr>
            <w:r w:rsidRPr="004811D0">
              <w:rPr>
                <w:sz w:val="22"/>
                <w:szCs w:val="22"/>
              </w:rPr>
              <w:t>Aritmija (nije teška)</w:t>
            </w:r>
          </w:p>
          <w:p w14:paraId="297A1156" w14:textId="77777777" w:rsidR="003A78D0" w:rsidRPr="004811D0" w:rsidRDefault="003A78D0" w:rsidP="002C66FC">
            <w:pPr>
              <w:autoSpaceDE w:val="0"/>
              <w:autoSpaceDN w:val="0"/>
              <w:adjustRightInd w:val="0"/>
              <w:rPr>
                <w:sz w:val="22"/>
                <w:szCs w:val="22"/>
              </w:rPr>
            </w:pPr>
          </w:p>
        </w:tc>
      </w:tr>
      <w:tr w:rsidR="003A78D0" w:rsidRPr="00B02007" w14:paraId="6DAE73AF" w14:textId="77777777" w:rsidTr="002C66FC">
        <w:trPr>
          <w:trHeight w:val="493"/>
        </w:trPr>
        <w:tc>
          <w:tcPr>
            <w:tcW w:w="3222" w:type="dxa"/>
          </w:tcPr>
          <w:p w14:paraId="233B008C" w14:textId="77777777" w:rsidR="003A78D0" w:rsidRPr="004811D0" w:rsidRDefault="003A78D0" w:rsidP="002C66FC">
            <w:pPr>
              <w:autoSpaceDE w:val="0"/>
              <w:autoSpaceDN w:val="0"/>
              <w:adjustRightInd w:val="0"/>
              <w:rPr>
                <w:sz w:val="22"/>
                <w:szCs w:val="22"/>
              </w:rPr>
            </w:pPr>
            <w:r w:rsidRPr="004811D0">
              <w:rPr>
                <w:sz w:val="22"/>
                <w:szCs w:val="22"/>
              </w:rPr>
              <w:t>Vaskularni poreme</w:t>
            </w:r>
            <w:r w:rsidRPr="004811D0">
              <w:rPr>
                <w:rFonts w:eastAsia="TimesNewRoman"/>
                <w:sz w:val="22"/>
                <w:szCs w:val="22"/>
              </w:rPr>
              <w:t>ć</w:t>
            </w:r>
            <w:r w:rsidRPr="004811D0">
              <w:rPr>
                <w:sz w:val="22"/>
                <w:szCs w:val="22"/>
              </w:rPr>
              <w:t>aji</w:t>
            </w:r>
          </w:p>
        </w:tc>
        <w:tc>
          <w:tcPr>
            <w:tcW w:w="3222" w:type="dxa"/>
          </w:tcPr>
          <w:p w14:paraId="2990AE7D" w14:textId="77777777" w:rsidR="003A78D0" w:rsidRPr="004811D0" w:rsidRDefault="003A78D0" w:rsidP="002C66FC">
            <w:pPr>
              <w:autoSpaceDE w:val="0"/>
              <w:autoSpaceDN w:val="0"/>
              <w:adjustRightInd w:val="0"/>
              <w:rPr>
                <w:sz w:val="22"/>
                <w:szCs w:val="22"/>
              </w:rPr>
            </w:pPr>
            <w:r w:rsidRPr="004811D0">
              <w:rPr>
                <w:sz w:val="22"/>
                <w:szCs w:val="22"/>
              </w:rPr>
              <w:t>-</w:t>
            </w:r>
          </w:p>
        </w:tc>
        <w:tc>
          <w:tcPr>
            <w:tcW w:w="3222" w:type="dxa"/>
          </w:tcPr>
          <w:p w14:paraId="2E82AAA8" w14:textId="77777777" w:rsidR="003A78D0" w:rsidRPr="004811D0" w:rsidRDefault="003A78D0" w:rsidP="002C66FC">
            <w:pPr>
              <w:autoSpaceDE w:val="0"/>
              <w:autoSpaceDN w:val="0"/>
              <w:adjustRightInd w:val="0"/>
              <w:rPr>
                <w:sz w:val="22"/>
                <w:szCs w:val="22"/>
              </w:rPr>
            </w:pPr>
            <w:r w:rsidRPr="004811D0">
              <w:rPr>
                <w:sz w:val="22"/>
                <w:szCs w:val="22"/>
              </w:rPr>
              <w:t>Hipotenzija</w:t>
            </w:r>
          </w:p>
          <w:p w14:paraId="65D9C02D" w14:textId="77777777" w:rsidR="003A78D0" w:rsidRPr="004811D0" w:rsidRDefault="003A78D0" w:rsidP="002C66FC">
            <w:pPr>
              <w:autoSpaceDE w:val="0"/>
              <w:autoSpaceDN w:val="0"/>
              <w:adjustRightInd w:val="0"/>
              <w:rPr>
                <w:sz w:val="22"/>
                <w:szCs w:val="22"/>
              </w:rPr>
            </w:pPr>
          </w:p>
        </w:tc>
      </w:tr>
      <w:tr w:rsidR="003A78D0" w:rsidRPr="00B02007" w14:paraId="7EF061FF" w14:textId="77777777" w:rsidTr="002C66FC">
        <w:trPr>
          <w:trHeight w:val="2023"/>
        </w:trPr>
        <w:tc>
          <w:tcPr>
            <w:tcW w:w="3222" w:type="dxa"/>
          </w:tcPr>
          <w:p w14:paraId="5898EBA5" w14:textId="77777777" w:rsidR="003A78D0" w:rsidRPr="004811D0" w:rsidRDefault="003A78D0" w:rsidP="002C66FC">
            <w:pPr>
              <w:autoSpaceDE w:val="0"/>
              <w:autoSpaceDN w:val="0"/>
              <w:adjustRightInd w:val="0"/>
              <w:rPr>
                <w:sz w:val="22"/>
                <w:szCs w:val="22"/>
              </w:rPr>
            </w:pPr>
            <w:r w:rsidRPr="004811D0">
              <w:rPr>
                <w:sz w:val="22"/>
                <w:szCs w:val="22"/>
              </w:rPr>
              <w:t>Gastrointestinalni</w:t>
            </w:r>
          </w:p>
          <w:p w14:paraId="7D950882"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59744ED3" w14:textId="77777777" w:rsidR="003A78D0" w:rsidRPr="004811D0" w:rsidRDefault="003A78D0" w:rsidP="002C66FC">
            <w:pPr>
              <w:autoSpaceDE w:val="0"/>
              <w:autoSpaceDN w:val="0"/>
              <w:adjustRightInd w:val="0"/>
              <w:rPr>
                <w:sz w:val="22"/>
                <w:szCs w:val="22"/>
              </w:rPr>
            </w:pPr>
          </w:p>
        </w:tc>
        <w:tc>
          <w:tcPr>
            <w:tcW w:w="3222" w:type="dxa"/>
          </w:tcPr>
          <w:p w14:paraId="5E00C832" w14:textId="77777777" w:rsidR="003A78D0" w:rsidRPr="004811D0" w:rsidRDefault="003A78D0" w:rsidP="002C66FC">
            <w:pPr>
              <w:autoSpaceDE w:val="0"/>
              <w:autoSpaceDN w:val="0"/>
              <w:adjustRightInd w:val="0"/>
              <w:rPr>
                <w:sz w:val="22"/>
                <w:szCs w:val="22"/>
              </w:rPr>
            </w:pPr>
            <w:r w:rsidRPr="004811D0">
              <w:rPr>
                <w:sz w:val="22"/>
                <w:szCs w:val="22"/>
              </w:rPr>
              <w:t>Mu</w:t>
            </w:r>
            <w:r w:rsidRPr="004811D0">
              <w:rPr>
                <w:rFonts w:eastAsia="TimesNewRoman"/>
                <w:sz w:val="22"/>
                <w:szCs w:val="22"/>
              </w:rPr>
              <w:t>č</w:t>
            </w:r>
            <w:r w:rsidRPr="004811D0">
              <w:rPr>
                <w:sz w:val="22"/>
                <w:szCs w:val="22"/>
              </w:rPr>
              <w:t>nina (G3/4: 3,3%);</w:t>
            </w:r>
          </w:p>
          <w:p w14:paraId="5F0D144F" w14:textId="77777777" w:rsidR="003A78D0" w:rsidRPr="004811D0" w:rsidRDefault="003A78D0" w:rsidP="002C66FC">
            <w:pPr>
              <w:autoSpaceDE w:val="0"/>
              <w:autoSpaceDN w:val="0"/>
              <w:adjustRightInd w:val="0"/>
              <w:rPr>
                <w:sz w:val="22"/>
                <w:szCs w:val="22"/>
              </w:rPr>
            </w:pPr>
          </w:p>
          <w:p w14:paraId="13D0F4FE" w14:textId="77777777" w:rsidR="003A78D0" w:rsidRPr="004811D0" w:rsidRDefault="003A78D0" w:rsidP="002C66FC">
            <w:pPr>
              <w:autoSpaceDE w:val="0"/>
              <w:autoSpaceDN w:val="0"/>
              <w:adjustRightInd w:val="0"/>
              <w:rPr>
                <w:sz w:val="22"/>
                <w:szCs w:val="22"/>
              </w:rPr>
            </w:pPr>
            <w:r w:rsidRPr="004811D0">
              <w:rPr>
                <w:sz w:val="22"/>
                <w:szCs w:val="22"/>
              </w:rPr>
              <w:t>Stomatitis (G3/4: 1,7%);</w:t>
            </w:r>
          </w:p>
          <w:p w14:paraId="52536307" w14:textId="77777777" w:rsidR="003A78D0" w:rsidRPr="004811D0" w:rsidRDefault="003A78D0" w:rsidP="002C66FC">
            <w:pPr>
              <w:autoSpaceDE w:val="0"/>
              <w:autoSpaceDN w:val="0"/>
              <w:adjustRightInd w:val="0"/>
              <w:rPr>
                <w:sz w:val="22"/>
                <w:szCs w:val="22"/>
              </w:rPr>
            </w:pPr>
          </w:p>
          <w:p w14:paraId="640AEA91" w14:textId="77777777" w:rsidR="003A78D0" w:rsidRPr="004811D0" w:rsidRDefault="003A78D0" w:rsidP="002C66FC">
            <w:pPr>
              <w:autoSpaceDE w:val="0"/>
              <w:autoSpaceDN w:val="0"/>
              <w:adjustRightInd w:val="0"/>
              <w:rPr>
                <w:sz w:val="22"/>
                <w:szCs w:val="22"/>
              </w:rPr>
            </w:pPr>
            <w:r w:rsidRPr="004811D0">
              <w:rPr>
                <w:sz w:val="22"/>
                <w:szCs w:val="22"/>
              </w:rPr>
              <w:t>Povraćanje (G3/4: 0,8%);</w:t>
            </w:r>
          </w:p>
          <w:p w14:paraId="11D5B384" w14:textId="77777777" w:rsidR="003A78D0" w:rsidRPr="004811D0" w:rsidRDefault="003A78D0" w:rsidP="002C66FC">
            <w:pPr>
              <w:autoSpaceDE w:val="0"/>
              <w:autoSpaceDN w:val="0"/>
              <w:adjustRightInd w:val="0"/>
              <w:rPr>
                <w:sz w:val="22"/>
                <w:szCs w:val="22"/>
              </w:rPr>
            </w:pPr>
          </w:p>
          <w:p w14:paraId="4E548593" w14:textId="77777777" w:rsidR="003A78D0" w:rsidRPr="004811D0" w:rsidRDefault="003A78D0" w:rsidP="002C66FC">
            <w:pPr>
              <w:autoSpaceDE w:val="0"/>
              <w:autoSpaceDN w:val="0"/>
              <w:adjustRightInd w:val="0"/>
              <w:rPr>
                <w:sz w:val="22"/>
                <w:szCs w:val="22"/>
              </w:rPr>
            </w:pPr>
            <w:r w:rsidRPr="004811D0">
              <w:rPr>
                <w:sz w:val="22"/>
                <w:szCs w:val="22"/>
              </w:rPr>
              <w:t>Dijareja (G3/4: 1,7%)</w:t>
            </w:r>
          </w:p>
          <w:p w14:paraId="1B954234" w14:textId="77777777" w:rsidR="003A78D0" w:rsidRPr="004811D0" w:rsidRDefault="003A78D0" w:rsidP="002C66FC">
            <w:pPr>
              <w:autoSpaceDE w:val="0"/>
              <w:autoSpaceDN w:val="0"/>
              <w:adjustRightInd w:val="0"/>
              <w:rPr>
                <w:sz w:val="22"/>
                <w:szCs w:val="22"/>
              </w:rPr>
            </w:pPr>
          </w:p>
        </w:tc>
        <w:tc>
          <w:tcPr>
            <w:tcW w:w="3222" w:type="dxa"/>
          </w:tcPr>
          <w:p w14:paraId="48198AA6" w14:textId="77777777" w:rsidR="003A78D0" w:rsidRPr="004811D0" w:rsidRDefault="003A78D0" w:rsidP="002C66FC">
            <w:pPr>
              <w:autoSpaceDE w:val="0"/>
              <w:autoSpaceDN w:val="0"/>
              <w:adjustRightInd w:val="0"/>
              <w:rPr>
                <w:sz w:val="22"/>
                <w:szCs w:val="22"/>
              </w:rPr>
            </w:pPr>
            <w:r w:rsidRPr="004811D0">
              <w:rPr>
                <w:sz w:val="22"/>
                <w:szCs w:val="22"/>
              </w:rPr>
              <w:t xml:space="preserve">Opstipacija </w:t>
            </w:r>
          </w:p>
          <w:p w14:paraId="16E8E045" w14:textId="77777777" w:rsidR="003A78D0" w:rsidRPr="004811D0" w:rsidRDefault="003A78D0" w:rsidP="002C66FC">
            <w:pPr>
              <w:autoSpaceDE w:val="0"/>
              <w:autoSpaceDN w:val="0"/>
              <w:adjustRightInd w:val="0"/>
              <w:rPr>
                <w:sz w:val="22"/>
                <w:szCs w:val="22"/>
              </w:rPr>
            </w:pPr>
          </w:p>
        </w:tc>
      </w:tr>
      <w:tr w:rsidR="003A78D0" w:rsidRPr="00B02007" w14:paraId="2B21B599" w14:textId="77777777" w:rsidTr="002C66FC">
        <w:trPr>
          <w:trHeight w:val="1264"/>
        </w:trPr>
        <w:tc>
          <w:tcPr>
            <w:tcW w:w="3222" w:type="dxa"/>
          </w:tcPr>
          <w:p w14:paraId="66EC76E9"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kože i</w:t>
            </w:r>
          </w:p>
          <w:p w14:paraId="189AAB7A" w14:textId="77777777" w:rsidR="003A78D0" w:rsidRPr="004811D0" w:rsidRDefault="003A78D0" w:rsidP="002C66FC">
            <w:pPr>
              <w:autoSpaceDE w:val="0"/>
              <w:autoSpaceDN w:val="0"/>
              <w:adjustRightInd w:val="0"/>
              <w:rPr>
                <w:sz w:val="22"/>
                <w:szCs w:val="22"/>
              </w:rPr>
            </w:pPr>
            <w:r w:rsidRPr="004811D0">
              <w:rPr>
                <w:sz w:val="22"/>
                <w:szCs w:val="22"/>
              </w:rPr>
              <w:t xml:space="preserve">potkožnog tkiva </w:t>
            </w:r>
          </w:p>
          <w:p w14:paraId="00B13134" w14:textId="77777777" w:rsidR="003A78D0" w:rsidRPr="004811D0" w:rsidRDefault="003A78D0" w:rsidP="002C66FC">
            <w:pPr>
              <w:autoSpaceDE w:val="0"/>
              <w:autoSpaceDN w:val="0"/>
              <w:adjustRightInd w:val="0"/>
              <w:rPr>
                <w:sz w:val="22"/>
                <w:szCs w:val="22"/>
              </w:rPr>
            </w:pPr>
          </w:p>
        </w:tc>
        <w:tc>
          <w:tcPr>
            <w:tcW w:w="3222" w:type="dxa"/>
          </w:tcPr>
          <w:p w14:paraId="28B94F1D" w14:textId="77777777" w:rsidR="003A78D0" w:rsidRPr="004811D0" w:rsidRDefault="003A78D0" w:rsidP="002C66FC">
            <w:pPr>
              <w:autoSpaceDE w:val="0"/>
              <w:autoSpaceDN w:val="0"/>
              <w:adjustRightInd w:val="0"/>
              <w:rPr>
                <w:sz w:val="22"/>
                <w:szCs w:val="22"/>
              </w:rPr>
            </w:pPr>
            <w:r w:rsidRPr="004811D0">
              <w:rPr>
                <w:sz w:val="22"/>
                <w:szCs w:val="22"/>
              </w:rPr>
              <w:t>Alopecija;</w:t>
            </w:r>
          </w:p>
          <w:p w14:paraId="681CE05A" w14:textId="77777777" w:rsidR="003A78D0" w:rsidRPr="004811D0" w:rsidRDefault="003A78D0" w:rsidP="002C66FC">
            <w:pPr>
              <w:autoSpaceDE w:val="0"/>
              <w:autoSpaceDN w:val="0"/>
              <w:adjustRightInd w:val="0"/>
              <w:rPr>
                <w:sz w:val="22"/>
                <w:szCs w:val="22"/>
              </w:rPr>
            </w:pPr>
          </w:p>
          <w:p w14:paraId="36D7D9B7" w14:textId="77777777" w:rsidR="003A78D0" w:rsidRPr="004811D0" w:rsidRDefault="003A78D0" w:rsidP="002C66FC">
            <w:pPr>
              <w:autoSpaceDE w:val="0"/>
              <w:autoSpaceDN w:val="0"/>
              <w:adjustRightInd w:val="0"/>
              <w:rPr>
                <w:sz w:val="22"/>
                <w:szCs w:val="22"/>
              </w:rPr>
            </w:pPr>
            <w:r w:rsidRPr="004811D0">
              <w:rPr>
                <w:sz w:val="22"/>
                <w:szCs w:val="22"/>
              </w:rPr>
              <w:t>Kožne reakcije (G3/4:</w:t>
            </w:r>
          </w:p>
          <w:p w14:paraId="11C80AC3" w14:textId="77777777" w:rsidR="003A78D0" w:rsidRPr="004811D0" w:rsidRDefault="003A78D0" w:rsidP="002C66FC">
            <w:pPr>
              <w:autoSpaceDE w:val="0"/>
              <w:autoSpaceDN w:val="0"/>
              <w:adjustRightInd w:val="0"/>
              <w:rPr>
                <w:sz w:val="22"/>
                <w:szCs w:val="22"/>
              </w:rPr>
            </w:pPr>
            <w:r w:rsidRPr="004811D0">
              <w:rPr>
                <w:sz w:val="22"/>
                <w:szCs w:val="22"/>
              </w:rPr>
              <w:t>0,8%)</w:t>
            </w:r>
          </w:p>
          <w:p w14:paraId="4251A70B" w14:textId="77777777" w:rsidR="003A78D0" w:rsidRPr="004811D0" w:rsidRDefault="003A78D0" w:rsidP="002C66FC">
            <w:pPr>
              <w:autoSpaceDE w:val="0"/>
              <w:autoSpaceDN w:val="0"/>
              <w:adjustRightInd w:val="0"/>
              <w:rPr>
                <w:sz w:val="22"/>
                <w:szCs w:val="22"/>
              </w:rPr>
            </w:pPr>
          </w:p>
        </w:tc>
        <w:tc>
          <w:tcPr>
            <w:tcW w:w="3222" w:type="dxa"/>
          </w:tcPr>
          <w:p w14:paraId="5182206B" w14:textId="77777777" w:rsidR="003A78D0" w:rsidRPr="004811D0" w:rsidRDefault="003A78D0" w:rsidP="002C66FC">
            <w:pPr>
              <w:autoSpaceDE w:val="0"/>
              <w:autoSpaceDN w:val="0"/>
              <w:adjustRightInd w:val="0"/>
              <w:rPr>
                <w:sz w:val="22"/>
                <w:szCs w:val="22"/>
              </w:rPr>
            </w:pPr>
            <w:r w:rsidRPr="004811D0">
              <w:rPr>
                <w:sz w:val="22"/>
                <w:szCs w:val="22"/>
              </w:rPr>
              <w:t>Promjene na noktima</w:t>
            </w:r>
          </w:p>
          <w:p w14:paraId="08229765" w14:textId="77777777" w:rsidR="003A78D0" w:rsidRPr="004811D0" w:rsidRDefault="003A78D0" w:rsidP="002C66FC">
            <w:pPr>
              <w:autoSpaceDE w:val="0"/>
              <w:autoSpaceDN w:val="0"/>
              <w:adjustRightInd w:val="0"/>
              <w:rPr>
                <w:sz w:val="22"/>
                <w:szCs w:val="22"/>
              </w:rPr>
            </w:pPr>
            <w:r w:rsidRPr="004811D0">
              <w:rPr>
                <w:sz w:val="22"/>
                <w:szCs w:val="22"/>
              </w:rPr>
              <w:t>(teške: 0,8%)</w:t>
            </w:r>
          </w:p>
          <w:p w14:paraId="3216AE19" w14:textId="77777777" w:rsidR="003A78D0" w:rsidRPr="004811D0" w:rsidRDefault="003A78D0" w:rsidP="002C66FC">
            <w:pPr>
              <w:pStyle w:val="Header"/>
              <w:tabs>
                <w:tab w:val="left" w:pos="284"/>
              </w:tabs>
              <w:rPr>
                <w:sz w:val="22"/>
                <w:szCs w:val="22"/>
              </w:rPr>
            </w:pPr>
          </w:p>
        </w:tc>
      </w:tr>
      <w:tr w:rsidR="003A78D0" w:rsidRPr="00B02007" w14:paraId="6E499F2D" w14:textId="77777777" w:rsidTr="002C66FC">
        <w:trPr>
          <w:trHeight w:val="241"/>
        </w:trPr>
        <w:tc>
          <w:tcPr>
            <w:tcW w:w="3222" w:type="dxa"/>
          </w:tcPr>
          <w:p w14:paraId="4740711E"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0E407121" w14:textId="77777777" w:rsidR="003A78D0" w:rsidRPr="004811D0" w:rsidRDefault="003A78D0" w:rsidP="002C66FC">
            <w:pPr>
              <w:autoSpaceDE w:val="0"/>
              <w:autoSpaceDN w:val="0"/>
              <w:adjustRightInd w:val="0"/>
              <w:rPr>
                <w:sz w:val="22"/>
                <w:szCs w:val="22"/>
              </w:rPr>
            </w:pPr>
            <w:r w:rsidRPr="004811D0">
              <w:rPr>
                <w:sz w:val="22"/>
                <w:szCs w:val="22"/>
              </w:rPr>
              <w:t>miši</w:t>
            </w:r>
            <w:r w:rsidRPr="004811D0">
              <w:rPr>
                <w:rFonts w:eastAsia="TimesNewRoman"/>
                <w:sz w:val="22"/>
                <w:szCs w:val="22"/>
              </w:rPr>
              <w:t>ć</w:t>
            </w:r>
            <w:r w:rsidRPr="004811D0">
              <w:rPr>
                <w:sz w:val="22"/>
                <w:szCs w:val="22"/>
              </w:rPr>
              <w:t>noskeletnog</w:t>
            </w:r>
          </w:p>
          <w:p w14:paraId="5940C1AC" w14:textId="77777777" w:rsidR="003A78D0" w:rsidRPr="004811D0" w:rsidRDefault="003A78D0" w:rsidP="002C66FC">
            <w:pPr>
              <w:autoSpaceDE w:val="0"/>
              <w:autoSpaceDN w:val="0"/>
              <w:adjustRightInd w:val="0"/>
              <w:rPr>
                <w:sz w:val="22"/>
                <w:szCs w:val="22"/>
              </w:rPr>
            </w:pPr>
            <w:r w:rsidRPr="004811D0">
              <w:rPr>
                <w:sz w:val="22"/>
                <w:szCs w:val="22"/>
              </w:rPr>
              <w:t>sistema i vezivnog tkiva</w:t>
            </w:r>
          </w:p>
          <w:p w14:paraId="2452D6A7" w14:textId="77777777" w:rsidR="003A78D0" w:rsidRPr="004811D0" w:rsidRDefault="003A78D0" w:rsidP="002C66FC">
            <w:pPr>
              <w:autoSpaceDE w:val="0"/>
              <w:autoSpaceDN w:val="0"/>
              <w:adjustRightInd w:val="0"/>
              <w:rPr>
                <w:sz w:val="22"/>
                <w:szCs w:val="22"/>
              </w:rPr>
            </w:pPr>
          </w:p>
        </w:tc>
        <w:tc>
          <w:tcPr>
            <w:tcW w:w="3222" w:type="dxa"/>
          </w:tcPr>
          <w:p w14:paraId="19017F1D" w14:textId="77777777" w:rsidR="003A78D0" w:rsidRPr="004811D0" w:rsidRDefault="003A78D0" w:rsidP="002C66FC">
            <w:pPr>
              <w:autoSpaceDE w:val="0"/>
              <w:autoSpaceDN w:val="0"/>
              <w:adjustRightInd w:val="0"/>
              <w:rPr>
                <w:sz w:val="22"/>
                <w:szCs w:val="22"/>
              </w:rPr>
            </w:pPr>
          </w:p>
        </w:tc>
        <w:tc>
          <w:tcPr>
            <w:tcW w:w="3222" w:type="dxa"/>
          </w:tcPr>
          <w:p w14:paraId="69764915" w14:textId="77777777" w:rsidR="003A78D0" w:rsidRPr="004811D0" w:rsidRDefault="003A78D0" w:rsidP="002C66FC">
            <w:pPr>
              <w:autoSpaceDE w:val="0"/>
              <w:autoSpaceDN w:val="0"/>
              <w:adjustRightInd w:val="0"/>
              <w:rPr>
                <w:sz w:val="22"/>
                <w:szCs w:val="22"/>
              </w:rPr>
            </w:pPr>
            <w:r w:rsidRPr="004811D0">
              <w:rPr>
                <w:sz w:val="22"/>
                <w:szCs w:val="22"/>
              </w:rPr>
              <w:t xml:space="preserve">Mialgija </w:t>
            </w:r>
          </w:p>
          <w:p w14:paraId="79DEAAC1" w14:textId="77777777" w:rsidR="003A78D0" w:rsidRPr="004811D0" w:rsidRDefault="003A78D0" w:rsidP="002C66FC">
            <w:pPr>
              <w:autoSpaceDE w:val="0"/>
              <w:autoSpaceDN w:val="0"/>
              <w:adjustRightInd w:val="0"/>
              <w:rPr>
                <w:sz w:val="22"/>
                <w:szCs w:val="22"/>
              </w:rPr>
            </w:pPr>
          </w:p>
        </w:tc>
      </w:tr>
      <w:tr w:rsidR="003A78D0" w:rsidRPr="00B02007" w14:paraId="5ABEC261" w14:textId="77777777" w:rsidTr="002C66FC">
        <w:trPr>
          <w:trHeight w:val="1505"/>
        </w:trPr>
        <w:tc>
          <w:tcPr>
            <w:tcW w:w="3222" w:type="dxa"/>
          </w:tcPr>
          <w:p w14:paraId="196C854D" w14:textId="77777777" w:rsidR="003A78D0" w:rsidRPr="004811D0" w:rsidRDefault="003A78D0" w:rsidP="002C66FC">
            <w:pPr>
              <w:autoSpaceDE w:val="0"/>
              <w:autoSpaceDN w:val="0"/>
              <w:adjustRightInd w:val="0"/>
              <w:rPr>
                <w:sz w:val="22"/>
                <w:szCs w:val="22"/>
              </w:rPr>
            </w:pPr>
            <w:r w:rsidRPr="004811D0">
              <w:rPr>
                <w:sz w:val="22"/>
                <w:szCs w:val="22"/>
              </w:rPr>
              <w:lastRenderedPageBreak/>
              <w:t>Opšti poreme</w:t>
            </w:r>
            <w:r w:rsidRPr="004811D0">
              <w:rPr>
                <w:rFonts w:eastAsia="TimesNewRoman"/>
                <w:sz w:val="22"/>
                <w:szCs w:val="22"/>
              </w:rPr>
              <w:t>ć</w:t>
            </w:r>
            <w:r w:rsidRPr="004811D0">
              <w:rPr>
                <w:sz w:val="22"/>
                <w:szCs w:val="22"/>
              </w:rPr>
              <w:t>aji i</w:t>
            </w:r>
          </w:p>
          <w:p w14:paraId="73428980" w14:textId="77777777" w:rsidR="003A78D0" w:rsidRPr="004811D0" w:rsidRDefault="003A78D0" w:rsidP="002C66FC">
            <w:pPr>
              <w:autoSpaceDE w:val="0"/>
              <w:autoSpaceDN w:val="0"/>
              <w:adjustRightInd w:val="0"/>
              <w:rPr>
                <w:sz w:val="22"/>
                <w:szCs w:val="22"/>
              </w:rPr>
            </w:pPr>
            <w:r w:rsidRPr="004811D0">
              <w:rPr>
                <w:sz w:val="22"/>
                <w:szCs w:val="22"/>
              </w:rPr>
              <w:t>promjene na mjestu</w:t>
            </w:r>
          </w:p>
          <w:p w14:paraId="5AA1EBFC" w14:textId="77777777" w:rsidR="003A78D0" w:rsidRPr="004811D0" w:rsidRDefault="003A78D0" w:rsidP="002C66FC">
            <w:pPr>
              <w:autoSpaceDE w:val="0"/>
              <w:autoSpaceDN w:val="0"/>
              <w:adjustRightInd w:val="0"/>
              <w:rPr>
                <w:sz w:val="22"/>
                <w:szCs w:val="22"/>
              </w:rPr>
            </w:pPr>
            <w:r w:rsidRPr="004811D0">
              <w:rPr>
                <w:sz w:val="22"/>
                <w:szCs w:val="22"/>
              </w:rPr>
              <w:t>primjene</w:t>
            </w:r>
          </w:p>
          <w:p w14:paraId="10E6FF63" w14:textId="77777777" w:rsidR="003A78D0" w:rsidRPr="004811D0" w:rsidRDefault="003A78D0" w:rsidP="002C66FC">
            <w:pPr>
              <w:autoSpaceDE w:val="0"/>
              <w:autoSpaceDN w:val="0"/>
              <w:adjustRightInd w:val="0"/>
              <w:rPr>
                <w:sz w:val="22"/>
                <w:szCs w:val="22"/>
              </w:rPr>
            </w:pPr>
          </w:p>
        </w:tc>
        <w:tc>
          <w:tcPr>
            <w:tcW w:w="3222" w:type="dxa"/>
          </w:tcPr>
          <w:p w14:paraId="08E02E78" w14:textId="77777777" w:rsidR="003A78D0" w:rsidRPr="004811D0" w:rsidRDefault="003A78D0" w:rsidP="002C66FC">
            <w:pPr>
              <w:autoSpaceDE w:val="0"/>
              <w:autoSpaceDN w:val="0"/>
              <w:adjustRightInd w:val="0"/>
              <w:rPr>
                <w:sz w:val="22"/>
                <w:szCs w:val="22"/>
              </w:rPr>
            </w:pPr>
            <w:r w:rsidRPr="004811D0">
              <w:rPr>
                <w:sz w:val="22"/>
                <w:szCs w:val="22"/>
              </w:rPr>
              <w:t>Astenija (teška: 12,4%);</w:t>
            </w:r>
          </w:p>
          <w:p w14:paraId="1B63593C" w14:textId="77777777" w:rsidR="003A78D0" w:rsidRPr="004811D0" w:rsidRDefault="003A78D0" w:rsidP="002C66FC">
            <w:pPr>
              <w:autoSpaceDE w:val="0"/>
              <w:autoSpaceDN w:val="0"/>
              <w:adjustRightInd w:val="0"/>
              <w:rPr>
                <w:sz w:val="22"/>
                <w:szCs w:val="22"/>
              </w:rPr>
            </w:pPr>
          </w:p>
          <w:p w14:paraId="4D6309A5" w14:textId="77777777" w:rsidR="003A78D0" w:rsidRPr="004811D0" w:rsidRDefault="003A78D0" w:rsidP="002C66FC">
            <w:pPr>
              <w:autoSpaceDE w:val="0"/>
              <w:autoSpaceDN w:val="0"/>
              <w:adjustRightInd w:val="0"/>
              <w:rPr>
                <w:sz w:val="22"/>
                <w:szCs w:val="22"/>
              </w:rPr>
            </w:pPr>
            <w:r w:rsidRPr="004811D0">
              <w:rPr>
                <w:sz w:val="22"/>
                <w:szCs w:val="22"/>
              </w:rPr>
              <w:t>Retencija te</w:t>
            </w:r>
            <w:r w:rsidRPr="004811D0">
              <w:rPr>
                <w:rFonts w:eastAsia="TimesNewRoman"/>
                <w:sz w:val="22"/>
                <w:szCs w:val="22"/>
              </w:rPr>
              <w:t>č</w:t>
            </w:r>
            <w:r w:rsidRPr="004811D0">
              <w:rPr>
                <w:sz w:val="22"/>
                <w:szCs w:val="22"/>
              </w:rPr>
              <w:t>nosti (teška: 0,8%);</w:t>
            </w:r>
          </w:p>
          <w:p w14:paraId="6B75D748" w14:textId="77777777" w:rsidR="003A78D0" w:rsidRPr="004811D0" w:rsidRDefault="003A78D0" w:rsidP="002C66FC">
            <w:pPr>
              <w:autoSpaceDE w:val="0"/>
              <w:autoSpaceDN w:val="0"/>
              <w:adjustRightInd w:val="0"/>
              <w:rPr>
                <w:sz w:val="22"/>
                <w:szCs w:val="22"/>
              </w:rPr>
            </w:pPr>
          </w:p>
          <w:p w14:paraId="22D0C4EB" w14:textId="77777777" w:rsidR="003A78D0" w:rsidRPr="004811D0" w:rsidRDefault="003A78D0" w:rsidP="002C66FC">
            <w:pPr>
              <w:autoSpaceDE w:val="0"/>
              <w:autoSpaceDN w:val="0"/>
              <w:adjustRightInd w:val="0"/>
              <w:rPr>
                <w:sz w:val="22"/>
                <w:szCs w:val="22"/>
              </w:rPr>
            </w:pPr>
            <w:r w:rsidRPr="004811D0">
              <w:rPr>
                <w:sz w:val="22"/>
                <w:szCs w:val="22"/>
              </w:rPr>
              <w:t>Bol</w:t>
            </w:r>
          </w:p>
          <w:p w14:paraId="3E1F243E" w14:textId="77777777" w:rsidR="003A78D0" w:rsidRPr="004811D0" w:rsidRDefault="003A78D0" w:rsidP="002C66FC">
            <w:pPr>
              <w:autoSpaceDE w:val="0"/>
              <w:autoSpaceDN w:val="0"/>
              <w:adjustRightInd w:val="0"/>
              <w:rPr>
                <w:sz w:val="22"/>
                <w:szCs w:val="22"/>
              </w:rPr>
            </w:pPr>
          </w:p>
        </w:tc>
        <w:tc>
          <w:tcPr>
            <w:tcW w:w="3222" w:type="dxa"/>
          </w:tcPr>
          <w:p w14:paraId="4BBE3331" w14:textId="77777777" w:rsidR="003A78D0" w:rsidRPr="004811D0" w:rsidRDefault="003A78D0" w:rsidP="002C66FC">
            <w:pPr>
              <w:autoSpaceDE w:val="0"/>
              <w:autoSpaceDN w:val="0"/>
              <w:adjustRightInd w:val="0"/>
              <w:rPr>
                <w:sz w:val="22"/>
                <w:szCs w:val="22"/>
              </w:rPr>
            </w:pPr>
          </w:p>
        </w:tc>
      </w:tr>
      <w:tr w:rsidR="003A78D0" w:rsidRPr="00BB3077" w14:paraId="56EB4EAB" w14:textId="77777777" w:rsidTr="002C66FC">
        <w:trPr>
          <w:trHeight w:val="758"/>
        </w:trPr>
        <w:tc>
          <w:tcPr>
            <w:tcW w:w="3222" w:type="dxa"/>
          </w:tcPr>
          <w:p w14:paraId="6333EC70" w14:textId="77777777" w:rsidR="003A78D0" w:rsidRPr="004811D0" w:rsidRDefault="003A78D0" w:rsidP="002C66FC">
            <w:pPr>
              <w:autoSpaceDE w:val="0"/>
              <w:autoSpaceDN w:val="0"/>
              <w:adjustRightInd w:val="0"/>
              <w:rPr>
                <w:sz w:val="22"/>
                <w:szCs w:val="22"/>
              </w:rPr>
            </w:pPr>
            <w:r w:rsidRPr="004811D0">
              <w:rPr>
                <w:sz w:val="22"/>
                <w:szCs w:val="22"/>
              </w:rPr>
              <w:t>Ispitivanja</w:t>
            </w:r>
          </w:p>
        </w:tc>
        <w:tc>
          <w:tcPr>
            <w:tcW w:w="3222" w:type="dxa"/>
          </w:tcPr>
          <w:p w14:paraId="5A025F6D" w14:textId="77777777" w:rsidR="003A78D0" w:rsidRPr="004811D0" w:rsidRDefault="003A78D0" w:rsidP="002C66FC">
            <w:pPr>
              <w:autoSpaceDE w:val="0"/>
              <w:autoSpaceDN w:val="0"/>
              <w:adjustRightInd w:val="0"/>
              <w:rPr>
                <w:sz w:val="22"/>
                <w:szCs w:val="22"/>
              </w:rPr>
            </w:pPr>
          </w:p>
        </w:tc>
        <w:tc>
          <w:tcPr>
            <w:tcW w:w="3222" w:type="dxa"/>
          </w:tcPr>
          <w:p w14:paraId="2813B12A" w14:textId="77777777" w:rsidR="003A78D0" w:rsidRPr="003A78D0" w:rsidRDefault="003A78D0" w:rsidP="002C66FC">
            <w:pPr>
              <w:autoSpaceDE w:val="0"/>
              <w:autoSpaceDN w:val="0"/>
              <w:adjustRightInd w:val="0"/>
              <w:rPr>
                <w:sz w:val="22"/>
                <w:szCs w:val="22"/>
                <w:lang w:val="de-DE"/>
              </w:rPr>
            </w:pPr>
            <w:r w:rsidRPr="003A78D0">
              <w:rPr>
                <w:sz w:val="22"/>
                <w:szCs w:val="22"/>
                <w:lang w:val="de-DE"/>
              </w:rPr>
              <w:t>Povišen bilirubin u krvi G3/4 (&lt; 2%)</w:t>
            </w:r>
          </w:p>
          <w:p w14:paraId="16806690" w14:textId="77777777" w:rsidR="003A78D0" w:rsidRPr="003A78D0" w:rsidRDefault="003A78D0" w:rsidP="002C66FC">
            <w:pPr>
              <w:autoSpaceDE w:val="0"/>
              <w:autoSpaceDN w:val="0"/>
              <w:adjustRightInd w:val="0"/>
              <w:rPr>
                <w:sz w:val="22"/>
                <w:szCs w:val="22"/>
                <w:lang w:val="de-DE"/>
              </w:rPr>
            </w:pPr>
          </w:p>
        </w:tc>
      </w:tr>
    </w:tbl>
    <w:p w14:paraId="1C35E458" w14:textId="77777777" w:rsidR="003A78D0" w:rsidRPr="003A78D0" w:rsidRDefault="003A78D0" w:rsidP="003A78D0">
      <w:pPr>
        <w:autoSpaceDE w:val="0"/>
        <w:autoSpaceDN w:val="0"/>
        <w:adjustRightInd w:val="0"/>
        <w:rPr>
          <w:b/>
          <w:bCs/>
          <w:i/>
          <w:iCs/>
          <w:sz w:val="22"/>
          <w:szCs w:val="22"/>
          <w:lang w:val="de-DE"/>
        </w:rPr>
      </w:pPr>
    </w:p>
    <w:p w14:paraId="5A85BEDC" w14:textId="77777777" w:rsidR="003A78D0" w:rsidRPr="003A78D0" w:rsidRDefault="003A78D0" w:rsidP="003A78D0">
      <w:pPr>
        <w:autoSpaceDE w:val="0"/>
        <w:autoSpaceDN w:val="0"/>
        <w:adjustRightInd w:val="0"/>
        <w:rPr>
          <w:b/>
          <w:bCs/>
          <w:i/>
          <w:iCs/>
          <w:sz w:val="22"/>
          <w:szCs w:val="22"/>
          <w:lang w:val="de-DE"/>
        </w:rPr>
      </w:pPr>
    </w:p>
    <w:p w14:paraId="57F7F548" w14:textId="77777777" w:rsidR="003A78D0" w:rsidRPr="003A78D0" w:rsidRDefault="003A78D0" w:rsidP="003A78D0">
      <w:pPr>
        <w:pStyle w:val="Header"/>
        <w:tabs>
          <w:tab w:val="left" w:pos="284"/>
        </w:tabs>
        <w:rPr>
          <w:bCs/>
          <w:iCs/>
          <w:sz w:val="22"/>
          <w:szCs w:val="22"/>
          <w:u w:val="single"/>
          <w:lang w:val="de-DE"/>
        </w:rPr>
      </w:pPr>
      <w:r w:rsidRPr="003A78D0">
        <w:rPr>
          <w:bCs/>
          <w:iCs/>
          <w:sz w:val="22"/>
          <w:szCs w:val="22"/>
          <w:u w:val="single"/>
          <w:lang w:val="de-DE"/>
        </w:rPr>
        <w:t>Tabelarni prikaz neželjenih reakcija kod karcinoma dojke za</w:t>
      </w:r>
      <w:r w:rsidRPr="003A78D0">
        <w:rPr>
          <w:bCs/>
          <w:i/>
          <w:iCs/>
          <w:sz w:val="22"/>
          <w:szCs w:val="22"/>
          <w:u w:val="single"/>
          <w:lang w:val="de-DE"/>
        </w:rPr>
        <w:t xml:space="preserve"> docetaksel 75 mg/m² u kombinaciji sa doksorubicinom</w:t>
      </w:r>
    </w:p>
    <w:p w14:paraId="5E89B28E" w14:textId="77777777" w:rsidR="003A78D0" w:rsidRPr="003A78D0" w:rsidRDefault="003A78D0" w:rsidP="003A78D0">
      <w:pPr>
        <w:pStyle w:val="Header"/>
        <w:tabs>
          <w:tab w:val="left" w:pos="284"/>
        </w:tabs>
        <w:rPr>
          <w:bCs/>
          <w:iCs/>
          <w:sz w:val="22"/>
          <w:szCs w:val="22"/>
          <w:u w:val="single"/>
          <w:lang w:val="de-DE"/>
        </w:rPr>
      </w:pPr>
    </w:p>
    <w:p w14:paraId="6393E4E6" w14:textId="77777777" w:rsidR="003A78D0" w:rsidRPr="003A78D0" w:rsidRDefault="003A78D0" w:rsidP="003A78D0">
      <w:pPr>
        <w:pStyle w:val="Header"/>
        <w:tabs>
          <w:tab w:val="left" w:pos="284"/>
        </w:tabs>
        <w:rPr>
          <w:sz w:val="22"/>
          <w:szCs w:val="22"/>
          <w:lang w:val="de-DE"/>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2437"/>
        <w:gridCol w:w="2437"/>
        <w:gridCol w:w="2438"/>
      </w:tblGrid>
      <w:tr w:rsidR="003A78D0" w:rsidRPr="00B02007" w14:paraId="1E9F03BE" w14:textId="77777777" w:rsidTr="002C66FC">
        <w:trPr>
          <w:trHeight w:val="1270"/>
        </w:trPr>
        <w:tc>
          <w:tcPr>
            <w:tcW w:w="2437" w:type="dxa"/>
          </w:tcPr>
          <w:p w14:paraId="3BC13A4D" w14:textId="77777777" w:rsidR="003A78D0" w:rsidRPr="004811D0" w:rsidRDefault="003A78D0" w:rsidP="002C66FC">
            <w:pPr>
              <w:autoSpaceDE w:val="0"/>
              <w:autoSpaceDN w:val="0"/>
              <w:adjustRightInd w:val="0"/>
              <w:rPr>
                <w:sz w:val="22"/>
                <w:szCs w:val="22"/>
              </w:rPr>
            </w:pPr>
            <w:r w:rsidRPr="004811D0">
              <w:rPr>
                <w:b/>
                <w:bCs/>
                <w:sz w:val="22"/>
                <w:szCs w:val="22"/>
              </w:rPr>
              <w:t>Organski sistemi po</w:t>
            </w:r>
          </w:p>
          <w:p w14:paraId="7EE66147" w14:textId="77777777" w:rsidR="003A78D0" w:rsidRPr="004811D0" w:rsidRDefault="003A78D0" w:rsidP="002C66FC">
            <w:pPr>
              <w:autoSpaceDE w:val="0"/>
              <w:autoSpaceDN w:val="0"/>
              <w:adjustRightInd w:val="0"/>
              <w:rPr>
                <w:b/>
                <w:bCs/>
                <w:sz w:val="22"/>
                <w:szCs w:val="22"/>
              </w:rPr>
            </w:pPr>
            <w:r w:rsidRPr="004811D0">
              <w:rPr>
                <w:b/>
                <w:bCs/>
                <w:sz w:val="22"/>
                <w:szCs w:val="22"/>
              </w:rPr>
              <w:t>MedDRA</w:t>
            </w:r>
          </w:p>
          <w:p w14:paraId="672EE1AB" w14:textId="77777777" w:rsidR="003A78D0" w:rsidRPr="004811D0" w:rsidRDefault="003A78D0" w:rsidP="002C66FC">
            <w:pPr>
              <w:autoSpaceDE w:val="0"/>
              <w:autoSpaceDN w:val="0"/>
              <w:adjustRightInd w:val="0"/>
              <w:rPr>
                <w:sz w:val="22"/>
                <w:szCs w:val="22"/>
              </w:rPr>
            </w:pPr>
          </w:p>
        </w:tc>
        <w:tc>
          <w:tcPr>
            <w:tcW w:w="2437" w:type="dxa"/>
          </w:tcPr>
          <w:p w14:paraId="0C944726" w14:textId="77777777" w:rsidR="003A78D0" w:rsidRPr="004811D0" w:rsidRDefault="003A78D0" w:rsidP="002C66FC">
            <w:pPr>
              <w:autoSpaceDE w:val="0"/>
              <w:autoSpaceDN w:val="0"/>
              <w:adjustRightInd w:val="0"/>
              <w:rPr>
                <w:b/>
                <w:bCs/>
                <w:sz w:val="22"/>
                <w:szCs w:val="22"/>
              </w:rPr>
            </w:pPr>
            <w:r w:rsidRPr="004811D0">
              <w:rPr>
                <w:b/>
                <w:bCs/>
                <w:sz w:val="22"/>
                <w:szCs w:val="22"/>
              </w:rPr>
              <w:t xml:space="preserve">Veoma </w:t>
            </w:r>
            <w:r w:rsidRPr="004811D0">
              <w:rPr>
                <w:rFonts w:eastAsia="TimesNewRoman,Bold"/>
                <w:b/>
                <w:bCs/>
                <w:sz w:val="22"/>
                <w:szCs w:val="22"/>
              </w:rPr>
              <w:t>č</w:t>
            </w:r>
            <w:r w:rsidRPr="004811D0">
              <w:rPr>
                <w:b/>
                <w:bCs/>
                <w:sz w:val="22"/>
                <w:szCs w:val="22"/>
              </w:rPr>
              <w:t>esta neželjena dejstva</w:t>
            </w:r>
          </w:p>
          <w:p w14:paraId="2F7A311B" w14:textId="77777777" w:rsidR="003A78D0" w:rsidRPr="004811D0" w:rsidRDefault="003A78D0" w:rsidP="002C66FC">
            <w:pPr>
              <w:autoSpaceDE w:val="0"/>
              <w:autoSpaceDN w:val="0"/>
              <w:adjustRightInd w:val="0"/>
              <w:rPr>
                <w:b/>
                <w:bCs/>
                <w:sz w:val="22"/>
                <w:szCs w:val="22"/>
              </w:rPr>
            </w:pPr>
            <w:r w:rsidRPr="004811D0">
              <w:rPr>
                <w:b/>
                <w:bCs/>
                <w:sz w:val="22"/>
                <w:szCs w:val="22"/>
              </w:rPr>
              <w:t xml:space="preserve"> </w:t>
            </w:r>
          </w:p>
          <w:p w14:paraId="7DBAAA67" w14:textId="77777777" w:rsidR="003A78D0" w:rsidRPr="004811D0" w:rsidRDefault="003A78D0" w:rsidP="002C66FC">
            <w:pPr>
              <w:autoSpaceDE w:val="0"/>
              <w:autoSpaceDN w:val="0"/>
              <w:adjustRightInd w:val="0"/>
              <w:rPr>
                <w:sz w:val="22"/>
                <w:szCs w:val="22"/>
              </w:rPr>
            </w:pPr>
          </w:p>
        </w:tc>
        <w:tc>
          <w:tcPr>
            <w:tcW w:w="2437" w:type="dxa"/>
          </w:tcPr>
          <w:p w14:paraId="7D282A33" w14:textId="77777777" w:rsidR="003A78D0" w:rsidRPr="004811D0" w:rsidRDefault="003A78D0" w:rsidP="002C66FC">
            <w:pPr>
              <w:autoSpaceDE w:val="0"/>
              <w:autoSpaceDN w:val="0"/>
              <w:adjustRightInd w:val="0"/>
              <w:rPr>
                <w:b/>
                <w:bCs/>
                <w:sz w:val="22"/>
                <w:szCs w:val="22"/>
              </w:rPr>
            </w:pPr>
            <w:r w:rsidRPr="004811D0">
              <w:rPr>
                <w:rFonts w:eastAsia="TimesNewRoman,Bold"/>
                <w:b/>
                <w:bCs/>
                <w:sz w:val="22"/>
                <w:szCs w:val="22"/>
              </w:rPr>
              <w:t>Č</w:t>
            </w:r>
            <w:r w:rsidRPr="004811D0">
              <w:rPr>
                <w:b/>
                <w:bCs/>
                <w:sz w:val="22"/>
                <w:szCs w:val="22"/>
              </w:rPr>
              <w:t>esta neželjena dejstva</w:t>
            </w:r>
          </w:p>
          <w:p w14:paraId="08E7DF3E" w14:textId="77777777" w:rsidR="003A78D0" w:rsidRPr="004811D0" w:rsidRDefault="003A78D0" w:rsidP="002C66FC">
            <w:pPr>
              <w:autoSpaceDE w:val="0"/>
              <w:autoSpaceDN w:val="0"/>
              <w:adjustRightInd w:val="0"/>
              <w:rPr>
                <w:b/>
                <w:bCs/>
                <w:sz w:val="22"/>
                <w:szCs w:val="22"/>
              </w:rPr>
            </w:pPr>
          </w:p>
          <w:p w14:paraId="426BF29D" w14:textId="77777777" w:rsidR="003A78D0" w:rsidRPr="004811D0" w:rsidRDefault="003A78D0" w:rsidP="002C66FC">
            <w:pPr>
              <w:autoSpaceDE w:val="0"/>
              <w:autoSpaceDN w:val="0"/>
              <w:adjustRightInd w:val="0"/>
              <w:rPr>
                <w:sz w:val="22"/>
                <w:szCs w:val="22"/>
              </w:rPr>
            </w:pPr>
          </w:p>
        </w:tc>
        <w:tc>
          <w:tcPr>
            <w:tcW w:w="2438" w:type="dxa"/>
          </w:tcPr>
          <w:p w14:paraId="42474781" w14:textId="77777777" w:rsidR="003A78D0" w:rsidRPr="004811D0" w:rsidRDefault="003A78D0" w:rsidP="002C66FC">
            <w:pPr>
              <w:autoSpaceDE w:val="0"/>
              <w:autoSpaceDN w:val="0"/>
              <w:adjustRightInd w:val="0"/>
              <w:rPr>
                <w:b/>
                <w:bCs/>
                <w:sz w:val="22"/>
                <w:szCs w:val="22"/>
              </w:rPr>
            </w:pPr>
            <w:r w:rsidRPr="004811D0">
              <w:rPr>
                <w:b/>
                <w:bCs/>
                <w:sz w:val="22"/>
                <w:szCs w:val="22"/>
              </w:rPr>
              <w:t>Povremena neželjena</w:t>
            </w:r>
          </w:p>
          <w:p w14:paraId="438EEADE" w14:textId="77777777" w:rsidR="003A78D0" w:rsidRPr="004811D0" w:rsidRDefault="003A78D0" w:rsidP="002C66FC">
            <w:pPr>
              <w:autoSpaceDE w:val="0"/>
              <w:autoSpaceDN w:val="0"/>
              <w:adjustRightInd w:val="0"/>
              <w:rPr>
                <w:b/>
                <w:bCs/>
                <w:sz w:val="22"/>
                <w:szCs w:val="22"/>
              </w:rPr>
            </w:pPr>
            <w:r w:rsidRPr="004811D0">
              <w:rPr>
                <w:b/>
                <w:bCs/>
                <w:sz w:val="22"/>
                <w:szCs w:val="22"/>
              </w:rPr>
              <w:t>Dejstva</w:t>
            </w:r>
          </w:p>
          <w:p w14:paraId="5CD519AB" w14:textId="77777777" w:rsidR="003A78D0" w:rsidRPr="004811D0" w:rsidDel="00EA299B" w:rsidRDefault="003A78D0" w:rsidP="002C66FC">
            <w:pPr>
              <w:autoSpaceDE w:val="0"/>
              <w:autoSpaceDN w:val="0"/>
              <w:adjustRightInd w:val="0"/>
              <w:rPr>
                <w:rFonts w:eastAsia="TimesNewRoman,Bold"/>
                <w:b/>
                <w:bCs/>
                <w:sz w:val="22"/>
                <w:szCs w:val="22"/>
              </w:rPr>
            </w:pPr>
            <w:r w:rsidRPr="004811D0">
              <w:rPr>
                <w:b/>
                <w:bCs/>
                <w:sz w:val="22"/>
                <w:szCs w:val="22"/>
              </w:rPr>
              <w:t xml:space="preserve"> </w:t>
            </w:r>
          </w:p>
          <w:p w14:paraId="764698D9" w14:textId="77777777" w:rsidR="003A78D0" w:rsidRPr="004811D0" w:rsidRDefault="003A78D0" w:rsidP="002C66FC">
            <w:pPr>
              <w:autoSpaceDE w:val="0"/>
              <w:autoSpaceDN w:val="0"/>
              <w:adjustRightInd w:val="0"/>
              <w:rPr>
                <w:b/>
                <w:bCs/>
                <w:sz w:val="22"/>
                <w:szCs w:val="22"/>
              </w:rPr>
            </w:pPr>
          </w:p>
          <w:p w14:paraId="0D62B3F9" w14:textId="77777777" w:rsidR="003A78D0" w:rsidRPr="004811D0" w:rsidRDefault="003A78D0" w:rsidP="002C66FC">
            <w:pPr>
              <w:autoSpaceDE w:val="0"/>
              <w:autoSpaceDN w:val="0"/>
              <w:adjustRightInd w:val="0"/>
              <w:rPr>
                <w:sz w:val="22"/>
                <w:szCs w:val="22"/>
              </w:rPr>
            </w:pPr>
          </w:p>
        </w:tc>
      </w:tr>
      <w:tr w:rsidR="003A78D0" w:rsidRPr="00B02007" w14:paraId="5CA03AC2" w14:textId="77777777" w:rsidTr="002C66FC">
        <w:trPr>
          <w:trHeight w:val="496"/>
        </w:trPr>
        <w:tc>
          <w:tcPr>
            <w:tcW w:w="2437" w:type="dxa"/>
          </w:tcPr>
          <w:p w14:paraId="555F50E9" w14:textId="77777777" w:rsidR="003A78D0" w:rsidRPr="004811D0" w:rsidRDefault="003A78D0" w:rsidP="002C66FC">
            <w:pPr>
              <w:autoSpaceDE w:val="0"/>
              <w:autoSpaceDN w:val="0"/>
              <w:adjustRightInd w:val="0"/>
              <w:rPr>
                <w:sz w:val="22"/>
                <w:szCs w:val="22"/>
              </w:rPr>
            </w:pPr>
            <w:r w:rsidRPr="004811D0">
              <w:rPr>
                <w:sz w:val="22"/>
                <w:szCs w:val="22"/>
              </w:rPr>
              <w:t>Infekcije i infestacije</w:t>
            </w:r>
          </w:p>
        </w:tc>
        <w:tc>
          <w:tcPr>
            <w:tcW w:w="2437" w:type="dxa"/>
          </w:tcPr>
          <w:p w14:paraId="44AFE006" w14:textId="77777777" w:rsidR="003A78D0" w:rsidRPr="004811D0" w:rsidRDefault="003A78D0" w:rsidP="002C66FC">
            <w:pPr>
              <w:autoSpaceDE w:val="0"/>
              <w:autoSpaceDN w:val="0"/>
              <w:adjustRightInd w:val="0"/>
              <w:rPr>
                <w:sz w:val="22"/>
                <w:szCs w:val="22"/>
              </w:rPr>
            </w:pPr>
            <w:r w:rsidRPr="004811D0">
              <w:rPr>
                <w:sz w:val="22"/>
                <w:szCs w:val="22"/>
              </w:rPr>
              <w:t>Infekcije (G3/4: 7,8%)</w:t>
            </w:r>
          </w:p>
          <w:p w14:paraId="2A3216CE" w14:textId="77777777" w:rsidR="003A78D0" w:rsidRPr="004811D0" w:rsidRDefault="003A78D0" w:rsidP="002C66FC">
            <w:pPr>
              <w:autoSpaceDE w:val="0"/>
              <w:autoSpaceDN w:val="0"/>
              <w:adjustRightInd w:val="0"/>
              <w:rPr>
                <w:sz w:val="22"/>
                <w:szCs w:val="22"/>
              </w:rPr>
            </w:pPr>
          </w:p>
        </w:tc>
        <w:tc>
          <w:tcPr>
            <w:tcW w:w="2437" w:type="dxa"/>
          </w:tcPr>
          <w:p w14:paraId="5EA1A165" w14:textId="77777777" w:rsidR="003A78D0" w:rsidRPr="004811D0" w:rsidRDefault="003A78D0" w:rsidP="002C66FC">
            <w:pPr>
              <w:autoSpaceDE w:val="0"/>
              <w:autoSpaceDN w:val="0"/>
              <w:adjustRightInd w:val="0"/>
              <w:rPr>
                <w:sz w:val="22"/>
                <w:szCs w:val="22"/>
              </w:rPr>
            </w:pPr>
          </w:p>
        </w:tc>
        <w:tc>
          <w:tcPr>
            <w:tcW w:w="2438" w:type="dxa"/>
          </w:tcPr>
          <w:p w14:paraId="79B9813F" w14:textId="77777777" w:rsidR="003A78D0" w:rsidRPr="004811D0" w:rsidRDefault="003A78D0" w:rsidP="002C66FC">
            <w:pPr>
              <w:autoSpaceDE w:val="0"/>
              <w:autoSpaceDN w:val="0"/>
              <w:adjustRightInd w:val="0"/>
              <w:rPr>
                <w:sz w:val="22"/>
                <w:szCs w:val="22"/>
              </w:rPr>
            </w:pPr>
          </w:p>
        </w:tc>
      </w:tr>
      <w:tr w:rsidR="003A78D0" w:rsidRPr="00B02007" w14:paraId="12AF50A8" w14:textId="77777777" w:rsidTr="002C66FC">
        <w:trPr>
          <w:trHeight w:val="2287"/>
        </w:trPr>
        <w:tc>
          <w:tcPr>
            <w:tcW w:w="2437" w:type="dxa"/>
          </w:tcPr>
          <w:p w14:paraId="09FAFB79"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krvi i</w:t>
            </w:r>
          </w:p>
          <w:p w14:paraId="7C8E0002" w14:textId="77777777" w:rsidR="003A78D0" w:rsidRPr="004811D0" w:rsidRDefault="003A78D0" w:rsidP="002C66FC">
            <w:pPr>
              <w:autoSpaceDE w:val="0"/>
              <w:autoSpaceDN w:val="0"/>
              <w:adjustRightInd w:val="0"/>
              <w:rPr>
                <w:sz w:val="22"/>
                <w:szCs w:val="22"/>
              </w:rPr>
            </w:pPr>
            <w:r w:rsidRPr="004811D0">
              <w:rPr>
                <w:sz w:val="22"/>
                <w:szCs w:val="22"/>
              </w:rPr>
              <w:t>limfnog sistema</w:t>
            </w:r>
          </w:p>
          <w:p w14:paraId="6EA34FA0" w14:textId="77777777" w:rsidR="003A78D0" w:rsidRPr="004811D0" w:rsidRDefault="003A78D0" w:rsidP="002C66FC">
            <w:pPr>
              <w:autoSpaceDE w:val="0"/>
              <w:autoSpaceDN w:val="0"/>
              <w:adjustRightInd w:val="0"/>
              <w:rPr>
                <w:sz w:val="22"/>
                <w:szCs w:val="22"/>
              </w:rPr>
            </w:pPr>
          </w:p>
        </w:tc>
        <w:tc>
          <w:tcPr>
            <w:tcW w:w="2437" w:type="dxa"/>
          </w:tcPr>
          <w:p w14:paraId="0A32938E" w14:textId="77777777" w:rsidR="003A78D0" w:rsidRPr="004811D0" w:rsidRDefault="003A78D0" w:rsidP="002C66FC">
            <w:pPr>
              <w:autoSpaceDE w:val="0"/>
              <w:autoSpaceDN w:val="0"/>
              <w:adjustRightInd w:val="0"/>
              <w:rPr>
                <w:sz w:val="22"/>
                <w:szCs w:val="22"/>
              </w:rPr>
            </w:pPr>
            <w:r w:rsidRPr="004811D0">
              <w:rPr>
                <w:sz w:val="22"/>
                <w:szCs w:val="22"/>
              </w:rPr>
              <w:t>Neutropenija (G4: 91,7%);</w:t>
            </w:r>
          </w:p>
          <w:p w14:paraId="51536DC0" w14:textId="77777777" w:rsidR="003A78D0" w:rsidRPr="004811D0" w:rsidRDefault="003A78D0" w:rsidP="002C66FC">
            <w:pPr>
              <w:autoSpaceDE w:val="0"/>
              <w:autoSpaceDN w:val="0"/>
              <w:adjustRightInd w:val="0"/>
              <w:rPr>
                <w:sz w:val="22"/>
                <w:szCs w:val="22"/>
              </w:rPr>
            </w:pPr>
          </w:p>
          <w:p w14:paraId="08A63D50" w14:textId="77777777" w:rsidR="003A78D0" w:rsidRPr="004811D0" w:rsidRDefault="003A78D0" w:rsidP="002C66FC">
            <w:pPr>
              <w:autoSpaceDE w:val="0"/>
              <w:autoSpaceDN w:val="0"/>
              <w:adjustRightInd w:val="0"/>
              <w:rPr>
                <w:sz w:val="22"/>
                <w:szCs w:val="22"/>
              </w:rPr>
            </w:pPr>
            <w:r w:rsidRPr="004811D0">
              <w:rPr>
                <w:sz w:val="22"/>
                <w:szCs w:val="22"/>
              </w:rPr>
              <w:t>Anemija (G3/4: 9,4%);</w:t>
            </w:r>
          </w:p>
          <w:p w14:paraId="6C8AE261" w14:textId="77777777" w:rsidR="003A78D0" w:rsidRPr="004811D0" w:rsidRDefault="003A78D0" w:rsidP="002C66FC">
            <w:pPr>
              <w:autoSpaceDE w:val="0"/>
              <w:autoSpaceDN w:val="0"/>
              <w:adjustRightInd w:val="0"/>
              <w:rPr>
                <w:sz w:val="22"/>
                <w:szCs w:val="22"/>
              </w:rPr>
            </w:pPr>
          </w:p>
          <w:p w14:paraId="271B858C" w14:textId="77777777" w:rsidR="003A78D0" w:rsidRPr="004811D0" w:rsidRDefault="003A78D0" w:rsidP="002C66FC">
            <w:pPr>
              <w:autoSpaceDE w:val="0"/>
              <w:autoSpaceDN w:val="0"/>
              <w:adjustRightInd w:val="0"/>
              <w:rPr>
                <w:sz w:val="22"/>
                <w:szCs w:val="22"/>
              </w:rPr>
            </w:pPr>
            <w:r w:rsidRPr="004811D0">
              <w:rPr>
                <w:sz w:val="22"/>
                <w:szCs w:val="22"/>
              </w:rPr>
              <w:t>Febrilna neutropenija</w:t>
            </w:r>
          </w:p>
          <w:p w14:paraId="65DF0B52" w14:textId="77777777" w:rsidR="003A78D0" w:rsidRPr="004811D0" w:rsidRDefault="003A78D0" w:rsidP="002C66FC">
            <w:pPr>
              <w:autoSpaceDE w:val="0"/>
              <w:autoSpaceDN w:val="0"/>
              <w:adjustRightInd w:val="0"/>
              <w:rPr>
                <w:sz w:val="22"/>
                <w:szCs w:val="22"/>
              </w:rPr>
            </w:pPr>
          </w:p>
          <w:p w14:paraId="38C24339" w14:textId="77777777" w:rsidR="003A78D0" w:rsidRPr="004811D0" w:rsidRDefault="003A78D0" w:rsidP="002C66FC">
            <w:pPr>
              <w:autoSpaceDE w:val="0"/>
              <w:autoSpaceDN w:val="0"/>
              <w:adjustRightInd w:val="0"/>
              <w:rPr>
                <w:sz w:val="22"/>
                <w:szCs w:val="22"/>
              </w:rPr>
            </w:pPr>
            <w:r w:rsidRPr="004811D0">
              <w:rPr>
                <w:sz w:val="22"/>
                <w:szCs w:val="22"/>
              </w:rPr>
              <w:t>Trombocitopenija (G4:</w:t>
            </w:r>
          </w:p>
          <w:p w14:paraId="0F99B3E8" w14:textId="77777777" w:rsidR="003A78D0" w:rsidRPr="004811D0" w:rsidRDefault="003A78D0" w:rsidP="002C66FC">
            <w:pPr>
              <w:autoSpaceDE w:val="0"/>
              <w:autoSpaceDN w:val="0"/>
              <w:adjustRightInd w:val="0"/>
              <w:rPr>
                <w:sz w:val="22"/>
                <w:szCs w:val="22"/>
              </w:rPr>
            </w:pPr>
            <w:r w:rsidRPr="004811D0">
              <w:rPr>
                <w:sz w:val="22"/>
                <w:szCs w:val="22"/>
              </w:rPr>
              <w:t>0,8%)</w:t>
            </w:r>
          </w:p>
        </w:tc>
        <w:tc>
          <w:tcPr>
            <w:tcW w:w="2437" w:type="dxa"/>
          </w:tcPr>
          <w:p w14:paraId="169788BA" w14:textId="77777777" w:rsidR="003A78D0" w:rsidRPr="004811D0" w:rsidRDefault="003A78D0" w:rsidP="002C66FC">
            <w:pPr>
              <w:autoSpaceDE w:val="0"/>
              <w:autoSpaceDN w:val="0"/>
              <w:adjustRightInd w:val="0"/>
              <w:rPr>
                <w:sz w:val="22"/>
                <w:szCs w:val="22"/>
              </w:rPr>
            </w:pPr>
          </w:p>
        </w:tc>
        <w:tc>
          <w:tcPr>
            <w:tcW w:w="2438" w:type="dxa"/>
          </w:tcPr>
          <w:p w14:paraId="4E64F8F3" w14:textId="77777777" w:rsidR="003A78D0" w:rsidRPr="004811D0" w:rsidRDefault="003A78D0" w:rsidP="002C66FC">
            <w:pPr>
              <w:autoSpaceDE w:val="0"/>
              <w:autoSpaceDN w:val="0"/>
              <w:adjustRightInd w:val="0"/>
              <w:rPr>
                <w:sz w:val="22"/>
                <w:szCs w:val="22"/>
              </w:rPr>
            </w:pPr>
          </w:p>
        </w:tc>
      </w:tr>
      <w:tr w:rsidR="003A78D0" w:rsidRPr="00B02007" w14:paraId="37DCEA97" w14:textId="77777777" w:rsidTr="002C66FC">
        <w:trPr>
          <w:trHeight w:val="762"/>
        </w:trPr>
        <w:tc>
          <w:tcPr>
            <w:tcW w:w="2437" w:type="dxa"/>
          </w:tcPr>
          <w:p w14:paraId="6AB5F05B"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imunog</w:t>
            </w:r>
          </w:p>
          <w:p w14:paraId="60D2BD28" w14:textId="77777777" w:rsidR="003A78D0" w:rsidRPr="004811D0" w:rsidRDefault="003A78D0" w:rsidP="002C66FC">
            <w:pPr>
              <w:autoSpaceDE w:val="0"/>
              <w:autoSpaceDN w:val="0"/>
              <w:adjustRightInd w:val="0"/>
              <w:rPr>
                <w:sz w:val="22"/>
                <w:szCs w:val="22"/>
              </w:rPr>
            </w:pPr>
            <w:r w:rsidRPr="004811D0">
              <w:rPr>
                <w:sz w:val="22"/>
                <w:szCs w:val="22"/>
              </w:rPr>
              <w:t>sistema</w:t>
            </w:r>
          </w:p>
          <w:p w14:paraId="0FAF892B" w14:textId="77777777" w:rsidR="003A78D0" w:rsidRPr="004811D0" w:rsidRDefault="003A78D0" w:rsidP="002C66FC">
            <w:pPr>
              <w:autoSpaceDE w:val="0"/>
              <w:autoSpaceDN w:val="0"/>
              <w:adjustRightInd w:val="0"/>
              <w:rPr>
                <w:sz w:val="22"/>
                <w:szCs w:val="22"/>
              </w:rPr>
            </w:pPr>
          </w:p>
        </w:tc>
        <w:tc>
          <w:tcPr>
            <w:tcW w:w="2437" w:type="dxa"/>
          </w:tcPr>
          <w:p w14:paraId="5C2DDDBB" w14:textId="77777777" w:rsidR="003A78D0" w:rsidRPr="004811D0" w:rsidRDefault="003A78D0" w:rsidP="002C66FC">
            <w:pPr>
              <w:autoSpaceDE w:val="0"/>
              <w:autoSpaceDN w:val="0"/>
              <w:adjustRightInd w:val="0"/>
              <w:rPr>
                <w:sz w:val="22"/>
                <w:szCs w:val="22"/>
              </w:rPr>
            </w:pPr>
          </w:p>
        </w:tc>
        <w:tc>
          <w:tcPr>
            <w:tcW w:w="2437" w:type="dxa"/>
          </w:tcPr>
          <w:p w14:paraId="66A04817" w14:textId="77777777" w:rsidR="003A78D0" w:rsidRPr="004811D0" w:rsidRDefault="003A78D0" w:rsidP="002C66FC">
            <w:pPr>
              <w:autoSpaceDE w:val="0"/>
              <w:autoSpaceDN w:val="0"/>
              <w:adjustRightInd w:val="0"/>
              <w:rPr>
                <w:sz w:val="22"/>
                <w:szCs w:val="22"/>
              </w:rPr>
            </w:pPr>
            <w:r w:rsidRPr="004811D0">
              <w:rPr>
                <w:sz w:val="22"/>
                <w:szCs w:val="22"/>
              </w:rPr>
              <w:t>Preosjetljivost (G3/4:</w:t>
            </w:r>
          </w:p>
          <w:p w14:paraId="2DFA8F8B" w14:textId="77777777" w:rsidR="003A78D0" w:rsidRPr="004811D0" w:rsidRDefault="003A78D0" w:rsidP="002C66FC">
            <w:pPr>
              <w:autoSpaceDE w:val="0"/>
              <w:autoSpaceDN w:val="0"/>
              <w:adjustRightInd w:val="0"/>
              <w:rPr>
                <w:sz w:val="22"/>
                <w:szCs w:val="22"/>
              </w:rPr>
            </w:pPr>
            <w:r w:rsidRPr="004811D0">
              <w:rPr>
                <w:sz w:val="22"/>
                <w:szCs w:val="22"/>
              </w:rPr>
              <w:t>1,2%)</w:t>
            </w:r>
          </w:p>
          <w:p w14:paraId="0061A4A3" w14:textId="77777777" w:rsidR="003A78D0" w:rsidRPr="004811D0" w:rsidRDefault="003A78D0" w:rsidP="002C66FC">
            <w:pPr>
              <w:autoSpaceDE w:val="0"/>
              <w:autoSpaceDN w:val="0"/>
              <w:adjustRightInd w:val="0"/>
              <w:rPr>
                <w:sz w:val="22"/>
                <w:szCs w:val="22"/>
              </w:rPr>
            </w:pPr>
          </w:p>
        </w:tc>
        <w:tc>
          <w:tcPr>
            <w:tcW w:w="2438" w:type="dxa"/>
          </w:tcPr>
          <w:p w14:paraId="3CF5AC39" w14:textId="77777777" w:rsidR="003A78D0" w:rsidRPr="004811D0" w:rsidRDefault="003A78D0" w:rsidP="002C66FC">
            <w:pPr>
              <w:autoSpaceDE w:val="0"/>
              <w:autoSpaceDN w:val="0"/>
              <w:adjustRightInd w:val="0"/>
              <w:rPr>
                <w:sz w:val="22"/>
                <w:szCs w:val="22"/>
              </w:rPr>
            </w:pPr>
          </w:p>
        </w:tc>
      </w:tr>
      <w:tr w:rsidR="003A78D0" w:rsidRPr="00B02007" w14:paraId="641E853E" w14:textId="77777777" w:rsidTr="002C66FC">
        <w:trPr>
          <w:trHeight w:val="751"/>
        </w:trPr>
        <w:tc>
          <w:tcPr>
            <w:tcW w:w="2437" w:type="dxa"/>
          </w:tcPr>
          <w:p w14:paraId="31206997"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 xml:space="preserve">aji </w:t>
            </w:r>
          </w:p>
          <w:p w14:paraId="437F8B50" w14:textId="77777777" w:rsidR="003A78D0" w:rsidRPr="004811D0" w:rsidRDefault="003A78D0" w:rsidP="002C66FC">
            <w:pPr>
              <w:autoSpaceDE w:val="0"/>
              <w:autoSpaceDN w:val="0"/>
              <w:adjustRightInd w:val="0"/>
              <w:rPr>
                <w:sz w:val="22"/>
                <w:szCs w:val="22"/>
              </w:rPr>
            </w:pPr>
            <w:r w:rsidRPr="004811D0">
              <w:rPr>
                <w:sz w:val="22"/>
                <w:szCs w:val="22"/>
              </w:rPr>
              <w:t>metabolizma i ishrane</w:t>
            </w:r>
          </w:p>
          <w:p w14:paraId="0F106484" w14:textId="77777777" w:rsidR="003A78D0" w:rsidRPr="004811D0" w:rsidRDefault="003A78D0" w:rsidP="002C66FC">
            <w:pPr>
              <w:autoSpaceDE w:val="0"/>
              <w:autoSpaceDN w:val="0"/>
              <w:adjustRightInd w:val="0"/>
              <w:rPr>
                <w:sz w:val="22"/>
                <w:szCs w:val="22"/>
              </w:rPr>
            </w:pPr>
          </w:p>
        </w:tc>
        <w:tc>
          <w:tcPr>
            <w:tcW w:w="2437" w:type="dxa"/>
          </w:tcPr>
          <w:p w14:paraId="02ECD760" w14:textId="77777777" w:rsidR="003A78D0" w:rsidRPr="004811D0" w:rsidRDefault="003A78D0" w:rsidP="002C66FC">
            <w:pPr>
              <w:autoSpaceDE w:val="0"/>
              <w:autoSpaceDN w:val="0"/>
              <w:adjustRightInd w:val="0"/>
              <w:rPr>
                <w:sz w:val="22"/>
                <w:szCs w:val="22"/>
              </w:rPr>
            </w:pPr>
          </w:p>
        </w:tc>
        <w:tc>
          <w:tcPr>
            <w:tcW w:w="2437" w:type="dxa"/>
          </w:tcPr>
          <w:p w14:paraId="530F32EC" w14:textId="77777777" w:rsidR="003A78D0" w:rsidRPr="004811D0" w:rsidRDefault="003A78D0" w:rsidP="002C66FC">
            <w:pPr>
              <w:autoSpaceDE w:val="0"/>
              <w:autoSpaceDN w:val="0"/>
              <w:adjustRightInd w:val="0"/>
              <w:rPr>
                <w:sz w:val="22"/>
                <w:szCs w:val="22"/>
              </w:rPr>
            </w:pPr>
            <w:r w:rsidRPr="004811D0">
              <w:rPr>
                <w:sz w:val="22"/>
                <w:szCs w:val="22"/>
              </w:rPr>
              <w:t>Anoreksija</w:t>
            </w:r>
          </w:p>
        </w:tc>
        <w:tc>
          <w:tcPr>
            <w:tcW w:w="2438" w:type="dxa"/>
          </w:tcPr>
          <w:p w14:paraId="092178A8" w14:textId="77777777" w:rsidR="003A78D0" w:rsidRPr="004811D0" w:rsidRDefault="003A78D0" w:rsidP="002C66FC">
            <w:pPr>
              <w:autoSpaceDE w:val="0"/>
              <w:autoSpaceDN w:val="0"/>
              <w:adjustRightInd w:val="0"/>
              <w:rPr>
                <w:sz w:val="22"/>
                <w:szCs w:val="22"/>
              </w:rPr>
            </w:pPr>
          </w:p>
        </w:tc>
      </w:tr>
      <w:tr w:rsidR="003A78D0" w:rsidRPr="00B02007" w14:paraId="25E05235" w14:textId="77777777" w:rsidTr="002C66FC">
        <w:trPr>
          <w:trHeight w:val="762"/>
        </w:trPr>
        <w:tc>
          <w:tcPr>
            <w:tcW w:w="2437" w:type="dxa"/>
          </w:tcPr>
          <w:p w14:paraId="01EA8EEB"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nervnog</w:t>
            </w:r>
          </w:p>
          <w:p w14:paraId="1E79765C" w14:textId="77777777" w:rsidR="003A78D0" w:rsidRPr="004811D0" w:rsidRDefault="003A78D0" w:rsidP="002C66FC">
            <w:pPr>
              <w:autoSpaceDE w:val="0"/>
              <w:autoSpaceDN w:val="0"/>
              <w:adjustRightInd w:val="0"/>
              <w:rPr>
                <w:sz w:val="22"/>
                <w:szCs w:val="22"/>
              </w:rPr>
            </w:pPr>
            <w:r w:rsidRPr="004811D0">
              <w:rPr>
                <w:sz w:val="22"/>
                <w:szCs w:val="22"/>
              </w:rPr>
              <w:t>sistema</w:t>
            </w:r>
          </w:p>
          <w:p w14:paraId="34BE689D" w14:textId="77777777" w:rsidR="003A78D0" w:rsidRPr="004811D0" w:rsidRDefault="003A78D0" w:rsidP="002C66FC">
            <w:pPr>
              <w:autoSpaceDE w:val="0"/>
              <w:autoSpaceDN w:val="0"/>
              <w:adjustRightInd w:val="0"/>
              <w:rPr>
                <w:sz w:val="22"/>
                <w:szCs w:val="22"/>
              </w:rPr>
            </w:pPr>
          </w:p>
        </w:tc>
        <w:tc>
          <w:tcPr>
            <w:tcW w:w="2437" w:type="dxa"/>
          </w:tcPr>
          <w:p w14:paraId="07C01A91" w14:textId="77777777" w:rsidR="003A78D0" w:rsidRPr="004811D0" w:rsidRDefault="003A78D0" w:rsidP="002C66FC">
            <w:pPr>
              <w:autoSpaceDE w:val="0"/>
              <w:autoSpaceDN w:val="0"/>
              <w:adjustRightInd w:val="0"/>
              <w:rPr>
                <w:sz w:val="22"/>
                <w:szCs w:val="22"/>
              </w:rPr>
            </w:pPr>
            <w:r w:rsidRPr="004811D0">
              <w:rPr>
                <w:sz w:val="22"/>
                <w:szCs w:val="22"/>
              </w:rPr>
              <w:t>Periferna senzorna</w:t>
            </w:r>
          </w:p>
          <w:p w14:paraId="6FC7E3BF" w14:textId="77777777" w:rsidR="003A78D0" w:rsidRPr="004811D0" w:rsidRDefault="003A78D0" w:rsidP="002C66FC">
            <w:pPr>
              <w:autoSpaceDE w:val="0"/>
              <w:autoSpaceDN w:val="0"/>
              <w:adjustRightInd w:val="0"/>
              <w:rPr>
                <w:sz w:val="22"/>
                <w:szCs w:val="22"/>
              </w:rPr>
            </w:pPr>
            <w:r w:rsidRPr="004811D0">
              <w:rPr>
                <w:sz w:val="22"/>
                <w:szCs w:val="22"/>
              </w:rPr>
              <w:t>neuropatija (G3: 0,4%)</w:t>
            </w:r>
          </w:p>
          <w:p w14:paraId="627903A1" w14:textId="77777777" w:rsidR="003A78D0" w:rsidRPr="004811D0" w:rsidRDefault="003A78D0" w:rsidP="002C66FC">
            <w:pPr>
              <w:autoSpaceDE w:val="0"/>
              <w:autoSpaceDN w:val="0"/>
              <w:adjustRightInd w:val="0"/>
              <w:rPr>
                <w:sz w:val="22"/>
                <w:szCs w:val="22"/>
              </w:rPr>
            </w:pPr>
          </w:p>
        </w:tc>
        <w:tc>
          <w:tcPr>
            <w:tcW w:w="2437" w:type="dxa"/>
          </w:tcPr>
          <w:p w14:paraId="578D3165" w14:textId="77777777" w:rsidR="003A78D0" w:rsidRPr="004811D0" w:rsidRDefault="003A78D0" w:rsidP="002C66FC">
            <w:pPr>
              <w:autoSpaceDE w:val="0"/>
              <w:autoSpaceDN w:val="0"/>
              <w:adjustRightInd w:val="0"/>
              <w:rPr>
                <w:sz w:val="22"/>
                <w:szCs w:val="22"/>
              </w:rPr>
            </w:pPr>
            <w:r w:rsidRPr="004811D0">
              <w:rPr>
                <w:sz w:val="22"/>
                <w:szCs w:val="22"/>
              </w:rPr>
              <w:t>Periferna motorna</w:t>
            </w:r>
          </w:p>
          <w:p w14:paraId="5EACDDD6" w14:textId="77777777" w:rsidR="003A78D0" w:rsidRPr="004811D0" w:rsidRDefault="003A78D0" w:rsidP="002C66FC">
            <w:pPr>
              <w:autoSpaceDE w:val="0"/>
              <w:autoSpaceDN w:val="0"/>
              <w:adjustRightInd w:val="0"/>
              <w:rPr>
                <w:sz w:val="22"/>
                <w:szCs w:val="22"/>
              </w:rPr>
            </w:pPr>
            <w:r w:rsidRPr="004811D0">
              <w:rPr>
                <w:sz w:val="22"/>
                <w:szCs w:val="22"/>
              </w:rPr>
              <w:t>neuropatija (G3/4: 0,4%)</w:t>
            </w:r>
          </w:p>
          <w:p w14:paraId="28C73508" w14:textId="77777777" w:rsidR="003A78D0" w:rsidRPr="004811D0" w:rsidRDefault="003A78D0" w:rsidP="002C66FC">
            <w:pPr>
              <w:autoSpaceDE w:val="0"/>
              <w:autoSpaceDN w:val="0"/>
              <w:adjustRightInd w:val="0"/>
              <w:rPr>
                <w:sz w:val="22"/>
                <w:szCs w:val="22"/>
              </w:rPr>
            </w:pPr>
          </w:p>
        </w:tc>
        <w:tc>
          <w:tcPr>
            <w:tcW w:w="2438" w:type="dxa"/>
          </w:tcPr>
          <w:p w14:paraId="7D4A4905" w14:textId="77777777" w:rsidR="003A78D0" w:rsidRPr="004811D0" w:rsidRDefault="003A78D0" w:rsidP="002C66FC">
            <w:pPr>
              <w:autoSpaceDE w:val="0"/>
              <w:autoSpaceDN w:val="0"/>
              <w:adjustRightInd w:val="0"/>
              <w:rPr>
                <w:sz w:val="22"/>
                <w:szCs w:val="22"/>
              </w:rPr>
            </w:pPr>
          </w:p>
        </w:tc>
      </w:tr>
      <w:tr w:rsidR="003A78D0" w:rsidRPr="00B02007" w14:paraId="0D4377CE" w14:textId="77777777" w:rsidTr="002C66FC">
        <w:trPr>
          <w:trHeight w:val="1016"/>
        </w:trPr>
        <w:tc>
          <w:tcPr>
            <w:tcW w:w="2437" w:type="dxa"/>
          </w:tcPr>
          <w:p w14:paraId="29BE8BCE" w14:textId="77777777" w:rsidR="003A78D0" w:rsidRPr="004811D0" w:rsidRDefault="003A78D0"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ani poreme</w:t>
            </w:r>
            <w:r w:rsidRPr="004811D0">
              <w:rPr>
                <w:rFonts w:eastAsia="TimesNewRoman"/>
                <w:sz w:val="22"/>
                <w:szCs w:val="22"/>
              </w:rPr>
              <w:t>ć</w:t>
            </w:r>
            <w:r w:rsidRPr="004811D0">
              <w:rPr>
                <w:sz w:val="22"/>
                <w:szCs w:val="22"/>
              </w:rPr>
              <w:t>aji</w:t>
            </w:r>
          </w:p>
        </w:tc>
        <w:tc>
          <w:tcPr>
            <w:tcW w:w="2437" w:type="dxa"/>
          </w:tcPr>
          <w:p w14:paraId="0E061B6E" w14:textId="77777777" w:rsidR="003A78D0" w:rsidRPr="004811D0" w:rsidRDefault="003A78D0" w:rsidP="002C66FC">
            <w:pPr>
              <w:autoSpaceDE w:val="0"/>
              <w:autoSpaceDN w:val="0"/>
              <w:adjustRightInd w:val="0"/>
              <w:rPr>
                <w:sz w:val="22"/>
                <w:szCs w:val="22"/>
              </w:rPr>
            </w:pPr>
          </w:p>
        </w:tc>
        <w:tc>
          <w:tcPr>
            <w:tcW w:w="2437" w:type="dxa"/>
          </w:tcPr>
          <w:p w14:paraId="1B570A47" w14:textId="77777777" w:rsidR="003A78D0" w:rsidRPr="004811D0" w:rsidRDefault="003A78D0"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 xml:space="preserve">ana insuficijencija; </w:t>
            </w:r>
          </w:p>
          <w:p w14:paraId="75320BEC" w14:textId="77777777" w:rsidR="003A78D0" w:rsidRPr="004811D0" w:rsidRDefault="003A78D0" w:rsidP="002C66FC">
            <w:pPr>
              <w:autoSpaceDE w:val="0"/>
              <w:autoSpaceDN w:val="0"/>
              <w:adjustRightInd w:val="0"/>
              <w:rPr>
                <w:sz w:val="22"/>
                <w:szCs w:val="22"/>
              </w:rPr>
            </w:pPr>
          </w:p>
          <w:p w14:paraId="1C005D8A" w14:textId="77777777" w:rsidR="003A78D0" w:rsidRPr="004811D0" w:rsidRDefault="003A78D0" w:rsidP="002C66FC">
            <w:pPr>
              <w:autoSpaceDE w:val="0"/>
              <w:autoSpaceDN w:val="0"/>
              <w:adjustRightInd w:val="0"/>
              <w:rPr>
                <w:sz w:val="22"/>
                <w:szCs w:val="22"/>
              </w:rPr>
            </w:pPr>
            <w:r w:rsidRPr="004811D0">
              <w:rPr>
                <w:sz w:val="22"/>
                <w:szCs w:val="22"/>
              </w:rPr>
              <w:t>Aritmija (nije teška)</w:t>
            </w:r>
          </w:p>
          <w:p w14:paraId="551133E6" w14:textId="77777777" w:rsidR="003A78D0" w:rsidRPr="004811D0" w:rsidRDefault="003A78D0" w:rsidP="002C66FC">
            <w:pPr>
              <w:autoSpaceDE w:val="0"/>
              <w:autoSpaceDN w:val="0"/>
              <w:adjustRightInd w:val="0"/>
              <w:rPr>
                <w:sz w:val="22"/>
                <w:szCs w:val="22"/>
              </w:rPr>
            </w:pPr>
          </w:p>
        </w:tc>
        <w:tc>
          <w:tcPr>
            <w:tcW w:w="2438" w:type="dxa"/>
          </w:tcPr>
          <w:p w14:paraId="1000E450" w14:textId="77777777" w:rsidR="003A78D0" w:rsidRPr="004811D0" w:rsidRDefault="003A78D0" w:rsidP="002C66FC">
            <w:pPr>
              <w:autoSpaceDE w:val="0"/>
              <w:autoSpaceDN w:val="0"/>
              <w:adjustRightInd w:val="0"/>
              <w:rPr>
                <w:sz w:val="22"/>
                <w:szCs w:val="22"/>
              </w:rPr>
            </w:pPr>
          </w:p>
        </w:tc>
      </w:tr>
      <w:tr w:rsidR="003A78D0" w:rsidRPr="00B02007" w14:paraId="5C9839B5" w14:textId="77777777" w:rsidTr="002C66FC">
        <w:trPr>
          <w:trHeight w:val="508"/>
        </w:trPr>
        <w:tc>
          <w:tcPr>
            <w:tcW w:w="2437" w:type="dxa"/>
          </w:tcPr>
          <w:p w14:paraId="7057C9CA" w14:textId="77777777" w:rsidR="003A78D0" w:rsidRPr="004811D0" w:rsidRDefault="003A78D0" w:rsidP="002C66FC">
            <w:pPr>
              <w:autoSpaceDE w:val="0"/>
              <w:autoSpaceDN w:val="0"/>
              <w:adjustRightInd w:val="0"/>
              <w:rPr>
                <w:sz w:val="22"/>
                <w:szCs w:val="22"/>
              </w:rPr>
            </w:pPr>
            <w:r w:rsidRPr="004811D0">
              <w:rPr>
                <w:sz w:val="22"/>
                <w:szCs w:val="22"/>
              </w:rPr>
              <w:t>Vaskularni poreme</w:t>
            </w:r>
            <w:r w:rsidRPr="004811D0">
              <w:rPr>
                <w:rFonts w:eastAsia="TimesNewRoman"/>
                <w:sz w:val="22"/>
                <w:szCs w:val="22"/>
              </w:rPr>
              <w:t>ć</w:t>
            </w:r>
            <w:r w:rsidRPr="004811D0">
              <w:rPr>
                <w:sz w:val="22"/>
                <w:szCs w:val="22"/>
              </w:rPr>
              <w:t>aji</w:t>
            </w:r>
          </w:p>
        </w:tc>
        <w:tc>
          <w:tcPr>
            <w:tcW w:w="2437" w:type="dxa"/>
          </w:tcPr>
          <w:p w14:paraId="72E52DCF" w14:textId="77777777" w:rsidR="003A78D0" w:rsidRPr="004811D0" w:rsidRDefault="003A78D0" w:rsidP="002C66FC">
            <w:pPr>
              <w:autoSpaceDE w:val="0"/>
              <w:autoSpaceDN w:val="0"/>
              <w:adjustRightInd w:val="0"/>
              <w:rPr>
                <w:sz w:val="22"/>
                <w:szCs w:val="22"/>
              </w:rPr>
            </w:pPr>
          </w:p>
        </w:tc>
        <w:tc>
          <w:tcPr>
            <w:tcW w:w="2437" w:type="dxa"/>
          </w:tcPr>
          <w:p w14:paraId="5D1B5FE6" w14:textId="77777777" w:rsidR="003A78D0" w:rsidRPr="004811D0" w:rsidRDefault="003A78D0" w:rsidP="002C66FC">
            <w:pPr>
              <w:autoSpaceDE w:val="0"/>
              <w:autoSpaceDN w:val="0"/>
              <w:adjustRightInd w:val="0"/>
              <w:rPr>
                <w:sz w:val="22"/>
                <w:szCs w:val="22"/>
              </w:rPr>
            </w:pPr>
          </w:p>
        </w:tc>
        <w:tc>
          <w:tcPr>
            <w:tcW w:w="2438" w:type="dxa"/>
          </w:tcPr>
          <w:p w14:paraId="7E3AE493" w14:textId="77777777" w:rsidR="003A78D0" w:rsidRPr="004811D0" w:rsidRDefault="003A78D0" w:rsidP="002C66FC">
            <w:pPr>
              <w:autoSpaceDE w:val="0"/>
              <w:autoSpaceDN w:val="0"/>
              <w:adjustRightInd w:val="0"/>
              <w:rPr>
                <w:sz w:val="22"/>
                <w:szCs w:val="22"/>
              </w:rPr>
            </w:pPr>
            <w:r w:rsidRPr="004811D0">
              <w:rPr>
                <w:sz w:val="22"/>
                <w:szCs w:val="22"/>
              </w:rPr>
              <w:t>Hipotenzija</w:t>
            </w:r>
          </w:p>
          <w:p w14:paraId="345FDC6E" w14:textId="77777777" w:rsidR="003A78D0" w:rsidRPr="004811D0" w:rsidRDefault="003A78D0" w:rsidP="002C66FC">
            <w:pPr>
              <w:autoSpaceDE w:val="0"/>
              <w:autoSpaceDN w:val="0"/>
              <w:adjustRightInd w:val="0"/>
              <w:rPr>
                <w:sz w:val="22"/>
                <w:szCs w:val="22"/>
              </w:rPr>
            </w:pPr>
          </w:p>
        </w:tc>
      </w:tr>
      <w:tr w:rsidR="003A78D0" w:rsidRPr="00B02007" w14:paraId="579FA21E" w14:textId="77777777" w:rsidTr="002C66FC">
        <w:trPr>
          <w:trHeight w:val="1513"/>
        </w:trPr>
        <w:tc>
          <w:tcPr>
            <w:tcW w:w="2437" w:type="dxa"/>
          </w:tcPr>
          <w:p w14:paraId="56EAB51C" w14:textId="77777777" w:rsidR="003A78D0" w:rsidRPr="004811D0" w:rsidRDefault="003A78D0" w:rsidP="002C66FC">
            <w:pPr>
              <w:autoSpaceDE w:val="0"/>
              <w:autoSpaceDN w:val="0"/>
              <w:adjustRightInd w:val="0"/>
              <w:rPr>
                <w:sz w:val="22"/>
                <w:szCs w:val="22"/>
              </w:rPr>
            </w:pPr>
            <w:r w:rsidRPr="004811D0">
              <w:rPr>
                <w:sz w:val="22"/>
                <w:szCs w:val="22"/>
              </w:rPr>
              <w:t>Gastrointestinalni</w:t>
            </w:r>
          </w:p>
          <w:p w14:paraId="0532E3A5"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0C53D6B5" w14:textId="77777777" w:rsidR="003A78D0" w:rsidRPr="004811D0" w:rsidRDefault="003A78D0" w:rsidP="002C66FC">
            <w:pPr>
              <w:autoSpaceDE w:val="0"/>
              <w:autoSpaceDN w:val="0"/>
              <w:adjustRightInd w:val="0"/>
              <w:rPr>
                <w:sz w:val="22"/>
                <w:szCs w:val="22"/>
              </w:rPr>
            </w:pPr>
          </w:p>
        </w:tc>
        <w:tc>
          <w:tcPr>
            <w:tcW w:w="2437" w:type="dxa"/>
          </w:tcPr>
          <w:p w14:paraId="0760A637" w14:textId="77777777" w:rsidR="003A78D0" w:rsidRPr="004811D0" w:rsidRDefault="003A78D0" w:rsidP="002C66FC">
            <w:pPr>
              <w:autoSpaceDE w:val="0"/>
              <w:autoSpaceDN w:val="0"/>
              <w:adjustRightInd w:val="0"/>
              <w:rPr>
                <w:sz w:val="22"/>
                <w:szCs w:val="22"/>
              </w:rPr>
            </w:pPr>
            <w:r w:rsidRPr="004811D0">
              <w:rPr>
                <w:sz w:val="22"/>
                <w:szCs w:val="22"/>
              </w:rPr>
              <w:t>Mu</w:t>
            </w:r>
            <w:r w:rsidRPr="004811D0">
              <w:rPr>
                <w:rFonts w:eastAsia="TimesNewRoman"/>
                <w:sz w:val="22"/>
                <w:szCs w:val="22"/>
              </w:rPr>
              <w:t>č</w:t>
            </w:r>
            <w:r w:rsidRPr="004811D0">
              <w:rPr>
                <w:sz w:val="22"/>
                <w:szCs w:val="22"/>
              </w:rPr>
              <w:t>nina (G3/4: 5%);</w:t>
            </w:r>
          </w:p>
          <w:p w14:paraId="21D531E5" w14:textId="77777777" w:rsidR="003A78D0" w:rsidRPr="004811D0" w:rsidRDefault="003A78D0" w:rsidP="002C66FC">
            <w:pPr>
              <w:autoSpaceDE w:val="0"/>
              <w:autoSpaceDN w:val="0"/>
              <w:adjustRightInd w:val="0"/>
              <w:rPr>
                <w:sz w:val="22"/>
                <w:szCs w:val="22"/>
              </w:rPr>
            </w:pPr>
          </w:p>
          <w:p w14:paraId="0AE7F496" w14:textId="77777777" w:rsidR="003A78D0" w:rsidRPr="004811D0" w:rsidRDefault="003A78D0" w:rsidP="002C66FC">
            <w:pPr>
              <w:autoSpaceDE w:val="0"/>
              <w:autoSpaceDN w:val="0"/>
              <w:adjustRightInd w:val="0"/>
              <w:rPr>
                <w:sz w:val="22"/>
                <w:szCs w:val="22"/>
              </w:rPr>
            </w:pPr>
            <w:r w:rsidRPr="004811D0">
              <w:rPr>
                <w:sz w:val="22"/>
                <w:szCs w:val="22"/>
              </w:rPr>
              <w:t>Stomatitis (G3/4: 7,8%);</w:t>
            </w:r>
          </w:p>
          <w:p w14:paraId="7F9EE286" w14:textId="77777777" w:rsidR="003A78D0" w:rsidRPr="004811D0" w:rsidRDefault="003A78D0" w:rsidP="002C66FC">
            <w:pPr>
              <w:autoSpaceDE w:val="0"/>
              <w:autoSpaceDN w:val="0"/>
              <w:adjustRightInd w:val="0"/>
              <w:rPr>
                <w:sz w:val="22"/>
                <w:szCs w:val="22"/>
              </w:rPr>
            </w:pPr>
          </w:p>
          <w:p w14:paraId="0D652C30" w14:textId="77777777" w:rsidR="003A78D0" w:rsidRPr="004811D0" w:rsidRDefault="003A78D0" w:rsidP="002C66FC">
            <w:pPr>
              <w:autoSpaceDE w:val="0"/>
              <w:autoSpaceDN w:val="0"/>
              <w:adjustRightInd w:val="0"/>
              <w:rPr>
                <w:sz w:val="22"/>
                <w:szCs w:val="22"/>
              </w:rPr>
            </w:pPr>
            <w:r w:rsidRPr="004811D0">
              <w:rPr>
                <w:sz w:val="22"/>
                <w:szCs w:val="22"/>
              </w:rPr>
              <w:t>Dijareja (G3/4: 6,2%);</w:t>
            </w:r>
          </w:p>
          <w:p w14:paraId="7D5CEA80" w14:textId="77777777" w:rsidR="003A78D0" w:rsidRPr="004811D0" w:rsidRDefault="003A78D0" w:rsidP="002C66FC">
            <w:pPr>
              <w:autoSpaceDE w:val="0"/>
              <w:autoSpaceDN w:val="0"/>
              <w:adjustRightInd w:val="0"/>
              <w:rPr>
                <w:sz w:val="22"/>
                <w:szCs w:val="22"/>
              </w:rPr>
            </w:pPr>
          </w:p>
          <w:p w14:paraId="709D3220" w14:textId="77777777" w:rsidR="003A78D0" w:rsidRPr="004811D0" w:rsidRDefault="003A78D0" w:rsidP="002C66FC">
            <w:pPr>
              <w:autoSpaceDE w:val="0"/>
              <w:autoSpaceDN w:val="0"/>
              <w:adjustRightInd w:val="0"/>
              <w:rPr>
                <w:sz w:val="22"/>
                <w:szCs w:val="22"/>
              </w:rPr>
            </w:pPr>
            <w:r w:rsidRPr="004811D0">
              <w:rPr>
                <w:sz w:val="22"/>
                <w:szCs w:val="22"/>
              </w:rPr>
              <w:t>Povraćanje (G3/4: 5%);</w:t>
            </w:r>
          </w:p>
          <w:p w14:paraId="5998D8C1" w14:textId="77777777" w:rsidR="003A78D0" w:rsidRPr="004811D0" w:rsidRDefault="003A78D0" w:rsidP="002C66FC">
            <w:pPr>
              <w:autoSpaceDE w:val="0"/>
              <w:autoSpaceDN w:val="0"/>
              <w:adjustRightInd w:val="0"/>
              <w:rPr>
                <w:sz w:val="22"/>
                <w:szCs w:val="22"/>
              </w:rPr>
            </w:pPr>
          </w:p>
          <w:p w14:paraId="57C049F1" w14:textId="77777777" w:rsidR="003A78D0" w:rsidRPr="004811D0" w:rsidRDefault="003A78D0" w:rsidP="002C66FC">
            <w:pPr>
              <w:autoSpaceDE w:val="0"/>
              <w:autoSpaceDN w:val="0"/>
              <w:adjustRightInd w:val="0"/>
              <w:rPr>
                <w:sz w:val="22"/>
                <w:szCs w:val="22"/>
              </w:rPr>
            </w:pPr>
            <w:r w:rsidRPr="004811D0">
              <w:rPr>
                <w:sz w:val="22"/>
                <w:szCs w:val="22"/>
              </w:rPr>
              <w:t>Opstipacija</w:t>
            </w:r>
          </w:p>
          <w:p w14:paraId="06E176A0" w14:textId="77777777" w:rsidR="003A78D0" w:rsidRPr="004811D0" w:rsidRDefault="003A78D0" w:rsidP="002C66FC">
            <w:pPr>
              <w:autoSpaceDE w:val="0"/>
              <w:autoSpaceDN w:val="0"/>
              <w:adjustRightInd w:val="0"/>
              <w:rPr>
                <w:sz w:val="22"/>
                <w:szCs w:val="22"/>
              </w:rPr>
            </w:pPr>
          </w:p>
        </w:tc>
        <w:tc>
          <w:tcPr>
            <w:tcW w:w="2437" w:type="dxa"/>
          </w:tcPr>
          <w:p w14:paraId="129083F6" w14:textId="77777777" w:rsidR="003A78D0" w:rsidRPr="004811D0" w:rsidRDefault="003A78D0" w:rsidP="002C66FC">
            <w:pPr>
              <w:autoSpaceDE w:val="0"/>
              <w:autoSpaceDN w:val="0"/>
              <w:adjustRightInd w:val="0"/>
              <w:rPr>
                <w:sz w:val="22"/>
                <w:szCs w:val="22"/>
              </w:rPr>
            </w:pPr>
          </w:p>
          <w:p w14:paraId="4D2331CF" w14:textId="77777777" w:rsidR="003A78D0" w:rsidRPr="004811D0" w:rsidRDefault="003A78D0" w:rsidP="002C66FC">
            <w:pPr>
              <w:autoSpaceDE w:val="0"/>
              <w:autoSpaceDN w:val="0"/>
              <w:adjustRightInd w:val="0"/>
              <w:rPr>
                <w:sz w:val="22"/>
                <w:szCs w:val="22"/>
              </w:rPr>
            </w:pPr>
          </w:p>
          <w:p w14:paraId="5A3AA9F0" w14:textId="77777777" w:rsidR="003A78D0" w:rsidRPr="004811D0" w:rsidRDefault="003A78D0" w:rsidP="002C66FC">
            <w:pPr>
              <w:autoSpaceDE w:val="0"/>
              <w:autoSpaceDN w:val="0"/>
              <w:adjustRightInd w:val="0"/>
              <w:rPr>
                <w:sz w:val="22"/>
                <w:szCs w:val="22"/>
              </w:rPr>
            </w:pPr>
          </w:p>
          <w:p w14:paraId="179650EE" w14:textId="77777777" w:rsidR="003A78D0" w:rsidRPr="004811D0" w:rsidRDefault="003A78D0" w:rsidP="002C66FC">
            <w:pPr>
              <w:autoSpaceDE w:val="0"/>
              <w:autoSpaceDN w:val="0"/>
              <w:adjustRightInd w:val="0"/>
              <w:rPr>
                <w:sz w:val="22"/>
                <w:szCs w:val="22"/>
              </w:rPr>
            </w:pPr>
          </w:p>
        </w:tc>
        <w:tc>
          <w:tcPr>
            <w:tcW w:w="2438" w:type="dxa"/>
          </w:tcPr>
          <w:p w14:paraId="7CAB6DC9" w14:textId="77777777" w:rsidR="003A78D0" w:rsidRPr="004811D0" w:rsidRDefault="003A78D0" w:rsidP="002C66FC">
            <w:pPr>
              <w:autoSpaceDE w:val="0"/>
              <w:autoSpaceDN w:val="0"/>
              <w:adjustRightInd w:val="0"/>
              <w:rPr>
                <w:sz w:val="22"/>
                <w:szCs w:val="22"/>
              </w:rPr>
            </w:pPr>
          </w:p>
        </w:tc>
      </w:tr>
      <w:tr w:rsidR="003A78D0" w:rsidRPr="00B02007" w14:paraId="0E6E68AB" w14:textId="77777777" w:rsidTr="002C66FC">
        <w:trPr>
          <w:trHeight w:val="1768"/>
        </w:trPr>
        <w:tc>
          <w:tcPr>
            <w:tcW w:w="2437" w:type="dxa"/>
          </w:tcPr>
          <w:p w14:paraId="221B3A88" w14:textId="77777777" w:rsidR="003A78D0" w:rsidRPr="004811D0" w:rsidRDefault="003A78D0" w:rsidP="002C66FC">
            <w:pPr>
              <w:autoSpaceDE w:val="0"/>
              <w:autoSpaceDN w:val="0"/>
              <w:adjustRightInd w:val="0"/>
              <w:rPr>
                <w:sz w:val="22"/>
                <w:szCs w:val="22"/>
              </w:rPr>
            </w:pPr>
            <w:r w:rsidRPr="004811D0">
              <w:rPr>
                <w:sz w:val="22"/>
                <w:szCs w:val="22"/>
              </w:rPr>
              <w:lastRenderedPageBreak/>
              <w:t>Poreme</w:t>
            </w:r>
            <w:r w:rsidRPr="004811D0">
              <w:rPr>
                <w:rFonts w:eastAsia="TimesNewRoman"/>
                <w:sz w:val="22"/>
                <w:szCs w:val="22"/>
              </w:rPr>
              <w:t>ć</w:t>
            </w:r>
            <w:r w:rsidRPr="004811D0">
              <w:rPr>
                <w:sz w:val="22"/>
                <w:szCs w:val="22"/>
              </w:rPr>
              <w:t>aji kože i</w:t>
            </w:r>
          </w:p>
          <w:p w14:paraId="09A140E3" w14:textId="77777777" w:rsidR="003A78D0" w:rsidRPr="004811D0" w:rsidRDefault="003A78D0" w:rsidP="002C66FC">
            <w:pPr>
              <w:autoSpaceDE w:val="0"/>
              <w:autoSpaceDN w:val="0"/>
              <w:adjustRightInd w:val="0"/>
              <w:rPr>
                <w:sz w:val="22"/>
                <w:szCs w:val="22"/>
              </w:rPr>
            </w:pPr>
            <w:r w:rsidRPr="004811D0">
              <w:rPr>
                <w:sz w:val="22"/>
                <w:szCs w:val="22"/>
              </w:rPr>
              <w:t xml:space="preserve">potkožnog tkiva </w:t>
            </w:r>
          </w:p>
          <w:p w14:paraId="0A42F0E7" w14:textId="77777777" w:rsidR="003A78D0" w:rsidRPr="004811D0" w:rsidRDefault="003A78D0" w:rsidP="002C66FC">
            <w:pPr>
              <w:autoSpaceDE w:val="0"/>
              <w:autoSpaceDN w:val="0"/>
              <w:adjustRightInd w:val="0"/>
              <w:rPr>
                <w:sz w:val="22"/>
                <w:szCs w:val="22"/>
              </w:rPr>
            </w:pPr>
          </w:p>
        </w:tc>
        <w:tc>
          <w:tcPr>
            <w:tcW w:w="2437" w:type="dxa"/>
          </w:tcPr>
          <w:p w14:paraId="45207661" w14:textId="77777777" w:rsidR="003A78D0" w:rsidRPr="004811D0" w:rsidRDefault="003A78D0" w:rsidP="002C66FC">
            <w:pPr>
              <w:autoSpaceDE w:val="0"/>
              <w:autoSpaceDN w:val="0"/>
              <w:adjustRightInd w:val="0"/>
              <w:rPr>
                <w:sz w:val="22"/>
                <w:szCs w:val="22"/>
              </w:rPr>
            </w:pPr>
            <w:r w:rsidRPr="004811D0">
              <w:rPr>
                <w:sz w:val="22"/>
                <w:szCs w:val="22"/>
              </w:rPr>
              <w:t>Alopecija;</w:t>
            </w:r>
          </w:p>
          <w:p w14:paraId="096A4461" w14:textId="77777777" w:rsidR="003A78D0" w:rsidRPr="004811D0" w:rsidRDefault="003A78D0" w:rsidP="002C66FC">
            <w:pPr>
              <w:autoSpaceDE w:val="0"/>
              <w:autoSpaceDN w:val="0"/>
              <w:adjustRightInd w:val="0"/>
              <w:rPr>
                <w:sz w:val="22"/>
                <w:szCs w:val="22"/>
              </w:rPr>
            </w:pPr>
          </w:p>
          <w:p w14:paraId="4CCDE83F" w14:textId="77777777" w:rsidR="003A78D0" w:rsidRPr="004811D0" w:rsidRDefault="003A78D0" w:rsidP="002C66FC">
            <w:pPr>
              <w:autoSpaceDE w:val="0"/>
              <w:autoSpaceDN w:val="0"/>
              <w:adjustRightInd w:val="0"/>
              <w:rPr>
                <w:sz w:val="22"/>
                <w:szCs w:val="22"/>
              </w:rPr>
            </w:pPr>
            <w:r w:rsidRPr="004811D0">
              <w:rPr>
                <w:sz w:val="22"/>
                <w:szCs w:val="22"/>
              </w:rPr>
              <w:t>Promjene na noktima</w:t>
            </w:r>
          </w:p>
          <w:p w14:paraId="12539CC5" w14:textId="77777777" w:rsidR="003A78D0" w:rsidRPr="004811D0" w:rsidRDefault="003A78D0" w:rsidP="002C66FC">
            <w:pPr>
              <w:autoSpaceDE w:val="0"/>
              <w:autoSpaceDN w:val="0"/>
              <w:adjustRightInd w:val="0"/>
              <w:rPr>
                <w:sz w:val="22"/>
                <w:szCs w:val="22"/>
              </w:rPr>
            </w:pPr>
            <w:r w:rsidRPr="004811D0">
              <w:rPr>
                <w:sz w:val="22"/>
                <w:szCs w:val="22"/>
              </w:rPr>
              <w:t>(teške: 0,4%);</w:t>
            </w:r>
          </w:p>
          <w:p w14:paraId="2CB1E9EA" w14:textId="77777777" w:rsidR="003A78D0" w:rsidRPr="004811D0" w:rsidRDefault="003A78D0" w:rsidP="002C66FC">
            <w:pPr>
              <w:autoSpaceDE w:val="0"/>
              <w:autoSpaceDN w:val="0"/>
              <w:adjustRightInd w:val="0"/>
              <w:rPr>
                <w:sz w:val="22"/>
                <w:szCs w:val="22"/>
              </w:rPr>
            </w:pPr>
          </w:p>
          <w:p w14:paraId="40678043" w14:textId="77777777" w:rsidR="003A78D0" w:rsidRPr="004811D0" w:rsidRDefault="003A78D0" w:rsidP="002C66FC">
            <w:pPr>
              <w:autoSpaceDE w:val="0"/>
              <w:autoSpaceDN w:val="0"/>
              <w:adjustRightInd w:val="0"/>
              <w:rPr>
                <w:sz w:val="22"/>
                <w:szCs w:val="22"/>
              </w:rPr>
            </w:pPr>
            <w:r w:rsidRPr="004811D0">
              <w:rPr>
                <w:sz w:val="22"/>
                <w:szCs w:val="22"/>
              </w:rPr>
              <w:t>Kožne reakcije (nisu teške)</w:t>
            </w:r>
          </w:p>
        </w:tc>
        <w:tc>
          <w:tcPr>
            <w:tcW w:w="2437" w:type="dxa"/>
          </w:tcPr>
          <w:p w14:paraId="5DB06467" w14:textId="77777777" w:rsidR="003A78D0" w:rsidRPr="004811D0" w:rsidRDefault="003A78D0" w:rsidP="002C66FC">
            <w:pPr>
              <w:autoSpaceDE w:val="0"/>
              <w:autoSpaceDN w:val="0"/>
              <w:adjustRightInd w:val="0"/>
              <w:rPr>
                <w:sz w:val="22"/>
                <w:szCs w:val="22"/>
              </w:rPr>
            </w:pPr>
          </w:p>
        </w:tc>
        <w:tc>
          <w:tcPr>
            <w:tcW w:w="2438" w:type="dxa"/>
          </w:tcPr>
          <w:p w14:paraId="5308A9FE" w14:textId="77777777" w:rsidR="003A78D0" w:rsidRPr="004811D0" w:rsidRDefault="003A78D0" w:rsidP="002C66FC">
            <w:pPr>
              <w:autoSpaceDE w:val="0"/>
              <w:autoSpaceDN w:val="0"/>
              <w:adjustRightInd w:val="0"/>
              <w:rPr>
                <w:sz w:val="22"/>
                <w:szCs w:val="22"/>
              </w:rPr>
            </w:pPr>
          </w:p>
        </w:tc>
      </w:tr>
      <w:tr w:rsidR="003A78D0" w:rsidRPr="00B02007" w14:paraId="0BFE16BA" w14:textId="77777777" w:rsidTr="002C66FC">
        <w:trPr>
          <w:trHeight w:val="1016"/>
        </w:trPr>
        <w:tc>
          <w:tcPr>
            <w:tcW w:w="2437" w:type="dxa"/>
          </w:tcPr>
          <w:p w14:paraId="3CB2111B"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1647205D" w14:textId="77777777" w:rsidR="003A78D0" w:rsidRPr="004811D0" w:rsidRDefault="003A78D0" w:rsidP="002C66FC">
            <w:pPr>
              <w:autoSpaceDE w:val="0"/>
              <w:autoSpaceDN w:val="0"/>
              <w:adjustRightInd w:val="0"/>
              <w:rPr>
                <w:sz w:val="22"/>
                <w:szCs w:val="22"/>
              </w:rPr>
            </w:pPr>
            <w:r w:rsidRPr="004811D0">
              <w:rPr>
                <w:sz w:val="22"/>
                <w:szCs w:val="22"/>
              </w:rPr>
              <w:t>miši</w:t>
            </w:r>
            <w:r w:rsidRPr="004811D0">
              <w:rPr>
                <w:rFonts w:eastAsia="TimesNewRoman"/>
                <w:sz w:val="22"/>
                <w:szCs w:val="22"/>
              </w:rPr>
              <w:t>ć</w:t>
            </w:r>
            <w:r w:rsidRPr="004811D0">
              <w:rPr>
                <w:sz w:val="22"/>
                <w:szCs w:val="22"/>
              </w:rPr>
              <w:t>noskeletnog</w:t>
            </w:r>
          </w:p>
          <w:p w14:paraId="41B1444F" w14:textId="77777777" w:rsidR="003A78D0" w:rsidRPr="004811D0" w:rsidRDefault="003A78D0" w:rsidP="002C66FC">
            <w:pPr>
              <w:autoSpaceDE w:val="0"/>
              <w:autoSpaceDN w:val="0"/>
              <w:adjustRightInd w:val="0"/>
              <w:rPr>
                <w:sz w:val="22"/>
                <w:szCs w:val="22"/>
              </w:rPr>
            </w:pPr>
            <w:r w:rsidRPr="004811D0">
              <w:rPr>
                <w:sz w:val="22"/>
                <w:szCs w:val="22"/>
              </w:rPr>
              <w:t>sistema i vezivnog tkiva</w:t>
            </w:r>
          </w:p>
          <w:p w14:paraId="48967133" w14:textId="77777777" w:rsidR="003A78D0" w:rsidRPr="004811D0" w:rsidRDefault="003A78D0" w:rsidP="002C66FC">
            <w:pPr>
              <w:autoSpaceDE w:val="0"/>
              <w:autoSpaceDN w:val="0"/>
              <w:adjustRightInd w:val="0"/>
              <w:rPr>
                <w:sz w:val="22"/>
                <w:szCs w:val="22"/>
              </w:rPr>
            </w:pPr>
          </w:p>
        </w:tc>
        <w:tc>
          <w:tcPr>
            <w:tcW w:w="2437" w:type="dxa"/>
          </w:tcPr>
          <w:p w14:paraId="4E819DF3" w14:textId="77777777" w:rsidR="003A78D0" w:rsidRPr="004811D0" w:rsidRDefault="003A78D0" w:rsidP="002C66FC">
            <w:pPr>
              <w:autoSpaceDE w:val="0"/>
              <w:autoSpaceDN w:val="0"/>
              <w:adjustRightInd w:val="0"/>
              <w:rPr>
                <w:sz w:val="22"/>
                <w:szCs w:val="22"/>
              </w:rPr>
            </w:pPr>
          </w:p>
        </w:tc>
        <w:tc>
          <w:tcPr>
            <w:tcW w:w="2437" w:type="dxa"/>
          </w:tcPr>
          <w:p w14:paraId="5D9546BF" w14:textId="77777777" w:rsidR="003A78D0" w:rsidRPr="004811D0" w:rsidRDefault="003A78D0" w:rsidP="002C66FC">
            <w:pPr>
              <w:autoSpaceDE w:val="0"/>
              <w:autoSpaceDN w:val="0"/>
              <w:adjustRightInd w:val="0"/>
              <w:rPr>
                <w:sz w:val="22"/>
                <w:szCs w:val="22"/>
              </w:rPr>
            </w:pPr>
            <w:r w:rsidRPr="004811D0">
              <w:rPr>
                <w:sz w:val="22"/>
                <w:szCs w:val="22"/>
              </w:rPr>
              <w:t>Mialgija</w:t>
            </w:r>
          </w:p>
        </w:tc>
        <w:tc>
          <w:tcPr>
            <w:tcW w:w="2438" w:type="dxa"/>
          </w:tcPr>
          <w:p w14:paraId="42C7F490" w14:textId="77777777" w:rsidR="003A78D0" w:rsidRPr="004811D0" w:rsidRDefault="003A78D0" w:rsidP="002C66FC">
            <w:pPr>
              <w:autoSpaceDE w:val="0"/>
              <w:autoSpaceDN w:val="0"/>
              <w:adjustRightInd w:val="0"/>
              <w:rPr>
                <w:sz w:val="22"/>
                <w:szCs w:val="22"/>
              </w:rPr>
            </w:pPr>
          </w:p>
        </w:tc>
      </w:tr>
      <w:tr w:rsidR="003A78D0" w:rsidRPr="00B02007" w14:paraId="6C036ECF" w14:textId="77777777" w:rsidTr="002C66FC">
        <w:trPr>
          <w:trHeight w:val="1779"/>
        </w:trPr>
        <w:tc>
          <w:tcPr>
            <w:tcW w:w="2437" w:type="dxa"/>
          </w:tcPr>
          <w:p w14:paraId="2DBA8BF4" w14:textId="77777777" w:rsidR="003A78D0" w:rsidRPr="004811D0" w:rsidRDefault="003A78D0" w:rsidP="002C66FC">
            <w:pPr>
              <w:autoSpaceDE w:val="0"/>
              <w:autoSpaceDN w:val="0"/>
              <w:adjustRightInd w:val="0"/>
              <w:rPr>
                <w:sz w:val="22"/>
                <w:szCs w:val="22"/>
              </w:rPr>
            </w:pPr>
            <w:r w:rsidRPr="004811D0">
              <w:rPr>
                <w:sz w:val="22"/>
                <w:szCs w:val="22"/>
              </w:rPr>
              <w:t>Opšti poreme</w:t>
            </w:r>
            <w:r w:rsidRPr="004811D0">
              <w:rPr>
                <w:rFonts w:eastAsia="TimesNewRoman"/>
                <w:sz w:val="22"/>
                <w:szCs w:val="22"/>
              </w:rPr>
              <w:t>ć</w:t>
            </w:r>
            <w:r w:rsidRPr="004811D0">
              <w:rPr>
                <w:sz w:val="22"/>
                <w:szCs w:val="22"/>
              </w:rPr>
              <w:t>aji i</w:t>
            </w:r>
          </w:p>
          <w:p w14:paraId="6897D3D3" w14:textId="77777777" w:rsidR="003A78D0" w:rsidRPr="004811D0" w:rsidRDefault="003A78D0" w:rsidP="002C66FC">
            <w:pPr>
              <w:autoSpaceDE w:val="0"/>
              <w:autoSpaceDN w:val="0"/>
              <w:adjustRightInd w:val="0"/>
              <w:rPr>
                <w:sz w:val="22"/>
                <w:szCs w:val="22"/>
              </w:rPr>
            </w:pPr>
            <w:r w:rsidRPr="004811D0">
              <w:rPr>
                <w:sz w:val="22"/>
                <w:szCs w:val="22"/>
              </w:rPr>
              <w:t>promjene na mjestu</w:t>
            </w:r>
          </w:p>
          <w:p w14:paraId="23A62ABC" w14:textId="77777777" w:rsidR="003A78D0" w:rsidRPr="004811D0" w:rsidRDefault="003A78D0" w:rsidP="002C66FC">
            <w:pPr>
              <w:autoSpaceDE w:val="0"/>
              <w:autoSpaceDN w:val="0"/>
              <w:adjustRightInd w:val="0"/>
              <w:rPr>
                <w:sz w:val="22"/>
                <w:szCs w:val="22"/>
              </w:rPr>
            </w:pPr>
            <w:r w:rsidRPr="004811D0">
              <w:rPr>
                <w:sz w:val="22"/>
                <w:szCs w:val="22"/>
              </w:rPr>
              <w:t>primjene</w:t>
            </w:r>
          </w:p>
          <w:p w14:paraId="38C2230C" w14:textId="77777777" w:rsidR="003A78D0" w:rsidRPr="004811D0" w:rsidRDefault="003A78D0" w:rsidP="002C66FC">
            <w:pPr>
              <w:autoSpaceDE w:val="0"/>
              <w:autoSpaceDN w:val="0"/>
              <w:adjustRightInd w:val="0"/>
              <w:rPr>
                <w:sz w:val="22"/>
                <w:szCs w:val="22"/>
              </w:rPr>
            </w:pPr>
          </w:p>
        </w:tc>
        <w:tc>
          <w:tcPr>
            <w:tcW w:w="2437" w:type="dxa"/>
          </w:tcPr>
          <w:p w14:paraId="0AC75868" w14:textId="77777777" w:rsidR="003A78D0" w:rsidRPr="004811D0" w:rsidRDefault="003A78D0" w:rsidP="002C66FC">
            <w:pPr>
              <w:autoSpaceDE w:val="0"/>
              <w:autoSpaceDN w:val="0"/>
              <w:adjustRightInd w:val="0"/>
              <w:rPr>
                <w:sz w:val="22"/>
                <w:szCs w:val="22"/>
              </w:rPr>
            </w:pPr>
            <w:r w:rsidRPr="004811D0">
              <w:rPr>
                <w:sz w:val="22"/>
                <w:szCs w:val="22"/>
              </w:rPr>
              <w:t>Astenija (teška: 8,1%);</w:t>
            </w:r>
          </w:p>
          <w:p w14:paraId="1C97477B" w14:textId="77777777" w:rsidR="003A78D0" w:rsidRPr="004811D0" w:rsidRDefault="003A78D0" w:rsidP="002C66FC">
            <w:pPr>
              <w:autoSpaceDE w:val="0"/>
              <w:autoSpaceDN w:val="0"/>
              <w:adjustRightInd w:val="0"/>
              <w:rPr>
                <w:sz w:val="22"/>
                <w:szCs w:val="22"/>
              </w:rPr>
            </w:pPr>
          </w:p>
          <w:p w14:paraId="729DE7E9" w14:textId="77777777" w:rsidR="003A78D0" w:rsidRPr="004811D0" w:rsidRDefault="003A78D0" w:rsidP="002C66FC">
            <w:pPr>
              <w:autoSpaceDE w:val="0"/>
              <w:autoSpaceDN w:val="0"/>
              <w:adjustRightInd w:val="0"/>
              <w:rPr>
                <w:sz w:val="22"/>
                <w:szCs w:val="22"/>
              </w:rPr>
            </w:pPr>
            <w:r w:rsidRPr="004811D0">
              <w:rPr>
                <w:sz w:val="22"/>
                <w:szCs w:val="22"/>
              </w:rPr>
              <w:t>Retencija te</w:t>
            </w:r>
            <w:r w:rsidRPr="004811D0">
              <w:rPr>
                <w:rFonts w:eastAsia="TimesNewRoman"/>
                <w:sz w:val="22"/>
                <w:szCs w:val="22"/>
              </w:rPr>
              <w:t>č</w:t>
            </w:r>
            <w:r w:rsidRPr="004811D0">
              <w:rPr>
                <w:sz w:val="22"/>
                <w:szCs w:val="22"/>
              </w:rPr>
              <w:t>nosti (teška: 1,2%);</w:t>
            </w:r>
          </w:p>
          <w:p w14:paraId="2ED6D89F" w14:textId="77777777" w:rsidR="003A78D0" w:rsidRPr="004811D0" w:rsidRDefault="003A78D0" w:rsidP="002C66FC">
            <w:pPr>
              <w:autoSpaceDE w:val="0"/>
              <w:autoSpaceDN w:val="0"/>
              <w:adjustRightInd w:val="0"/>
              <w:rPr>
                <w:sz w:val="22"/>
                <w:szCs w:val="22"/>
              </w:rPr>
            </w:pPr>
          </w:p>
          <w:p w14:paraId="034112B9" w14:textId="77777777" w:rsidR="003A78D0" w:rsidRPr="004811D0" w:rsidRDefault="003A78D0" w:rsidP="002C66FC">
            <w:pPr>
              <w:autoSpaceDE w:val="0"/>
              <w:autoSpaceDN w:val="0"/>
              <w:adjustRightInd w:val="0"/>
              <w:rPr>
                <w:sz w:val="22"/>
                <w:szCs w:val="22"/>
              </w:rPr>
            </w:pPr>
            <w:r w:rsidRPr="004811D0">
              <w:rPr>
                <w:sz w:val="22"/>
                <w:szCs w:val="22"/>
              </w:rPr>
              <w:t>Bol</w:t>
            </w:r>
          </w:p>
          <w:p w14:paraId="7277F734" w14:textId="77777777" w:rsidR="003A78D0" w:rsidRPr="004811D0" w:rsidRDefault="003A78D0" w:rsidP="002C66FC">
            <w:pPr>
              <w:autoSpaceDE w:val="0"/>
              <w:autoSpaceDN w:val="0"/>
              <w:adjustRightInd w:val="0"/>
              <w:rPr>
                <w:sz w:val="22"/>
                <w:szCs w:val="22"/>
              </w:rPr>
            </w:pPr>
          </w:p>
        </w:tc>
        <w:tc>
          <w:tcPr>
            <w:tcW w:w="2437" w:type="dxa"/>
          </w:tcPr>
          <w:p w14:paraId="7F538857" w14:textId="77777777" w:rsidR="003A78D0" w:rsidRPr="004811D0" w:rsidRDefault="003A78D0" w:rsidP="002C66FC">
            <w:pPr>
              <w:autoSpaceDE w:val="0"/>
              <w:autoSpaceDN w:val="0"/>
              <w:adjustRightInd w:val="0"/>
              <w:rPr>
                <w:sz w:val="22"/>
                <w:szCs w:val="22"/>
              </w:rPr>
            </w:pPr>
            <w:r w:rsidRPr="004811D0">
              <w:rPr>
                <w:sz w:val="22"/>
                <w:szCs w:val="22"/>
              </w:rPr>
              <w:t>Reakcije na mjestu infuzije</w:t>
            </w:r>
          </w:p>
        </w:tc>
        <w:tc>
          <w:tcPr>
            <w:tcW w:w="2438" w:type="dxa"/>
          </w:tcPr>
          <w:p w14:paraId="42A26B84" w14:textId="77777777" w:rsidR="003A78D0" w:rsidRPr="004811D0" w:rsidRDefault="003A78D0" w:rsidP="002C66FC">
            <w:pPr>
              <w:autoSpaceDE w:val="0"/>
              <w:autoSpaceDN w:val="0"/>
              <w:adjustRightInd w:val="0"/>
              <w:rPr>
                <w:sz w:val="22"/>
                <w:szCs w:val="22"/>
              </w:rPr>
            </w:pPr>
          </w:p>
        </w:tc>
      </w:tr>
      <w:tr w:rsidR="003A78D0" w:rsidRPr="00B02007" w14:paraId="30475545" w14:textId="77777777" w:rsidTr="002C66FC">
        <w:trPr>
          <w:trHeight w:val="1768"/>
        </w:trPr>
        <w:tc>
          <w:tcPr>
            <w:tcW w:w="2437" w:type="dxa"/>
          </w:tcPr>
          <w:p w14:paraId="5ABEDC74" w14:textId="77777777" w:rsidR="003A78D0" w:rsidRPr="004811D0" w:rsidRDefault="003A78D0" w:rsidP="002C66FC">
            <w:pPr>
              <w:autoSpaceDE w:val="0"/>
              <w:autoSpaceDN w:val="0"/>
              <w:adjustRightInd w:val="0"/>
              <w:rPr>
                <w:sz w:val="22"/>
                <w:szCs w:val="22"/>
              </w:rPr>
            </w:pPr>
            <w:r w:rsidRPr="004811D0">
              <w:rPr>
                <w:sz w:val="22"/>
                <w:szCs w:val="22"/>
              </w:rPr>
              <w:t>Ispitivanja</w:t>
            </w:r>
          </w:p>
        </w:tc>
        <w:tc>
          <w:tcPr>
            <w:tcW w:w="2437" w:type="dxa"/>
          </w:tcPr>
          <w:p w14:paraId="671C45A6" w14:textId="77777777" w:rsidR="003A78D0" w:rsidRPr="004811D0" w:rsidRDefault="003A78D0" w:rsidP="002C66FC">
            <w:pPr>
              <w:autoSpaceDE w:val="0"/>
              <w:autoSpaceDN w:val="0"/>
              <w:adjustRightInd w:val="0"/>
              <w:rPr>
                <w:sz w:val="22"/>
                <w:szCs w:val="22"/>
              </w:rPr>
            </w:pPr>
          </w:p>
        </w:tc>
        <w:tc>
          <w:tcPr>
            <w:tcW w:w="2437" w:type="dxa"/>
          </w:tcPr>
          <w:p w14:paraId="42A8E6A4" w14:textId="77777777" w:rsidR="003A78D0" w:rsidRPr="003A78D0" w:rsidRDefault="003A78D0" w:rsidP="002C66FC">
            <w:pPr>
              <w:autoSpaceDE w:val="0"/>
              <w:autoSpaceDN w:val="0"/>
              <w:adjustRightInd w:val="0"/>
              <w:rPr>
                <w:sz w:val="22"/>
                <w:szCs w:val="22"/>
                <w:lang w:val="de-DE"/>
              </w:rPr>
            </w:pPr>
            <w:r w:rsidRPr="003A78D0">
              <w:rPr>
                <w:sz w:val="22"/>
                <w:szCs w:val="22"/>
                <w:lang w:val="de-DE"/>
              </w:rPr>
              <w:t>Povišen bilirubin u krvi G3/4 (</w:t>
            </w:r>
            <w:r w:rsidRPr="003A78D0">
              <w:rPr>
                <w:rFonts w:eastAsia="MS Mincho"/>
                <w:sz w:val="22"/>
                <w:szCs w:val="22"/>
                <w:lang w:val="de-DE"/>
              </w:rPr>
              <w:t xml:space="preserve">&lt; </w:t>
            </w:r>
            <w:r w:rsidRPr="003A78D0">
              <w:rPr>
                <w:sz w:val="22"/>
                <w:szCs w:val="22"/>
                <w:lang w:val="de-DE"/>
              </w:rPr>
              <w:t>2,5%);</w:t>
            </w:r>
          </w:p>
          <w:p w14:paraId="64A50CA6" w14:textId="77777777" w:rsidR="003A78D0" w:rsidRPr="003A78D0" w:rsidRDefault="003A78D0" w:rsidP="002C66FC">
            <w:pPr>
              <w:autoSpaceDE w:val="0"/>
              <w:autoSpaceDN w:val="0"/>
              <w:adjustRightInd w:val="0"/>
              <w:rPr>
                <w:sz w:val="22"/>
                <w:szCs w:val="22"/>
                <w:lang w:val="de-DE"/>
              </w:rPr>
            </w:pPr>
          </w:p>
          <w:p w14:paraId="2AE32BCD" w14:textId="77777777" w:rsidR="003A78D0" w:rsidRPr="004811D0" w:rsidRDefault="003A78D0" w:rsidP="002C66FC">
            <w:pPr>
              <w:autoSpaceDE w:val="0"/>
              <w:autoSpaceDN w:val="0"/>
              <w:adjustRightInd w:val="0"/>
              <w:rPr>
                <w:sz w:val="22"/>
                <w:szCs w:val="22"/>
              </w:rPr>
            </w:pPr>
            <w:r w:rsidRPr="004811D0">
              <w:rPr>
                <w:sz w:val="22"/>
                <w:szCs w:val="22"/>
              </w:rPr>
              <w:t>Povišene vrijednosti ALT G3/4 (</w:t>
            </w:r>
            <w:r w:rsidRPr="004811D0">
              <w:rPr>
                <w:rFonts w:eastAsia="MS Mincho"/>
                <w:sz w:val="22"/>
                <w:szCs w:val="22"/>
              </w:rPr>
              <w:t>&lt;</w:t>
            </w:r>
            <w:r>
              <w:rPr>
                <w:rFonts w:eastAsia="MS Mincho"/>
                <w:sz w:val="22"/>
                <w:szCs w:val="22"/>
              </w:rPr>
              <w:t xml:space="preserve"> </w:t>
            </w:r>
            <w:r w:rsidRPr="004811D0">
              <w:rPr>
                <w:rFonts w:eastAsia="MS Mincho"/>
                <w:sz w:val="22"/>
                <w:szCs w:val="22"/>
              </w:rPr>
              <w:t>2</w:t>
            </w:r>
            <w:r w:rsidRPr="004811D0">
              <w:rPr>
                <w:sz w:val="22"/>
                <w:szCs w:val="22"/>
              </w:rPr>
              <w:t>,5%)</w:t>
            </w:r>
          </w:p>
          <w:p w14:paraId="681415BC" w14:textId="77777777" w:rsidR="003A78D0" w:rsidRPr="004811D0" w:rsidRDefault="003A78D0" w:rsidP="002C66FC">
            <w:pPr>
              <w:autoSpaceDE w:val="0"/>
              <w:autoSpaceDN w:val="0"/>
              <w:adjustRightInd w:val="0"/>
              <w:rPr>
                <w:sz w:val="22"/>
                <w:szCs w:val="22"/>
              </w:rPr>
            </w:pPr>
          </w:p>
        </w:tc>
        <w:tc>
          <w:tcPr>
            <w:tcW w:w="2438" w:type="dxa"/>
          </w:tcPr>
          <w:p w14:paraId="6592CB53" w14:textId="77777777" w:rsidR="003A78D0" w:rsidRPr="004811D0" w:rsidRDefault="003A78D0" w:rsidP="002C66FC">
            <w:pPr>
              <w:autoSpaceDE w:val="0"/>
              <w:autoSpaceDN w:val="0"/>
              <w:adjustRightInd w:val="0"/>
              <w:rPr>
                <w:sz w:val="22"/>
                <w:szCs w:val="22"/>
              </w:rPr>
            </w:pPr>
            <w:r w:rsidRPr="004811D0">
              <w:rPr>
                <w:sz w:val="22"/>
                <w:szCs w:val="22"/>
              </w:rPr>
              <w:t>Povišene vrijednosti AST G3/4 (</w:t>
            </w:r>
            <w:r w:rsidRPr="004811D0">
              <w:rPr>
                <w:rFonts w:eastAsia="MS Mincho"/>
                <w:sz w:val="22"/>
                <w:szCs w:val="22"/>
              </w:rPr>
              <w:t>&lt;</w:t>
            </w:r>
            <w:r>
              <w:rPr>
                <w:rFonts w:eastAsia="MS Mincho"/>
                <w:sz w:val="22"/>
                <w:szCs w:val="22"/>
              </w:rPr>
              <w:t xml:space="preserve"> </w:t>
            </w:r>
            <w:r w:rsidRPr="004811D0">
              <w:rPr>
                <w:rFonts w:eastAsia="MS Mincho"/>
                <w:sz w:val="22"/>
                <w:szCs w:val="22"/>
              </w:rPr>
              <w:t>1</w:t>
            </w:r>
            <w:r w:rsidRPr="004811D0">
              <w:rPr>
                <w:sz w:val="22"/>
                <w:szCs w:val="22"/>
              </w:rPr>
              <w:t>%);</w:t>
            </w:r>
          </w:p>
          <w:p w14:paraId="4B8F1CEC" w14:textId="77777777" w:rsidR="003A78D0" w:rsidRPr="004811D0" w:rsidRDefault="003A78D0" w:rsidP="002C66FC">
            <w:pPr>
              <w:autoSpaceDE w:val="0"/>
              <w:autoSpaceDN w:val="0"/>
              <w:adjustRightInd w:val="0"/>
              <w:rPr>
                <w:sz w:val="22"/>
                <w:szCs w:val="22"/>
              </w:rPr>
            </w:pPr>
          </w:p>
          <w:p w14:paraId="4C55678B" w14:textId="77777777" w:rsidR="003A78D0" w:rsidRPr="004811D0" w:rsidRDefault="003A78D0" w:rsidP="002C66FC">
            <w:pPr>
              <w:autoSpaceDE w:val="0"/>
              <w:autoSpaceDN w:val="0"/>
              <w:adjustRightInd w:val="0"/>
              <w:rPr>
                <w:sz w:val="22"/>
                <w:szCs w:val="22"/>
              </w:rPr>
            </w:pPr>
            <w:r w:rsidRPr="004811D0">
              <w:rPr>
                <w:sz w:val="22"/>
                <w:szCs w:val="22"/>
              </w:rPr>
              <w:t>Povišene vrijednosti</w:t>
            </w:r>
          </w:p>
          <w:p w14:paraId="03722939" w14:textId="77777777" w:rsidR="003A78D0" w:rsidRPr="004811D0" w:rsidRDefault="003A78D0" w:rsidP="002C66FC">
            <w:pPr>
              <w:autoSpaceDE w:val="0"/>
              <w:autoSpaceDN w:val="0"/>
              <w:adjustRightInd w:val="0"/>
              <w:rPr>
                <w:sz w:val="22"/>
                <w:szCs w:val="22"/>
              </w:rPr>
            </w:pPr>
            <w:r w:rsidRPr="004811D0">
              <w:rPr>
                <w:sz w:val="22"/>
                <w:szCs w:val="22"/>
              </w:rPr>
              <w:t>alkalne fosfataze G3/4</w:t>
            </w:r>
          </w:p>
          <w:p w14:paraId="4DA42E7F" w14:textId="77777777" w:rsidR="003A78D0" w:rsidRPr="004811D0" w:rsidRDefault="003A78D0" w:rsidP="002C66FC">
            <w:pPr>
              <w:autoSpaceDE w:val="0"/>
              <w:autoSpaceDN w:val="0"/>
              <w:adjustRightInd w:val="0"/>
              <w:rPr>
                <w:sz w:val="22"/>
                <w:szCs w:val="22"/>
              </w:rPr>
            </w:pPr>
            <w:r w:rsidRPr="004811D0">
              <w:rPr>
                <w:sz w:val="22"/>
                <w:szCs w:val="22"/>
              </w:rPr>
              <w:t>(</w:t>
            </w:r>
            <w:r w:rsidRPr="004811D0">
              <w:rPr>
                <w:rFonts w:eastAsia="MS Mincho"/>
                <w:sz w:val="22"/>
                <w:szCs w:val="22"/>
              </w:rPr>
              <w:t>&lt;</w:t>
            </w:r>
            <w:r>
              <w:rPr>
                <w:rFonts w:eastAsia="MS Mincho"/>
                <w:sz w:val="22"/>
                <w:szCs w:val="22"/>
              </w:rPr>
              <w:t xml:space="preserve"> </w:t>
            </w:r>
            <w:r w:rsidRPr="004811D0">
              <w:rPr>
                <w:rFonts w:eastAsia="MS Mincho"/>
                <w:sz w:val="22"/>
                <w:szCs w:val="22"/>
              </w:rPr>
              <w:t>1</w:t>
            </w:r>
            <w:r w:rsidRPr="004811D0">
              <w:rPr>
                <w:sz w:val="22"/>
                <w:szCs w:val="22"/>
              </w:rPr>
              <w:t>%)</w:t>
            </w:r>
          </w:p>
          <w:p w14:paraId="2E98A038" w14:textId="77777777" w:rsidR="003A78D0" w:rsidRPr="004811D0" w:rsidRDefault="003A78D0" w:rsidP="002C66FC">
            <w:pPr>
              <w:autoSpaceDE w:val="0"/>
              <w:autoSpaceDN w:val="0"/>
              <w:adjustRightInd w:val="0"/>
              <w:rPr>
                <w:sz w:val="22"/>
                <w:szCs w:val="22"/>
              </w:rPr>
            </w:pPr>
          </w:p>
        </w:tc>
      </w:tr>
    </w:tbl>
    <w:p w14:paraId="3B9EF223" w14:textId="77777777" w:rsidR="003A78D0" w:rsidRPr="004811D0" w:rsidRDefault="003A78D0" w:rsidP="003A78D0">
      <w:pPr>
        <w:pStyle w:val="Header"/>
        <w:tabs>
          <w:tab w:val="left" w:pos="284"/>
        </w:tabs>
        <w:rPr>
          <w:bCs/>
          <w:iCs/>
          <w:sz w:val="22"/>
          <w:szCs w:val="22"/>
          <w:u w:val="single"/>
        </w:rPr>
      </w:pPr>
    </w:p>
    <w:p w14:paraId="5BBBF9C9" w14:textId="77777777" w:rsidR="003A78D0" w:rsidRPr="00B02007" w:rsidRDefault="003A78D0" w:rsidP="003A78D0">
      <w:pPr>
        <w:pStyle w:val="Header"/>
        <w:tabs>
          <w:tab w:val="left" w:pos="284"/>
        </w:tabs>
        <w:rPr>
          <w:bCs/>
          <w:iCs/>
          <w:sz w:val="22"/>
          <w:szCs w:val="22"/>
          <w:u w:val="single"/>
        </w:rPr>
      </w:pPr>
      <w:r w:rsidRPr="004811D0">
        <w:rPr>
          <w:bCs/>
          <w:iCs/>
          <w:sz w:val="22"/>
          <w:szCs w:val="22"/>
          <w:u w:val="single"/>
        </w:rPr>
        <w:t>Tabelarni prikaz neželjenih reakcija kod nemikrocelularnog karcinoma pluća za</w:t>
      </w:r>
      <w:r w:rsidRPr="004811D0">
        <w:rPr>
          <w:bCs/>
          <w:i/>
          <w:iCs/>
          <w:sz w:val="22"/>
          <w:szCs w:val="22"/>
          <w:u w:val="single"/>
        </w:rPr>
        <w:t xml:space="preserve"> docetaksel 75 mg/m² u kombinaciji sa </w:t>
      </w:r>
      <w:r w:rsidRPr="00B02007">
        <w:rPr>
          <w:bCs/>
          <w:i/>
          <w:iCs/>
          <w:sz w:val="22"/>
          <w:szCs w:val="22"/>
          <w:u w:val="single"/>
        </w:rPr>
        <w:t>cisplatinom</w:t>
      </w:r>
    </w:p>
    <w:p w14:paraId="556A8263" w14:textId="77777777" w:rsidR="003A78D0" w:rsidRPr="004811D0" w:rsidRDefault="003A78D0" w:rsidP="003A78D0">
      <w:pPr>
        <w:pStyle w:val="Header"/>
        <w:tabs>
          <w:tab w:val="left" w:pos="284"/>
        </w:tabs>
        <w:rPr>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1"/>
        <w:gridCol w:w="2431"/>
        <w:gridCol w:w="2431"/>
        <w:gridCol w:w="2432"/>
      </w:tblGrid>
      <w:tr w:rsidR="003A78D0" w:rsidRPr="00B02007" w14:paraId="73949C05" w14:textId="77777777" w:rsidTr="002C66FC">
        <w:trPr>
          <w:trHeight w:val="1018"/>
        </w:trPr>
        <w:tc>
          <w:tcPr>
            <w:tcW w:w="2431" w:type="dxa"/>
          </w:tcPr>
          <w:p w14:paraId="7218FF28" w14:textId="77777777" w:rsidR="003A78D0" w:rsidRPr="004811D0" w:rsidRDefault="003A78D0" w:rsidP="002C66FC">
            <w:pPr>
              <w:autoSpaceDE w:val="0"/>
              <w:autoSpaceDN w:val="0"/>
              <w:adjustRightInd w:val="0"/>
              <w:rPr>
                <w:sz w:val="22"/>
                <w:szCs w:val="22"/>
              </w:rPr>
            </w:pPr>
            <w:r w:rsidRPr="004811D0">
              <w:rPr>
                <w:b/>
                <w:bCs/>
                <w:sz w:val="22"/>
                <w:szCs w:val="22"/>
              </w:rPr>
              <w:t>Organski sistemi po</w:t>
            </w:r>
          </w:p>
          <w:p w14:paraId="440190A6" w14:textId="77777777" w:rsidR="003A78D0" w:rsidRPr="004811D0" w:rsidRDefault="003A78D0" w:rsidP="002C66FC">
            <w:pPr>
              <w:autoSpaceDE w:val="0"/>
              <w:autoSpaceDN w:val="0"/>
              <w:adjustRightInd w:val="0"/>
              <w:rPr>
                <w:b/>
                <w:bCs/>
                <w:sz w:val="22"/>
                <w:szCs w:val="22"/>
              </w:rPr>
            </w:pPr>
            <w:r w:rsidRPr="004811D0">
              <w:rPr>
                <w:b/>
                <w:bCs/>
                <w:sz w:val="22"/>
                <w:szCs w:val="22"/>
              </w:rPr>
              <w:t>MedDRA</w:t>
            </w:r>
          </w:p>
          <w:p w14:paraId="0B171889" w14:textId="77777777" w:rsidR="003A78D0" w:rsidRPr="004811D0" w:rsidRDefault="003A78D0" w:rsidP="002C66FC">
            <w:pPr>
              <w:autoSpaceDE w:val="0"/>
              <w:autoSpaceDN w:val="0"/>
              <w:adjustRightInd w:val="0"/>
              <w:rPr>
                <w:sz w:val="22"/>
                <w:szCs w:val="22"/>
              </w:rPr>
            </w:pPr>
          </w:p>
        </w:tc>
        <w:tc>
          <w:tcPr>
            <w:tcW w:w="2431" w:type="dxa"/>
          </w:tcPr>
          <w:p w14:paraId="1014E649" w14:textId="77777777" w:rsidR="003A78D0" w:rsidRPr="004811D0" w:rsidRDefault="003A78D0" w:rsidP="002C66FC">
            <w:pPr>
              <w:autoSpaceDE w:val="0"/>
              <w:autoSpaceDN w:val="0"/>
              <w:adjustRightInd w:val="0"/>
              <w:rPr>
                <w:b/>
                <w:bCs/>
                <w:sz w:val="22"/>
                <w:szCs w:val="22"/>
              </w:rPr>
            </w:pPr>
            <w:r w:rsidRPr="004811D0">
              <w:rPr>
                <w:b/>
                <w:bCs/>
                <w:sz w:val="22"/>
                <w:szCs w:val="22"/>
              </w:rPr>
              <w:t xml:space="preserve">Veoma </w:t>
            </w:r>
            <w:r w:rsidRPr="004811D0">
              <w:rPr>
                <w:rFonts w:eastAsia="TimesNewRoman,Bold"/>
                <w:b/>
                <w:bCs/>
                <w:sz w:val="22"/>
                <w:szCs w:val="22"/>
              </w:rPr>
              <w:t>č</w:t>
            </w:r>
            <w:r w:rsidRPr="004811D0">
              <w:rPr>
                <w:b/>
                <w:bCs/>
                <w:sz w:val="22"/>
                <w:szCs w:val="22"/>
              </w:rPr>
              <w:t>esta neželjena dejstva</w:t>
            </w:r>
          </w:p>
          <w:p w14:paraId="0CD33FEF" w14:textId="77777777" w:rsidR="003A78D0" w:rsidRPr="004811D0" w:rsidRDefault="003A78D0" w:rsidP="002C66FC">
            <w:pPr>
              <w:autoSpaceDE w:val="0"/>
              <w:autoSpaceDN w:val="0"/>
              <w:adjustRightInd w:val="0"/>
              <w:rPr>
                <w:sz w:val="22"/>
                <w:szCs w:val="22"/>
              </w:rPr>
            </w:pPr>
          </w:p>
        </w:tc>
        <w:tc>
          <w:tcPr>
            <w:tcW w:w="2431" w:type="dxa"/>
          </w:tcPr>
          <w:p w14:paraId="1F487D42" w14:textId="77777777" w:rsidR="003A78D0" w:rsidRPr="004811D0" w:rsidRDefault="003A78D0" w:rsidP="002C66FC">
            <w:pPr>
              <w:autoSpaceDE w:val="0"/>
              <w:autoSpaceDN w:val="0"/>
              <w:adjustRightInd w:val="0"/>
              <w:rPr>
                <w:b/>
                <w:bCs/>
                <w:sz w:val="22"/>
                <w:szCs w:val="22"/>
              </w:rPr>
            </w:pPr>
            <w:r w:rsidRPr="004811D0">
              <w:rPr>
                <w:rFonts w:eastAsia="TimesNewRoman,Bold"/>
                <w:b/>
                <w:bCs/>
                <w:sz w:val="22"/>
                <w:szCs w:val="22"/>
              </w:rPr>
              <w:t>Č</w:t>
            </w:r>
            <w:r w:rsidRPr="004811D0">
              <w:rPr>
                <w:b/>
                <w:bCs/>
                <w:sz w:val="22"/>
                <w:szCs w:val="22"/>
              </w:rPr>
              <w:t>esta neželjena dejstva</w:t>
            </w:r>
          </w:p>
          <w:p w14:paraId="3AFA00C1" w14:textId="77777777" w:rsidR="003A78D0" w:rsidRPr="004811D0" w:rsidRDefault="003A78D0" w:rsidP="002C66FC">
            <w:pPr>
              <w:autoSpaceDE w:val="0"/>
              <w:autoSpaceDN w:val="0"/>
              <w:adjustRightInd w:val="0"/>
              <w:rPr>
                <w:b/>
                <w:bCs/>
                <w:sz w:val="22"/>
                <w:szCs w:val="22"/>
              </w:rPr>
            </w:pPr>
          </w:p>
          <w:p w14:paraId="23FBB34C" w14:textId="77777777" w:rsidR="003A78D0" w:rsidRPr="004811D0" w:rsidRDefault="003A78D0" w:rsidP="002C66FC">
            <w:pPr>
              <w:autoSpaceDE w:val="0"/>
              <w:autoSpaceDN w:val="0"/>
              <w:adjustRightInd w:val="0"/>
              <w:rPr>
                <w:sz w:val="22"/>
                <w:szCs w:val="22"/>
              </w:rPr>
            </w:pPr>
          </w:p>
        </w:tc>
        <w:tc>
          <w:tcPr>
            <w:tcW w:w="2432" w:type="dxa"/>
          </w:tcPr>
          <w:p w14:paraId="0A1A3385" w14:textId="77777777" w:rsidR="003A78D0" w:rsidRPr="004811D0" w:rsidRDefault="003A78D0" w:rsidP="002C66FC">
            <w:pPr>
              <w:autoSpaceDE w:val="0"/>
              <w:autoSpaceDN w:val="0"/>
              <w:adjustRightInd w:val="0"/>
              <w:rPr>
                <w:b/>
                <w:bCs/>
                <w:sz w:val="22"/>
                <w:szCs w:val="22"/>
              </w:rPr>
            </w:pPr>
            <w:r w:rsidRPr="004811D0">
              <w:rPr>
                <w:b/>
                <w:bCs/>
                <w:sz w:val="22"/>
                <w:szCs w:val="22"/>
              </w:rPr>
              <w:t>Povremena neželjena</w:t>
            </w:r>
          </w:p>
          <w:p w14:paraId="2A371EAE" w14:textId="77777777" w:rsidR="003A78D0" w:rsidRPr="004811D0" w:rsidRDefault="003A78D0" w:rsidP="002C66FC">
            <w:pPr>
              <w:autoSpaceDE w:val="0"/>
              <w:autoSpaceDN w:val="0"/>
              <w:adjustRightInd w:val="0"/>
              <w:rPr>
                <w:b/>
                <w:bCs/>
                <w:sz w:val="22"/>
                <w:szCs w:val="22"/>
              </w:rPr>
            </w:pPr>
            <w:r w:rsidRPr="004811D0">
              <w:rPr>
                <w:b/>
                <w:bCs/>
                <w:sz w:val="22"/>
                <w:szCs w:val="22"/>
              </w:rPr>
              <w:t>Dejstva</w:t>
            </w:r>
          </w:p>
          <w:p w14:paraId="1FA0B6E1" w14:textId="77777777" w:rsidR="003A78D0" w:rsidRPr="004811D0" w:rsidRDefault="003A78D0" w:rsidP="002C66FC">
            <w:pPr>
              <w:autoSpaceDE w:val="0"/>
              <w:autoSpaceDN w:val="0"/>
              <w:adjustRightInd w:val="0"/>
              <w:rPr>
                <w:sz w:val="22"/>
                <w:szCs w:val="22"/>
              </w:rPr>
            </w:pPr>
          </w:p>
        </w:tc>
      </w:tr>
      <w:tr w:rsidR="003A78D0" w:rsidRPr="00B02007" w14:paraId="765D5CC0" w14:textId="77777777" w:rsidTr="002C66FC">
        <w:trPr>
          <w:trHeight w:val="497"/>
        </w:trPr>
        <w:tc>
          <w:tcPr>
            <w:tcW w:w="2431" w:type="dxa"/>
          </w:tcPr>
          <w:p w14:paraId="27325432" w14:textId="77777777" w:rsidR="003A78D0" w:rsidRPr="004811D0" w:rsidRDefault="003A78D0" w:rsidP="002C66FC">
            <w:pPr>
              <w:autoSpaceDE w:val="0"/>
              <w:autoSpaceDN w:val="0"/>
              <w:adjustRightInd w:val="0"/>
              <w:rPr>
                <w:sz w:val="22"/>
                <w:szCs w:val="22"/>
              </w:rPr>
            </w:pPr>
            <w:r w:rsidRPr="004811D0">
              <w:rPr>
                <w:sz w:val="22"/>
                <w:szCs w:val="22"/>
              </w:rPr>
              <w:t>Infekcije i infestacije</w:t>
            </w:r>
          </w:p>
        </w:tc>
        <w:tc>
          <w:tcPr>
            <w:tcW w:w="2431" w:type="dxa"/>
          </w:tcPr>
          <w:p w14:paraId="50D4B6B0" w14:textId="77777777" w:rsidR="003A78D0" w:rsidRPr="004811D0" w:rsidRDefault="003A78D0" w:rsidP="002C66FC">
            <w:pPr>
              <w:autoSpaceDE w:val="0"/>
              <w:autoSpaceDN w:val="0"/>
              <w:adjustRightInd w:val="0"/>
              <w:rPr>
                <w:sz w:val="22"/>
                <w:szCs w:val="22"/>
              </w:rPr>
            </w:pPr>
            <w:r w:rsidRPr="004811D0">
              <w:rPr>
                <w:sz w:val="22"/>
                <w:szCs w:val="22"/>
              </w:rPr>
              <w:t>Infekcije (G3/4: 5,7%)</w:t>
            </w:r>
          </w:p>
          <w:p w14:paraId="0B716471" w14:textId="77777777" w:rsidR="003A78D0" w:rsidRPr="004811D0" w:rsidRDefault="003A78D0" w:rsidP="002C66FC">
            <w:pPr>
              <w:autoSpaceDE w:val="0"/>
              <w:autoSpaceDN w:val="0"/>
              <w:adjustRightInd w:val="0"/>
              <w:rPr>
                <w:sz w:val="22"/>
                <w:szCs w:val="22"/>
              </w:rPr>
            </w:pPr>
          </w:p>
        </w:tc>
        <w:tc>
          <w:tcPr>
            <w:tcW w:w="2431" w:type="dxa"/>
          </w:tcPr>
          <w:p w14:paraId="1827091D" w14:textId="77777777" w:rsidR="003A78D0" w:rsidRPr="004811D0" w:rsidRDefault="003A78D0" w:rsidP="002C66FC">
            <w:pPr>
              <w:autoSpaceDE w:val="0"/>
              <w:autoSpaceDN w:val="0"/>
              <w:adjustRightInd w:val="0"/>
              <w:rPr>
                <w:sz w:val="22"/>
                <w:szCs w:val="22"/>
              </w:rPr>
            </w:pPr>
          </w:p>
        </w:tc>
        <w:tc>
          <w:tcPr>
            <w:tcW w:w="2432" w:type="dxa"/>
          </w:tcPr>
          <w:p w14:paraId="2C954AA5" w14:textId="77777777" w:rsidR="003A78D0" w:rsidRPr="004811D0" w:rsidRDefault="003A78D0" w:rsidP="002C66FC">
            <w:pPr>
              <w:autoSpaceDE w:val="0"/>
              <w:autoSpaceDN w:val="0"/>
              <w:adjustRightInd w:val="0"/>
              <w:rPr>
                <w:sz w:val="22"/>
                <w:szCs w:val="22"/>
              </w:rPr>
            </w:pPr>
          </w:p>
        </w:tc>
      </w:tr>
      <w:tr w:rsidR="003A78D0" w:rsidRPr="00B02007" w14:paraId="5D5D1FBE" w14:textId="77777777" w:rsidTr="002C66FC">
        <w:trPr>
          <w:trHeight w:val="1781"/>
        </w:trPr>
        <w:tc>
          <w:tcPr>
            <w:tcW w:w="2431" w:type="dxa"/>
          </w:tcPr>
          <w:p w14:paraId="76BC3685"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krvi i</w:t>
            </w:r>
          </w:p>
          <w:p w14:paraId="2D84876D" w14:textId="77777777" w:rsidR="003A78D0" w:rsidRPr="004811D0" w:rsidRDefault="003A78D0" w:rsidP="002C66FC">
            <w:pPr>
              <w:autoSpaceDE w:val="0"/>
              <w:autoSpaceDN w:val="0"/>
              <w:adjustRightInd w:val="0"/>
              <w:rPr>
                <w:sz w:val="22"/>
                <w:szCs w:val="22"/>
              </w:rPr>
            </w:pPr>
            <w:r w:rsidRPr="004811D0">
              <w:rPr>
                <w:sz w:val="22"/>
                <w:szCs w:val="22"/>
              </w:rPr>
              <w:t>limfnog sistema</w:t>
            </w:r>
          </w:p>
          <w:p w14:paraId="504C24DB" w14:textId="77777777" w:rsidR="003A78D0" w:rsidRPr="004811D0" w:rsidRDefault="003A78D0" w:rsidP="002C66FC">
            <w:pPr>
              <w:autoSpaceDE w:val="0"/>
              <w:autoSpaceDN w:val="0"/>
              <w:adjustRightInd w:val="0"/>
              <w:rPr>
                <w:sz w:val="22"/>
                <w:szCs w:val="22"/>
              </w:rPr>
            </w:pPr>
          </w:p>
        </w:tc>
        <w:tc>
          <w:tcPr>
            <w:tcW w:w="2431" w:type="dxa"/>
          </w:tcPr>
          <w:p w14:paraId="142ED19C" w14:textId="77777777" w:rsidR="003A78D0" w:rsidRPr="004811D0" w:rsidRDefault="003A78D0" w:rsidP="002C66FC">
            <w:pPr>
              <w:autoSpaceDE w:val="0"/>
              <w:autoSpaceDN w:val="0"/>
              <w:adjustRightInd w:val="0"/>
              <w:rPr>
                <w:sz w:val="22"/>
                <w:szCs w:val="22"/>
              </w:rPr>
            </w:pPr>
            <w:r w:rsidRPr="004811D0">
              <w:rPr>
                <w:sz w:val="22"/>
                <w:szCs w:val="22"/>
              </w:rPr>
              <w:t>Neutropenija (G4:51,5%);</w:t>
            </w:r>
          </w:p>
          <w:p w14:paraId="632BFE4C" w14:textId="77777777" w:rsidR="003A78D0" w:rsidRPr="004811D0" w:rsidRDefault="003A78D0" w:rsidP="002C66FC">
            <w:pPr>
              <w:autoSpaceDE w:val="0"/>
              <w:autoSpaceDN w:val="0"/>
              <w:adjustRightInd w:val="0"/>
              <w:rPr>
                <w:sz w:val="22"/>
                <w:szCs w:val="22"/>
              </w:rPr>
            </w:pPr>
          </w:p>
          <w:p w14:paraId="29C7A565" w14:textId="77777777" w:rsidR="003A78D0" w:rsidRPr="004811D0" w:rsidRDefault="003A78D0" w:rsidP="002C66FC">
            <w:pPr>
              <w:autoSpaceDE w:val="0"/>
              <w:autoSpaceDN w:val="0"/>
              <w:adjustRightInd w:val="0"/>
              <w:rPr>
                <w:sz w:val="22"/>
                <w:szCs w:val="22"/>
              </w:rPr>
            </w:pPr>
            <w:r w:rsidRPr="004811D0">
              <w:rPr>
                <w:sz w:val="22"/>
                <w:szCs w:val="22"/>
              </w:rPr>
              <w:t>Anemija (G3/4: 6,9%);</w:t>
            </w:r>
          </w:p>
          <w:p w14:paraId="6B20C9DD" w14:textId="77777777" w:rsidR="003A78D0" w:rsidRPr="004811D0" w:rsidRDefault="003A78D0" w:rsidP="002C66FC">
            <w:pPr>
              <w:autoSpaceDE w:val="0"/>
              <w:autoSpaceDN w:val="0"/>
              <w:adjustRightInd w:val="0"/>
              <w:rPr>
                <w:sz w:val="22"/>
                <w:szCs w:val="22"/>
              </w:rPr>
            </w:pPr>
          </w:p>
          <w:p w14:paraId="63ED09A3" w14:textId="77777777" w:rsidR="003A78D0" w:rsidRPr="004811D0" w:rsidRDefault="003A78D0" w:rsidP="002C66FC">
            <w:pPr>
              <w:autoSpaceDE w:val="0"/>
              <w:autoSpaceDN w:val="0"/>
              <w:adjustRightInd w:val="0"/>
              <w:rPr>
                <w:sz w:val="22"/>
                <w:szCs w:val="22"/>
              </w:rPr>
            </w:pPr>
            <w:r w:rsidRPr="004811D0">
              <w:rPr>
                <w:sz w:val="22"/>
                <w:szCs w:val="22"/>
              </w:rPr>
              <w:t>Trombocitopenija (G4:</w:t>
            </w:r>
          </w:p>
          <w:p w14:paraId="179790DA" w14:textId="77777777" w:rsidR="003A78D0" w:rsidRPr="004811D0" w:rsidRDefault="003A78D0" w:rsidP="002C66FC">
            <w:pPr>
              <w:autoSpaceDE w:val="0"/>
              <w:autoSpaceDN w:val="0"/>
              <w:adjustRightInd w:val="0"/>
              <w:rPr>
                <w:sz w:val="22"/>
                <w:szCs w:val="22"/>
              </w:rPr>
            </w:pPr>
            <w:r w:rsidRPr="004811D0">
              <w:rPr>
                <w:sz w:val="22"/>
                <w:szCs w:val="22"/>
              </w:rPr>
              <w:t>0,5%)</w:t>
            </w:r>
          </w:p>
        </w:tc>
        <w:tc>
          <w:tcPr>
            <w:tcW w:w="2431" w:type="dxa"/>
          </w:tcPr>
          <w:p w14:paraId="2C9CBE7C" w14:textId="77777777" w:rsidR="003A78D0" w:rsidRPr="004811D0" w:rsidRDefault="003A78D0" w:rsidP="002C66FC">
            <w:pPr>
              <w:autoSpaceDE w:val="0"/>
              <w:autoSpaceDN w:val="0"/>
              <w:adjustRightInd w:val="0"/>
              <w:rPr>
                <w:sz w:val="22"/>
                <w:szCs w:val="22"/>
              </w:rPr>
            </w:pPr>
            <w:r w:rsidRPr="004811D0">
              <w:rPr>
                <w:sz w:val="22"/>
                <w:szCs w:val="22"/>
              </w:rPr>
              <w:t>Febrilna neutropenija</w:t>
            </w:r>
          </w:p>
          <w:p w14:paraId="144452DF" w14:textId="77777777" w:rsidR="003A78D0" w:rsidRPr="004811D0" w:rsidRDefault="003A78D0" w:rsidP="002C66FC">
            <w:pPr>
              <w:autoSpaceDE w:val="0"/>
              <w:autoSpaceDN w:val="0"/>
              <w:adjustRightInd w:val="0"/>
              <w:rPr>
                <w:sz w:val="22"/>
                <w:szCs w:val="22"/>
              </w:rPr>
            </w:pPr>
          </w:p>
        </w:tc>
        <w:tc>
          <w:tcPr>
            <w:tcW w:w="2432" w:type="dxa"/>
          </w:tcPr>
          <w:p w14:paraId="1C2BF4DA" w14:textId="77777777" w:rsidR="003A78D0" w:rsidRPr="004811D0" w:rsidRDefault="003A78D0" w:rsidP="002C66FC">
            <w:pPr>
              <w:autoSpaceDE w:val="0"/>
              <w:autoSpaceDN w:val="0"/>
              <w:adjustRightInd w:val="0"/>
              <w:rPr>
                <w:sz w:val="22"/>
                <w:szCs w:val="22"/>
              </w:rPr>
            </w:pPr>
          </w:p>
        </w:tc>
      </w:tr>
      <w:tr w:rsidR="003A78D0" w:rsidRPr="00B02007" w14:paraId="41A4AB1F" w14:textId="77777777" w:rsidTr="002C66FC">
        <w:trPr>
          <w:trHeight w:val="387"/>
        </w:trPr>
        <w:tc>
          <w:tcPr>
            <w:tcW w:w="2431" w:type="dxa"/>
          </w:tcPr>
          <w:p w14:paraId="58979FFA"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imunog</w:t>
            </w:r>
          </w:p>
          <w:p w14:paraId="4BE11F7F" w14:textId="77777777" w:rsidR="003A78D0" w:rsidRPr="004811D0" w:rsidRDefault="003A78D0" w:rsidP="002C66FC">
            <w:pPr>
              <w:autoSpaceDE w:val="0"/>
              <w:autoSpaceDN w:val="0"/>
              <w:adjustRightInd w:val="0"/>
              <w:rPr>
                <w:sz w:val="22"/>
                <w:szCs w:val="22"/>
              </w:rPr>
            </w:pPr>
            <w:r w:rsidRPr="004811D0">
              <w:rPr>
                <w:sz w:val="22"/>
                <w:szCs w:val="22"/>
              </w:rPr>
              <w:t>sistema</w:t>
            </w:r>
          </w:p>
          <w:p w14:paraId="168237A3" w14:textId="77777777" w:rsidR="003A78D0" w:rsidRPr="004811D0" w:rsidRDefault="003A78D0" w:rsidP="002C66FC">
            <w:pPr>
              <w:autoSpaceDE w:val="0"/>
              <w:autoSpaceDN w:val="0"/>
              <w:adjustRightInd w:val="0"/>
              <w:rPr>
                <w:sz w:val="22"/>
                <w:szCs w:val="22"/>
              </w:rPr>
            </w:pPr>
          </w:p>
        </w:tc>
        <w:tc>
          <w:tcPr>
            <w:tcW w:w="2431" w:type="dxa"/>
          </w:tcPr>
          <w:p w14:paraId="1C9D1C4B" w14:textId="77777777" w:rsidR="003A78D0" w:rsidRPr="004811D0" w:rsidRDefault="003A78D0" w:rsidP="002C66FC">
            <w:pPr>
              <w:autoSpaceDE w:val="0"/>
              <w:autoSpaceDN w:val="0"/>
              <w:adjustRightInd w:val="0"/>
              <w:rPr>
                <w:sz w:val="22"/>
                <w:szCs w:val="22"/>
              </w:rPr>
            </w:pPr>
            <w:r w:rsidRPr="004811D0">
              <w:rPr>
                <w:sz w:val="22"/>
                <w:szCs w:val="22"/>
              </w:rPr>
              <w:t>Preosjetljivost (G3/4:</w:t>
            </w:r>
          </w:p>
          <w:p w14:paraId="525325F0" w14:textId="77777777" w:rsidR="003A78D0" w:rsidRPr="004811D0" w:rsidRDefault="003A78D0" w:rsidP="002C66FC">
            <w:pPr>
              <w:autoSpaceDE w:val="0"/>
              <w:autoSpaceDN w:val="0"/>
              <w:adjustRightInd w:val="0"/>
              <w:rPr>
                <w:sz w:val="22"/>
                <w:szCs w:val="22"/>
              </w:rPr>
            </w:pPr>
            <w:r w:rsidRPr="004811D0">
              <w:rPr>
                <w:sz w:val="22"/>
                <w:szCs w:val="22"/>
              </w:rPr>
              <w:t>2,5%)</w:t>
            </w:r>
          </w:p>
          <w:p w14:paraId="5AE346F8" w14:textId="77777777" w:rsidR="003A78D0" w:rsidRPr="004811D0" w:rsidRDefault="003A78D0" w:rsidP="002C66FC">
            <w:pPr>
              <w:autoSpaceDE w:val="0"/>
              <w:autoSpaceDN w:val="0"/>
              <w:adjustRightInd w:val="0"/>
              <w:rPr>
                <w:sz w:val="22"/>
                <w:szCs w:val="22"/>
              </w:rPr>
            </w:pPr>
          </w:p>
        </w:tc>
        <w:tc>
          <w:tcPr>
            <w:tcW w:w="2431" w:type="dxa"/>
          </w:tcPr>
          <w:p w14:paraId="5C268FAE" w14:textId="77777777" w:rsidR="003A78D0" w:rsidRPr="004811D0" w:rsidRDefault="003A78D0" w:rsidP="002C66FC">
            <w:pPr>
              <w:autoSpaceDE w:val="0"/>
              <w:autoSpaceDN w:val="0"/>
              <w:adjustRightInd w:val="0"/>
              <w:rPr>
                <w:sz w:val="22"/>
                <w:szCs w:val="22"/>
              </w:rPr>
            </w:pPr>
          </w:p>
        </w:tc>
        <w:tc>
          <w:tcPr>
            <w:tcW w:w="2432" w:type="dxa"/>
          </w:tcPr>
          <w:p w14:paraId="4E62DC27" w14:textId="77777777" w:rsidR="003A78D0" w:rsidRPr="004811D0" w:rsidRDefault="003A78D0" w:rsidP="002C66FC">
            <w:pPr>
              <w:autoSpaceDE w:val="0"/>
              <w:autoSpaceDN w:val="0"/>
              <w:adjustRightInd w:val="0"/>
              <w:rPr>
                <w:sz w:val="22"/>
                <w:szCs w:val="22"/>
              </w:rPr>
            </w:pPr>
          </w:p>
        </w:tc>
      </w:tr>
      <w:tr w:rsidR="003A78D0" w:rsidRPr="00B02007" w14:paraId="2BEDD70F" w14:textId="77777777" w:rsidTr="002C66FC">
        <w:trPr>
          <w:trHeight w:val="387"/>
        </w:trPr>
        <w:tc>
          <w:tcPr>
            <w:tcW w:w="2431" w:type="dxa"/>
          </w:tcPr>
          <w:p w14:paraId="65458DC4"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 xml:space="preserve">aji </w:t>
            </w:r>
          </w:p>
          <w:p w14:paraId="385C7950" w14:textId="77777777" w:rsidR="003A78D0" w:rsidRPr="004811D0" w:rsidRDefault="003A78D0" w:rsidP="002C66FC">
            <w:pPr>
              <w:autoSpaceDE w:val="0"/>
              <w:autoSpaceDN w:val="0"/>
              <w:adjustRightInd w:val="0"/>
              <w:rPr>
                <w:sz w:val="22"/>
                <w:szCs w:val="22"/>
              </w:rPr>
            </w:pPr>
            <w:r w:rsidRPr="004811D0">
              <w:rPr>
                <w:sz w:val="22"/>
                <w:szCs w:val="22"/>
              </w:rPr>
              <w:t>metabolizma i ishrane</w:t>
            </w:r>
          </w:p>
          <w:p w14:paraId="4EA6B51F" w14:textId="77777777" w:rsidR="003A78D0" w:rsidRPr="004811D0" w:rsidRDefault="003A78D0" w:rsidP="002C66FC">
            <w:pPr>
              <w:autoSpaceDE w:val="0"/>
              <w:autoSpaceDN w:val="0"/>
              <w:adjustRightInd w:val="0"/>
              <w:rPr>
                <w:sz w:val="22"/>
                <w:szCs w:val="22"/>
              </w:rPr>
            </w:pPr>
          </w:p>
        </w:tc>
        <w:tc>
          <w:tcPr>
            <w:tcW w:w="2431" w:type="dxa"/>
          </w:tcPr>
          <w:p w14:paraId="6C7F55E7" w14:textId="77777777" w:rsidR="003A78D0" w:rsidRPr="004811D0" w:rsidRDefault="003A78D0" w:rsidP="002C66FC">
            <w:pPr>
              <w:autoSpaceDE w:val="0"/>
              <w:autoSpaceDN w:val="0"/>
              <w:adjustRightInd w:val="0"/>
              <w:rPr>
                <w:sz w:val="22"/>
                <w:szCs w:val="22"/>
              </w:rPr>
            </w:pPr>
            <w:r w:rsidRPr="004811D0">
              <w:rPr>
                <w:sz w:val="22"/>
                <w:szCs w:val="22"/>
              </w:rPr>
              <w:t>Anoreksija</w:t>
            </w:r>
          </w:p>
        </w:tc>
        <w:tc>
          <w:tcPr>
            <w:tcW w:w="2431" w:type="dxa"/>
          </w:tcPr>
          <w:p w14:paraId="6C0F717B" w14:textId="77777777" w:rsidR="003A78D0" w:rsidRPr="004811D0" w:rsidDel="00AD0C06" w:rsidRDefault="003A78D0" w:rsidP="002C66FC">
            <w:pPr>
              <w:autoSpaceDE w:val="0"/>
              <w:autoSpaceDN w:val="0"/>
              <w:adjustRightInd w:val="0"/>
              <w:rPr>
                <w:sz w:val="22"/>
                <w:szCs w:val="22"/>
              </w:rPr>
            </w:pPr>
          </w:p>
        </w:tc>
        <w:tc>
          <w:tcPr>
            <w:tcW w:w="2432" w:type="dxa"/>
          </w:tcPr>
          <w:p w14:paraId="2781718C" w14:textId="77777777" w:rsidR="003A78D0" w:rsidRPr="004811D0" w:rsidDel="00AD0C06" w:rsidRDefault="003A78D0" w:rsidP="002C66FC">
            <w:pPr>
              <w:autoSpaceDE w:val="0"/>
              <w:autoSpaceDN w:val="0"/>
              <w:adjustRightInd w:val="0"/>
              <w:rPr>
                <w:sz w:val="22"/>
                <w:szCs w:val="22"/>
              </w:rPr>
            </w:pPr>
          </w:p>
        </w:tc>
      </w:tr>
      <w:tr w:rsidR="003A78D0" w:rsidRPr="00B02007" w14:paraId="66B1C789" w14:textId="77777777" w:rsidTr="002C66FC">
        <w:trPr>
          <w:trHeight w:val="387"/>
        </w:trPr>
        <w:tc>
          <w:tcPr>
            <w:tcW w:w="2431" w:type="dxa"/>
          </w:tcPr>
          <w:p w14:paraId="5E603410"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 nervnog</w:t>
            </w:r>
          </w:p>
          <w:p w14:paraId="2BBA2CF2" w14:textId="77777777" w:rsidR="003A78D0" w:rsidRPr="004811D0" w:rsidRDefault="003A78D0" w:rsidP="002C66FC">
            <w:pPr>
              <w:autoSpaceDE w:val="0"/>
              <w:autoSpaceDN w:val="0"/>
              <w:adjustRightInd w:val="0"/>
              <w:rPr>
                <w:sz w:val="22"/>
                <w:szCs w:val="22"/>
              </w:rPr>
            </w:pPr>
            <w:r w:rsidRPr="004811D0">
              <w:rPr>
                <w:sz w:val="22"/>
                <w:szCs w:val="22"/>
              </w:rPr>
              <w:t>sistema</w:t>
            </w:r>
          </w:p>
          <w:p w14:paraId="205AFF4E" w14:textId="77777777" w:rsidR="003A78D0" w:rsidRPr="004811D0" w:rsidRDefault="003A78D0" w:rsidP="002C66FC">
            <w:pPr>
              <w:autoSpaceDE w:val="0"/>
              <w:autoSpaceDN w:val="0"/>
              <w:adjustRightInd w:val="0"/>
              <w:rPr>
                <w:sz w:val="22"/>
                <w:szCs w:val="22"/>
              </w:rPr>
            </w:pPr>
          </w:p>
        </w:tc>
        <w:tc>
          <w:tcPr>
            <w:tcW w:w="2431" w:type="dxa"/>
          </w:tcPr>
          <w:p w14:paraId="5E012070" w14:textId="77777777" w:rsidR="003A78D0" w:rsidRPr="004811D0" w:rsidRDefault="003A78D0" w:rsidP="002C66FC">
            <w:pPr>
              <w:autoSpaceDE w:val="0"/>
              <w:autoSpaceDN w:val="0"/>
              <w:adjustRightInd w:val="0"/>
              <w:rPr>
                <w:sz w:val="22"/>
                <w:szCs w:val="22"/>
              </w:rPr>
            </w:pPr>
            <w:r w:rsidRPr="004811D0">
              <w:rPr>
                <w:sz w:val="22"/>
                <w:szCs w:val="22"/>
              </w:rPr>
              <w:t>Periferna senzorna</w:t>
            </w:r>
          </w:p>
          <w:p w14:paraId="6C463F01" w14:textId="77777777" w:rsidR="003A78D0" w:rsidRPr="004811D0" w:rsidRDefault="003A78D0" w:rsidP="002C66FC">
            <w:pPr>
              <w:autoSpaceDE w:val="0"/>
              <w:autoSpaceDN w:val="0"/>
              <w:adjustRightInd w:val="0"/>
              <w:rPr>
                <w:sz w:val="22"/>
                <w:szCs w:val="22"/>
              </w:rPr>
            </w:pPr>
            <w:r w:rsidRPr="004811D0">
              <w:rPr>
                <w:sz w:val="22"/>
                <w:szCs w:val="22"/>
              </w:rPr>
              <w:t>neuropatija (G3: 3,7%);</w:t>
            </w:r>
          </w:p>
          <w:p w14:paraId="5DEBECCB" w14:textId="77777777" w:rsidR="003A78D0" w:rsidRPr="004811D0" w:rsidRDefault="003A78D0" w:rsidP="002C66FC">
            <w:pPr>
              <w:autoSpaceDE w:val="0"/>
              <w:autoSpaceDN w:val="0"/>
              <w:adjustRightInd w:val="0"/>
              <w:rPr>
                <w:sz w:val="22"/>
                <w:szCs w:val="22"/>
              </w:rPr>
            </w:pPr>
          </w:p>
          <w:p w14:paraId="3EE80316" w14:textId="77777777" w:rsidR="003A78D0" w:rsidRPr="004811D0" w:rsidRDefault="003A78D0" w:rsidP="002C66FC">
            <w:pPr>
              <w:autoSpaceDE w:val="0"/>
              <w:autoSpaceDN w:val="0"/>
              <w:adjustRightInd w:val="0"/>
              <w:rPr>
                <w:sz w:val="22"/>
                <w:szCs w:val="22"/>
              </w:rPr>
            </w:pPr>
            <w:r w:rsidRPr="004811D0">
              <w:rPr>
                <w:sz w:val="22"/>
                <w:szCs w:val="22"/>
              </w:rPr>
              <w:t>Periferna motorna</w:t>
            </w:r>
          </w:p>
          <w:p w14:paraId="65CB2693" w14:textId="77777777" w:rsidR="003A78D0" w:rsidRPr="004811D0" w:rsidRDefault="003A78D0" w:rsidP="002C66FC">
            <w:pPr>
              <w:autoSpaceDE w:val="0"/>
              <w:autoSpaceDN w:val="0"/>
              <w:adjustRightInd w:val="0"/>
              <w:rPr>
                <w:sz w:val="22"/>
                <w:szCs w:val="22"/>
              </w:rPr>
            </w:pPr>
            <w:r w:rsidRPr="004811D0">
              <w:rPr>
                <w:sz w:val="22"/>
                <w:szCs w:val="22"/>
              </w:rPr>
              <w:t>neuropatija (G3/4: 2%)</w:t>
            </w:r>
          </w:p>
        </w:tc>
        <w:tc>
          <w:tcPr>
            <w:tcW w:w="2431" w:type="dxa"/>
          </w:tcPr>
          <w:p w14:paraId="3D93CF76" w14:textId="77777777" w:rsidR="003A78D0" w:rsidRPr="004811D0" w:rsidDel="00AD0C06" w:rsidRDefault="003A78D0" w:rsidP="002C66FC">
            <w:pPr>
              <w:autoSpaceDE w:val="0"/>
              <w:autoSpaceDN w:val="0"/>
              <w:adjustRightInd w:val="0"/>
              <w:rPr>
                <w:sz w:val="22"/>
                <w:szCs w:val="22"/>
              </w:rPr>
            </w:pPr>
          </w:p>
        </w:tc>
        <w:tc>
          <w:tcPr>
            <w:tcW w:w="2432" w:type="dxa"/>
          </w:tcPr>
          <w:p w14:paraId="6A8AB795" w14:textId="77777777" w:rsidR="003A78D0" w:rsidRPr="004811D0" w:rsidDel="00AD0C06" w:rsidRDefault="003A78D0" w:rsidP="002C66FC">
            <w:pPr>
              <w:autoSpaceDE w:val="0"/>
              <w:autoSpaceDN w:val="0"/>
              <w:adjustRightInd w:val="0"/>
              <w:rPr>
                <w:sz w:val="22"/>
                <w:szCs w:val="22"/>
              </w:rPr>
            </w:pPr>
          </w:p>
        </w:tc>
      </w:tr>
      <w:tr w:rsidR="003A78D0" w:rsidRPr="00B02007" w14:paraId="1E60477C" w14:textId="77777777" w:rsidTr="002C66FC">
        <w:trPr>
          <w:trHeight w:val="509"/>
        </w:trPr>
        <w:tc>
          <w:tcPr>
            <w:tcW w:w="2431" w:type="dxa"/>
          </w:tcPr>
          <w:p w14:paraId="4D40CF00" w14:textId="77777777" w:rsidR="003A78D0" w:rsidRPr="004811D0" w:rsidRDefault="003A78D0"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ani poreme</w:t>
            </w:r>
            <w:r w:rsidRPr="004811D0">
              <w:rPr>
                <w:rFonts w:eastAsia="TimesNewRoman"/>
                <w:sz w:val="22"/>
                <w:szCs w:val="22"/>
              </w:rPr>
              <w:t>ć</w:t>
            </w:r>
            <w:r w:rsidRPr="004811D0">
              <w:rPr>
                <w:sz w:val="22"/>
                <w:szCs w:val="22"/>
              </w:rPr>
              <w:t>aji</w:t>
            </w:r>
          </w:p>
        </w:tc>
        <w:tc>
          <w:tcPr>
            <w:tcW w:w="2431" w:type="dxa"/>
          </w:tcPr>
          <w:p w14:paraId="4A5212FC" w14:textId="77777777" w:rsidR="003A78D0" w:rsidRPr="004811D0" w:rsidRDefault="003A78D0" w:rsidP="002C66FC">
            <w:pPr>
              <w:autoSpaceDE w:val="0"/>
              <w:autoSpaceDN w:val="0"/>
              <w:adjustRightInd w:val="0"/>
              <w:rPr>
                <w:sz w:val="22"/>
                <w:szCs w:val="22"/>
              </w:rPr>
            </w:pPr>
          </w:p>
        </w:tc>
        <w:tc>
          <w:tcPr>
            <w:tcW w:w="2431" w:type="dxa"/>
          </w:tcPr>
          <w:p w14:paraId="49AF1B2C" w14:textId="77777777" w:rsidR="003A78D0" w:rsidRPr="004811D0" w:rsidRDefault="003A78D0" w:rsidP="002C66FC">
            <w:pPr>
              <w:autoSpaceDE w:val="0"/>
              <w:autoSpaceDN w:val="0"/>
              <w:adjustRightInd w:val="0"/>
              <w:rPr>
                <w:sz w:val="22"/>
                <w:szCs w:val="22"/>
              </w:rPr>
            </w:pPr>
            <w:r w:rsidRPr="004811D0">
              <w:rPr>
                <w:sz w:val="22"/>
                <w:szCs w:val="22"/>
              </w:rPr>
              <w:t>Aritmija (G3/4: 0,7%)</w:t>
            </w:r>
          </w:p>
        </w:tc>
        <w:tc>
          <w:tcPr>
            <w:tcW w:w="2432" w:type="dxa"/>
          </w:tcPr>
          <w:p w14:paraId="5DB247B7" w14:textId="77777777" w:rsidR="003A78D0" w:rsidRPr="004811D0" w:rsidRDefault="003A78D0" w:rsidP="002C66FC">
            <w:pPr>
              <w:autoSpaceDE w:val="0"/>
              <w:autoSpaceDN w:val="0"/>
              <w:adjustRightInd w:val="0"/>
              <w:rPr>
                <w:sz w:val="22"/>
                <w:szCs w:val="22"/>
              </w:rPr>
            </w:pPr>
            <w:r w:rsidRPr="004811D0">
              <w:rPr>
                <w:sz w:val="22"/>
                <w:szCs w:val="22"/>
              </w:rPr>
              <w:t>Sr</w:t>
            </w:r>
            <w:r w:rsidRPr="004811D0">
              <w:rPr>
                <w:rFonts w:eastAsia="TimesNewRoman"/>
                <w:sz w:val="22"/>
                <w:szCs w:val="22"/>
              </w:rPr>
              <w:t>č</w:t>
            </w:r>
            <w:r w:rsidRPr="004811D0">
              <w:rPr>
                <w:sz w:val="22"/>
                <w:szCs w:val="22"/>
              </w:rPr>
              <w:t>ana insuficijencija</w:t>
            </w:r>
          </w:p>
          <w:p w14:paraId="1B76246E" w14:textId="77777777" w:rsidR="003A78D0" w:rsidRPr="004811D0" w:rsidRDefault="003A78D0" w:rsidP="002C66FC">
            <w:pPr>
              <w:autoSpaceDE w:val="0"/>
              <w:autoSpaceDN w:val="0"/>
              <w:adjustRightInd w:val="0"/>
              <w:rPr>
                <w:sz w:val="22"/>
                <w:szCs w:val="22"/>
              </w:rPr>
            </w:pPr>
          </w:p>
        </w:tc>
      </w:tr>
      <w:tr w:rsidR="003A78D0" w:rsidRPr="00B02007" w14:paraId="27F92A88" w14:textId="77777777" w:rsidTr="002C66FC">
        <w:trPr>
          <w:trHeight w:val="243"/>
        </w:trPr>
        <w:tc>
          <w:tcPr>
            <w:tcW w:w="2431" w:type="dxa"/>
          </w:tcPr>
          <w:p w14:paraId="6EA32A60" w14:textId="77777777" w:rsidR="003A78D0" w:rsidRPr="004811D0" w:rsidRDefault="003A78D0" w:rsidP="002C66FC">
            <w:pPr>
              <w:autoSpaceDE w:val="0"/>
              <w:autoSpaceDN w:val="0"/>
              <w:adjustRightInd w:val="0"/>
              <w:rPr>
                <w:sz w:val="22"/>
                <w:szCs w:val="22"/>
              </w:rPr>
            </w:pPr>
            <w:r w:rsidRPr="004811D0">
              <w:rPr>
                <w:sz w:val="22"/>
                <w:szCs w:val="22"/>
              </w:rPr>
              <w:lastRenderedPageBreak/>
              <w:t>Vaskularni poreme</w:t>
            </w:r>
            <w:r w:rsidRPr="004811D0">
              <w:rPr>
                <w:rFonts w:eastAsia="TimesNewRoman"/>
                <w:sz w:val="22"/>
                <w:szCs w:val="22"/>
              </w:rPr>
              <w:t>ć</w:t>
            </w:r>
            <w:r w:rsidRPr="004811D0">
              <w:rPr>
                <w:sz w:val="22"/>
                <w:szCs w:val="22"/>
              </w:rPr>
              <w:t>aji</w:t>
            </w:r>
          </w:p>
        </w:tc>
        <w:tc>
          <w:tcPr>
            <w:tcW w:w="2431" w:type="dxa"/>
          </w:tcPr>
          <w:p w14:paraId="049D85E9" w14:textId="77777777" w:rsidR="003A78D0" w:rsidRPr="004811D0" w:rsidRDefault="003A78D0" w:rsidP="002C66FC">
            <w:pPr>
              <w:autoSpaceDE w:val="0"/>
              <w:autoSpaceDN w:val="0"/>
              <w:adjustRightInd w:val="0"/>
              <w:rPr>
                <w:sz w:val="22"/>
                <w:szCs w:val="22"/>
              </w:rPr>
            </w:pPr>
          </w:p>
        </w:tc>
        <w:tc>
          <w:tcPr>
            <w:tcW w:w="2431" w:type="dxa"/>
          </w:tcPr>
          <w:p w14:paraId="2A26F7D0" w14:textId="77777777" w:rsidR="003A78D0" w:rsidRPr="004811D0" w:rsidRDefault="003A78D0" w:rsidP="002C66FC">
            <w:pPr>
              <w:autoSpaceDE w:val="0"/>
              <w:autoSpaceDN w:val="0"/>
              <w:adjustRightInd w:val="0"/>
              <w:rPr>
                <w:sz w:val="22"/>
                <w:szCs w:val="22"/>
              </w:rPr>
            </w:pPr>
            <w:r w:rsidRPr="004811D0">
              <w:rPr>
                <w:rFonts w:eastAsia="MS Mincho"/>
                <w:sz w:val="22"/>
                <w:szCs w:val="22"/>
              </w:rPr>
              <w:t>Hipotenzija (G3/4: 0,7%)</w:t>
            </w:r>
          </w:p>
        </w:tc>
        <w:tc>
          <w:tcPr>
            <w:tcW w:w="2432" w:type="dxa"/>
          </w:tcPr>
          <w:p w14:paraId="33FDBAEF" w14:textId="77777777" w:rsidR="003A78D0" w:rsidRPr="004811D0" w:rsidRDefault="003A78D0" w:rsidP="002C66FC">
            <w:pPr>
              <w:autoSpaceDE w:val="0"/>
              <w:autoSpaceDN w:val="0"/>
              <w:adjustRightInd w:val="0"/>
              <w:rPr>
                <w:sz w:val="22"/>
                <w:szCs w:val="22"/>
              </w:rPr>
            </w:pPr>
          </w:p>
        </w:tc>
      </w:tr>
      <w:tr w:rsidR="003A78D0" w:rsidRPr="00B02007" w14:paraId="4269A360" w14:textId="77777777" w:rsidTr="002C66FC">
        <w:trPr>
          <w:trHeight w:val="1919"/>
        </w:trPr>
        <w:tc>
          <w:tcPr>
            <w:tcW w:w="2431" w:type="dxa"/>
          </w:tcPr>
          <w:p w14:paraId="1CE176BB" w14:textId="77777777" w:rsidR="003A78D0" w:rsidRPr="004811D0" w:rsidRDefault="003A78D0" w:rsidP="002C66FC">
            <w:pPr>
              <w:autoSpaceDE w:val="0"/>
              <w:autoSpaceDN w:val="0"/>
              <w:adjustRightInd w:val="0"/>
              <w:rPr>
                <w:sz w:val="22"/>
                <w:szCs w:val="22"/>
              </w:rPr>
            </w:pPr>
            <w:r w:rsidRPr="004811D0">
              <w:rPr>
                <w:sz w:val="22"/>
                <w:szCs w:val="22"/>
              </w:rPr>
              <w:t>Gastrointestinalni</w:t>
            </w:r>
          </w:p>
          <w:p w14:paraId="109496D0" w14:textId="77777777" w:rsidR="003A78D0" w:rsidRPr="004811D0" w:rsidRDefault="003A78D0" w:rsidP="002C66FC">
            <w:pPr>
              <w:autoSpaceDE w:val="0"/>
              <w:autoSpaceDN w:val="0"/>
              <w:adjustRightInd w:val="0"/>
              <w:rPr>
                <w:sz w:val="22"/>
                <w:szCs w:val="22"/>
              </w:rPr>
            </w:pPr>
            <w:r w:rsidRPr="004811D0">
              <w:rPr>
                <w:sz w:val="22"/>
                <w:szCs w:val="22"/>
              </w:rPr>
              <w:t>poreme</w:t>
            </w:r>
            <w:r w:rsidRPr="004811D0">
              <w:rPr>
                <w:rFonts w:eastAsia="TimesNewRoman"/>
                <w:sz w:val="22"/>
                <w:szCs w:val="22"/>
              </w:rPr>
              <w:t>ć</w:t>
            </w:r>
            <w:r w:rsidRPr="004811D0">
              <w:rPr>
                <w:sz w:val="22"/>
                <w:szCs w:val="22"/>
              </w:rPr>
              <w:t>aji</w:t>
            </w:r>
          </w:p>
          <w:p w14:paraId="2F6A69DA" w14:textId="77777777" w:rsidR="003A78D0" w:rsidRPr="004811D0" w:rsidRDefault="003A78D0" w:rsidP="002C66FC">
            <w:pPr>
              <w:autoSpaceDE w:val="0"/>
              <w:autoSpaceDN w:val="0"/>
              <w:adjustRightInd w:val="0"/>
              <w:rPr>
                <w:sz w:val="22"/>
                <w:szCs w:val="22"/>
              </w:rPr>
            </w:pPr>
          </w:p>
        </w:tc>
        <w:tc>
          <w:tcPr>
            <w:tcW w:w="2431" w:type="dxa"/>
          </w:tcPr>
          <w:p w14:paraId="206BA431" w14:textId="77777777" w:rsidR="003A78D0" w:rsidRPr="004811D0" w:rsidRDefault="003A78D0" w:rsidP="002C66FC">
            <w:pPr>
              <w:autoSpaceDE w:val="0"/>
              <w:autoSpaceDN w:val="0"/>
              <w:adjustRightInd w:val="0"/>
              <w:rPr>
                <w:sz w:val="22"/>
                <w:szCs w:val="22"/>
              </w:rPr>
            </w:pPr>
            <w:r w:rsidRPr="004811D0">
              <w:rPr>
                <w:sz w:val="22"/>
                <w:szCs w:val="22"/>
              </w:rPr>
              <w:t>Mu</w:t>
            </w:r>
            <w:r w:rsidRPr="004811D0">
              <w:rPr>
                <w:rFonts w:eastAsia="TimesNewRoman"/>
                <w:sz w:val="22"/>
                <w:szCs w:val="22"/>
              </w:rPr>
              <w:t>č</w:t>
            </w:r>
            <w:r w:rsidRPr="004811D0">
              <w:rPr>
                <w:sz w:val="22"/>
                <w:szCs w:val="22"/>
              </w:rPr>
              <w:t>nina (G3/4: 9,6%);</w:t>
            </w:r>
          </w:p>
          <w:p w14:paraId="5C86B707" w14:textId="77777777" w:rsidR="003A78D0" w:rsidRPr="004811D0" w:rsidRDefault="003A78D0" w:rsidP="002C66FC">
            <w:pPr>
              <w:autoSpaceDE w:val="0"/>
              <w:autoSpaceDN w:val="0"/>
              <w:adjustRightInd w:val="0"/>
              <w:rPr>
                <w:sz w:val="22"/>
                <w:szCs w:val="22"/>
              </w:rPr>
            </w:pPr>
          </w:p>
          <w:p w14:paraId="37286F78" w14:textId="77777777" w:rsidR="003A78D0" w:rsidRPr="004811D0" w:rsidRDefault="003A78D0" w:rsidP="002C66FC">
            <w:pPr>
              <w:autoSpaceDE w:val="0"/>
              <w:autoSpaceDN w:val="0"/>
              <w:adjustRightInd w:val="0"/>
              <w:rPr>
                <w:sz w:val="22"/>
                <w:szCs w:val="22"/>
              </w:rPr>
            </w:pPr>
            <w:r w:rsidRPr="004811D0">
              <w:rPr>
                <w:sz w:val="22"/>
                <w:szCs w:val="22"/>
              </w:rPr>
              <w:t>Povraćanje (G3/4: 7,6%);</w:t>
            </w:r>
          </w:p>
          <w:p w14:paraId="254925F6" w14:textId="77777777" w:rsidR="003A78D0" w:rsidRPr="004811D0" w:rsidRDefault="003A78D0" w:rsidP="002C66FC">
            <w:pPr>
              <w:autoSpaceDE w:val="0"/>
              <w:autoSpaceDN w:val="0"/>
              <w:adjustRightInd w:val="0"/>
              <w:rPr>
                <w:sz w:val="22"/>
                <w:szCs w:val="22"/>
              </w:rPr>
            </w:pPr>
          </w:p>
          <w:p w14:paraId="02422045" w14:textId="77777777" w:rsidR="003A78D0" w:rsidRPr="004811D0" w:rsidRDefault="003A78D0" w:rsidP="002C66FC">
            <w:pPr>
              <w:autoSpaceDE w:val="0"/>
              <w:autoSpaceDN w:val="0"/>
              <w:adjustRightInd w:val="0"/>
              <w:rPr>
                <w:sz w:val="22"/>
                <w:szCs w:val="22"/>
              </w:rPr>
            </w:pPr>
            <w:r w:rsidRPr="004811D0">
              <w:rPr>
                <w:sz w:val="22"/>
                <w:szCs w:val="22"/>
              </w:rPr>
              <w:t>Dijareja (G3/4: 6,4%);</w:t>
            </w:r>
          </w:p>
          <w:p w14:paraId="3DDC98A2" w14:textId="77777777" w:rsidR="003A78D0" w:rsidRPr="004811D0" w:rsidRDefault="003A78D0" w:rsidP="002C66FC">
            <w:pPr>
              <w:autoSpaceDE w:val="0"/>
              <w:autoSpaceDN w:val="0"/>
              <w:adjustRightInd w:val="0"/>
              <w:rPr>
                <w:sz w:val="22"/>
                <w:szCs w:val="22"/>
              </w:rPr>
            </w:pPr>
          </w:p>
          <w:p w14:paraId="52D86714" w14:textId="77777777" w:rsidR="003A78D0" w:rsidRPr="004811D0" w:rsidRDefault="003A78D0" w:rsidP="002C66FC">
            <w:pPr>
              <w:autoSpaceDE w:val="0"/>
              <w:autoSpaceDN w:val="0"/>
              <w:adjustRightInd w:val="0"/>
              <w:rPr>
                <w:sz w:val="22"/>
                <w:szCs w:val="22"/>
              </w:rPr>
            </w:pPr>
            <w:r w:rsidRPr="004811D0">
              <w:rPr>
                <w:sz w:val="22"/>
                <w:szCs w:val="22"/>
              </w:rPr>
              <w:t>Stomatitis (G3/4: 2%)</w:t>
            </w:r>
          </w:p>
          <w:p w14:paraId="52F74E25" w14:textId="77777777" w:rsidR="003A78D0" w:rsidRPr="004811D0" w:rsidRDefault="003A78D0" w:rsidP="002C66FC">
            <w:pPr>
              <w:autoSpaceDE w:val="0"/>
              <w:autoSpaceDN w:val="0"/>
              <w:adjustRightInd w:val="0"/>
              <w:rPr>
                <w:sz w:val="22"/>
                <w:szCs w:val="22"/>
              </w:rPr>
            </w:pPr>
          </w:p>
        </w:tc>
        <w:tc>
          <w:tcPr>
            <w:tcW w:w="2431" w:type="dxa"/>
          </w:tcPr>
          <w:p w14:paraId="747DC026" w14:textId="77777777" w:rsidR="003A78D0" w:rsidRPr="004811D0" w:rsidRDefault="003A78D0" w:rsidP="002C66FC">
            <w:pPr>
              <w:autoSpaceDE w:val="0"/>
              <w:autoSpaceDN w:val="0"/>
              <w:adjustRightInd w:val="0"/>
              <w:rPr>
                <w:sz w:val="22"/>
                <w:szCs w:val="22"/>
              </w:rPr>
            </w:pPr>
            <w:r w:rsidRPr="004811D0">
              <w:rPr>
                <w:sz w:val="22"/>
                <w:szCs w:val="22"/>
              </w:rPr>
              <w:t xml:space="preserve">Opstipacija </w:t>
            </w:r>
          </w:p>
        </w:tc>
        <w:tc>
          <w:tcPr>
            <w:tcW w:w="2432" w:type="dxa"/>
          </w:tcPr>
          <w:p w14:paraId="1741626D" w14:textId="77777777" w:rsidR="003A78D0" w:rsidRPr="004811D0" w:rsidRDefault="003A78D0" w:rsidP="002C66FC">
            <w:pPr>
              <w:autoSpaceDE w:val="0"/>
              <w:autoSpaceDN w:val="0"/>
              <w:adjustRightInd w:val="0"/>
              <w:rPr>
                <w:sz w:val="22"/>
                <w:szCs w:val="22"/>
              </w:rPr>
            </w:pPr>
          </w:p>
        </w:tc>
      </w:tr>
      <w:tr w:rsidR="003A78D0" w:rsidRPr="00B02007" w14:paraId="54CFB5F7" w14:textId="77777777" w:rsidTr="002C66FC">
        <w:trPr>
          <w:trHeight w:val="2025"/>
        </w:trPr>
        <w:tc>
          <w:tcPr>
            <w:tcW w:w="2431" w:type="dxa"/>
          </w:tcPr>
          <w:p w14:paraId="69AD610E"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 kože i</w:t>
            </w:r>
          </w:p>
          <w:p w14:paraId="3B71455B" w14:textId="77777777" w:rsidR="003A78D0" w:rsidRPr="00215D1E" w:rsidRDefault="003A78D0" w:rsidP="002C66FC">
            <w:pPr>
              <w:autoSpaceDE w:val="0"/>
              <w:autoSpaceDN w:val="0"/>
              <w:adjustRightInd w:val="0"/>
              <w:rPr>
                <w:sz w:val="22"/>
                <w:szCs w:val="22"/>
              </w:rPr>
            </w:pPr>
            <w:r w:rsidRPr="00215D1E">
              <w:rPr>
                <w:sz w:val="22"/>
                <w:szCs w:val="22"/>
              </w:rPr>
              <w:t xml:space="preserve">potkožnog tkiva </w:t>
            </w:r>
          </w:p>
          <w:p w14:paraId="037E83C9" w14:textId="77777777" w:rsidR="003A78D0" w:rsidRPr="00215D1E" w:rsidRDefault="003A78D0" w:rsidP="002C66FC">
            <w:pPr>
              <w:autoSpaceDE w:val="0"/>
              <w:autoSpaceDN w:val="0"/>
              <w:adjustRightInd w:val="0"/>
              <w:rPr>
                <w:sz w:val="22"/>
                <w:szCs w:val="22"/>
              </w:rPr>
            </w:pPr>
          </w:p>
        </w:tc>
        <w:tc>
          <w:tcPr>
            <w:tcW w:w="2431" w:type="dxa"/>
          </w:tcPr>
          <w:p w14:paraId="279273B0" w14:textId="77777777" w:rsidR="003A78D0" w:rsidRPr="00215D1E" w:rsidRDefault="003A78D0" w:rsidP="002C66FC">
            <w:pPr>
              <w:autoSpaceDE w:val="0"/>
              <w:autoSpaceDN w:val="0"/>
              <w:adjustRightInd w:val="0"/>
              <w:rPr>
                <w:sz w:val="22"/>
                <w:szCs w:val="22"/>
              </w:rPr>
            </w:pPr>
            <w:r w:rsidRPr="00215D1E">
              <w:rPr>
                <w:sz w:val="22"/>
                <w:szCs w:val="22"/>
              </w:rPr>
              <w:t>Alopecija;</w:t>
            </w:r>
          </w:p>
          <w:p w14:paraId="386CED39" w14:textId="77777777" w:rsidR="003A78D0" w:rsidRPr="00215D1E" w:rsidRDefault="003A78D0" w:rsidP="002C66FC">
            <w:pPr>
              <w:autoSpaceDE w:val="0"/>
              <w:autoSpaceDN w:val="0"/>
              <w:adjustRightInd w:val="0"/>
              <w:rPr>
                <w:sz w:val="22"/>
                <w:szCs w:val="22"/>
              </w:rPr>
            </w:pPr>
          </w:p>
          <w:p w14:paraId="45D565B8" w14:textId="77777777" w:rsidR="003A78D0" w:rsidRPr="00215D1E" w:rsidRDefault="003A78D0" w:rsidP="002C66FC">
            <w:pPr>
              <w:autoSpaceDE w:val="0"/>
              <w:autoSpaceDN w:val="0"/>
              <w:adjustRightInd w:val="0"/>
              <w:rPr>
                <w:sz w:val="22"/>
                <w:szCs w:val="22"/>
              </w:rPr>
            </w:pPr>
            <w:r w:rsidRPr="00215D1E">
              <w:rPr>
                <w:sz w:val="22"/>
                <w:szCs w:val="22"/>
              </w:rPr>
              <w:t>Promjene na noktima</w:t>
            </w:r>
          </w:p>
          <w:p w14:paraId="26AC1EA9" w14:textId="77777777" w:rsidR="003A78D0" w:rsidRPr="00215D1E" w:rsidRDefault="003A78D0" w:rsidP="002C66FC">
            <w:pPr>
              <w:autoSpaceDE w:val="0"/>
              <w:autoSpaceDN w:val="0"/>
              <w:adjustRightInd w:val="0"/>
              <w:rPr>
                <w:sz w:val="22"/>
                <w:szCs w:val="22"/>
              </w:rPr>
            </w:pPr>
            <w:r w:rsidRPr="00215D1E">
              <w:rPr>
                <w:sz w:val="22"/>
                <w:szCs w:val="22"/>
              </w:rPr>
              <w:t>(teške: 0,7%);</w:t>
            </w:r>
          </w:p>
          <w:p w14:paraId="3420F291" w14:textId="77777777" w:rsidR="003A78D0" w:rsidRPr="00215D1E" w:rsidRDefault="003A78D0" w:rsidP="002C66FC">
            <w:pPr>
              <w:autoSpaceDE w:val="0"/>
              <w:autoSpaceDN w:val="0"/>
              <w:adjustRightInd w:val="0"/>
              <w:rPr>
                <w:sz w:val="22"/>
                <w:szCs w:val="22"/>
              </w:rPr>
            </w:pPr>
          </w:p>
          <w:p w14:paraId="6F066EDA" w14:textId="77777777" w:rsidR="003A78D0" w:rsidRPr="00215D1E" w:rsidRDefault="003A78D0" w:rsidP="002C66FC">
            <w:pPr>
              <w:autoSpaceDE w:val="0"/>
              <w:autoSpaceDN w:val="0"/>
              <w:adjustRightInd w:val="0"/>
              <w:rPr>
                <w:sz w:val="22"/>
                <w:szCs w:val="22"/>
              </w:rPr>
            </w:pPr>
            <w:r w:rsidRPr="00215D1E">
              <w:rPr>
                <w:sz w:val="22"/>
                <w:szCs w:val="22"/>
              </w:rPr>
              <w:t>Kožne reakcije (G3/4:</w:t>
            </w:r>
          </w:p>
          <w:p w14:paraId="64D79AA7" w14:textId="77777777" w:rsidR="003A78D0" w:rsidRPr="00215D1E" w:rsidRDefault="003A78D0" w:rsidP="002C66FC">
            <w:pPr>
              <w:autoSpaceDE w:val="0"/>
              <w:autoSpaceDN w:val="0"/>
              <w:adjustRightInd w:val="0"/>
              <w:rPr>
                <w:sz w:val="22"/>
                <w:szCs w:val="22"/>
              </w:rPr>
            </w:pPr>
            <w:r w:rsidRPr="00215D1E">
              <w:rPr>
                <w:sz w:val="22"/>
                <w:szCs w:val="22"/>
              </w:rPr>
              <w:t>0,2%)</w:t>
            </w:r>
          </w:p>
          <w:p w14:paraId="3E54E371" w14:textId="77777777" w:rsidR="003A78D0" w:rsidRPr="00215D1E" w:rsidRDefault="003A78D0" w:rsidP="002C66FC">
            <w:pPr>
              <w:autoSpaceDE w:val="0"/>
              <w:autoSpaceDN w:val="0"/>
              <w:adjustRightInd w:val="0"/>
              <w:rPr>
                <w:sz w:val="22"/>
                <w:szCs w:val="22"/>
              </w:rPr>
            </w:pPr>
          </w:p>
        </w:tc>
        <w:tc>
          <w:tcPr>
            <w:tcW w:w="2431" w:type="dxa"/>
          </w:tcPr>
          <w:p w14:paraId="59A639AB" w14:textId="77777777" w:rsidR="003A78D0" w:rsidRPr="00215D1E" w:rsidRDefault="003A78D0" w:rsidP="002C66FC">
            <w:pPr>
              <w:autoSpaceDE w:val="0"/>
              <w:autoSpaceDN w:val="0"/>
              <w:adjustRightInd w:val="0"/>
              <w:rPr>
                <w:sz w:val="22"/>
                <w:szCs w:val="22"/>
              </w:rPr>
            </w:pPr>
          </w:p>
        </w:tc>
        <w:tc>
          <w:tcPr>
            <w:tcW w:w="2432" w:type="dxa"/>
          </w:tcPr>
          <w:p w14:paraId="58FF4A3C" w14:textId="77777777" w:rsidR="003A78D0" w:rsidRPr="00215D1E" w:rsidRDefault="003A78D0" w:rsidP="002C66FC">
            <w:pPr>
              <w:autoSpaceDE w:val="0"/>
              <w:autoSpaceDN w:val="0"/>
              <w:adjustRightInd w:val="0"/>
              <w:rPr>
                <w:sz w:val="22"/>
                <w:szCs w:val="22"/>
              </w:rPr>
            </w:pPr>
          </w:p>
        </w:tc>
      </w:tr>
      <w:tr w:rsidR="003A78D0" w:rsidRPr="00B02007" w14:paraId="77C67B6A" w14:textId="77777777" w:rsidTr="002C66FC">
        <w:trPr>
          <w:trHeight w:val="763"/>
        </w:trPr>
        <w:tc>
          <w:tcPr>
            <w:tcW w:w="2431" w:type="dxa"/>
          </w:tcPr>
          <w:p w14:paraId="3F849A39"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w:t>
            </w:r>
          </w:p>
          <w:p w14:paraId="5D1D6036" w14:textId="77777777" w:rsidR="003A78D0" w:rsidRPr="00215D1E" w:rsidRDefault="003A78D0" w:rsidP="002C66FC">
            <w:pPr>
              <w:autoSpaceDE w:val="0"/>
              <w:autoSpaceDN w:val="0"/>
              <w:adjustRightInd w:val="0"/>
              <w:rPr>
                <w:sz w:val="22"/>
                <w:szCs w:val="22"/>
              </w:rPr>
            </w:pPr>
            <w:r w:rsidRPr="00215D1E">
              <w:rPr>
                <w:sz w:val="22"/>
                <w:szCs w:val="22"/>
              </w:rPr>
              <w:t>miši</w:t>
            </w:r>
            <w:r w:rsidRPr="00215D1E">
              <w:rPr>
                <w:rFonts w:eastAsia="TimesNewRoman"/>
                <w:sz w:val="22"/>
                <w:szCs w:val="22"/>
              </w:rPr>
              <w:t>ć</w:t>
            </w:r>
            <w:r w:rsidRPr="00215D1E">
              <w:rPr>
                <w:sz w:val="22"/>
                <w:szCs w:val="22"/>
              </w:rPr>
              <w:t>noskeletnog</w:t>
            </w:r>
          </w:p>
          <w:p w14:paraId="4B00D9D9" w14:textId="77777777" w:rsidR="003A78D0" w:rsidRPr="00215D1E" w:rsidRDefault="003A78D0" w:rsidP="002C66FC">
            <w:pPr>
              <w:autoSpaceDE w:val="0"/>
              <w:autoSpaceDN w:val="0"/>
              <w:adjustRightInd w:val="0"/>
              <w:rPr>
                <w:sz w:val="22"/>
                <w:szCs w:val="22"/>
              </w:rPr>
            </w:pPr>
            <w:r w:rsidRPr="00215D1E">
              <w:rPr>
                <w:sz w:val="22"/>
                <w:szCs w:val="22"/>
              </w:rPr>
              <w:t>sistema i vezivnog tkiva</w:t>
            </w:r>
          </w:p>
        </w:tc>
        <w:tc>
          <w:tcPr>
            <w:tcW w:w="2431" w:type="dxa"/>
          </w:tcPr>
          <w:p w14:paraId="7AB238B0" w14:textId="77777777" w:rsidR="003A78D0" w:rsidRPr="00215D1E" w:rsidRDefault="003A78D0" w:rsidP="002C66FC">
            <w:pPr>
              <w:autoSpaceDE w:val="0"/>
              <w:autoSpaceDN w:val="0"/>
              <w:adjustRightInd w:val="0"/>
              <w:rPr>
                <w:sz w:val="22"/>
                <w:szCs w:val="22"/>
              </w:rPr>
            </w:pPr>
            <w:r w:rsidRPr="00215D1E">
              <w:rPr>
                <w:sz w:val="22"/>
                <w:szCs w:val="22"/>
              </w:rPr>
              <w:t>Mialgija (teška: 0,5%)</w:t>
            </w:r>
          </w:p>
        </w:tc>
        <w:tc>
          <w:tcPr>
            <w:tcW w:w="2431" w:type="dxa"/>
          </w:tcPr>
          <w:p w14:paraId="2235B67E" w14:textId="77777777" w:rsidR="003A78D0" w:rsidRPr="00215D1E" w:rsidRDefault="003A78D0" w:rsidP="002C66FC">
            <w:pPr>
              <w:autoSpaceDE w:val="0"/>
              <w:autoSpaceDN w:val="0"/>
              <w:adjustRightInd w:val="0"/>
              <w:rPr>
                <w:sz w:val="22"/>
                <w:szCs w:val="22"/>
              </w:rPr>
            </w:pPr>
          </w:p>
        </w:tc>
        <w:tc>
          <w:tcPr>
            <w:tcW w:w="2432" w:type="dxa"/>
          </w:tcPr>
          <w:p w14:paraId="01A6D1AD" w14:textId="77777777" w:rsidR="003A78D0" w:rsidRPr="00215D1E" w:rsidRDefault="003A78D0" w:rsidP="002C66FC">
            <w:pPr>
              <w:autoSpaceDE w:val="0"/>
              <w:autoSpaceDN w:val="0"/>
              <w:adjustRightInd w:val="0"/>
              <w:rPr>
                <w:sz w:val="22"/>
                <w:szCs w:val="22"/>
              </w:rPr>
            </w:pPr>
          </w:p>
        </w:tc>
      </w:tr>
      <w:tr w:rsidR="003A78D0" w:rsidRPr="00B02007" w14:paraId="719267BD" w14:textId="77777777" w:rsidTr="002C66FC">
        <w:trPr>
          <w:trHeight w:val="1781"/>
        </w:trPr>
        <w:tc>
          <w:tcPr>
            <w:tcW w:w="2431" w:type="dxa"/>
          </w:tcPr>
          <w:p w14:paraId="147979BD" w14:textId="77777777" w:rsidR="003A78D0" w:rsidRPr="00215D1E" w:rsidRDefault="003A78D0" w:rsidP="002C66FC">
            <w:pPr>
              <w:autoSpaceDE w:val="0"/>
              <w:autoSpaceDN w:val="0"/>
              <w:adjustRightInd w:val="0"/>
              <w:rPr>
                <w:sz w:val="22"/>
                <w:szCs w:val="22"/>
              </w:rPr>
            </w:pPr>
            <w:r w:rsidRPr="00215D1E">
              <w:rPr>
                <w:sz w:val="22"/>
                <w:szCs w:val="22"/>
              </w:rPr>
              <w:t>Opšti poreme</w:t>
            </w:r>
            <w:r w:rsidRPr="00215D1E">
              <w:rPr>
                <w:rFonts w:eastAsia="TimesNewRoman"/>
                <w:sz w:val="22"/>
                <w:szCs w:val="22"/>
              </w:rPr>
              <w:t>ć</w:t>
            </w:r>
            <w:r w:rsidRPr="00215D1E">
              <w:rPr>
                <w:sz w:val="22"/>
                <w:szCs w:val="22"/>
              </w:rPr>
              <w:t>aji i</w:t>
            </w:r>
          </w:p>
          <w:p w14:paraId="133FF9CA" w14:textId="77777777" w:rsidR="003A78D0" w:rsidRPr="00215D1E" w:rsidRDefault="003A78D0" w:rsidP="002C66FC">
            <w:pPr>
              <w:autoSpaceDE w:val="0"/>
              <w:autoSpaceDN w:val="0"/>
              <w:adjustRightInd w:val="0"/>
              <w:rPr>
                <w:sz w:val="22"/>
                <w:szCs w:val="22"/>
              </w:rPr>
            </w:pPr>
            <w:r w:rsidRPr="00215D1E">
              <w:rPr>
                <w:sz w:val="22"/>
                <w:szCs w:val="22"/>
              </w:rPr>
              <w:t>promjene na mjestu</w:t>
            </w:r>
          </w:p>
          <w:p w14:paraId="185E81B8" w14:textId="77777777" w:rsidR="003A78D0" w:rsidRPr="00215D1E" w:rsidRDefault="003A78D0" w:rsidP="002C66FC">
            <w:pPr>
              <w:autoSpaceDE w:val="0"/>
              <w:autoSpaceDN w:val="0"/>
              <w:adjustRightInd w:val="0"/>
              <w:rPr>
                <w:sz w:val="22"/>
                <w:szCs w:val="22"/>
              </w:rPr>
            </w:pPr>
            <w:r w:rsidRPr="00215D1E">
              <w:rPr>
                <w:sz w:val="22"/>
                <w:szCs w:val="22"/>
              </w:rPr>
              <w:t>primjene</w:t>
            </w:r>
          </w:p>
          <w:p w14:paraId="7CA32052" w14:textId="77777777" w:rsidR="003A78D0" w:rsidRPr="00215D1E" w:rsidRDefault="003A78D0" w:rsidP="002C66FC">
            <w:pPr>
              <w:autoSpaceDE w:val="0"/>
              <w:autoSpaceDN w:val="0"/>
              <w:adjustRightInd w:val="0"/>
              <w:rPr>
                <w:sz w:val="22"/>
                <w:szCs w:val="22"/>
              </w:rPr>
            </w:pPr>
          </w:p>
        </w:tc>
        <w:tc>
          <w:tcPr>
            <w:tcW w:w="2431" w:type="dxa"/>
          </w:tcPr>
          <w:p w14:paraId="191BD7A3" w14:textId="77777777" w:rsidR="003A78D0" w:rsidRPr="00215D1E" w:rsidRDefault="003A78D0" w:rsidP="002C66FC">
            <w:pPr>
              <w:autoSpaceDE w:val="0"/>
              <w:autoSpaceDN w:val="0"/>
              <w:adjustRightInd w:val="0"/>
              <w:rPr>
                <w:sz w:val="22"/>
                <w:szCs w:val="22"/>
              </w:rPr>
            </w:pPr>
            <w:r w:rsidRPr="00215D1E">
              <w:rPr>
                <w:sz w:val="22"/>
                <w:szCs w:val="22"/>
              </w:rPr>
              <w:t>Astenija (teška: 9,9%)</w:t>
            </w:r>
          </w:p>
          <w:p w14:paraId="5C2C46C7" w14:textId="77777777" w:rsidR="003A78D0" w:rsidRPr="00215D1E" w:rsidRDefault="003A78D0" w:rsidP="002C66FC">
            <w:pPr>
              <w:autoSpaceDE w:val="0"/>
              <w:autoSpaceDN w:val="0"/>
              <w:adjustRightInd w:val="0"/>
              <w:rPr>
                <w:sz w:val="22"/>
                <w:szCs w:val="22"/>
              </w:rPr>
            </w:pPr>
          </w:p>
          <w:p w14:paraId="29A433D6" w14:textId="77777777" w:rsidR="003A78D0" w:rsidRPr="00215D1E" w:rsidRDefault="003A78D0" w:rsidP="002C66FC">
            <w:pPr>
              <w:autoSpaceDE w:val="0"/>
              <w:autoSpaceDN w:val="0"/>
              <w:adjustRightInd w:val="0"/>
              <w:rPr>
                <w:sz w:val="22"/>
                <w:szCs w:val="22"/>
              </w:rPr>
            </w:pPr>
            <w:r w:rsidRPr="00215D1E">
              <w:rPr>
                <w:sz w:val="22"/>
                <w:szCs w:val="22"/>
              </w:rPr>
              <w:t>Retencija te</w:t>
            </w:r>
            <w:r w:rsidRPr="00215D1E">
              <w:rPr>
                <w:rFonts w:eastAsia="TimesNewRoman"/>
                <w:sz w:val="22"/>
                <w:szCs w:val="22"/>
              </w:rPr>
              <w:t>č</w:t>
            </w:r>
            <w:r w:rsidRPr="00215D1E">
              <w:rPr>
                <w:sz w:val="22"/>
                <w:szCs w:val="22"/>
              </w:rPr>
              <w:t>nosti (teška: 0,7%)</w:t>
            </w:r>
          </w:p>
          <w:p w14:paraId="1B654FAB" w14:textId="77777777" w:rsidR="003A78D0" w:rsidRPr="00215D1E" w:rsidRDefault="003A78D0" w:rsidP="002C66FC">
            <w:pPr>
              <w:autoSpaceDE w:val="0"/>
              <w:autoSpaceDN w:val="0"/>
              <w:adjustRightInd w:val="0"/>
              <w:rPr>
                <w:sz w:val="22"/>
                <w:szCs w:val="22"/>
              </w:rPr>
            </w:pPr>
          </w:p>
          <w:p w14:paraId="18AE0C12" w14:textId="77777777" w:rsidR="003A78D0" w:rsidRPr="00215D1E" w:rsidRDefault="003A78D0" w:rsidP="002C66FC">
            <w:pPr>
              <w:autoSpaceDE w:val="0"/>
              <w:autoSpaceDN w:val="0"/>
              <w:adjustRightInd w:val="0"/>
              <w:rPr>
                <w:sz w:val="22"/>
                <w:szCs w:val="22"/>
              </w:rPr>
            </w:pPr>
            <w:r w:rsidRPr="00215D1E">
              <w:rPr>
                <w:sz w:val="22"/>
                <w:szCs w:val="22"/>
              </w:rPr>
              <w:t>Povišena tjelesna</w:t>
            </w:r>
          </w:p>
          <w:p w14:paraId="6811C3D0" w14:textId="77777777" w:rsidR="003A78D0" w:rsidRPr="00215D1E" w:rsidRDefault="003A78D0" w:rsidP="002C66FC">
            <w:pPr>
              <w:autoSpaceDE w:val="0"/>
              <w:autoSpaceDN w:val="0"/>
              <w:adjustRightInd w:val="0"/>
              <w:rPr>
                <w:sz w:val="22"/>
                <w:szCs w:val="22"/>
              </w:rPr>
            </w:pPr>
            <w:r w:rsidRPr="00215D1E">
              <w:rPr>
                <w:sz w:val="22"/>
                <w:szCs w:val="22"/>
              </w:rPr>
              <w:t>temperatura (G3/4: 1,2%)</w:t>
            </w:r>
          </w:p>
        </w:tc>
        <w:tc>
          <w:tcPr>
            <w:tcW w:w="2431" w:type="dxa"/>
          </w:tcPr>
          <w:p w14:paraId="0C91E206" w14:textId="77777777" w:rsidR="003A78D0" w:rsidRPr="00215D1E" w:rsidRDefault="003A78D0" w:rsidP="002C66FC">
            <w:pPr>
              <w:autoSpaceDE w:val="0"/>
              <w:autoSpaceDN w:val="0"/>
              <w:adjustRightInd w:val="0"/>
              <w:rPr>
                <w:sz w:val="22"/>
                <w:szCs w:val="22"/>
              </w:rPr>
            </w:pPr>
            <w:r w:rsidRPr="00215D1E">
              <w:rPr>
                <w:sz w:val="22"/>
                <w:szCs w:val="22"/>
              </w:rPr>
              <w:t>Reakcije na mjestu</w:t>
            </w:r>
          </w:p>
          <w:p w14:paraId="5398C364" w14:textId="77777777" w:rsidR="003A78D0" w:rsidRPr="00215D1E" w:rsidRDefault="003A78D0" w:rsidP="002C66FC">
            <w:pPr>
              <w:autoSpaceDE w:val="0"/>
              <w:autoSpaceDN w:val="0"/>
              <w:adjustRightInd w:val="0"/>
              <w:rPr>
                <w:sz w:val="22"/>
                <w:szCs w:val="22"/>
              </w:rPr>
            </w:pPr>
            <w:r w:rsidRPr="00215D1E">
              <w:rPr>
                <w:sz w:val="22"/>
                <w:szCs w:val="22"/>
              </w:rPr>
              <w:t>infuzije</w:t>
            </w:r>
          </w:p>
          <w:p w14:paraId="268CAA8C" w14:textId="77777777" w:rsidR="003A78D0" w:rsidRPr="00215D1E" w:rsidRDefault="003A78D0" w:rsidP="002C66FC">
            <w:pPr>
              <w:autoSpaceDE w:val="0"/>
              <w:autoSpaceDN w:val="0"/>
              <w:adjustRightInd w:val="0"/>
              <w:rPr>
                <w:sz w:val="22"/>
                <w:szCs w:val="22"/>
              </w:rPr>
            </w:pPr>
          </w:p>
          <w:p w14:paraId="7D7780D1" w14:textId="77777777" w:rsidR="003A78D0" w:rsidRPr="00215D1E" w:rsidRDefault="003A78D0" w:rsidP="002C66FC">
            <w:pPr>
              <w:autoSpaceDE w:val="0"/>
              <w:autoSpaceDN w:val="0"/>
              <w:adjustRightInd w:val="0"/>
              <w:rPr>
                <w:sz w:val="22"/>
                <w:szCs w:val="22"/>
              </w:rPr>
            </w:pPr>
            <w:r w:rsidRPr="00215D1E">
              <w:rPr>
                <w:sz w:val="22"/>
                <w:szCs w:val="22"/>
              </w:rPr>
              <w:t>Bol</w:t>
            </w:r>
          </w:p>
          <w:p w14:paraId="6C95C876" w14:textId="77777777" w:rsidR="003A78D0" w:rsidRPr="00215D1E" w:rsidRDefault="003A78D0" w:rsidP="002C66FC">
            <w:pPr>
              <w:autoSpaceDE w:val="0"/>
              <w:autoSpaceDN w:val="0"/>
              <w:adjustRightInd w:val="0"/>
              <w:rPr>
                <w:sz w:val="22"/>
                <w:szCs w:val="22"/>
              </w:rPr>
            </w:pPr>
          </w:p>
          <w:p w14:paraId="49383E7E" w14:textId="77777777" w:rsidR="003A78D0" w:rsidRPr="00215D1E" w:rsidRDefault="003A78D0" w:rsidP="002C66FC">
            <w:pPr>
              <w:autoSpaceDE w:val="0"/>
              <w:autoSpaceDN w:val="0"/>
              <w:adjustRightInd w:val="0"/>
              <w:rPr>
                <w:sz w:val="22"/>
                <w:szCs w:val="22"/>
              </w:rPr>
            </w:pPr>
          </w:p>
        </w:tc>
        <w:tc>
          <w:tcPr>
            <w:tcW w:w="2432" w:type="dxa"/>
          </w:tcPr>
          <w:p w14:paraId="0DC249B5" w14:textId="77777777" w:rsidR="003A78D0" w:rsidRPr="00215D1E" w:rsidRDefault="003A78D0" w:rsidP="002C66FC">
            <w:pPr>
              <w:autoSpaceDE w:val="0"/>
              <w:autoSpaceDN w:val="0"/>
              <w:adjustRightInd w:val="0"/>
              <w:rPr>
                <w:sz w:val="22"/>
                <w:szCs w:val="22"/>
              </w:rPr>
            </w:pPr>
          </w:p>
        </w:tc>
      </w:tr>
      <w:tr w:rsidR="003A78D0" w:rsidRPr="00B02007" w14:paraId="10B93996" w14:textId="77777777" w:rsidTr="002C66FC">
        <w:trPr>
          <w:trHeight w:val="1515"/>
        </w:trPr>
        <w:tc>
          <w:tcPr>
            <w:tcW w:w="2431" w:type="dxa"/>
          </w:tcPr>
          <w:p w14:paraId="18A2A656" w14:textId="77777777" w:rsidR="003A78D0" w:rsidRPr="00215D1E" w:rsidRDefault="003A78D0" w:rsidP="002C66FC">
            <w:pPr>
              <w:autoSpaceDE w:val="0"/>
              <w:autoSpaceDN w:val="0"/>
              <w:adjustRightInd w:val="0"/>
              <w:rPr>
                <w:sz w:val="22"/>
                <w:szCs w:val="22"/>
              </w:rPr>
            </w:pPr>
            <w:r w:rsidRPr="00215D1E">
              <w:rPr>
                <w:sz w:val="22"/>
                <w:szCs w:val="22"/>
              </w:rPr>
              <w:t>Ispitivanja</w:t>
            </w:r>
          </w:p>
        </w:tc>
        <w:tc>
          <w:tcPr>
            <w:tcW w:w="2431" w:type="dxa"/>
          </w:tcPr>
          <w:p w14:paraId="32D401A4" w14:textId="77777777" w:rsidR="003A78D0" w:rsidRPr="00215D1E" w:rsidRDefault="003A78D0" w:rsidP="002C66FC">
            <w:pPr>
              <w:autoSpaceDE w:val="0"/>
              <w:autoSpaceDN w:val="0"/>
              <w:adjustRightInd w:val="0"/>
              <w:rPr>
                <w:sz w:val="22"/>
                <w:szCs w:val="22"/>
              </w:rPr>
            </w:pPr>
          </w:p>
        </w:tc>
        <w:tc>
          <w:tcPr>
            <w:tcW w:w="2431" w:type="dxa"/>
          </w:tcPr>
          <w:p w14:paraId="0A4FC699" w14:textId="77777777" w:rsidR="003A78D0" w:rsidRPr="003A78D0" w:rsidRDefault="003A78D0" w:rsidP="002C66FC">
            <w:pPr>
              <w:autoSpaceDE w:val="0"/>
              <w:autoSpaceDN w:val="0"/>
              <w:adjustRightInd w:val="0"/>
              <w:rPr>
                <w:sz w:val="22"/>
                <w:szCs w:val="22"/>
                <w:lang w:val="de-DE"/>
              </w:rPr>
            </w:pPr>
            <w:r w:rsidRPr="003A78D0">
              <w:rPr>
                <w:sz w:val="22"/>
                <w:szCs w:val="22"/>
                <w:lang w:val="de-DE"/>
              </w:rPr>
              <w:t>Povišen bilirubin u krvi G3/4 (2,1%);</w:t>
            </w:r>
          </w:p>
          <w:p w14:paraId="3182A324" w14:textId="77777777" w:rsidR="003A78D0" w:rsidRPr="003A78D0" w:rsidRDefault="003A78D0" w:rsidP="002C66FC">
            <w:pPr>
              <w:autoSpaceDE w:val="0"/>
              <w:autoSpaceDN w:val="0"/>
              <w:adjustRightInd w:val="0"/>
              <w:rPr>
                <w:sz w:val="22"/>
                <w:szCs w:val="22"/>
                <w:lang w:val="de-DE"/>
              </w:rPr>
            </w:pPr>
          </w:p>
          <w:p w14:paraId="7BB96175" w14:textId="77777777" w:rsidR="003A78D0" w:rsidRPr="00215D1E" w:rsidRDefault="003A78D0" w:rsidP="002C66FC">
            <w:pPr>
              <w:autoSpaceDE w:val="0"/>
              <w:autoSpaceDN w:val="0"/>
              <w:adjustRightInd w:val="0"/>
              <w:rPr>
                <w:sz w:val="22"/>
                <w:szCs w:val="22"/>
              </w:rPr>
            </w:pPr>
            <w:r w:rsidRPr="00215D1E">
              <w:rPr>
                <w:sz w:val="22"/>
                <w:szCs w:val="22"/>
              </w:rPr>
              <w:t>Povišene vrijednosti ALT G3/4 (1,3%)</w:t>
            </w:r>
          </w:p>
          <w:p w14:paraId="11DCCD5A" w14:textId="77777777" w:rsidR="003A78D0" w:rsidRPr="00215D1E" w:rsidRDefault="003A78D0" w:rsidP="002C66FC">
            <w:pPr>
              <w:autoSpaceDE w:val="0"/>
              <w:autoSpaceDN w:val="0"/>
              <w:adjustRightInd w:val="0"/>
              <w:rPr>
                <w:sz w:val="22"/>
                <w:szCs w:val="22"/>
              </w:rPr>
            </w:pPr>
          </w:p>
        </w:tc>
        <w:tc>
          <w:tcPr>
            <w:tcW w:w="2432" w:type="dxa"/>
          </w:tcPr>
          <w:p w14:paraId="5EBEB54F" w14:textId="77777777" w:rsidR="003A78D0" w:rsidRPr="00215D1E" w:rsidRDefault="003A78D0" w:rsidP="002C66FC">
            <w:pPr>
              <w:autoSpaceDE w:val="0"/>
              <w:autoSpaceDN w:val="0"/>
              <w:adjustRightInd w:val="0"/>
              <w:rPr>
                <w:sz w:val="22"/>
                <w:szCs w:val="22"/>
              </w:rPr>
            </w:pPr>
            <w:r w:rsidRPr="00215D1E">
              <w:rPr>
                <w:sz w:val="22"/>
                <w:szCs w:val="22"/>
              </w:rPr>
              <w:t>Povišene vrijednosti AST G3/4 (0,5%);</w:t>
            </w:r>
          </w:p>
          <w:p w14:paraId="553E79B4" w14:textId="77777777" w:rsidR="003A78D0" w:rsidRPr="00215D1E" w:rsidRDefault="003A78D0" w:rsidP="002C66FC">
            <w:pPr>
              <w:autoSpaceDE w:val="0"/>
              <w:autoSpaceDN w:val="0"/>
              <w:adjustRightInd w:val="0"/>
              <w:rPr>
                <w:sz w:val="22"/>
                <w:szCs w:val="22"/>
              </w:rPr>
            </w:pPr>
          </w:p>
          <w:p w14:paraId="58CFDEB5" w14:textId="77777777" w:rsidR="003A78D0" w:rsidRPr="00215D1E" w:rsidRDefault="003A78D0" w:rsidP="002C66FC">
            <w:pPr>
              <w:autoSpaceDE w:val="0"/>
              <w:autoSpaceDN w:val="0"/>
              <w:adjustRightInd w:val="0"/>
              <w:rPr>
                <w:sz w:val="22"/>
                <w:szCs w:val="22"/>
              </w:rPr>
            </w:pPr>
            <w:r w:rsidRPr="00215D1E">
              <w:rPr>
                <w:sz w:val="22"/>
                <w:szCs w:val="22"/>
              </w:rPr>
              <w:t>Povišene vrijednosti</w:t>
            </w:r>
          </w:p>
          <w:p w14:paraId="399FAA4F" w14:textId="77777777" w:rsidR="003A78D0" w:rsidRPr="00215D1E" w:rsidRDefault="003A78D0" w:rsidP="002C66FC">
            <w:pPr>
              <w:autoSpaceDE w:val="0"/>
              <w:autoSpaceDN w:val="0"/>
              <w:adjustRightInd w:val="0"/>
              <w:rPr>
                <w:sz w:val="22"/>
                <w:szCs w:val="22"/>
              </w:rPr>
            </w:pPr>
            <w:r w:rsidRPr="00215D1E">
              <w:rPr>
                <w:sz w:val="22"/>
                <w:szCs w:val="22"/>
              </w:rPr>
              <w:t>alkalne fosfataze G3/4</w:t>
            </w:r>
          </w:p>
          <w:p w14:paraId="3D556966" w14:textId="77777777" w:rsidR="003A78D0" w:rsidRPr="00215D1E" w:rsidRDefault="003A78D0" w:rsidP="002C66FC">
            <w:pPr>
              <w:autoSpaceDE w:val="0"/>
              <w:autoSpaceDN w:val="0"/>
              <w:adjustRightInd w:val="0"/>
              <w:rPr>
                <w:sz w:val="22"/>
                <w:szCs w:val="22"/>
              </w:rPr>
            </w:pPr>
            <w:r w:rsidRPr="00215D1E">
              <w:rPr>
                <w:sz w:val="22"/>
                <w:szCs w:val="22"/>
              </w:rPr>
              <w:t>(0,3%)</w:t>
            </w:r>
          </w:p>
        </w:tc>
      </w:tr>
    </w:tbl>
    <w:p w14:paraId="2CE2E691" w14:textId="77777777" w:rsidR="003A78D0" w:rsidRDefault="003A78D0" w:rsidP="003A78D0">
      <w:pPr>
        <w:pStyle w:val="Header"/>
        <w:tabs>
          <w:tab w:val="left" w:pos="284"/>
        </w:tabs>
        <w:rPr>
          <w:bCs/>
          <w:iCs/>
          <w:sz w:val="22"/>
          <w:szCs w:val="22"/>
          <w:u w:val="single"/>
        </w:rPr>
      </w:pPr>
    </w:p>
    <w:p w14:paraId="17B40F90" w14:textId="77777777" w:rsidR="003A78D0" w:rsidRPr="00B02007" w:rsidRDefault="003A78D0" w:rsidP="003A78D0">
      <w:pPr>
        <w:pStyle w:val="Header"/>
        <w:tabs>
          <w:tab w:val="left" w:pos="284"/>
        </w:tabs>
        <w:rPr>
          <w:bCs/>
          <w:iCs/>
          <w:sz w:val="22"/>
          <w:szCs w:val="22"/>
          <w:u w:val="single"/>
        </w:rPr>
      </w:pPr>
      <w:r w:rsidRPr="00215D1E">
        <w:rPr>
          <w:bCs/>
          <w:iCs/>
          <w:sz w:val="22"/>
          <w:szCs w:val="22"/>
          <w:u w:val="single"/>
        </w:rPr>
        <w:t>Tabelarni prikaz neželjenih reakcija kod karcinoma dojke za</w:t>
      </w:r>
      <w:r w:rsidRPr="00215D1E">
        <w:rPr>
          <w:bCs/>
          <w:i/>
          <w:iCs/>
          <w:sz w:val="22"/>
          <w:szCs w:val="22"/>
          <w:u w:val="single"/>
        </w:rPr>
        <w:t xml:space="preserve"> docetaksel 100 mg/m² u kombinaciji </w:t>
      </w:r>
      <w:r w:rsidRPr="00B02007">
        <w:rPr>
          <w:bCs/>
          <w:i/>
          <w:iCs/>
          <w:sz w:val="22"/>
          <w:szCs w:val="22"/>
          <w:u w:val="single"/>
        </w:rPr>
        <w:t>sa trastuzumabom</w:t>
      </w:r>
    </w:p>
    <w:p w14:paraId="71C5B457" w14:textId="77777777" w:rsidR="003A78D0" w:rsidRPr="00215D1E" w:rsidRDefault="003A78D0" w:rsidP="003A78D0">
      <w:pPr>
        <w:pStyle w:val="Header"/>
        <w:tabs>
          <w:tab w:val="left" w:pos="284"/>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3240"/>
        <w:gridCol w:w="3240"/>
      </w:tblGrid>
      <w:tr w:rsidR="003A78D0" w:rsidRPr="00B02007" w14:paraId="08047ADB" w14:textId="77777777" w:rsidTr="002C66FC">
        <w:tc>
          <w:tcPr>
            <w:tcW w:w="3235" w:type="dxa"/>
          </w:tcPr>
          <w:p w14:paraId="48A4742D" w14:textId="77777777" w:rsidR="003A78D0" w:rsidRPr="00215D1E" w:rsidRDefault="003A78D0" w:rsidP="002C66FC">
            <w:pPr>
              <w:autoSpaceDE w:val="0"/>
              <w:autoSpaceDN w:val="0"/>
              <w:adjustRightInd w:val="0"/>
              <w:rPr>
                <w:sz w:val="22"/>
                <w:szCs w:val="22"/>
              </w:rPr>
            </w:pPr>
            <w:r w:rsidRPr="00215D1E">
              <w:rPr>
                <w:b/>
                <w:bCs/>
                <w:sz w:val="22"/>
                <w:szCs w:val="22"/>
              </w:rPr>
              <w:t>Organski sistemi po</w:t>
            </w:r>
          </w:p>
          <w:p w14:paraId="6809C4E0" w14:textId="77777777" w:rsidR="003A78D0" w:rsidRPr="00215D1E" w:rsidRDefault="003A78D0" w:rsidP="002C66FC">
            <w:pPr>
              <w:autoSpaceDE w:val="0"/>
              <w:autoSpaceDN w:val="0"/>
              <w:adjustRightInd w:val="0"/>
              <w:rPr>
                <w:b/>
                <w:bCs/>
                <w:sz w:val="22"/>
                <w:szCs w:val="22"/>
              </w:rPr>
            </w:pPr>
            <w:r w:rsidRPr="00215D1E">
              <w:rPr>
                <w:b/>
                <w:bCs/>
                <w:sz w:val="22"/>
                <w:szCs w:val="22"/>
              </w:rPr>
              <w:t>MedDRA</w:t>
            </w:r>
          </w:p>
          <w:p w14:paraId="59D2C01B" w14:textId="77777777" w:rsidR="003A78D0" w:rsidRPr="00215D1E" w:rsidRDefault="003A78D0" w:rsidP="002C66FC">
            <w:pPr>
              <w:autoSpaceDE w:val="0"/>
              <w:autoSpaceDN w:val="0"/>
              <w:adjustRightInd w:val="0"/>
              <w:rPr>
                <w:sz w:val="22"/>
                <w:szCs w:val="22"/>
              </w:rPr>
            </w:pPr>
          </w:p>
        </w:tc>
        <w:tc>
          <w:tcPr>
            <w:tcW w:w="3240" w:type="dxa"/>
          </w:tcPr>
          <w:p w14:paraId="0520B9E2" w14:textId="77777777" w:rsidR="003A78D0" w:rsidRPr="00215D1E" w:rsidRDefault="003A78D0" w:rsidP="002C66FC">
            <w:pPr>
              <w:autoSpaceDE w:val="0"/>
              <w:autoSpaceDN w:val="0"/>
              <w:adjustRightInd w:val="0"/>
              <w:rPr>
                <w:b/>
                <w:bCs/>
                <w:sz w:val="22"/>
                <w:szCs w:val="22"/>
              </w:rPr>
            </w:pPr>
            <w:r w:rsidRPr="00215D1E">
              <w:rPr>
                <w:b/>
                <w:bCs/>
                <w:sz w:val="22"/>
                <w:szCs w:val="22"/>
              </w:rPr>
              <w:t xml:space="preserve">Veoma </w:t>
            </w:r>
            <w:r w:rsidRPr="00215D1E">
              <w:rPr>
                <w:rFonts w:eastAsia="TimesNewRoman,Bold"/>
                <w:b/>
                <w:bCs/>
                <w:sz w:val="22"/>
                <w:szCs w:val="22"/>
              </w:rPr>
              <w:t>č</w:t>
            </w:r>
            <w:r w:rsidRPr="00215D1E">
              <w:rPr>
                <w:b/>
                <w:bCs/>
                <w:sz w:val="22"/>
                <w:szCs w:val="22"/>
              </w:rPr>
              <w:t xml:space="preserve">esta neželjena dejstva </w:t>
            </w:r>
          </w:p>
          <w:p w14:paraId="5387C00F" w14:textId="77777777" w:rsidR="003A78D0" w:rsidRPr="00215D1E" w:rsidRDefault="003A78D0" w:rsidP="002C66FC">
            <w:pPr>
              <w:autoSpaceDE w:val="0"/>
              <w:autoSpaceDN w:val="0"/>
              <w:adjustRightInd w:val="0"/>
              <w:rPr>
                <w:sz w:val="22"/>
                <w:szCs w:val="22"/>
              </w:rPr>
            </w:pPr>
          </w:p>
        </w:tc>
        <w:tc>
          <w:tcPr>
            <w:tcW w:w="3240" w:type="dxa"/>
          </w:tcPr>
          <w:p w14:paraId="19DFD8B1" w14:textId="77777777" w:rsidR="003A78D0" w:rsidRPr="00215D1E" w:rsidRDefault="003A78D0" w:rsidP="002C66FC">
            <w:pPr>
              <w:autoSpaceDE w:val="0"/>
              <w:autoSpaceDN w:val="0"/>
              <w:adjustRightInd w:val="0"/>
              <w:rPr>
                <w:b/>
                <w:bCs/>
                <w:sz w:val="22"/>
                <w:szCs w:val="22"/>
              </w:rPr>
            </w:pPr>
            <w:r w:rsidRPr="00215D1E">
              <w:rPr>
                <w:rFonts w:eastAsia="TimesNewRoman,Bold"/>
                <w:b/>
                <w:bCs/>
                <w:sz w:val="22"/>
                <w:szCs w:val="22"/>
              </w:rPr>
              <w:t>Č</w:t>
            </w:r>
            <w:r w:rsidRPr="00215D1E">
              <w:rPr>
                <w:b/>
                <w:bCs/>
                <w:sz w:val="22"/>
                <w:szCs w:val="22"/>
              </w:rPr>
              <w:t>esta neželjena dejstva</w:t>
            </w:r>
          </w:p>
          <w:p w14:paraId="3B88BE97" w14:textId="77777777" w:rsidR="003A78D0" w:rsidRPr="00215D1E" w:rsidRDefault="003A78D0" w:rsidP="002C66FC">
            <w:pPr>
              <w:autoSpaceDE w:val="0"/>
              <w:autoSpaceDN w:val="0"/>
              <w:adjustRightInd w:val="0"/>
              <w:rPr>
                <w:sz w:val="22"/>
                <w:szCs w:val="22"/>
              </w:rPr>
            </w:pPr>
          </w:p>
        </w:tc>
      </w:tr>
      <w:tr w:rsidR="003A78D0" w:rsidRPr="00B02007" w14:paraId="28563058" w14:textId="77777777" w:rsidTr="002C66FC">
        <w:tc>
          <w:tcPr>
            <w:tcW w:w="3235" w:type="dxa"/>
          </w:tcPr>
          <w:p w14:paraId="2EE9C86D"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 krvi i</w:t>
            </w:r>
          </w:p>
          <w:p w14:paraId="59BABF29" w14:textId="77777777" w:rsidR="003A78D0" w:rsidRPr="00215D1E" w:rsidRDefault="003A78D0" w:rsidP="002C66FC">
            <w:pPr>
              <w:autoSpaceDE w:val="0"/>
              <w:autoSpaceDN w:val="0"/>
              <w:adjustRightInd w:val="0"/>
              <w:rPr>
                <w:sz w:val="22"/>
                <w:szCs w:val="22"/>
              </w:rPr>
            </w:pPr>
            <w:r w:rsidRPr="00215D1E">
              <w:rPr>
                <w:sz w:val="22"/>
                <w:szCs w:val="22"/>
              </w:rPr>
              <w:t>limfnog sistema</w:t>
            </w:r>
          </w:p>
          <w:p w14:paraId="6C445F42" w14:textId="77777777" w:rsidR="003A78D0" w:rsidRPr="00215D1E" w:rsidRDefault="003A78D0" w:rsidP="002C66FC">
            <w:pPr>
              <w:autoSpaceDE w:val="0"/>
              <w:autoSpaceDN w:val="0"/>
              <w:adjustRightInd w:val="0"/>
              <w:rPr>
                <w:sz w:val="22"/>
                <w:szCs w:val="22"/>
              </w:rPr>
            </w:pPr>
          </w:p>
        </w:tc>
        <w:tc>
          <w:tcPr>
            <w:tcW w:w="3240" w:type="dxa"/>
          </w:tcPr>
          <w:p w14:paraId="16075F3D" w14:textId="77777777" w:rsidR="003A78D0" w:rsidRPr="00215D1E" w:rsidRDefault="003A78D0" w:rsidP="002C66FC">
            <w:pPr>
              <w:autoSpaceDE w:val="0"/>
              <w:autoSpaceDN w:val="0"/>
              <w:adjustRightInd w:val="0"/>
              <w:rPr>
                <w:sz w:val="22"/>
                <w:szCs w:val="22"/>
              </w:rPr>
            </w:pPr>
            <w:r w:rsidRPr="00215D1E">
              <w:rPr>
                <w:sz w:val="22"/>
                <w:szCs w:val="22"/>
              </w:rPr>
              <w:t>Neutropenija (G4: 32%);</w:t>
            </w:r>
          </w:p>
          <w:p w14:paraId="33DD6F2B" w14:textId="77777777" w:rsidR="003A78D0" w:rsidRPr="00215D1E" w:rsidRDefault="003A78D0" w:rsidP="002C66FC">
            <w:pPr>
              <w:autoSpaceDE w:val="0"/>
              <w:autoSpaceDN w:val="0"/>
              <w:adjustRightInd w:val="0"/>
              <w:rPr>
                <w:sz w:val="22"/>
                <w:szCs w:val="22"/>
              </w:rPr>
            </w:pPr>
          </w:p>
          <w:p w14:paraId="50FE8D73" w14:textId="77777777" w:rsidR="003A78D0" w:rsidRPr="00215D1E" w:rsidRDefault="003A78D0" w:rsidP="002C66FC">
            <w:pPr>
              <w:autoSpaceDE w:val="0"/>
              <w:autoSpaceDN w:val="0"/>
              <w:adjustRightInd w:val="0"/>
              <w:rPr>
                <w:sz w:val="22"/>
                <w:szCs w:val="22"/>
              </w:rPr>
            </w:pPr>
            <w:r w:rsidRPr="00215D1E">
              <w:rPr>
                <w:sz w:val="22"/>
                <w:szCs w:val="22"/>
              </w:rPr>
              <w:t>Febrilna neutropenija (obuhvata i neutropeniju pra</w:t>
            </w:r>
            <w:r w:rsidRPr="00215D1E">
              <w:rPr>
                <w:rFonts w:eastAsia="TimesNewRoman"/>
                <w:sz w:val="22"/>
                <w:szCs w:val="22"/>
              </w:rPr>
              <w:t>ć</w:t>
            </w:r>
            <w:r w:rsidRPr="00215D1E">
              <w:rPr>
                <w:sz w:val="22"/>
                <w:szCs w:val="22"/>
              </w:rPr>
              <w:t>enu groznicom i primjenom antibiotika) ili neutropenijska sepsa</w:t>
            </w:r>
          </w:p>
        </w:tc>
        <w:tc>
          <w:tcPr>
            <w:tcW w:w="3240" w:type="dxa"/>
          </w:tcPr>
          <w:p w14:paraId="508563E5" w14:textId="77777777" w:rsidR="003A78D0" w:rsidRPr="00215D1E" w:rsidRDefault="003A78D0" w:rsidP="002C66FC">
            <w:pPr>
              <w:autoSpaceDE w:val="0"/>
              <w:autoSpaceDN w:val="0"/>
              <w:adjustRightInd w:val="0"/>
              <w:rPr>
                <w:sz w:val="22"/>
                <w:szCs w:val="22"/>
              </w:rPr>
            </w:pPr>
          </w:p>
        </w:tc>
      </w:tr>
      <w:tr w:rsidR="003A78D0" w:rsidRPr="00B02007" w14:paraId="68CCA26B" w14:textId="77777777" w:rsidTr="002C66FC">
        <w:tc>
          <w:tcPr>
            <w:tcW w:w="3235" w:type="dxa"/>
          </w:tcPr>
          <w:p w14:paraId="0D8965E1"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 xml:space="preserve">aji </w:t>
            </w:r>
          </w:p>
          <w:p w14:paraId="6B162E45" w14:textId="77777777" w:rsidR="003A78D0" w:rsidRPr="00215D1E" w:rsidRDefault="003A78D0" w:rsidP="002C66FC">
            <w:pPr>
              <w:autoSpaceDE w:val="0"/>
              <w:autoSpaceDN w:val="0"/>
              <w:adjustRightInd w:val="0"/>
              <w:rPr>
                <w:sz w:val="22"/>
                <w:szCs w:val="22"/>
              </w:rPr>
            </w:pPr>
            <w:r w:rsidRPr="00215D1E">
              <w:rPr>
                <w:sz w:val="22"/>
                <w:szCs w:val="22"/>
              </w:rPr>
              <w:t>metabolizma i ishrane</w:t>
            </w:r>
          </w:p>
          <w:p w14:paraId="4CF9FC7C" w14:textId="77777777" w:rsidR="003A78D0" w:rsidRPr="00215D1E" w:rsidRDefault="003A78D0" w:rsidP="002C66FC">
            <w:pPr>
              <w:autoSpaceDE w:val="0"/>
              <w:autoSpaceDN w:val="0"/>
              <w:adjustRightInd w:val="0"/>
              <w:rPr>
                <w:sz w:val="22"/>
                <w:szCs w:val="22"/>
              </w:rPr>
            </w:pPr>
          </w:p>
        </w:tc>
        <w:tc>
          <w:tcPr>
            <w:tcW w:w="3240" w:type="dxa"/>
          </w:tcPr>
          <w:p w14:paraId="2D57FEC9" w14:textId="77777777" w:rsidR="003A78D0" w:rsidRPr="00215D1E" w:rsidRDefault="003A78D0" w:rsidP="002C66FC">
            <w:pPr>
              <w:autoSpaceDE w:val="0"/>
              <w:autoSpaceDN w:val="0"/>
              <w:adjustRightInd w:val="0"/>
              <w:rPr>
                <w:sz w:val="22"/>
                <w:szCs w:val="22"/>
              </w:rPr>
            </w:pPr>
            <w:r w:rsidRPr="00215D1E">
              <w:rPr>
                <w:sz w:val="22"/>
                <w:szCs w:val="22"/>
              </w:rPr>
              <w:t>Anoreksija</w:t>
            </w:r>
          </w:p>
        </w:tc>
        <w:tc>
          <w:tcPr>
            <w:tcW w:w="3240" w:type="dxa"/>
          </w:tcPr>
          <w:p w14:paraId="23D6216A" w14:textId="77777777" w:rsidR="003A78D0" w:rsidRPr="00215D1E" w:rsidRDefault="003A78D0" w:rsidP="002C66FC">
            <w:pPr>
              <w:autoSpaceDE w:val="0"/>
              <w:autoSpaceDN w:val="0"/>
              <w:adjustRightInd w:val="0"/>
              <w:rPr>
                <w:sz w:val="22"/>
                <w:szCs w:val="22"/>
              </w:rPr>
            </w:pPr>
          </w:p>
        </w:tc>
      </w:tr>
      <w:tr w:rsidR="003A78D0" w:rsidRPr="00B02007" w14:paraId="51690098" w14:textId="77777777" w:rsidTr="002C66FC">
        <w:tc>
          <w:tcPr>
            <w:tcW w:w="3235" w:type="dxa"/>
          </w:tcPr>
          <w:p w14:paraId="0D7FC495" w14:textId="77777777" w:rsidR="003A78D0" w:rsidRPr="00215D1E" w:rsidRDefault="003A78D0" w:rsidP="002C66FC">
            <w:pPr>
              <w:autoSpaceDE w:val="0"/>
              <w:autoSpaceDN w:val="0"/>
              <w:adjustRightInd w:val="0"/>
              <w:rPr>
                <w:sz w:val="22"/>
                <w:szCs w:val="22"/>
              </w:rPr>
            </w:pPr>
            <w:r w:rsidRPr="00215D1E">
              <w:rPr>
                <w:sz w:val="22"/>
                <w:szCs w:val="22"/>
              </w:rPr>
              <w:t>Psihijatrijski poremećaji</w:t>
            </w:r>
          </w:p>
        </w:tc>
        <w:tc>
          <w:tcPr>
            <w:tcW w:w="3240" w:type="dxa"/>
          </w:tcPr>
          <w:p w14:paraId="79A53635" w14:textId="77777777" w:rsidR="003A78D0" w:rsidRPr="00215D1E" w:rsidRDefault="003A78D0" w:rsidP="002C66FC">
            <w:pPr>
              <w:autoSpaceDE w:val="0"/>
              <w:autoSpaceDN w:val="0"/>
              <w:adjustRightInd w:val="0"/>
              <w:rPr>
                <w:sz w:val="22"/>
                <w:szCs w:val="22"/>
              </w:rPr>
            </w:pPr>
            <w:r w:rsidRPr="00215D1E">
              <w:rPr>
                <w:sz w:val="22"/>
                <w:szCs w:val="22"/>
              </w:rPr>
              <w:t>Nesanica</w:t>
            </w:r>
          </w:p>
        </w:tc>
        <w:tc>
          <w:tcPr>
            <w:tcW w:w="3240" w:type="dxa"/>
          </w:tcPr>
          <w:p w14:paraId="521D844B" w14:textId="77777777" w:rsidR="003A78D0" w:rsidRPr="00215D1E" w:rsidDel="00FD3B7D" w:rsidRDefault="003A78D0" w:rsidP="002C66FC">
            <w:pPr>
              <w:autoSpaceDE w:val="0"/>
              <w:autoSpaceDN w:val="0"/>
              <w:adjustRightInd w:val="0"/>
              <w:rPr>
                <w:sz w:val="22"/>
                <w:szCs w:val="22"/>
              </w:rPr>
            </w:pPr>
          </w:p>
        </w:tc>
      </w:tr>
      <w:tr w:rsidR="003A78D0" w:rsidRPr="00B02007" w14:paraId="0240E2AD" w14:textId="77777777" w:rsidTr="002C66FC">
        <w:tc>
          <w:tcPr>
            <w:tcW w:w="3235" w:type="dxa"/>
          </w:tcPr>
          <w:p w14:paraId="4448AEC5"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 nervnog sistema</w:t>
            </w:r>
          </w:p>
          <w:p w14:paraId="33659675" w14:textId="77777777" w:rsidR="003A78D0" w:rsidRPr="00215D1E" w:rsidRDefault="003A78D0" w:rsidP="002C66FC">
            <w:pPr>
              <w:autoSpaceDE w:val="0"/>
              <w:autoSpaceDN w:val="0"/>
              <w:adjustRightInd w:val="0"/>
              <w:rPr>
                <w:sz w:val="22"/>
                <w:szCs w:val="22"/>
              </w:rPr>
            </w:pPr>
          </w:p>
        </w:tc>
        <w:tc>
          <w:tcPr>
            <w:tcW w:w="3240" w:type="dxa"/>
          </w:tcPr>
          <w:p w14:paraId="5B49C6A4" w14:textId="77777777" w:rsidR="003A78D0" w:rsidRPr="00215D1E" w:rsidRDefault="003A78D0" w:rsidP="002C66FC">
            <w:pPr>
              <w:autoSpaceDE w:val="0"/>
              <w:autoSpaceDN w:val="0"/>
              <w:adjustRightInd w:val="0"/>
              <w:rPr>
                <w:sz w:val="22"/>
                <w:szCs w:val="22"/>
              </w:rPr>
            </w:pPr>
            <w:r w:rsidRPr="00215D1E">
              <w:rPr>
                <w:sz w:val="22"/>
                <w:szCs w:val="22"/>
              </w:rPr>
              <w:t>Parestezije;</w:t>
            </w:r>
          </w:p>
          <w:p w14:paraId="38566E00" w14:textId="77777777" w:rsidR="003A78D0" w:rsidRPr="00215D1E" w:rsidRDefault="003A78D0" w:rsidP="002C66FC">
            <w:pPr>
              <w:autoSpaceDE w:val="0"/>
              <w:autoSpaceDN w:val="0"/>
              <w:adjustRightInd w:val="0"/>
              <w:rPr>
                <w:sz w:val="22"/>
                <w:szCs w:val="22"/>
              </w:rPr>
            </w:pPr>
          </w:p>
          <w:p w14:paraId="66C6C978" w14:textId="77777777" w:rsidR="003A78D0" w:rsidRPr="00215D1E" w:rsidRDefault="003A78D0" w:rsidP="002C66FC">
            <w:pPr>
              <w:autoSpaceDE w:val="0"/>
              <w:autoSpaceDN w:val="0"/>
              <w:adjustRightInd w:val="0"/>
              <w:rPr>
                <w:sz w:val="22"/>
                <w:szCs w:val="22"/>
              </w:rPr>
            </w:pPr>
            <w:r w:rsidRPr="00215D1E">
              <w:rPr>
                <w:sz w:val="22"/>
                <w:szCs w:val="22"/>
              </w:rPr>
              <w:t>Glavobolja;</w:t>
            </w:r>
          </w:p>
          <w:p w14:paraId="732BE7C4" w14:textId="77777777" w:rsidR="003A78D0" w:rsidRPr="00215D1E" w:rsidRDefault="003A78D0" w:rsidP="002C66FC">
            <w:pPr>
              <w:autoSpaceDE w:val="0"/>
              <w:autoSpaceDN w:val="0"/>
              <w:adjustRightInd w:val="0"/>
              <w:rPr>
                <w:sz w:val="22"/>
                <w:szCs w:val="22"/>
              </w:rPr>
            </w:pPr>
          </w:p>
          <w:p w14:paraId="76674EF9" w14:textId="77777777" w:rsidR="003A78D0" w:rsidRPr="00215D1E" w:rsidRDefault="003A78D0" w:rsidP="002C66FC">
            <w:pPr>
              <w:autoSpaceDE w:val="0"/>
              <w:autoSpaceDN w:val="0"/>
              <w:adjustRightInd w:val="0"/>
              <w:rPr>
                <w:sz w:val="22"/>
                <w:szCs w:val="22"/>
              </w:rPr>
            </w:pPr>
            <w:r w:rsidRPr="00215D1E">
              <w:rPr>
                <w:sz w:val="22"/>
                <w:szCs w:val="22"/>
              </w:rPr>
              <w:lastRenderedPageBreak/>
              <w:t>Disgeuzija;</w:t>
            </w:r>
          </w:p>
          <w:p w14:paraId="744DA190" w14:textId="77777777" w:rsidR="003A78D0" w:rsidRPr="00215D1E" w:rsidRDefault="003A78D0" w:rsidP="002C66FC">
            <w:pPr>
              <w:autoSpaceDE w:val="0"/>
              <w:autoSpaceDN w:val="0"/>
              <w:adjustRightInd w:val="0"/>
              <w:rPr>
                <w:sz w:val="22"/>
                <w:szCs w:val="22"/>
              </w:rPr>
            </w:pPr>
          </w:p>
          <w:p w14:paraId="613BFBEF" w14:textId="77777777" w:rsidR="003A78D0" w:rsidRPr="00215D1E" w:rsidRDefault="003A78D0" w:rsidP="002C66FC">
            <w:pPr>
              <w:autoSpaceDE w:val="0"/>
              <w:autoSpaceDN w:val="0"/>
              <w:adjustRightInd w:val="0"/>
              <w:rPr>
                <w:sz w:val="22"/>
                <w:szCs w:val="22"/>
              </w:rPr>
            </w:pPr>
            <w:r w:rsidRPr="00215D1E">
              <w:rPr>
                <w:sz w:val="22"/>
                <w:szCs w:val="22"/>
              </w:rPr>
              <w:t>Hipoestezija</w:t>
            </w:r>
          </w:p>
          <w:p w14:paraId="553CEBF2" w14:textId="77777777" w:rsidR="003A78D0" w:rsidRPr="00215D1E" w:rsidRDefault="003A78D0" w:rsidP="002C66FC">
            <w:pPr>
              <w:autoSpaceDE w:val="0"/>
              <w:autoSpaceDN w:val="0"/>
              <w:adjustRightInd w:val="0"/>
              <w:rPr>
                <w:sz w:val="22"/>
                <w:szCs w:val="22"/>
              </w:rPr>
            </w:pPr>
          </w:p>
        </w:tc>
        <w:tc>
          <w:tcPr>
            <w:tcW w:w="3240" w:type="dxa"/>
          </w:tcPr>
          <w:p w14:paraId="1D3480E0" w14:textId="77777777" w:rsidR="003A78D0" w:rsidRPr="00215D1E" w:rsidDel="00FD3B7D" w:rsidRDefault="003A78D0" w:rsidP="002C66FC">
            <w:pPr>
              <w:autoSpaceDE w:val="0"/>
              <w:autoSpaceDN w:val="0"/>
              <w:adjustRightInd w:val="0"/>
              <w:rPr>
                <w:sz w:val="22"/>
                <w:szCs w:val="22"/>
              </w:rPr>
            </w:pPr>
          </w:p>
        </w:tc>
      </w:tr>
      <w:tr w:rsidR="003A78D0" w:rsidRPr="00B02007" w14:paraId="3E66B726" w14:textId="77777777" w:rsidTr="002C66FC">
        <w:trPr>
          <w:trHeight w:val="1095"/>
        </w:trPr>
        <w:tc>
          <w:tcPr>
            <w:tcW w:w="3235" w:type="dxa"/>
          </w:tcPr>
          <w:p w14:paraId="0E44BD66" w14:textId="77777777" w:rsidR="003A78D0" w:rsidRPr="00215D1E" w:rsidRDefault="003A78D0" w:rsidP="002C66FC">
            <w:pPr>
              <w:autoSpaceDE w:val="0"/>
              <w:autoSpaceDN w:val="0"/>
              <w:adjustRightInd w:val="0"/>
              <w:rPr>
                <w:sz w:val="22"/>
                <w:szCs w:val="22"/>
              </w:rPr>
            </w:pPr>
            <w:r w:rsidRPr="00215D1E">
              <w:rPr>
                <w:sz w:val="22"/>
                <w:szCs w:val="22"/>
              </w:rPr>
              <w:lastRenderedPageBreak/>
              <w:t>Poremećaji oka</w:t>
            </w:r>
          </w:p>
        </w:tc>
        <w:tc>
          <w:tcPr>
            <w:tcW w:w="3240" w:type="dxa"/>
            <w:shd w:val="clear" w:color="auto" w:fill="auto"/>
          </w:tcPr>
          <w:p w14:paraId="7E22AE85" w14:textId="77777777" w:rsidR="003A78D0" w:rsidRPr="00215D1E" w:rsidRDefault="003A78D0" w:rsidP="002C66FC">
            <w:pPr>
              <w:autoSpaceDE w:val="0"/>
              <w:autoSpaceDN w:val="0"/>
              <w:adjustRightInd w:val="0"/>
              <w:rPr>
                <w:sz w:val="22"/>
                <w:szCs w:val="22"/>
              </w:rPr>
            </w:pPr>
            <w:r w:rsidRPr="00215D1E">
              <w:rPr>
                <w:sz w:val="22"/>
                <w:szCs w:val="22"/>
              </w:rPr>
              <w:t>Pojačano suzenje</w:t>
            </w:r>
          </w:p>
          <w:p w14:paraId="138E2B91" w14:textId="77777777" w:rsidR="003A78D0" w:rsidRPr="00215D1E" w:rsidRDefault="003A78D0" w:rsidP="002C66FC">
            <w:pPr>
              <w:autoSpaceDE w:val="0"/>
              <w:autoSpaceDN w:val="0"/>
              <w:adjustRightInd w:val="0"/>
              <w:rPr>
                <w:sz w:val="22"/>
                <w:szCs w:val="22"/>
              </w:rPr>
            </w:pPr>
          </w:p>
          <w:p w14:paraId="502A07E8" w14:textId="77777777" w:rsidR="003A78D0" w:rsidRPr="00215D1E" w:rsidRDefault="003A78D0" w:rsidP="002C66FC">
            <w:pPr>
              <w:autoSpaceDE w:val="0"/>
              <w:autoSpaceDN w:val="0"/>
              <w:adjustRightInd w:val="0"/>
              <w:rPr>
                <w:sz w:val="22"/>
                <w:szCs w:val="22"/>
              </w:rPr>
            </w:pPr>
            <w:r w:rsidRPr="00215D1E">
              <w:rPr>
                <w:sz w:val="22"/>
                <w:szCs w:val="22"/>
              </w:rPr>
              <w:t>Konjunktivitis</w:t>
            </w:r>
          </w:p>
        </w:tc>
        <w:tc>
          <w:tcPr>
            <w:tcW w:w="3240" w:type="dxa"/>
            <w:shd w:val="clear" w:color="auto" w:fill="auto"/>
          </w:tcPr>
          <w:p w14:paraId="777E2BE4" w14:textId="77777777" w:rsidR="003A78D0" w:rsidRPr="00215D1E" w:rsidRDefault="003A78D0" w:rsidP="002C66FC">
            <w:pPr>
              <w:autoSpaceDE w:val="0"/>
              <w:autoSpaceDN w:val="0"/>
              <w:adjustRightInd w:val="0"/>
              <w:rPr>
                <w:sz w:val="22"/>
                <w:szCs w:val="22"/>
              </w:rPr>
            </w:pPr>
          </w:p>
        </w:tc>
      </w:tr>
      <w:tr w:rsidR="003A78D0" w:rsidRPr="00B02007" w14:paraId="3A49D95C" w14:textId="77777777" w:rsidTr="002C66FC">
        <w:tc>
          <w:tcPr>
            <w:tcW w:w="3235" w:type="dxa"/>
          </w:tcPr>
          <w:p w14:paraId="058D073F" w14:textId="77777777" w:rsidR="003A78D0" w:rsidRPr="00215D1E" w:rsidRDefault="003A78D0" w:rsidP="002C66FC">
            <w:pPr>
              <w:autoSpaceDE w:val="0"/>
              <w:autoSpaceDN w:val="0"/>
              <w:adjustRightInd w:val="0"/>
              <w:rPr>
                <w:sz w:val="22"/>
                <w:szCs w:val="22"/>
              </w:rPr>
            </w:pPr>
            <w:r w:rsidRPr="00215D1E">
              <w:rPr>
                <w:sz w:val="22"/>
                <w:szCs w:val="22"/>
              </w:rPr>
              <w:t>Sr</w:t>
            </w:r>
            <w:r w:rsidRPr="00215D1E">
              <w:rPr>
                <w:rFonts w:eastAsia="TimesNewRoman"/>
                <w:sz w:val="22"/>
                <w:szCs w:val="22"/>
              </w:rPr>
              <w:t>č</w:t>
            </w:r>
            <w:r w:rsidRPr="00215D1E">
              <w:rPr>
                <w:sz w:val="22"/>
                <w:szCs w:val="22"/>
              </w:rPr>
              <w:t>ani poreme</w:t>
            </w:r>
            <w:r w:rsidRPr="00215D1E">
              <w:rPr>
                <w:rFonts w:eastAsia="TimesNewRoman"/>
                <w:sz w:val="22"/>
                <w:szCs w:val="22"/>
              </w:rPr>
              <w:t>ć</w:t>
            </w:r>
            <w:r w:rsidRPr="00215D1E">
              <w:rPr>
                <w:sz w:val="22"/>
                <w:szCs w:val="22"/>
              </w:rPr>
              <w:t>aji</w:t>
            </w:r>
          </w:p>
        </w:tc>
        <w:tc>
          <w:tcPr>
            <w:tcW w:w="3240" w:type="dxa"/>
          </w:tcPr>
          <w:p w14:paraId="0E5BB895" w14:textId="77777777" w:rsidR="003A78D0" w:rsidRPr="00215D1E" w:rsidRDefault="003A78D0" w:rsidP="002C66FC">
            <w:pPr>
              <w:autoSpaceDE w:val="0"/>
              <w:autoSpaceDN w:val="0"/>
              <w:adjustRightInd w:val="0"/>
              <w:rPr>
                <w:sz w:val="22"/>
                <w:szCs w:val="22"/>
              </w:rPr>
            </w:pPr>
          </w:p>
        </w:tc>
        <w:tc>
          <w:tcPr>
            <w:tcW w:w="3240" w:type="dxa"/>
          </w:tcPr>
          <w:p w14:paraId="6FC4E48C" w14:textId="77777777" w:rsidR="003A78D0" w:rsidRPr="00215D1E" w:rsidRDefault="003A78D0" w:rsidP="002C66FC">
            <w:pPr>
              <w:autoSpaceDE w:val="0"/>
              <w:autoSpaceDN w:val="0"/>
              <w:adjustRightInd w:val="0"/>
              <w:rPr>
                <w:sz w:val="22"/>
                <w:szCs w:val="22"/>
              </w:rPr>
            </w:pPr>
            <w:r w:rsidRPr="00215D1E">
              <w:rPr>
                <w:sz w:val="22"/>
                <w:szCs w:val="22"/>
              </w:rPr>
              <w:t>Sr</w:t>
            </w:r>
            <w:r w:rsidRPr="00215D1E">
              <w:rPr>
                <w:rFonts w:eastAsia="TimesNewRoman"/>
                <w:sz w:val="22"/>
                <w:szCs w:val="22"/>
              </w:rPr>
              <w:t>č</w:t>
            </w:r>
            <w:r w:rsidRPr="00215D1E">
              <w:rPr>
                <w:sz w:val="22"/>
                <w:szCs w:val="22"/>
              </w:rPr>
              <w:t xml:space="preserve">ana insuficijencija </w:t>
            </w:r>
          </w:p>
          <w:p w14:paraId="6F80C671" w14:textId="77777777" w:rsidR="003A78D0" w:rsidRPr="00215D1E" w:rsidDel="00FD3B7D" w:rsidRDefault="003A78D0" w:rsidP="002C66FC">
            <w:pPr>
              <w:autoSpaceDE w:val="0"/>
              <w:autoSpaceDN w:val="0"/>
              <w:adjustRightInd w:val="0"/>
              <w:rPr>
                <w:sz w:val="22"/>
                <w:szCs w:val="22"/>
              </w:rPr>
            </w:pPr>
          </w:p>
        </w:tc>
      </w:tr>
      <w:tr w:rsidR="003A78D0" w:rsidRPr="00B02007" w14:paraId="79E7A8C7" w14:textId="77777777" w:rsidTr="002C66FC">
        <w:trPr>
          <w:trHeight w:val="599"/>
        </w:trPr>
        <w:tc>
          <w:tcPr>
            <w:tcW w:w="3235" w:type="dxa"/>
          </w:tcPr>
          <w:p w14:paraId="3E245F16" w14:textId="77777777" w:rsidR="003A78D0" w:rsidRPr="00215D1E" w:rsidRDefault="003A78D0" w:rsidP="002C66FC">
            <w:pPr>
              <w:autoSpaceDE w:val="0"/>
              <w:autoSpaceDN w:val="0"/>
              <w:adjustRightInd w:val="0"/>
              <w:rPr>
                <w:sz w:val="22"/>
                <w:szCs w:val="22"/>
              </w:rPr>
            </w:pPr>
            <w:r w:rsidRPr="00215D1E">
              <w:rPr>
                <w:sz w:val="22"/>
                <w:szCs w:val="22"/>
              </w:rPr>
              <w:t>Vaskularni poreme</w:t>
            </w:r>
            <w:r w:rsidRPr="00215D1E">
              <w:rPr>
                <w:rFonts w:eastAsia="TimesNewRoman"/>
                <w:sz w:val="22"/>
                <w:szCs w:val="22"/>
              </w:rPr>
              <w:t>ć</w:t>
            </w:r>
            <w:r w:rsidRPr="00215D1E">
              <w:rPr>
                <w:sz w:val="22"/>
                <w:szCs w:val="22"/>
              </w:rPr>
              <w:t>aji</w:t>
            </w:r>
          </w:p>
        </w:tc>
        <w:tc>
          <w:tcPr>
            <w:tcW w:w="3240" w:type="dxa"/>
          </w:tcPr>
          <w:p w14:paraId="14609F78" w14:textId="77777777" w:rsidR="003A78D0" w:rsidRPr="00215D1E" w:rsidRDefault="003A78D0" w:rsidP="002C66FC">
            <w:pPr>
              <w:autoSpaceDE w:val="0"/>
              <w:autoSpaceDN w:val="0"/>
              <w:adjustRightInd w:val="0"/>
              <w:rPr>
                <w:sz w:val="22"/>
                <w:szCs w:val="22"/>
              </w:rPr>
            </w:pPr>
            <w:r w:rsidRPr="00215D1E">
              <w:rPr>
                <w:sz w:val="22"/>
                <w:szCs w:val="22"/>
              </w:rPr>
              <w:t>Limfedem</w:t>
            </w:r>
          </w:p>
        </w:tc>
        <w:tc>
          <w:tcPr>
            <w:tcW w:w="3240" w:type="dxa"/>
          </w:tcPr>
          <w:p w14:paraId="59D27537" w14:textId="77777777" w:rsidR="003A78D0" w:rsidRPr="00215D1E" w:rsidRDefault="003A78D0" w:rsidP="002C66FC">
            <w:pPr>
              <w:autoSpaceDE w:val="0"/>
              <w:autoSpaceDN w:val="0"/>
              <w:adjustRightInd w:val="0"/>
              <w:rPr>
                <w:sz w:val="22"/>
                <w:szCs w:val="22"/>
              </w:rPr>
            </w:pPr>
          </w:p>
        </w:tc>
      </w:tr>
      <w:tr w:rsidR="003A78D0" w:rsidRPr="00B02007" w14:paraId="4BFAB9E7" w14:textId="77777777" w:rsidTr="002C66FC">
        <w:trPr>
          <w:trHeight w:val="599"/>
        </w:trPr>
        <w:tc>
          <w:tcPr>
            <w:tcW w:w="3235" w:type="dxa"/>
          </w:tcPr>
          <w:p w14:paraId="4742C66A" w14:textId="77777777" w:rsidR="003A78D0" w:rsidRPr="00215D1E" w:rsidRDefault="003A78D0" w:rsidP="002C66FC">
            <w:pPr>
              <w:autoSpaceDE w:val="0"/>
              <w:autoSpaceDN w:val="0"/>
              <w:adjustRightInd w:val="0"/>
              <w:rPr>
                <w:sz w:val="22"/>
                <w:szCs w:val="22"/>
              </w:rPr>
            </w:pPr>
            <w:r w:rsidRPr="00215D1E">
              <w:rPr>
                <w:sz w:val="22"/>
                <w:szCs w:val="22"/>
              </w:rPr>
              <w:t>Respiratorni, torakalni i medijastinalni poreme</w:t>
            </w:r>
            <w:r w:rsidRPr="00215D1E">
              <w:rPr>
                <w:rFonts w:eastAsia="TimesNewRoman"/>
                <w:sz w:val="22"/>
                <w:szCs w:val="22"/>
              </w:rPr>
              <w:t>ć</w:t>
            </w:r>
            <w:r w:rsidRPr="00215D1E">
              <w:rPr>
                <w:sz w:val="22"/>
                <w:szCs w:val="22"/>
              </w:rPr>
              <w:t>aji</w:t>
            </w:r>
          </w:p>
          <w:p w14:paraId="67C2AE8A" w14:textId="77777777" w:rsidR="003A78D0" w:rsidRPr="00215D1E" w:rsidRDefault="003A78D0" w:rsidP="002C66FC">
            <w:pPr>
              <w:autoSpaceDE w:val="0"/>
              <w:autoSpaceDN w:val="0"/>
              <w:adjustRightInd w:val="0"/>
              <w:rPr>
                <w:sz w:val="22"/>
                <w:szCs w:val="22"/>
              </w:rPr>
            </w:pPr>
          </w:p>
        </w:tc>
        <w:tc>
          <w:tcPr>
            <w:tcW w:w="3240" w:type="dxa"/>
          </w:tcPr>
          <w:p w14:paraId="32AEE2C3" w14:textId="77777777" w:rsidR="003A78D0" w:rsidRPr="00215D1E" w:rsidRDefault="003A78D0" w:rsidP="002C66FC">
            <w:pPr>
              <w:autoSpaceDE w:val="0"/>
              <w:autoSpaceDN w:val="0"/>
              <w:adjustRightInd w:val="0"/>
              <w:rPr>
                <w:sz w:val="22"/>
                <w:szCs w:val="22"/>
              </w:rPr>
            </w:pPr>
            <w:r w:rsidRPr="00215D1E">
              <w:rPr>
                <w:sz w:val="22"/>
                <w:szCs w:val="22"/>
              </w:rPr>
              <w:t>Epistaksa;</w:t>
            </w:r>
          </w:p>
          <w:p w14:paraId="7A3E2BA0" w14:textId="77777777" w:rsidR="003A78D0" w:rsidRPr="00215D1E" w:rsidRDefault="003A78D0" w:rsidP="002C66FC">
            <w:pPr>
              <w:autoSpaceDE w:val="0"/>
              <w:autoSpaceDN w:val="0"/>
              <w:adjustRightInd w:val="0"/>
              <w:rPr>
                <w:sz w:val="22"/>
                <w:szCs w:val="22"/>
              </w:rPr>
            </w:pPr>
          </w:p>
          <w:p w14:paraId="3E1CA2B2" w14:textId="77777777" w:rsidR="003A78D0" w:rsidRPr="00215D1E" w:rsidRDefault="003A78D0" w:rsidP="002C66FC">
            <w:pPr>
              <w:autoSpaceDE w:val="0"/>
              <w:autoSpaceDN w:val="0"/>
              <w:adjustRightInd w:val="0"/>
              <w:rPr>
                <w:sz w:val="22"/>
                <w:szCs w:val="22"/>
              </w:rPr>
            </w:pPr>
            <w:r w:rsidRPr="00215D1E">
              <w:rPr>
                <w:sz w:val="22"/>
                <w:szCs w:val="22"/>
              </w:rPr>
              <w:t>Faringo-laringealni bol;</w:t>
            </w:r>
          </w:p>
          <w:p w14:paraId="6B9A4D05" w14:textId="77777777" w:rsidR="003A78D0" w:rsidRPr="00215D1E" w:rsidRDefault="003A78D0" w:rsidP="002C66FC">
            <w:pPr>
              <w:autoSpaceDE w:val="0"/>
              <w:autoSpaceDN w:val="0"/>
              <w:adjustRightInd w:val="0"/>
              <w:rPr>
                <w:sz w:val="22"/>
                <w:szCs w:val="22"/>
              </w:rPr>
            </w:pPr>
          </w:p>
          <w:p w14:paraId="1989A82A" w14:textId="77777777" w:rsidR="003A78D0" w:rsidRPr="00215D1E" w:rsidRDefault="003A78D0" w:rsidP="002C66FC">
            <w:pPr>
              <w:autoSpaceDE w:val="0"/>
              <w:autoSpaceDN w:val="0"/>
              <w:adjustRightInd w:val="0"/>
              <w:rPr>
                <w:sz w:val="22"/>
                <w:szCs w:val="22"/>
              </w:rPr>
            </w:pPr>
            <w:r w:rsidRPr="00215D1E">
              <w:rPr>
                <w:sz w:val="22"/>
                <w:szCs w:val="22"/>
              </w:rPr>
              <w:t xml:space="preserve">Nazofaringitis; </w:t>
            </w:r>
          </w:p>
          <w:p w14:paraId="510503BC" w14:textId="77777777" w:rsidR="003A78D0" w:rsidRPr="00215D1E" w:rsidRDefault="003A78D0" w:rsidP="002C66FC">
            <w:pPr>
              <w:autoSpaceDE w:val="0"/>
              <w:autoSpaceDN w:val="0"/>
              <w:adjustRightInd w:val="0"/>
              <w:rPr>
                <w:sz w:val="22"/>
                <w:szCs w:val="22"/>
              </w:rPr>
            </w:pPr>
          </w:p>
          <w:p w14:paraId="486D3124" w14:textId="77777777" w:rsidR="003A78D0" w:rsidRPr="00215D1E" w:rsidRDefault="003A78D0" w:rsidP="002C66FC">
            <w:pPr>
              <w:autoSpaceDE w:val="0"/>
              <w:autoSpaceDN w:val="0"/>
              <w:adjustRightInd w:val="0"/>
              <w:rPr>
                <w:sz w:val="22"/>
                <w:szCs w:val="22"/>
              </w:rPr>
            </w:pPr>
            <w:r w:rsidRPr="00215D1E">
              <w:rPr>
                <w:sz w:val="22"/>
                <w:szCs w:val="22"/>
              </w:rPr>
              <w:t>Dispneja;</w:t>
            </w:r>
          </w:p>
          <w:p w14:paraId="200316DC" w14:textId="77777777" w:rsidR="003A78D0" w:rsidRPr="00215D1E" w:rsidRDefault="003A78D0" w:rsidP="002C66FC">
            <w:pPr>
              <w:autoSpaceDE w:val="0"/>
              <w:autoSpaceDN w:val="0"/>
              <w:adjustRightInd w:val="0"/>
              <w:rPr>
                <w:sz w:val="22"/>
                <w:szCs w:val="22"/>
              </w:rPr>
            </w:pPr>
            <w:r w:rsidRPr="00215D1E">
              <w:rPr>
                <w:sz w:val="22"/>
                <w:szCs w:val="22"/>
              </w:rPr>
              <w:t>Kašalj;</w:t>
            </w:r>
          </w:p>
          <w:p w14:paraId="3190B52A" w14:textId="77777777" w:rsidR="003A78D0" w:rsidRPr="00215D1E" w:rsidRDefault="003A78D0" w:rsidP="002C66FC">
            <w:pPr>
              <w:autoSpaceDE w:val="0"/>
              <w:autoSpaceDN w:val="0"/>
              <w:adjustRightInd w:val="0"/>
              <w:rPr>
                <w:sz w:val="22"/>
                <w:szCs w:val="22"/>
              </w:rPr>
            </w:pPr>
          </w:p>
          <w:p w14:paraId="1782CB6D" w14:textId="77777777" w:rsidR="003A78D0" w:rsidRPr="00215D1E" w:rsidRDefault="003A78D0" w:rsidP="002C66FC">
            <w:pPr>
              <w:autoSpaceDE w:val="0"/>
              <w:autoSpaceDN w:val="0"/>
              <w:adjustRightInd w:val="0"/>
              <w:rPr>
                <w:sz w:val="22"/>
                <w:szCs w:val="22"/>
              </w:rPr>
            </w:pPr>
            <w:r w:rsidRPr="00215D1E">
              <w:rPr>
                <w:sz w:val="22"/>
                <w:szCs w:val="22"/>
              </w:rPr>
              <w:t>Rinoreja</w:t>
            </w:r>
          </w:p>
          <w:p w14:paraId="0FC2CCCC" w14:textId="77777777" w:rsidR="003A78D0" w:rsidRPr="00215D1E" w:rsidRDefault="003A78D0" w:rsidP="002C66FC">
            <w:pPr>
              <w:autoSpaceDE w:val="0"/>
              <w:autoSpaceDN w:val="0"/>
              <w:adjustRightInd w:val="0"/>
              <w:rPr>
                <w:sz w:val="22"/>
                <w:szCs w:val="22"/>
              </w:rPr>
            </w:pPr>
          </w:p>
        </w:tc>
        <w:tc>
          <w:tcPr>
            <w:tcW w:w="3240" w:type="dxa"/>
          </w:tcPr>
          <w:p w14:paraId="3F376A6D" w14:textId="77777777" w:rsidR="003A78D0" w:rsidRPr="00215D1E" w:rsidRDefault="003A78D0" w:rsidP="002C66FC">
            <w:pPr>
              <w:autoSpaceDE w:val="0"/>
              <w:autoSpaceDN w:val="0"/>
              <w:adjustRightInd w:val="0"/>
              <w:rPr>
                <w:sz w:val="22"/>
                <w:szCs w:val="22"/>
              </w:rPr>
            </w:pPr>
          </w:p>
        </w:tc>
      </w:tr>
      <w:tr w:rsidR="003A78D0" w:rsidRPr="00B02007" w14:paraId="36FBEE9C" w14:textId="77777777" w:rsidTr="002C66FC">
        <w:trPr>
          <w:trHeight w:val="342"/>
        </w:trPr>
        <w:tc>
          <w:tcPr>
            <w:tcW w:w="3235" w:type="dxa"/>
          </w:tcPr>
          <w:p w14:paraId="6CBAB8BE" w14:textId="77777777" w:rsidR="003A78D0" w:rsidRPr="00215D1E" w:rsidRDefault="003A78D0" w:rsidP="002C66FC">
            <w:pPr>
              <w:autoSpaceDE w:val="0"/>
              <w:autoSpaceDN w:val="0"/>
              <w:adjustRightInd w:val="0"/>
              <w:rPr>
                <w:sz w:val="22"/>
                <w:szCs w:val="22"/>
              </w:rPr>
            </w:pPr>
            <w:r w:rsidRPr="00215D1E">
              <w:rPr>
                <w:sz w:val="22"/>
                <w:szCs w:val="22"/>
              </w:rPr>
              <w:t>Gastrointestinalni poreme</w:t>
            </w:r>
            <w:r w:rsidRPr="00215D1E">
              <w:rPr>
                <w:rFonts w:eastAsia="TimesNewRoman"/>
                <w:sz w:val="22"/>
                <w:szCs w:val="22"/>
              </w:rPr>
              <w:t>ć</w:t>
            </w:r>
            <w:r w:rsidRPr="00215D1E">
              <w:rPr>
                <w:sz w:val="22"/>
                <w:szCs w:val="22"/>
              </w:rPr>
              <w:t>aji</w:t>
            </w:r>
          </w:p>
          <w:p w14:paraId="524E4B75" w14:textId="77777777" w:rsidR="003A78D0" w:rsidRPr="00215D1E" w:rsidRDefault="003A78D0" w:rsidP="002C66FC">
            <w:pPr>
              <w:autoSpaceDE w:val="0"/>
              <w:autoSpaceDN w:val="0"/>
              <w:adjustRightInd w:val="0"/>
              <w:rPr>
                <w:sz w:val="22"/>
                <w:szCs w:val="22"/>
              </w:rPr>
            </w:pPr>
          </w:p>
        </w:tc>
        <w:tc>
          <w:tcPr>
            <w:tcW w:w="3240" w:type="dxa"/>
            <w:shd w:val="clear" w:color="auto" w:fill="auto"/>
          </w:tcPr>
          <w:p w14:paraId="20B199DA" w14:textId="77777777" w:rsidR="003A78D0" w:rsidRPr="00215D1E" w:rsidRDefault="003A78D0" w:rsidP="002C66FC">
            <w:pPr>
              <w:autoSpaceDE w:val="0"/>
              <w:autoSpaceDN w:val="0"/>
              <w:adjustRightInd w:val="0"/>
              <w:rPr>
                <w:sz w:val="22"/>
                <w:szCs w:val="22"/>
              </w:rPr>
            </w:pPr>
            <w:r w:rsidRPr="00215D1E">
              <w:rPr>
                <w:sz w:val="22"/>
                <w:szCs w:val="22"/>
              </w:rPr>
              <w:t>Mu</w:t>
            </w:r>
            <w:r w:rsidRPr="00215D1E">
              <w:rPr>
                <w:rFonts w:eastAsia="TimesNewRoman"/>
                <w:sz w:val="22"/>
                <w:szCs w:val="22"/>
              </w:rPr>
              <w:t>č</w:t>
            </w:r>
            <w:r w:rsidRPr="00215D1E">
              <w:rPr>
                <w:sz w:val="22"/>
                <w:szCs w:val="22"/>
              </w:rPr>
              <w:t xml:space="preserve">nina; </w:t>
            </w:r>
          </w:p>
          <w:p w14:paraId="58680B92" w14:textId="77777777" w:rsidR="003A78D0" w:rsidRPr="00215D1E" w:rsidRDefault="003A78D0" w:rsidP="002C66FC">
            <w:pPr>
              <w:autoSpaceDE w:val="0"/>
              <w:autoSpaceDN w:val="0"/>
              <w:adjustRightInd w:val="0"/>
              <w:rPr>
                <w:sz w:val="22"/>
                <w:szCs w:val="22"/>
              </w:rPr>
            </w:pPr>
          </w:p>
          <w:p w14:paraId="2A90D5E7" w14:textId="77777777" w:rsidR="003A78D0" w:rsidRPr="00215D1E" w:rsidRDefault="003A78D0" w:rsidP="002C66FC">
            <w:pPr>
              <w:autoSpaceDE w:val="0"/>
              <w:autoSpaceDN w:val="0"/>
              <w:adjustRightInd w:val="0"/>
              <w:rPr>
                <w:sz w:val="22"/>
                <w:szCs w:val="22"/>
              </w:rPr>
            </w:pPr>
            <w:r w:rsidRPr="00215D1E">
              <w:rPr>
                <w:sz w:val="22"/>
                <w:szCs w:val="22"/>
              </w:rPr>
              <w:t xml:space="preserve">Dijareja; </w:t>
            </w:r>
          </w:p>
          <w:p w14:paraId="116ACE0C" w14:textId="77777777" w:rsidR="003A78D0" w:rsidRPr="00215D1E" w:rsidRDefault="003A78D0" w:rsidP="002C66FC">
            <w:pPr>
              <w:autoSpaceDE w:val="0"/>
              <w:autoSpaceDN w:val="0"/>
              <w:adjustRightInd w:val="0"/>
              <w:rPr>
                <w:sz w:val="22"/>
                <w:szCs w:val="22"/>
              </w:rPr>
            </w:pPr>
          </w:p>
          <w:p w14:paraId="496F4EA4" w14:textId="77777777" w:rsidR="003A78D0" w:rsidRPr="00215D1E" w:rsidRDefault="003A78D0" w:rsidP="002C66FC">
            <w:pPr>
              <w:autoSpaceDE w:val="0"/>
              <w:autoSpaceDN w:val="0"/>
              <w:adjustRightInd w:val="0"/>
              <w:rPr>
                <w:sz w:val="22"/>
                <w:szCs w:val="22"/>
              </w:rPr>
            </w:pPr>
            <w:r w:rsidRPr="00215D1E">
              <w:rPr>
                <w:sz w:val="22"/>
                <w:szCs w:val="22"/>
              </w:rPr>
              <w:t>Povraćanje;</w:t>
            </w:r>
          </w:p>
          <w:p w14:paraId="4E28D0D4" w14:textId="77777777" w:rsidR="003A78D0" w:rsidRPr="00215D1E" w:rsidRDefault="003A78D0" w:rsidP="002C66FC">
            <w:pPr>
              <w:autoSpaceDE w:val="0"/>
              <w:autoSpaceDN w:val="0"/>
              <w:adjustRightInd w:val="0"/>
              <w:rPr>
                <w:sz w:val="22"/>
                <w:szCs w:val="22"/>
              </w:rPr>
            </w:pPr>
          </w:p>
          <w:p w14:paraId="0EE03A66" w14:textId="77777777" w:rsidR="003A78D0" w:rsidRPr="00215D1E" w:rsidRDefault="003A78D0" w:rsidP="002C66FC">
            <w:pPr>
              <w:autoSpaceDE w:val="0"/>
              <w:autoSpaceDN w:val="0"/>
              <w:adjustRightInd w:val="0"/>
              <w:rPr>
                <w:sz w:val="22"/>
                <w:szCs w:val="22"/>
              </w:rPr>
            </w:pPr>
            <w:r w:rsidRPr="00215D1E">
              <w:rPr>
                <w:sz w:val="22"/>
                <w:szCs w:val="22"/>
              </w:rPr>
              <w:t>Opstipacija;</w:t>
            </w:r>
          </w:p>
          <w:p w14:paraId="4B2D0550" w14:textId="77777777" w:rsidR="003A78D0" w:rsidRPr="00215D1E" w:rsidRDefault="003A78D0" w:rsidP="002C66FC">
            <w:pPr>
              <w:autoSpaceDE w:val="0"/>
              <w:autoSpaceDN w:val="0"/>
              <w:adjustRightInd w:val="0"/>
              <w:rPr>
                <w:sz w:val="22"/>
                <w:szCs w:val="22"/>
              </w:rPr>
            </w:pPr>
          </w:p>
          <w:p w14:paraId="1931B8FD" w14:textId="77777777" w:rsidR="003A78D0" w:rsidRPr="00215D1E" w:rsidRDefault="003A78D0" w:rsidP="002C66FC">
            <w:pPr>
              <w:autoSpaceDE w:val="0"/>
              <w:autoSpaceDN w:val="0"/>
              <w:adjustRightInd w:val="0"/>
              <w:rPr>
                <w:sz w:val="22"/>
                <w:szCs w:val="22"/>
              </w:rPr>
            </w:pPr>
            <w:r w:rsidRPr="00215D1E">
              <w:rPr>
                <w:sz w:val="22"/>
                <w:szCs w:val="22"/>
              </w:rPr>
              <w:t xml:space="preserve">Stomatitis; </w:t>
            </w:r>
          </w:p>
          <w:p w14:paraId="23927D1B" w14:textId="77777777" w:rsidR="003A78D0" w:rsidRPr="00215D1E" w:rsidRDefault="003A78D0" w:rsidP="002C66FC">
            <w:pPr>
              <w:autoSpaceDE w:val="0"/>
              <w:autoSpaceDN w:val="0"/>
              <w:adjustRightInd w:val="0"/>
              <w:rPr>
                <w:sz w:val="22"/>
                <w:szCs w:val="22"/>
              </w:rPr>
            </w:pPr>
          </w:p>
          <w:p w14:paraId="45D63B51" w14:textId="77777777" w:rsidR="003A78D0" w:rsidRPr="00215D1E" w:rsidRDefault="003A78D0" w:rsidP="002C66FC">
            <w:pPr>
              <w:autoSpaceDE w:val="0"/>
              <w:autoSpaceDN w:val="0"/>
              <w:adjustRightInd w:val="0"/>
              <w:rPr>
                <w:sz w:val="22"/>
                <w:szCs w:val="22"/>
              </w:rPr>
            </w:pPr>
            <w:r w:rsidRPr="00215D1E">
              <w:rPr>
                <w:sz w:val="22"/>
                <w:szCs w:val="22"/>
              </w:rPr>
              <w:t>Dispepsija;</w:t>
            </w:r>
          </w:p>
          <w:p w14:paraId="46AE6958" w14:textId="77777777" w:rsidR="003A78D0" w:rsidRPr="00215D1E" w:rsidRDefault="003A78D0" w:rsidP="002C66FC">
            <w:pPr>
              <w:autoSpaceDE w:val="0"/>
              <w:autoSpaceDN w:val="0"/>
              <w:adjustRightInd w:val="0"/>
              <w:rPr>
                <w:sz w:val="22"/>
                <w:szCs w:val="22"/>
              </w:rPr>
            </w:pPr>
          </w:p>
          <w:p w14:paraId="2C0C236C" w14:textId="77777777" w:rsidR="003A78D0" w:rsidRPr="00215D1E" w:rsidRDefault="003A78D0" w:rsidP="002C66FC">
            <w:pPr>
              <w:autoSpaceDE w:val="0"/>
              <w:autoSpaceDN w:val="0"/>
              <w:adjustRightInd w:val="0"/>
              <w:rPr>
                <w:sz w:val="22"/>
                <w:szCs w:val="22"/>
              </w:rPr>
            </w:pPr>
            <w:r w:rsidRPr="00215D1E">
              <w:rPr>
                <w:sz w:val="22"/>
                <w:szCs w:val="22"/>
              </w:rPr>
              <w:t>Bol u abdomenu</w:t>
            </w:r>
          </w:p>
          <w:p w14:paraId="68B7A087" w14:textId="77777777" w:rsidR="003A78D0" w:rsidRPr="00215D1E" w:rsidRDefault="003A78D0" w:rsidP="002C66FC">
            <w:pPr>
              <w:autoSpaceDE w:val="0"/>
              <w:autoSpaceDN w:val="0"/>
              <w:adjustRightInd w:val="0"/>
              <w:rPr>
                <w:sz w:val="22"/>
                <w:szCs w:val="22"/>
              </w:rPr>
            </w:pPr>
          </w:p>
        </w:tc>
        <w:tc>
          <w:tcPr>
            <w:tcW w:w="3240" w:type="dxa"/>
            <w:shd w:val="clear" w:color="auto" w:fill="auto"/>
          </w:tcPr>
          <w:p w14:paraId="67964105" w14:textId="77777777" w:rsidR="003A78D0" w:rsidRPr="00215D1E" w:rsidRDefault="003A78D0" w:rsidP="002C66FC">
            <w:pPr>
              <w:autoSpaceDE w:val="0"/>
              <w:autoSpaceDN w:val="0"/>
              <w:adjustRightInd w:val="0"/>
              <w:rPr>
                <w:sz w:val="22"/>
                <w:szCs w:val="22"/>
              </w:rPr>
            </w:pPr>
          </w:p>
          <w:p w14:paraId="0A493ED4" w14:textId="77777777" w:rsidR="003A78D0" w:rsidRPr="00215D1E" w:rsidRDefault="003A78D0" w:rsidP="002C66FC">
            <w:pPr>
              <w:autoSpaceDE w:val="0"/>
              <w:autoSpaceDN w:val="0"/>
              <w:adjustRightInd w:val="0"/>
              <w:rPr>
                <w:sz w:val="22"/>
                <w:szCs w:val="22"/>
              </w:rPr>
            </w:pPr>
          </w:p>
        </w:tc>
      </w:tr>
      <w:tr w:rsidR="003A78D0" w:rsidRPr="00B02007" w14:paraId="6DCDE6C0" w14:textId="77777777" w:rsidTr="002C66FC">
        <w:trPr>
          <w:trHeight w:val="342"/>
        </w:trPr>
        <w:tc>
          <w:tcPr>
            <w:tcW w:w="3235" w:type="dxa"/>
          </w:tcPr>
          <w:p w14:paraId="79FD94DC"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 kože i</w:t>
            </w:r>
          </w:p>
          <w:p w14:paraId="1044B2FC" w14:textId="77777777" w:rsidR="003A78D0" w:rsidRPr="00215D1E" w:rsidRDefault="003A78D0" w:rsidP="002C66FC">
            <w:pPr>
              <w:autoSpaceDE w:val="0"/>
              <w:autoSpaceDN w:val="0"/>
              <w:adjustRightInd w:val="0"/>
              <w:rPr>
                <w:sz w:val="22"/>
                <w:szCs w:val="22"/>
              </w:rPr>
            </w:pPr>
            <w:r w:rsidRPr="00215D1E">
              <w:rPr>
                <w:sz w:val="22"/>
                <w:szCs w:val="22"/>
              </w:rPr>
              <w:t xml:space="preserve">potkožnog tkiva </w:t>
            </w:r>
          </w:p>
          <w:p w14:paraId="36933927" w14:textId="77777777" w:rsidR="003A78D0" w:rsidRPr="00215D1E" w:rsidRDefault="003A78D0" w:rsidP="002C66FC">
            <w:pPr>
              <w:autoSpaceDE w:val="0"/>
              <w:autoSpaceDN w:val="0"/>
              <w:adjustRightInd w:val="0"/>
              <w:rPr>
                <w:sz w:val="22"/>
                <w:szCs w:val="22"/>
              </w:rPr>
            </w:pPr>
          </w:p>
        </w:tc>
        <w:tc>
          <w:tcPr>
            <w:tcW w:w="3240" w:type="dxa"/>
            <w:shd w:val="clear" w:color="auto" w:fill="auto"/>
          </w:tcPr>
          <w:p w14:paraId="49044B35" w14:textId="77777777" w:rsidR="003A78D0" w:rsidRPr="00215D1E" w:rsidRDefault="003A78D0" w:rsidP="002C66FC">
            <w:pPr>
              <w:autoSpaceDE w:val="0"/>
              <w:autoSpaceDN w:val="0"/>
              <w:adjustRightInd w:val="0"/>
              <w:rPr>
                <w:sz w:val="22"/>
                <w:szCs w:val="22"/>
              </w:rPr>
            </w:pPr>
            <w:r w:rsidRPr="00215D1E">
              <w:rPr>
                <w:sz w:val="22"/>
                <w:szCs w:val="22"/>
              </w:rPr>
              <w:t>Alopecija;</w:t>
            </w:r>
          </w:p>
          <w:p w14:paraId="44C61961" w14:textId="77777777" w:rsidR="003A78D0" w:rsidRPr="00215D1E" w:rsidRDefault="003A78D0" w:rsidP="002C66FC">
            <w:pPr>
              <w:autoSpaceDE w:val="0"/>
              <w:autoSpaceDN w:val="0"/>
              <w:adjustRightInd w:val="0"/>
              <w:rPr>
                <w:sz w:val="22"/>
                <w:szCs w:val="22"/>
              </w:rPr>
            </w:pPr>
          </w:p>
          <w:p w14:paraId="7EC87201" w14:textId="77777777" w:rsidR="003A78D0" w:rsidRPr="00215D1E" w:rsidRDefault="003A78D0" w:rsidP="002C66FC">
            <w:pPr>
              <w:autoSpaceDE w:val="0"/>
              <w:autoSpaceDN w:val="0"/>
              <w:adjustRightInd w:val="0"/>
              <w:rPr>
                <w:sz w:val="22"/>
                <w:szCs w:val="22"/>
              </w:rPr>
            </w:pPr>
            <w:r w:rsidRPr="00215D1E">
              <w:rPr>
                <w:sz w:val="22"/>
                <w:szCs w:val="22"/>
              </w:rPr>
              <w:t>Eritem;</w:t>
            </w:r>
          </w:p>
          <w:p w14:paraId="6ACA9369" w14:textId="77777777" w:rsidR="003A78D0" w:rsidRPr="00215D1E" w:rsidRDefault="003A78D0" w:rsidP="002C66FC">
            <w:pPr>
              <w:autoSpaceDE w:val="0"/>
              <w:autoSpaceDN w:val="0"/>
              <w:adjustRightInd w:val="0"/>
              <w:rPr>
                <w:sz w:val="22"/>
                <w:szCs w:val="22"/>
              </w:rPr>
            </w:pPr>
          </w:p>
          <w:p w14:paraId="78861781" w14:textId="77777777" w:rsidR="003A78D0" w:rsidRPr="00215D1E" w:rsidRDefault="003A78D0" w:rsidP="002C66FC">
            <w:pPr>
              <w:autoSpaceDE w:val="0"/>
              <w:autoSpaceDN w:val="0"/>
              <w:adjustRightInd w:val="0"/>
              <w:rPr>
                <w:sz w:val="22"/>
                <w:szCs w:val="22"/>
              </w:rPr>
            </w:pPr>
            <w:r w:rsidRPr="00215D1E">
              <w:rPr>
                <w:sz w:val="22"/>
                <w:szCs w:val="22"/>
              </w:rPr>
              <w:t>Osip;</w:t>
            </w:r>
          </w:p>
          <w:p w14:paraId="4B40B383" w14:textId="77777777" w:rsidR="003A78D0" w:rsidRPr="00215D1E" w:rsidRDefault="003A78D0" w:rsidP="002C66FC">
            <w:pPr>
              <w:autoSpaceDE w:val="0"/>
              <w:autoSpaceDN w:val="0"/>
              <w:adjustRightInd w:val="0"/>
              <w:rPr>
                <w:sz w:val="22"/>
                <w:szCs w:val="22"/>
              </w:rPr>
            </w:pPr>
          </w:p>
          <w:p w14:paraId="0C3387FA" w14:textId="77777777" w:rsidR="003A78D0" w:rsidRPr="00215D1E" w:rsidRDefault="003A78D0" w:rsidP="002C66FC">
            <w:pPr>
              <w:autoSpaceDE w:val="0"/>
              <w:autoSpaceDN w:val="0"/>
              <w:adjustRightInd w:val="0"/>
              <w:rPr>
                <w:sz w:val="22"/>
                <w:szCs w:val="22"/>
              </w:rPr>
            </w:pPr>
            <w:r w:rsidRPr="00215D1E">
              <w:rPr>
                <w:sz w:val="22"/>
                <w:szCs w:val="22"/>
              </w:rPr>
              <w:t>Promjene na noktima</w:t>
            </w:r>
          </w:p>
          <w:p w14:paraId="2FF43E10" w14:textId="77777777" w:rsidR="003A78D0" w:rsidRPr="00215D1E" w:rsidRDefault="003A78D0" w:rsidP="002C66FC">
            <w:pPr>
              <w:autoSpaceDE w:val="0"/>
              <w:autoSpaceDN w:val="0"/>
              <w:adjustRightInd w:val="0"/>
              <w:rPr>
                <w:sz w:val="22"/>
                <w:szCs w:val="22"/>
              </w:rPr>
            </w:pPr>
          </w:p>
        </w:tc>
        <w:tc>
          <w:tcPr>
            <w:tcW w:w="3240" w:type="dxa"/>
            <w:shd w:val="clear" w:color="auto" w:fill="auto"/>
          </w:tcPr>
          <w:p w14:paraId="47FDC726" w14:textId="77777777" w:rsidR="003A78D0" w:rsidRPr="00215D1E" w:rsidRDefault="003A78D0" w:rsidP="002C66FC">
            <w:pPr>
              <w:autoSpaceDE w:val="0"/>
              <w:autoSpaceDN w:val="0"/>
              <w:adjustRightInd w:val="0"/>
              <w:rPr>
                <w:sz w:val="22"/>
                <w:szCs w:val="22"/>
              </w:rPr>
            </w:pPr>
          </w:p>
        </w:tc>
      </w:tr>
      <w:tr w:rsidR="003A78D0" w:rsidRPr="00BB3077" w14:paraId="3E81711A" w14:textId="77777777" w:rsidTr="002C66FC">
        <w:trPr>
          <w:trHeight w:val="1095"/>
        </w:trPr>
        <w:tc>
          <w:tcPr>
            <w:tcW w:w="3235" w:type="dxa"/>
          </w:tcPr>
          <w:p w14:paraId="0F1A4DD0"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w:t>
            </w:r>
          </w:p>
          <w:p w14:paraId="7F27D3FD" w14:textId="77777777" w:rsidR="003A78D0" w:rsidRPr="00215D1E" w:rsidRDefault="003A78D0" w:rsidP="002C66FC">
            <w:pPr>
              <w:autoSpaceDE w:val="0"/>
              <w:autoSpaceDN w:val="0"/>
              <w:adjustRightInd w:val="0"/>
              <w:rPr>
                <w:sz w:val="22"/>
                <w:szCs w:val="22"/>
              </w:rPr>
            </w:pPr>
            <w:r w:rsidRPr="00215D1E">
              <w:rPr>
                <w:sz w:val="22"/>
                <w:szCs w:val="22"/>
              </w:rPr>
              <w:t>miši</w:t>
            </w:r>
            <w:r w:rsidRPr="00215D1E">
              <w:rPr>
                <w:rFonts w:eastAsia="TimesNewRoman"/>
                <w:sz w:val="22"/>
                <w:szCs w:val="22"/>
              </w:rPr>
              <w:t>ć</w:t>
            </w:r>
            <w:r w:rsidRPr="00215D1E">
              <w:rPr>
                <w:sz w:val="22"/>
                <w:szCs w:val="22"/>
              </w:rPr>
              <w:t>noskeletnog</w:t>
            </w:r>
          </w:p>
          <w:p w14:paraId="35FC904A" w14:textId="77777777" w:rsidR="003A78D0" w:rsidRPr="00215D1E" w:rsidRDefault="003A78D0" w:rsidP="002C66FC">
            <w:pPr>
              <w:autoSpaceDE w:val="0"/>
              <w:autoSpaceDN w:val="0"/>
              <w:adjustRightInd w:val="0"/>
              <w:rPr>
                <w:sz w:val="22"/>
                <w:szCs w:val="22"/>
              </w:rPr>
            </w:pPr>
            <w:r w:rsidRPr="00215D1E">
              <w:rPr>
                <w:sz w:val="22"/>
                <w:szCs w:val="22"/>
              </w:rPr>
              <w:t>sistema i vezivnog tkiva</w:t>
            </w:r>
          </w:p>
          <w:p w14:paraId="353838A1" w14:textId="77777777" w:rsidR="003A78D0" w:rsidRPr="00215D1E" w:rsidRDefault="003A78D0" w:rsidP="002C66FC">
            <w:pPr>
              <w:autoSpaceDE w:val="0"/>
              <w:autoSpaceDN w:val="0"/>
              <w:adjustRightInd w:val="0"/>
              <w:rPr>
                <w:sz w:val="22"/>
                <w:szCs w:val="22"/>
              </w:rPr>
            </w:pPr>
          </w:p>
        </w:tc>
        <w:tc>
          <w:tcPr>
            <w:tcW w:w="3240" w:type="dxa"/>
            <w:shd w:val="clear" w:color="auto" w:fill="auto"/>
          </w:tcPr>
          <w:p w14:paraId="48E158D9" w14:textId="77777777" w:rsidR="003A78D0" w:rsidRPr="003A78D0" w:rsidRDefault="003A78D0" w:rsidP="002C66FC">
            <w:pPr>
              <w:autoSpaceDE w:val="0"/>
              <w:autoSpaceDN w:val="0"/>
              <w:adjustRightInd w:val="0"/>
              <w:rPr>
                <w:sz w:val="22"/>
                <w:szCs w:val="22"/>
                <w:lang w:val="de-DE"/>
              </w:rPr>
            </w:pPr>
            <w:r w:rsidRPr="003A78D0">
              <w:rPr>
                <w:sz w:val="22"/>
                <w:szCs w:val="22"/>
                <w:lang w:val="de-DE"/>
              </w:rPr>
              <w:t xml:space="preserve">Mialgija; </w:t>
            </w:r>
          </w:p>
          <w:p w14:paraId="081A46F1" w14:textId="77777777" w:rsidR="003A78D0" w:rsidRPr="003A78D0" w:rsidRDefault="003A78D0" w:rsidP="002C66FC">
            <w:pPr>
              <w:autoSpaceDE w:val="0"/>
              <w:autoSpaceDN w:val="0"/>
              <w:adjustRightInd w:val="0"/>
              <w:rPr>
                <w:sz w:val="22"/>
                <w:szCs w:val="22"/>
                <w:lang w:val="de-DE"/>
              </w:rPr>
            </w:pPr>
          </w:p>
          <w:p w14:paraId="73203150" w14:textId="77777777" w:rsidR="003A78D0" w:rsidRPr="003A78D0" w:rsidRDefault="003A78D0" w:rsidP="002C66FC">
            <w:pPr>
              <w:autoSpaceDE w:val="0"/>
              <w:autoSpaceDN w:val="0"/>
              <w:adjustRightInd w:val="0"/>
              <w:rPr>
                <w:sz w:val="22"/>
                <w:szCs w:val="22"/>
                <w:lang w:val="de-DE"/>
              </w:rPr>
            </w:pPr>
            <w:r w:rsidRPr="003A78D0">
              <w:rPr>
                <w:sz w:val="22"/>
                <w:szCs w:val="22"/>
                <w:lang w:val="de-DE"/>
              </w:rPr>
              <w:t>Artralgija;</w:t>
            </w:r>
          </w:p>
          <w:p w14:paraId="3510B8E2" w14:textId="77777777" w:rsidR="003A78D0" w:rsidRPr="003A78D0" w:rsidRDefault="003A78D0" w:rsidP="002C66FC">
            <w:pPr>
              <w:autoSpaceDE w:val="0"/>
              <w:autoSpaceDN w:val="0"/>
              <w:adjustRightInd w:val="0"/>
              <w:rPr>
                <w:sz w:val="22"/>
                <w:szCs w:val="22"/>
                <w:lang w:val="de-DE"/>
              </w:rPr>
            </w:pPr>
          </w:p>
          <w:p w14:paraId="5D918274" w14:textId="77777777" w:rsidR="003A78D0" w:rsidRPr="003A78D0" w:rsidRDefault="003A78D0" w:rsidP="002C66FC">
            <w:pPr>
              <w:autoSpaceDE w:val="0"/>
              <w:autoSpaceDN w:val="0"/>
              <w:adjustRightInd w:val="0"/>
              <w:rPr>
                <w:sz w:val="22"/>
                <w:szCs w:val="22"/>
                <w:lang w:val="de-DE"/>
              </w:rPr>
            </w:pPr>
            <w:r w:rsidRPr="003A78D0">
              <w:rPr>
                <w:sz w:val="22"/>
                <w:szCs w:val="22"/>
                <w:lang w:val="de-DE"/>
              </w:rPr>
              <w:t>Bol u ekstremitetima;</w:t>
            </w:r>
          </w:p>
          <w:p w14:paraId="32467981" w14:textId="77777777" w:rsidR="003A78D0" w:rsidRPr="003A78D0" w:rsidRDefault="003A78D0" w:rsidP="002C66FC">
            <w:pPr>
              <w:autoSpaceDE w:val="0"/>
              <w:autoSpaceDN w:val="0"/>
              <w:adjustRightInd w:val="0"/>
              <w:rPr>
                <w:sz w:val="22"/>
                <w:szCs w:val="22"/>
                <w:lang w:val="de-DE"/>
              </w:rPr>
            </w:pPr>
          </w:p>
          <w:p w14:paraId="54B009C7" w14:textId="77777777" w:rsidR="003A78D0" w:rsidRPr="003A78D0" w:rsidRDefault="003A78D0" w:rsidP="002C66FC">
            <w:pPr>
              <w:autoSpaceDE w:val="0"/>
              <w:autoSpaceDN w:val="0"/>
              <w:adjustRightInd w:val="0"/>
              <w:rPr>
                <w:sz w:val="22"/>
                <w:szCs w:val="22"/>
                <w:lang w:val="de-DE"/>
              </w:rPr>
            </w:pPr>
            <w:r w:rsidRPr="003A78D0">
              <w:rPr>
                <w:sz w:val="22"/>
                <w:szCs w:val="22"/>
                <w:lang w:val="de-DE"/>
              </w:rPr>
              <w:t>Bol u kostima;</w:t>
            </w:r>
          </w:p>
          <w:p w14:paraId="0073EED0" w14:textId="77777777" w:rsidR="003A78D0" w:rsidRPr="003A78D0" w:rsidRDefault="003A78D0" w:rsidP="002C66FC">
            <w:pPr>
              <w:autoSpaceDE w:val="0"/>
              <w:autoSpaceDN w:val="0"/>
              <w:adjustRightInd w:val="0"/>
              <w:rPr>
                <w:sz w:val="22"/>
                <w:szCs w:val="22"/>
                <w:lang w:val="de-DE"/>
              </w:rPr>
            </w:pPr>
          </w:p>
          <w:p w14:paraId="7A9D5B07" w14:textId="77777777" w:rsidR="003A78D0" w:rsidRPr="003A78D0" w:rsidRDefault="003A78D0" w:rsidP="002C66FC">
            <w:pPr>
              <w:autoSpaceDE w:val="0"/>
              <w:autoSpaceDN w:val="0"/>
              <w:adjustRightInd w:val="0"/>
              <w:rPr>
                <w:sz w:val="22"/>
                <w:szCs w:val="22"/>
                <w:lang w:val="de-DE"/>
              </w:rPr>
            </w:pPr>
            <w:r w:rsidRPr="003A78D0">
              <w:rPr>
                <w:sz w:val="22"/>
                <w:szCs w:val="22"/>
                <w:lang w:val="de-DE"/>
              </w:rPr>
              <w:t>Bol u leđima</w:t>
            </w:r>
          </w:p>
          <w:p w14:paraId="01BA27F7" w14:textId="77777777" w:rsidR="003A78D0" w:rsidRPr="003A78D0" w:rsidRDefault="003A78D0" w:rsidP="002C66FC">
            <w:pPr>
              <w:autoSpaceDE w:val="0"/>
              <w:autoSpaceDN w:val="0"/>
              <w:adjustRightInd w:val="0"/>
              <w:rPr>
                <w:sz w:val="22"/>
                <w:szCs w:val="22"/>
                <w:lang w:val="de-DE"/>
              </w:rPr>
            </w:pPr>
          </w:p>
        </w:tc>
        <w:tc>
          <w:tcPr>
            <w:tcW w:w="3240" w:type="dxa"/>
            <w:shd w:val="clear" w:color="auto" w:fill="auto"/>
          </w:tcPr>
          <w:p w14:paraId="5D9BD684" w14:textId="77777777" w:rsidR="003A78D0" w:rsidRPr="003A78D0" w:rsidRDefault="003A78D0" w:rsidP="002C66FC">
            <w:pPr>
              <w:autoSpaceDE w:val="0"/>
              <w:autoSpaceDN w:val="0"/>
              <w:adjustRightInd w:val="0"/>
              <w:rPr>
                <w:sz w:val="22"/>
                <w:szCs w:val="22"/>
                <w:lang w:val="de-DE"/>
              </w:rPr>
            </w:pPr>
          </w:p>
        </w:tc>
      </w:tr>
      <w:tr w:rsidR="003A78D0" w:rsidRPr="00B02007" w14:paraId="7B99767C" w14:textId="77777777" w:rsidTr="002C66FC">
        <w:tc>
          <w:tcPr>
            <w:tcW w:w="3235" w:type="dxa"/>
          </w:tcPr>
          <w:p w14:paraId="06DCD98D" w14:textId="77777777" w:rsidR="003A78D0" w:rsidRPr="00215D1E" w:rsidRDefault="003A78D0" w:rsidP="002C66FC">
            <w:pPr>
              <w:autoSpaceDE w:val="0"/>
              <w:autoSpaceDN w:val="0"/>
              <w:adjustRightInd w:val="0"/>
              <w:rPr>
                <w:sz w:val="22"/>
                <w:szCs w:val="22"/>
              </w:rPr>
            </w:pPr>
            <w:r w:rsidRPr="00215D1E">
              <w:rPr>
                <w:sz w:val="22"/>
                <w:szCs w:val="22"/>
              </w:rPr>
              <w:t>Opšti poreme</w:t>
            </w:r>
            <w:r w:rsidRPr="00215D1E">
              <w:rPr>
                <w:rFonts w:eastAsia="TimesNewRoman"/>
                <w:sz w:val="22"/>
                <w:szCs w:val="22"/>
              </w:rPr>
              <w:t>ć</w:t>
            </w:r>
            <w:r w:rsidRPr="00215D1E">
              <w:rPr>
                <w:sz w:val="22"/>
                <w:szCs w:val="22"/>
              </w:rPr>
              <w:t>aji i</w:t>
            </w:r>
          </w:p>
          <w:p w14:paraId="6192A74D" w14:textId="77777777" w:rsidR="003A78D0" w:rsidRPr="00215D1E" w:rsidRDefault="003A78D0" w:rsidP="002C66FC">
            <w:pPr>
              <w:autoSpaceDE w:val="0"/>
              <w:autoSpaceDN w:val="0"/>
              <w:adjustRightInd w:val="0"/>
              <w:rPr>
                <w:sz w:val="22"/>
                <w:szCs w:val="22"/>
              </w:rPr>
            </w:pPr>
            <w:r w:rsidRPr="00215D1E">
              <w:rPr>
                <w:sz w:val="22"/>
                <w:szCs w:val="22"/>
              </w:rPr>
              <w:lastRenderedPageBreak/>
              <w:t>promjene na mjestu</w:t>
            </w:r>
          </w:p>
          <w:p w14:paraId="52290DD6" w14:textId="77777777" w:rsidR="003A78D0" w:rsidRPr="00215D1E" w:rsidRDefault="003A78D0" w:rsidP="002C66FC">
            <w:pPr>
              <w:autoSpaceDE w:val="0"/>
              <w:autoSpaceDN w:val="0"/>
              <w:adjustRightInd w:val="0"/>
              <w:rPr>
                <w:sz w:val="22"/>
                <w:szCs w:val="22"/>
              </w:rPr>
            </w:pPr>
            <w:r w:rsidRPr="00215D1E">
              <w:rPr>
                <w:sz w:val="22"/>
                <w:szCs w:val="22"/>
              </w:rPr>
              <w:t>primjene</w:t>
            </w:r>
          </w:p>
          <w:p w14:paraId="0C04B4EB" w14:textId="77777777" w:rsidR="003A78D0" w:rsidRPr="00215D1E" w:rsidRDefault="003A78D0" w:rsidP="002C66FC">
            <w:pPr>
              <w:autoSpaceDE w:val="0"/>
              <w:autoSpaceDN w:val="0"/>
              <w:adjustRightInd w:val="0"/>
              <w:rPr>
                <w:sz w:val="22"/>
                <w:szCs w:val="22"/>
              </w:rPr>
            </w:pPr>
          </w:p>
        </w:tc>
        <w:tc>
          <w:tcPr>
            <w:tcW w:w="3240" w:type="dxa"/>
          </w:tcPr>
          <w:p w14:paraId="2B9D5D9C" w14:textId="77777777" w:rsidR="003A78D0" w:rsidRPr="00215D1E" w:rsidRDefault="003A78D0" w:rsidP="002C66FC">
            <w:pPr>
              <w:autoSpaceDE w:val="0"/>
              <w:autoSpaceDN w:val="0"/>
              <w:adjustRightInd w:val="0"/>
              <w:rPr>
                <w:sz w:val="22"/>
                <w:szCs w:val="22"/>
              </w:rPr>
            </w:pPr>
            <w:r w:rsidRPr="00215D1E">
              <w:rPr>
                <w:sz w:val="22"/>
                <w:szCs w:val="22"/>
              </w:rPr>
              <w:lastRenderedPageBreak/>
              <w:t>Astenija;</w:t>
            </w:r>
          </w:p>
          <w:p w14:paraId="4F1CF307" w14:textId="77777777" w:rsidR="003A78D0" w:rsidRPr="00215D1E" w:rsidRDefault="003A78D0" w:rsidP="002C66FC">
            <w:pPr>
              <w:autoSpaceDE w:val="0"/>
              <w:autoSpaceDN w:val="0"/>
              <w:adjustRightInd w:val="0"/>
              <w:rPr>
                <w:sz w:val="22"/>
                <w:szCs w:val="22"/>
              </w:rPr>
            </w:pPr>
          </w:p>
          <w:p w14:paraId="24A426B7" w14:textId="77777777" w:rsidR="003A78D0" w:rsidRPr="00215D1E" w:rsidRDefault="003A78D0" w:rsidP="002C66FC">
            <w:pPr>
              <w:autoSpaceDE w:val="0"/>
              <w:autoSpaceDN w:val="0"/>
              <w:adjustRightInd w:val="0"/>
              <w:rPr>
                <w:sz w:val="22"/>
                <w:szCs w:val="22"/>
              </w:rPr>
            </w:pPr>
            <w:r w:rsidRPr="00215D1E">
              <w:rPr>
                <w:sz w:val="22"/>
                <w:szCs w:val="22"/>
              </w:rPr>
              <w:t>Periferni edem;</w:t>
            </w:r>
          </w:p>
          <w:p w14:paraId="486E05C9" w14:textId="77777777" w:rsidR="003A78D0" w:rsidRPr="00215D1E" w:rsidRDefault="003A78D0" w:rsidP="002C66FC">
            <w:pPr>
              <w:autoSpaceDE w:val="0"/>
              <w:autoSpaceDN w:val="0"/>
              <w:adjustRightInd w:val="0"/>
              <w:rPr>
                <w:sz w:val="22"/>
                <w:szCs w:val="22"/>
              </w:rPr>
            </w:pPr>
          </w:p>
          <w:p w14:paraId="3FE0B88D" w14:textId="77777777" w:rsidR="003A78D0" w:rsidRPr="00215D1E" w:rsidRDefault="003A78D0" w:rsidP="002C66FC">
            <w:pPr>
              <w:autoSpaceDE w:val="0"/>
              <w:autoSpaceDN w:val="0"/>
              <w:adjustRightInd w:val="0"/>
              <w:rPr>
                <w:sz w:val="22"/>
                <w:szCs w:val="22"/>
              </w:rPr>
            </w:pPr>
            <w:r w:rsidRPr="00215D1E">
              <w:rPr>
                <w:sz w:val="22"/>
                <w:szCs w:val="22"/>
              </w:rPr>
              <w:t>Povišena tjelesna temperatura;</w:t>
            </w:r>
          </w:p>
          <w:p w14:paraId="2B14CC78" w14:textId="77777777" w:rsidR="003A78D0" w:rsidRPr="00215D1E" w:rsidRDefault="003A78D0" w:rsidP="002C66FC">
            <w:pPr>
              <w:autoSpaceDE w:val="0"/>
              <w:autoSpaceDN w:val="0"/>
              <w:adjustRightInd w:val="0"/>
              <w:rPr>
                <w:sz w:val="22"/>
                <w:szCs w:val="22"/>
              </w:rPr>
            </w:pPr>
          </w:p>
          <w:p w14:paraId="57F4E9DD" w14:textId="77777777" w:rsidR="003A78D0" w:rsidRPr="00215D1E" w:rsidRDefault="003A78D0" w:rsidP="002C66FC">
            <w:pPr>
              <w:autoSpaceDE w:val="0"/>
              <w:autoSpaceDN w:val="0"/>
              <w:adjustRightInd w:val="0"/>
              <w:rPr>
                <w:sz w:val="22"/>
                <w:szCs w:val="22"/>
              </w:rPr>
            </w:pPr>
            <w:r w:rsidRPr="00215D1E">
              <w:rPr>
                <w:sz w:val="22"/>
                <w:szCs w:val="22"/>
              </w:rPr>
              <w:t>Zamor;</w:t>
            </w:r>
          </w:p>
          <w:p w14:paraId="69BCAE0E" w14:textId="77777777" w:rsidR="003A78D0" w:rsidRPr="00215D1E" w:rsidRDefault="003A78D0" w:rsidP="002C66FC">
            <w:pPr>
              <w:autoSpaceDE w:val="0"/>
              <w:autoSpaceDN w:val="0"/>
              <w:adjustRightInd w:val="0"/>
              <w:rPr>
                <w:sz w:val="22"/>
                <w:szCs w:val="22"/>
              </w:rPr>
            </w:pPr>
          </w:p>
          <w:p w14:paraId="066E4913" w14:textId="77777777" w:rsidR="003A78D0" w:rsidRPr="00215D1E" w:rsidRDefault="003A78D0" w:rsidP="002C66FC">
            <w:pPr>
              <w:autoSpaceDE w:val="0"/>
              <w:autoSpaceDN w:val="0"/>
              <w:adjustRightInd w:val="0"/>
              <w:rPr>
                <w:sz w:val="22"/>
                <w:szCs w:val="22"/>
              </w:rPr>
            </w:pPr>
            <w:r w:rsidRPr="00215D1E">
              <w:rPr>
                <w:sz w:val="22"/>
                <w:szCs w:val="22"/>
              </w:rPr>
              <w:t>Zapaljenje sluzokože;</w:t>
            </w:r>
          </w:p>
          <w:p w14:paraId="4FF6064A" w14:textId="77777777" w:rsidR="003A78D0" w:rsidRPr="00215D1E" w:rsidRDefault="003A78D0" w:rsidP="002C66FC">
            <w:pPr>
              <w:autoSpaceDE w:val="0"/>
              <w:autoSpaceDN w:val="0"/>
              <w:adjustRightInd w:val="0"/>
              <w:rPr>
                <w:sz w:val="22"/>
                <w:szCs w:val="22"/>
              </w:rPr>
            </w:pPr>
          </w:p>
          <w:p w14:paraId="2C5C1B0D" w14:textId="77777777" w:rsidR="003A78D0" w:rsidRPr="00215D1E" w:rsidRDefault="003A78D0" w:rsidP="002C66FC">
            <w:pPr>
              <w:autoSpaceDE w:val="0"/>
              <w:autoSpaceDN w:val="0"/>
              <w:adjustRightInd w:val="0"/>
              <w:rPr>
                <w:sz w:val="22"/>
                <w:szCs w:val="22"/>
              </w:rPr>
            </w:pPr>
            <w:r w:rsidRPr="00215D1E">
              <w:rPr>
                <w:sz w:val="22"/>
                <w:szCs w:val="22"/>
              </w:rPr>
              <w:t>Bol;</w:t>
            </w:r>
          </w:p>
          <w:p w14:paraId="64869737" w14:textId="77777777" w:rsidR="003A78D0" w:rsidRPr="00215D1E" w:rsidRDefault="003A78D0" w:rsidP="002C66FC">
            <w:pPr>
              <w:autoSpaceDE w:val="0"/>
              <w:autoSpaceDN w:val="0"/>
              <w:adjustRightInd w:val="0"/>
              <w:rPr>
                <w:sz w:val="22"/>
                <w:szCs w:val="22"/>
              </w:rPr>
            </w:pPr>
          </w:p>
          <w:p w14:paraId="1A63FC7D" w14:textId="77777777" w:rsidR="003A78D0" w:rsidRPr="00215D1E" w:rsidRDefault="003A78D0" w:rsidP="002C66FC">
            <w:pPr>
              <w:autoSpaceDE w:val="0"/>
              <w:autoSpaceDN w:val="0"/>
              <w:adjustRightInd w:val="0"/>
              <w:rPr>
                <w:sz w:val="22"/>
                <w:szCs w:val="22"/>
              </w:rPr>
            </w:pPr>
            <w:r w:rsidRPr="00215D1E">
              <w:rPr>
                <w:sz w:val="22"/>
                <w:szCs w:val="22"/>
              </w:rPr>
              <w:t>Stanje sli</w:t>
            </w:r>
            <w:r w:rsidRPr="00215D1E">
              <w:rPr>
                <w:rFonts w:eastAsia="TimesNewRoman"/>
                <w:sz w:val="22"/>
                <w:szCs w:val="22"/>
              </w:rPr>
              <w:t>č</w:t>
            </w:r>
            <w:r w:rsidRPr="00215D1E">
              <w:rPr>
                <w:sz w:val="22"/>
                <w:szCs w:val="22"/>
              </w:rPr>
              <w:t>no gripu;</w:t>
            </w:r>
          </w:p>
          <w:p w14:paraId="08DA0348" w14:textId="77777777" w:rsidR="003A78D0" w:rsidRPr="00215D1E" w:rsidRDefault="003A78D0" w:rsidP="002C66FC">
            <w:pPr>
              <w:autoSpaceDE w:val="0"/>
              <w:autoSpaceDN w:val="0"/>
              <w:adjustRightInd w:val="0"/>
              <w:rPr>
                <w:sz w:val="22"/>
                <w:szCs w:val="22"/>
              </w:rPr>
            </w:pPr>
          </w:p>
          <w:p w14:paraId="2EBC99A7" w14:textId="77777777" w:rsidR="003A78D0" w:rsidRPr="00215D1E" w:rsidRDefault="003A78D0" w:rsidP="002C66FC">
            <w:pPr>
              <w:autoSpaceDE w:val="0"/>
              <w:autoSpaceDN w:val="0"/>
              <w:adjustRightInd w:val="0"/>
              <w:rPr>
                <w:sz w:val="22"/>
                <w:szCs w:val="22"/>
              </w:rPr>
            </w:pPr>
            <w:r w:rsidRPr="00215D1E">
              <w:rPr>
                <w:sz w:val="22"/>
                <w:szCs w:val="22"/>
              </w:rPr>
              <w:t>Bol u</w:t>
            </w:r>
          </w:p>
          <w:p w14:paraId="145F73DD" w14:textId="77777777" w:rsidR="003A78D0" w:rsidRPr="00215D1E" w:rsidRDefault="003A78D0" w:rsidP="002C66FC">
            <w:pPr>
              <w:autoSpaceDE w:val="0"/>
              <w:autoSpaceDN w:val="0"/>
              <w:adjustRightInd w:val="0"/>
              <w:rPr>
                <w:sz w:val="22"/>
                <w:szCs w:val="22"/>
              </w:rPr>
            </w:pPr>
            <w:r w:rsidRPr="00215D1E">
              <w:rPr>
                <w:sz w:val="22"/>
                <w:szCs w:val="22"/>
              </w:rPr>
              <w:t>grudima;</w:t>
            </w:r>
          </w:p>
          <w:p w14:paraId="2CEC90BF" w14:textId="77777777" w:rsidR="003A78D0" w:rsidRPr="00215D1E" w:rsidRDefault="003A78D0" w:rsidP="002C66FC">
            <w:pPr>
              <w:autoSpaceDE w:val="0"/>
              <w:autoSpaceDN w:val="0"/>
              <w:adjustRightInd w:val="0"/>
              <w:rPr>
                <w:sz w:val="22"/>
                <w:szCs w:val="22"/>
              </w:rPr>
            </w:pPr>
          </w:p>
          <w:p w14:paraId="0A79B05A" w14:textId="77777777" w:rsidR="003A78D0" w:rsidRPr="00215D1E" w:rsidRDefault="003A78D0" w:rsidP="002C66FC">
            <w:pPr>
              <w:autoSpaceDE w:val="0"/>
              <w:autoSpaceDN w:val="0"/>
              <w:adjustRightInd w:val="0"/>
              <w:rPr>
                <w:sz w:val="22"/>
                <w:szCs w:val="22"/>
              </w:rPr>
            </w:pPr>
            <w:r w:rsidRPr="00215D1E">
              <w:rPr>
                <w:sz w:val="22"/>
                <w:szCs w:val="22"/>
              </w:rPr>
              <w:t>Drhtavica;</w:t>
            </w:r>
          </w:p>
          <w:p w14:paraId="796F32AD" w14:textId="77777777" w:rsidR="003A78D0" w:rsidRPr="00215D1E" w:rsidRDefault="003A78D0" w:rsidP="002C66FC">
            <w:pPr>
              <w:autoSpaceDE w:val="0"/>
              <w:autoSpaceDN w:val="0"/>
              <w:adjustRightInd w:val="0"/>
              <w:rPr>
                <w:sz w:val="22"/>
                <w:szCs w:val="22"/>
              </w:rPr>
            </w:pPr>
          </w:p>
        </w:tc>
        <w:tc>
          <w:tcPr>
            <w:tcW w:w="3240" w:type="dxa"/>
          </w:tcPr>
          <w:p w14:paraId="39F809B7" w14:textId="77777777" w:rsidR="003A78D0" w:rsidRPr="00215D1E" w:rsidRDefault="003A78D0" w:rsidP="002C66FC">
            <w:pPr>
              <w:autoSpaceDE w:val="0"/>
              <w:autoSpaceDN w:val="0"/>
              <w:adjustRightInd w:val="0"/>
              <w:rPr>
                <w:sz w:val="22"/>
                <w:szCs w:val="22"/>
              </w:rPr>
            </w:pPr>
            <w:r w:rsidRPr="00215D1E">
              <w:rPr>
                <w:sz w:val="22"/>
                <w:szCs w:val="22"/>
              </w:rPr>
              <w:lastRenderedPageBreak/>
              <w:t>Letargija</w:t>
            </w:r>
          </w:p>
        </w:tc>
      </w:tr>
      <w:tr w:rsidR="003A78D0" w:rsidRPr="00B02007" w14:paraId="71817FED" w14:textId="77777777" w:rsidTr="002C66FC">
        <w:tc>
          <w:tcPr>
            <w:tcW w:w="3235" w:type="dxa"/>
          </w:tcPr>
          <w:p w14:paraId="49637E6A" w14:textId="77777777" w:rsidR="003A78D0" w:rsidRPr="00215D1E" w:rsidRDefault="003A78D0" w:rsidP="002C66FC">
            <w:pPr>
              <w:autoSpaceDE w:val="0"/>
              <w:autoSpaceDN w:val="0"/>
              <w:adjustRightInd w:val="0"/>
              <w:rPr>
                <w:sz w:val="22"/>
                <w:szCs w:val="22"/>
              </w:rPr>
            </w:pPr>
            <w:r w:rsidRPr="00215D1E">
              <w:rPr>
                <w:sz w:val="22"/>
                <w:szCs w:val="22"/>
              </w:rPr>
              <w:lastRenderedPageBreak/>
              <w:t>Ispitivanja</w:t>
            </w:r>
          </w:p>
        </w:tc>
        <w:tc>
          <w:tcPr>
            <w:tcW w:w="3240" w:type="dxa"/>
          </w:tcPr>
          <w:p w14:paraId="08F57CA8" w14:textId="77777777" w:rsidR="003A78D0" w:rsidRPr="00215D1E" w:rsidRDefault="003A78D0" w:rsidP="002C66FC">
            <w:pPr>
              <w:autoSpaceDE w:val="0"/>
              <w:autoSpaceDN w:val="0"/>
              <w:adjustRightInd w:val="0"/>
              <w:rPr>
                <w:sz w:val="22"/>
                <w:szCs w:val="22"/>
              </w:rPr>
            </w:pPr>
            <w:r w:rsidRPr="00215D1E">
              <w:rPr>
                <w:sz w:val="22"/>
                <w:szCs w:val="22"/>
              </w:rPr>
              <w:t>Porast tjelesne mase</w:t>
            </w:r>
          </w:p>
        </w:tc>
        <w:tc>
          <w:tcPr>
            <w:tcW w:w="3240" w:type="dxa"/>
          </w:tcPr>
          <w:p w14:paraId="4CBBEBD5" w14:textId="77777777" w:rsidR="003A78D0" w:rsidRPr="00215D1E" w:rsidRDefault="003A78D0" w:rsidP="002C66FC">
            <w:pPr>
              <w:autoSpaceDE w:val="0"/>
              <w:autoSpaceDN w:val="0"/>
              <w:adjustRightInd w:val="0"/>
              <w:rPr>
                <w:sz w:val="22"/>
                <w:szCs w:val="22"/>
              </w:rPr>
            </w:pPr>
          </w:p>
          <w:p w14:paraId="60532A10" w14:textId="77777777" w:rsidR="003A78D0" w:rsidRPr="00215D1E" w:rsidRDefault="003A78D0" w:rsidP="002C66FC">
            <w:pPr>
              <w:autoSpaceDE w:val="0"/>
              <w:autoSpaceDN w:val="0"/>
              <w:adjustRightInd w:val="0"/>
              <w:rPr>
                <w:sz w:val="22"/>
                <w:szCs w:val="22"/>
              </w:rPr>
            </w:pPr>
          </w:p>
        </w:tc>
      </w:tr>
    </w:tbl>
    <w:p w14:paraId="10159851" w14:textId="77777777" w:rsidR="003A78D0" w:rsidRPr="00215D1E" w:rsidRDefault="003A78D0" w:rsidP="003A78D0">
      <w:pPr>
        <w:pStyle w:val="Header"/>
        <w:tabs>
          <w:tab w:val="left" w:pos="284"/>
        </w:tabs>
        <w:rPr>
          <w:sz w:val="22"/>
          <w:szCs w:val="22"/>
        </w:rPr>
      </w:pPr>
    </w:p>
    <w:p w14:paraId="27812096" w14:textId="77777777" w:rsidR="003A78D0" w:rsidRPr="00215D1E" w:rsidRDefault="003A78D0" w:rsidP="003A78D0">
      <w:pPr>
        <w:pStyle w:val="Header"/>
        <w:tabs>
          <w:tab w:val="left" w:pos="284"/>
        </w:tabs>
        <w:rPr>
          <w:sz w:val="22"/>
          <w:szCs w:val="22"/>
          <w:u w:val="single"/>
        </w:rPr>
      </w:pPr>
    </w:p>
    <w:p w14:paraId="1FCBE712" w14:textId="3CCDD380" w:rsidR="003A78D0" w:rsidRPr="00215D1E" w:rsidRDefault="003A78D0" w:rsidP="003A78D0">
      <w:pPr>
        <w:pStyle w:val="Header"/>
        <w:tabs>
          <w:tab w:val="left" w:pos="284"/>
        </w:tabs>
        <w:rPr>
          <w:sz w:val="22"/>
          <w:szCs w:val="22"/>
          <w:u w:val="single"/>
        </w:rPr>
      </w:pPr>
      <w:r w:rsidRPr="00215D1E">
        <w:rPr>
          <w:sz w:val="22"/>
          <w:szCs w:val="22"/>
          <w:u w:val="single"/>
        </w:rPr>
        <w:t xml:space="preserve">Opis odabranih neželjenih reakcija na </w:t>
      </w:r>
      <w:r w:rsidR="009D254D">
        <w:rPr>
          <w:sz w:val="22"/>
          <w:szCs w:val="22"/>
          <w:u w:val="single"/>
        </w:rPr>
        <w:t>Docetaxel Hospira</w:t>
      </w:r>
      <w:r w:rsidRPr="00215D1E">
        <w:rPr>
          <w:sz w:val="22"/>
          <w:szCs w:val="22"/>
          <w:u w:val="single"/>
        </w:rPr>
        <w:t xml:space="preserve"> 100 mg/m²  u kombinaciji sa trastuzumabom u terapiji karcinoma dojke</w:t>
      </w:r>
    </w:p>
    <w:p w14:paraId="6C6C6970" w14:textId="77777777" w:rsidR="003A78D0" w:rsidRPr="00215D1E" w:rsidRDefault="003A78D0" w:rsidP="003A78D0">
      <w:pPr>
        <w:autoSpaceDE w:val="0"/>
        <w:autoSpaceDN w:val="0"/>
        <w:adjustRightInd w:val="0"/>
        <w:rPr>
          <w:i/>
          <w:iCs/>
          <w:sz w:val="22"/>
          <w:szCs w:val="22"/>
        </w:rPr>
      </w:pPr>
    </w:p>
    <w:p w14:paraId="1615EDF8" w14:textId="77777777" w:rsidR="003A78D0" w:rsidRPr="00215D1E" w:rsidRDefault="003A78D0" w:rsidP="003A78D0">
      <w:pPr>
        <w:autoSpaceDE w:val="0"/>
        <w:autoSpaceDN w:val="0"/>
        <w:adjustRightInd w:val="0"/>
        <w:rPr>
          <w:i/>
          <w:iCs/>
          <w:sz w:val="22"/>
          <w:szCs w:val="22"/>
          <w:u w:val="single"/>
        </w:rPr>
      </w:pPr>
      <w:r w:rsidRPr="00215D1E">
        <w:rPr>
          <w:i/>
          <w:iCs/>
          <w:sz w:val="22"/>
          <w:szCs w:val="22"/>
          <w:u w:val="single"/>
        </w:rPr>
        <w:t>Srčani poremećaji</w:t>
      </w:r>
    </w:p>
    <w:p w14:paraId="6256F55E" w14:textId="77777777" w:rsidR="003A78D0" w:rsidRPr="00215D1E" w:rsidRDefault="003A78D0" w:rsidP="003A78D0">
      <w:pPr>
        <w:autoSpaceDE w:val="0"/>
        <w:autoSpaceDN w:val="0"/>
        <w:adjustRightInd w:val="0"/>
        <w:rPr>
          <w:i/>
          <w:iCs/>
          <w:sz w:val="22"/>
          <w:szCs w:val="22"/>
        </w:rPr>
      </w:pPr>
    </w:p>
    <w:p w14:paraId="3D1012C8" w14:textId="77777777" w:rsidR="003A78D0" w:rsidRPr="00215D1E" w:rsidRDefault="003A78D0" w:rsidP="003A78D0">
      <w:pPr>
        <w:autoSpaceDE w:val="0"/>
        <w:autoSpaceDN w:val="0"/>
        <w:adjustRightInd w:val="0"/>
        <w:rPr>
          <w:sz w:val="22"/>
          <w:szCs w:val="22"/>
        </w:rPr>
      </w:pPr>
      <w:r w:rsidRPr="00215D1E">
        <w:rPr>
          <w:sz w:val="22"/>
          <w:szCs w:val="22"/>
        </w:rPr>
        <w:t>Simptomatska sr</w:t>
      </w:r>
      <w:r w:rsidRPr="00215D1E">
        <w:rPr>
          <w:rFonts w:eastAsia="TimesNewRoman"/>
          <w:sz w:val="22"/>
          <w:szCs w:val="22"/>
        </w:rPr>
        <w:t>č</w:t>
      </w:r>
      <w:r w:rsidRPr="00215D1E">
        <w:rPr>
          <w:sz w:val="22"/>
          <w:szCs w:val="22"/>
        </w:rPr>
        <w:t>ana insuficijencija je registrovana kod 2,2% pacijenata koji su primali docetaksel i</w:t>
      </w:r>
    </w:p>
    <w:p w14:paraId="2CAD5142" w14:textId="77777777" w:rsidR="003A78D0" w:rsidRPr="00215D1E" w:rsidRDefault="003A78D0" w:rsidP="003A78D0">
      <w:pPr>
        <w:pStyle w:val="Header"/>
        <w:tabs>
          <w:tab w:val="left" w:pos="284"/>
        </w:tabs>
        <w:rPr>
          <w:sz w:val="22"/>
          <w:szCs w:val="22"/>
        </w:rPr>
      </w:pPr>
      <w:r w:rsidRPr="00215D1E">
        <w:rPr>
          <w:sz w:val="22"/>
          <w:szCs w:val="22"/>
        </w:rPr>
        <w:t>trastuzumab, u odnosu na 0% pacijenata u grupi koja je dobijala docetaksel kao monoterapiju. U grupi na docetakselu i trastuzumabu u kombinaciji, 64% pacijenata je prethodno primalo antracikline kao adjuvantnu terapiju, a u grupi na monoterapiji docetakselom 55% pacijenata.</w:t>
      </w:r>
    </w:p>
    <w:p w14:paraId="5B2956E6" w14:textId="5979DFC5" w:rsidR="003E494C" w:rsidRDefault="003E494C" w:rsidP="00A46C9A">
      <w:pPr>
        <w:spacing w:after="200" w:line="276" w:lineRule="auto"/>
        <w:rPr>
          <w:rFonts w:eastAsia="Calibri"/>
          <w:sz w:val="22"/>
          <w:szCs w:val="22"/>
          <w:u w:val="single"/>
          <w:lang w:val="sr-Latn-RS"/>
        </w:rPr>
      </w:pPr>
    </w:p>
    <w:p w14:paraId="4430B98A" w14:textId="77777777" w:rsidR="003A78D0" w:rsidRPr="003A78D0" w:rsidRDefault="003A78D0" w:rsidP="003A78D0">
      <w:pPr>
        <w:autoSpaceDE w:val="0"/>
        <w:autoSpaceDN w:val="0"/>
        <w:adjustRightInd w:val="0"/>
        <w:rPr>
          <w:i/>
          <w:iCs/>
          <w:sz w:val="22"/>
          <w:szCs w:val="22"/>
          <w:u w:val="single"/>
          <w:lang w:val="sr-Latn-RS"/>
        </w:rPr>
      </w:pPr>
      <w:r w:rsidRPr="003A78D0">
        <w:rPr>
          <w:i/>
          <w:iCs/>
          <w:sz w:val="22"/>
          <w:szCs w:val="22"/>
          <w:u w:val="single"/>
          <w:lang w:val="sr-Latn-RS"/>
        </w:rPr>
        <w:t>Poremećaji krvi i limfnog sistema</w:t>
      </w:r>
    </w:p>
    <w:p w14:paraId="1C4AB1BC" w14:textId="77777777" w:rsidR="003A78D0" w:rsidRPr="003A78D0" w:rsidRDefault="003A78D0" w:rsidP="003A78D0">
      <w:pPr>
        <w:autoSpaceDE w:val="0"/>
        <w:autoSpaceDN w:val="0"/>
        <w:adjustRightInd w:val="0"/>
        <w:rPr>
          <w:i/>
          <w:iCs/>
          <w:sz w:val="22"/>
          <w:szCs w:val="22"/>
          <w:u w:val="single"/>
          <w:lang w:val="sr-Latn-RS"/>
        </w:rPr>
      </w:pPr>
    </w:p>
    <w:p w14:paraId="78914186" w14:textId="77777777" w:rsidR="003A78D0" w:rsidRPr="003A78D0" w:rsidRDefault="003A78D0" w:rsidP="003A78D0">
      <w:pPr>
        <w:pStyle w:val="Header"/>
        <w:tabs>
          <w:tab w:val="left" w:pos="284"/>
        </w:tabs>
        <w:rPr>
          <w:sz w:val="22"/>
          <w:szCs w:val="22"/>
          <w:lang w:val="sr-Latn-RS"/>
        </w:rPr>
      </w:pPr>
      <w:r w:rsidRPr="003A78D0">
        <w:rPr>
          <w:sz w:val="22"/>
          <w:szCs w:val="22"/>
          <w:lang w:val="sr-Latn-RS"/>
        </w:rPr>
        <w:t xml:space="preserve">Veoma </w:t>
      </w:r>
      <w:r w:rsidRPr="003A78D0">
        <w:rPr>
          <w:rFonts w:eastAsia="TimesNewRoman"/>
          <w:sz w:val="22"/>
          <w:szCs w:val="22"/>
          <w:lang w:val="sr-Latn-RS"/>
        </w:rPr>
        <w:t>č</w:t>
      </w:r>
      <w:r w:rsidRPr="003A78D0">
        <w:rPr>
          <w:sz w:val="22"/>
          <w:szCs w:val="22"/>
          <w:lang w:val="sr-Latn-RS"/>
        </w:rPr>
        <w:t>esto: Hematološka toksi</w:t>
      </w:r>
      <w:r w:rsidRPr="003A78D0">
        <w:rPr>
          <w:rFonts w:eastAsia="TimesNewRoman"/>
          <w:sz w:val="22"/>
          <w:szCs w:val="22"/>
          <w:lang w:val="sr-Latn-RS"/>
        </w:rPr>
        <w:t>č</w:t>
      </w:r>
      <w:r w:rsidRPr="003A78D0">
        <w:rPr>
          <w:sz w:val="22"/>
          <w:szCs w:val="22"/>
          <w:lang w:val="sr-Latn-RS"/>
        </w:rPr>
        <w:t>nost je bila ve</w:t>
      </w:r>
      <w:r w:rsidRPr="003A78D0">
        <w:rPr>
          <w:rFonts w:eastAsia="TimesNewRoman"/>
          <w:sz w:val="22"/>
          <w:szCs w:val="22"/>
          <w:lang w:val="sr-Latn-RS"/>
        </w:rPr>
        <w:t>ć</w:t>
      </w:r>
      <w:r w:rsidRPr="003A78D0">
        <w:rPr>
          <w:sz w:val="22"/>
          <w:szCs w:val="22"/>
          <w:lang w:val="sr-Latn-RS"/>
        </w:rPr>
        <w:t xml:space="preserve">a kod pacijenata koji su dobijali trastuzumab i docetaksel nego kod onih koji su dobijali samo docetaksel (neutropenija stepena ¾ 32% prema 22%, na osnovu kriterijuma NCI-CTC). Treba, međutim, napomenuti da bi ovi podaci mogli biti potcijenjeni, pošto docetaksel u monoterapiji, u dozi od 100 mg/m², izaziva neutropeniju kod 97% pacijenata, od </w:t>
      </w:r>
      <w:r w:rsidRPr="003A78D0">
        <w:rPr>
          <w:rFonts w:eastAsia="TimesNewRoman"/>
          <w:sz w:val="22"/>
          <w:szCs w:val="22"/>
          <w:lang w:val="sr-Latn-RS"/>
        </w:rPr>
        <w:t>č</w:t>
      </w:r>
      <w:r w:rsidRPr="003A78D0">
        <w:rPr>
          <w:sz w:val="22"/>
          <w:szCs w:val="22"/>
          <w:lang w:val="sr-Latn-RS"/>
        </w:rPr>
        <w:t>ega 76% neutropeniju 4. stepena, baziranu na najnižim vrijednostima broja krvnih ćelija. U</w:t>
      </w:r>
      <w:r w:rsidRPr="003A78D0">
        <w:rPr>
          <w:rFonts w:eastAsia="TimesNewRoman"/>
          <w:sz w:val="22"/>
          <w:szCs w:val="22"/>
          <w:lang w:val="sr-Latn-RS"/>
        </w:rPr>
        <w:t>č</w:t>
      </w:r>
      <w:r w:rsidRPr="003A78D0">
        <w:rPr>
          <w:sz w:val="22"/>
          <w:szCs w:val="22"/>
          <w:lang w:val="sr-Latn-RS"/>
        </w:rPr>
        <w:t>estalost pojave febrilne neutropenije/neutropenijske sepse je, takođe, bila ve</w:t>
      </w:r>
      <w:r w:rsidRPr="003A78D0">
        <w:rPr>
          <w:rFonts w:eastAsia="TimesNewRoman"/>
          <w:sz w:val="22"/>
          <w:szCs w:val="22"/>
          <w:lang w:val="sr-Latn-RS"/>
        </w:rPr>
        <w:t>ć</w:t>
      </w:r>
      <w:r w:rsidRPr="003A78D0">
        <w:rPr>
          <w:sz w:val="22"/>
          <w:szCs w:val="22"/>
          <w:lang w:val="sr-Latn-RS"/>
        </w:rPr>
        <w:t>a kod pacijenata koji primaju trastuzumab i docetaksel (23% prema 17% kod pacijenata koji primaju samo docetaksel).</w:t>
      </w:r>
    </w:p>
    <w:p w14:paraId="778BB5C6" w14:textId="77777777" w:rsidR="003A78D0" w:rsidRPr="003A78D0" w:rsidRDefault="003A78D0" w:rsidP="003A78D0">
      <w:pPr>
        <w:pStyle w:val="Header"/>
        <w:tabs>
          <w:tab w:val="left" w:pos="284"/>
        </w:tabs>
        <w:rPr>
          <w:sz w:val="22"/>
          <w:szCs w:val="22"/>
          <w:lang w:val="sr-Latn-RS"/>
        </w:rPr>
      </w:pPr>
    </w:p>
    <w:p w14:paraId="45C97620" w14:textId="77777777" w:rsidR="003A78D0" w:rsidRPr="003A78D0" w:rsidRDefault="003A78D0" w:rsidP="003A78D0">
      <w:pPr>
        <w:pStyle w:val="Header"/>
        <w:tabs>
          <w:tab w:val="left" w:pos="284"/>
        </w:tabs>
        <w:rPr>
          <w:bCs/>
          <w:iCs/>
          <w:sz w:val="22"/>
          <w:szCs w:val="22"/>
          <w:u w:val="single"/>
          <w:lang w:val="sr-Latn-RS"/>
        </w:rPr>
      </w:pPr>
      <w:r w:rsidRPr="003A78D0">
        <w:rPr>
          <w:bCs/>
          <w:iCs/>
          <w:sz w:val="22"/>
          <w:szCs w:val="22"/>
          <w:u w:val="single"/>
          <w:lang w:val="sr-Latn-RS"/>
        </w:rPr>
        <w:t>Tabelarni prikaz neželjenih reakcija kod karcinoma dojke za</w:t>
      </w:r>
      <w:r w:rsidRPr="003A78D0">
        <w:rPr>
          <w:bCs/>
          <w:i/>
          <w:iCs/>
          <w:sz w:val="22"/>
          <w:szCs w:val="22"/>
          <w:u w:val="single"/>
          <w:lang w:val="sr-Latn-RS"/>
        </w:rPr>
        <w:t xml:space="preserve"> docetaksel 75 mg/m² u kombinaciji sa kapecitabinom</w:t>
      </w:r>
    </w:p>
    <w:p w14:paraId="5CC57394" w14:textId="77777777" w:rsidR="003A78D0" w:rsidRPr="003A78D0" w:rsidRDefault="003A78D0" w:rsidP="003A78D0">
      <w:pPr>
        <w:pStyle w:val="Header"/>
        <w:tabs>
          <w:tab w:val="left" w:pos="284"/>
        </w:tabs>
        <w:rPr>
          <w:sz w:val="22"/>
          <w:szCs w:val="22"/>
          <w:lang w:val="sr-Latn-RS"/>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3034"/>
      </w:tblGrid>
      <w:tr w:rsidR="003A78D0" w:rsidRPr="00B02007" w14:paraId="5D9F8D1F" w14:textId="77777777" w:rsidTr="002C66FC">
        <w:trPr>
          <w:trHeight w:val="973"/>
        </w:trPr>
        <w:tc>
          <w:tcPr>
            <w:tcW w:w="3319" w:type="dxa"/>
          </w:tcPr>
          <w:p w14:paraId="1DEFD952" w14:textId="77777777" w:rsidR="003A78D0" w:rsidRPr="00215D1E" w:rsidRDefault="003A78D0" w:rsidP="002C66FC">
            <w:pPr>
              <w:autoSpaceDE w:val="0"/>
              <w:autoSpaceDN w:val="0"/>
              <w:adjustRightInd w:val="0"/>
              <w:rPr>
                <w:sz w:val="22"/>
                <w:szCs w:val="22"/>
              </w:rPr>
            </w:pPr>
            <w:r w:rsidRPr="00215D1E">
              <w:rPr>
                <w:b/>
                <w:bCs/>
                <w:sz w:val="22"/>
                <w:szCs w:val="22"/>
              </w:rPr>
              <w:t>Organski sistemi po</w:t>
            </w:r>
          </w:p>
          <w:p w14:paraId="1570EF7D" w14:textId="77777777" w:rsidR="003A78D0" w:rsidRPr="00215D1E" w:rsidRDefault="003A78D0" w:rsidP="002C66FC">
            <w:pPr>
              <w:autoSpaceDE w:val="0"/>
              <w:autoSpaceDN w:val="0"/>
              <w:adjustRightInd w:val="0"/>
              <w:rPr>
                <w:b/>
                <w:bCs/>
                <w:sz w:val="22"/>
                <w:szCs w:val="22"/>
              </w:rPr>
            </w:pPr>
            <w:r w:rsidRPr="00215D1E">
              <w:rPr>
                <w:b/>
                <w:bCs/>
                <w:sz w:val="22"/>
                <w:szCs w:val="22"/>
              </w:rPr>
              <w:t>MedDRA</w:t>
            </w:r>
          </w:p>
        </w:tc>
        <w:tc>
          <w:tcPr>
            <w:tcW w:w="3319" w:type="dxa"/>
          </w:tcPr>
          <w:p w14:paraId="28A059F1" w14:textId="77777777" w:rsidR="003A78D0" w:rsidRPr="00215D1E" w:rsidRDefault="003A78D0" w:rsidP="002C66FC">
            <w:pPr>
              <w:autoSpaceDE w:val="0"/>
              <w:autoSpaceDN w:val="0"/>
              <w:adjustRightInd w:val="0"/>
              <w:rPr>
                <w:b/>
                <w:bCs/>
                <w:sz w:val="22"/>
                <w:szCs w:val="22"/>
              </w:rPr>
            </w:pPr>
            <w:r w:rsidRPr="00215D1E">
              <w:rPr>
                <w:b/>
                <w:bCs/>
                <w:sz w:val="22"/>
                <w:szCs w:val="22"/>
              </w:rPr>
              <w:t xml:space="preserve">Veoma </w:t>
            </w:r>
            <w:r w:rsidRPr="00215D1E">
              <w:rPr>
                <w:rFonts w:eastAsia="TimesNewRoman,Bold"/>
                <w:b/>
                <w:bCs/>
                <w:sz w:val="22"/>
                <w:szCs w:val="22"/>
              </w:rPr>
              <w:t>č</w:t>
            </w:r>
            <w:r w:rsidRPr="00215D1E">
              <w:rPr>
                <w:b/>
                <w:bCs/>
                <w:sz w:val="22"/>
                <w:szCs w:val="22"/>
              </w:rPr>
              <w:t xml:space="preserve">esta neželjena dejstva </w:t>
            </w:r>
          </w:p>
          <w:p w14:paraId="2AA729A0" w14:textId="77777777" w:rsidR="003A78D0" w:rsidRPr="00215D1E" w:rsidRDefault="003A78D0" w:rsidP="002C66FC">
            <w:pPr>
              <w:autoSpaceDE w:val="0"/>
              <w:autoSpaceDN w:val="0"/>
              <w:adjustRightInd w:val="0"/>
              <w:rPr>
                <w:sz w:val="22"/>
                <w:szCs w:val="22"/>
              </w:rPr>
            </w:pPr>
          </w:p>
        </w:tc>
        <w:tc>
          <w:tcPr>
            <w:tcW w:w="3034" w:type="dxa"/>
          </w:tcPr>
          <w:p w14:paraId="69F4A601" w14:textId="77777777" w:rsidR="003A78D0" w:rsidRPr="00215D1E" w:rsidRDefault="003A78D0" w:rsidP="002C66FC">
            <w:pPr>
              <w:autoSpaceDE w:val="0"/>
              <w:autoSpaceDN w:val="0"/>
              <w:adjustRightInd w:val="0"/>
              <w:rPr>
                <w:b/>
                <w:bCs/>
                <w:sz w:val="22"/>
                <w:szCs w:val="22"/>
              </w:rPr>
            </w:pPr>
            <w:r w:rsidRPr="00215D1E">
              <w:rPr>
                <w:rFonts w:eastAsia="TimesNewRoman,Bold"/>
                <w:b/>
                <w:bCs/>
                <w:sz w:val="22"/>
                <w:szCs w:val="22"/>
              </w:rPr>
              <w:t>Č</w:t>
            </w:r>
            <w:r w:rsidRPr="00215D1E">
              <w:rPr>
                <w:b/>
                <w:bCs/>
                <w:sz w:val="22"/>
                <w:szCs w:val="22"/>
              </w:rPr>
              <w:t>esta neželjena dejstva</w:t>
            </w:r>
          </w:p>
          <w:p w14:paraId="69916E1F" w14:textId="77777777" w:rsidR="003A78D0" w:rsidRPr="00215D1E" w:rsidRDefault="003A78D0" w:rsidP="002C66FC">
            <w:pPr>
              <w:autoSpaceDE w:val="0"/>
              <w:autoSpaceDN w:val="0"/>
              <w:adjustRightInd w:val="0"/>
              <w:rPr>
                <w:b/>
                <w:bCs/>
                <w:sz w:val="22"/>
                <w:szCs w:val="22"/>
              </w:rPr>
            </w:pPr>
          </w:p>
          <w:p w14:paraId="0B3A7B79" w14:textId="77777777" w:rsidR="003A78D0" w:rsidRPr="00215D1E" w:rsidRDefault="003A78D0" w:rsidP="002C66FC">
            <w:pPr>
              <w:autoSpaceDE w:val="0"/>
              <w:autoSpaceDN w:val="0"/>
              <w:adjustRightInd w:val="0"/>
              <w:rPr>
                <w:sz w:val="22"/>
                <w:szCs w:val="22"/>
              </w:rPr>
            </w:pPr>
          </w:p>
        </w:tc>
      </w:tr>
      <w:tr w:rsidR="003A78D0" w:rsidRPr="00B02007" w14:paraId="301364EA" w14:textId="77777777" w:rsidTr="002C66FC">
        <w:tc>
          <w:tcPr>
            <w:tcW w:w="3319" w:type="dxa"/>
          </w:tcPr>
          <w:p w14:paraId="4CF5D8FE" w14:textId="77777777" w:rsidR="003A78D0" w:rsidRPr="00215D1E" w:rsidRDefault="003A78D0" w:rsidP="002C66FC">
            <w:pPr>
              <w:autoSpaceDE w:val="0"/>
              <w:autoSpaceDN w:val="0"/>
              <w:adjustRightInd w:val="0"/>
              <w:rPr>
                <w:sz w:val="22"/>
                <w:szCs w:val="22"/>
              </w:rPr>
            </w:pPr>
            <w:r w:rsidRPr="00215D1E">
              <w:rPr>
                <w:sz w:val="22"/>
                <w:szCs w:val="22"/>
              </w:rPr>
              <w:t>Infekcije i infestacije</w:t>
            </w:r>
          </w:p>
        </w:tc>
        <w:tc>
          <w:tcPr>
            <w:tcW w:w="3319" w:type="dxa"/>
          </w:tcPr>
          <w:p w14:paraId="0E927659" w14:textId="77777777" w:rsidR="003A78D0" w:rsidRPr="00215D1E" w:rsidRDefault="003A78D0" w:rsidP="002C66FC">
            <w:pPr>
              <w:autoSpaceDE w:val="0"/>
              <w:autoSpaceDN w:val="0"/>
              <w:adjustRightInd w:val="0"/>
              <w:rPr>
                <w:sz w:val="22"/>
                <w:szCs w:val="22"/>
              </w:rPr>
            </w:pPr>
          </w:p>
        </w:tc>
        <w:tc>
          <w:tcPr>
            <w:tcW w:w="3034" w:type="dxa"/>
          </w:tcPr>
          <w:p w14:paraId="23D2E14B" w14:textId="77777777" w:rsidR="003A78D0" w:rsidRPr="00215D1E" w:rsidRDefault="003A78D0" w:rsidP="002C66FC">
            <w:pPr>
              <w:autoSpaceDE w:val="0"/>
              <w:autoSpaceDN w:val="0"/>
              <w:adjustRightInd w:val="0"/>
              <w:rPr>
                <w:sz w:val="22"/>
                <w:szCs w:val="22"/>
              </w:rPr>
            </w:pPr>
            <w:r w:rsidRPr="00215D1E">
              <w:rPr>
                <w:sz w:val="22"/>
                <w:szCs w:val="22"/>
              </w:rPr>
              <w:t>Oralna kandidijaza (G3/4: &lt;</w:t>
            </w:r>
            <w:r>
              <w:rPr>
                <w:sz w:val="22"/>
                <w:szCs w:val="22"/>
              </w:rPr>
              <w:t xml:space="preserve"> </w:t>
            </w:r>
            <w:r w:rsidRPr="00215D1E">
              <w:rPr>
                <w:sz w:val="22"/>
                <w:szCs w:val="22"/>
              </w:rPr>
              <w:t>1%)</w:t>
            </w:r>
          </w:p>
          <w:p w14:paraId="6C19AD1F" w14:textId="77777777" w:rsidR="003A78D0" w:rsidRPr="00215D1E" w:rsidRDefault="003A78D0" w:rsidP="002C66FC">
            <w:pPr>
              <w:autoSpaceDE w:val="0"/>
              <w:autoSpaceDN w:val="0"/>
              <w:adjustRightInd w:val="0"/>
              <w:rPr>
                <w:sz w:val="22"/>
                <w:szCs w:val="22"/>
              </w:rPr>
            </w:pPr>
          </w:p>
        </w:tc>
      </w:tr>
      <w:tr w:rsidR="003A78D0" w:rsidRPr="00B02007" w14:paraId="51836BF8" w14:textId="77777777" w:rsidTr="002C66FC">
        <w:tc>
          <w:tcPr>
            <w:tcW w:w="3319" w:type="dxa"/>
          </w:tcPr>
          <w:p w14:paraId="73133926" w14:textId="77777777" w:rsidR="003A78D0" w:rsidRPr="00215D1E" w:rsidRDefault="003A78D0" w:rsidP="002C66FC">
            <w:pPr>
              <w:autoSpaceDE w:val="0"/>
              <w:autoSpaceDN w:val="0"/>
              <w:adjustRightInd w:val="0"/>
              <w:rPr>
                <w:sz w:val="22"/>
                <w:szCs w:val="22"/>
              </w:rPr>
            </w:pPr>
            <w:r w:rsidRPr="00215D1E">
              <w:rPr>
                <w:sz w:val="22"/>
                <w:szCs w:val="22"/>
              </w:rPr>
              <w:t>Poreme</w:t>
            </w:r>
            <w:r w:rsidRPr="00215D1E">
              <w:rPr>
                <w:rFonts w:eastAsia="TimesNewRoman"/>
                <w:sz w:val="22"/>
                <w:szCs w:val="22"/>
              </w:rPr>
              <w:t>ć</w:t>
            </w:r>
            <w:r w:rsidRPr="00215D1E">
              <w:rPr>
                <w:sz w:val="22"/>
                <w:szCs w:val="22"/>
              </w:rPr>
              <w:t>aji krvi i</w:t>
            </w:r>
          </w:p>
          <w:p w14:paraId="43846655" w14:textId="77777777" w:rsidR="003A78D0" w:rsidRPr="00215D1E" w:rsidRDefault="003A78D0" w:rsidP="002C66FC">
            <w:pPr>
              <w:autoSpaceDE w:val="0"/>
              <w:autoSpaceDN w:val="0"/>
              <w:adjustRightInd w:val="0"/>
              <w:rPr>
                <w:sz w:val="22"/>
                <w:szCs w:val="22"/>
              </w:rPr>
            </w:pPr>
            <w:r w:rsidRPr="00215D1E">
              <w:rPr>
                <w:sz w:val="22"/>
                <w:szCs w:val="22"/>
              </w:rPr>
              <w:t>limfnog sistema</w:t>
            </w:r>
          </w:p>
          <w:p w14:paraId="4956AAB6" w14:textId="77777777" w:rsidR="003A78D0" w:rsidRPr="00215D1E" w:rsidRDefault="003A78D0" w:rsidP="002C66FC">
            <w:pPr>
              <w:autoSpaceDE w:val="0"/>
              <w:autoSpaceDN w:val="0"/>
              <w:adjustRightInd w:val="0"/>
              <w:rPr>
                <w:sz w:val="22"/>
                <w:szCs w:val="22"/>
              </w:rPr>
            </w:pPr>
          </w:p>
        </w:tc>
        <w:tc>
          <w:tcPr>
            <w:tcW w:w="3319" w:type="dxa"/>
          </w:tcPr>
          <w:p w14:paraId="1CDFEE2C" w14:textId="77777777" w:rsidR="003A78D0" w:rsidRPr="00215D1E" w:rsidRDefault="003A78D0" w:rsidP="002C66FC">
            <w:pPr>
              <w:autoSpaceDE w:val="0"/>
              <w:autoSpaceDN w:val="0"/>
              <w:adjustRightInd w:val="0"/>
              <w:rPr>
                <w:sz w:val="22"/>
                <w:szCs w:val="22"/>
              </w:rPr>
            </w:pPr>
            <w:r w:rsidRPr="00215D1E">
              <w:rPr>
                <w:sz w:val="22"/>
                <w:szCs w:val="22"/>
              </w:rPr>
              <w:t>Neutropenija (G3/4: 63%);</w:t>
            </w:r>
          </w:p>
          <w:p w14:paraId="55C0D098" w14:textId="77777777" w:rsidR="003A78D0" w:rsidRPr="00215D1E" w:rsidRDefault="003A78D0" w:rsidP="002C66FC">
            <w:pPr>
              <w:autoSpaceDE w:val="0"/>
              <w:autoSpaceDN w:val="0"/>
              <w:adjustRightInd w:val="0"/>
              <w:rPr>
                <w:sz w:val="22"/>
                <w:szCs w:val="22"/>
              </w:rPr>
            </w:pPr>
          </w:p>
          <w:p w14:paraId="610F436A" w14:textId="77777777" w:rsidR="003A78D0" w:rsidRPr="00215D1E" w:rsidRDefault="003A78D0" w:rsidP="002C66FC">
            <w:pPr>
              <w:autoSpaceDE w:val="0"/>
              <w:autoSpaceDN w:val="0"/>
              <w:adjustRightInd w:val="0"/>
              <w:rPr>
                <w:sz w:val="22"/>
                <w:szCs w:val="22"/>
              </w:rPr>
            </w:pPr>
            <w:r w:rsidRPr="00215D1E">
              <w:rPr>
                <w:sz w:val="22"/>
                <w:szCs w:val="22"/>
              </w:rPr>
              <w:t>Anemija (G3/4: 10%)</w:t>
            </w:r>
          </w:p>
          <w:p w14:paraId="219A1E70" w14:textId="77777777" w:rsidR="003A78D0" w:rsidRPr="00215D1E" w:rsidRDefault="003A78D0" w:rsidP="002C66FC">
            <w:pPr>
              <w:autoSpaceDE w:val="0"/>
              <w:autoSpaceDN w:val="0"/>
              <w:adjustRightInd w:val="0"/>
              <w:rPr>
                <w:sz w:val="22"/>
                <w:szCs w:val="22"/>
              </w:rPr>
            </w:pPr>
          </w:p>
        </w:tc>
        <w:tc>
          <w:tcPr>
            <w:tcW w:w="3034" w:type="dxa"/>
          </w:tcPr>
          <w:p w14:paraId="308E7BDD" w14:textId="77777777" w:rsidR="003A78D0" w:rsidRPr="00215D1E" w:rsidRDefault="003A78D0" w:rsidP="002C66FC">
            <w:pPr>
              <w:autoSpaceDE w:val="0"/>
              <w:autoSpaceDN w:val="0"/>
              <w:adjustRightInd w:val="0"/>
              <w:rPr>
                <w:sz w:val="22"/>
                <w:szCs w:val="22"/>
              </w:rPr>
            </w:pPr>
            <w:r w:rsidRPr="00215D1E">
              <w:rPr>
                <w:sz w:val="22"/>
                <w:szCs w:val="22"/>
              </w:rPr>
              <w:t>Trombocitopenija (G3/4:</w:t>
            </w:r>
          </w:p>
          <w:p w14:paraId="6532AA92" w14:textId="77777777" w:rsidR="003A78D0" w:rsidRPr="00215D1E" w:rsidRDefault="003A78D0" w:rsidP="002C66FC">
            <w:pPr>
              <w:autoSpaceDE w:val="0"/>
              <w:autoSpaceDN w:val="0"/>
              <w:adjustRightInd w:val="0"/>
              <w:rPr>
                <w:sz w:val="22"/>
                <w:szCs w:val="22"/>
              </w:rPr>
            </w:pPr>
            <w:r w:rsidRPr="00215D1E">
              <w:rPr>
                <w:sz w:val="22"/>
                <w:szCs w:val="22"/>
              </w:rPr>
              <w:t>3%)</w:t>
            </w:r>
          </w:p>
          <w:p w14:paraId="63C68259" w14:textId="77777777" w:rsidR="003A78D0" w:rsidRPr="00215D1E" w:rsidRDefault="003A78D0" w:rsidP="002C66FC">
            <w:pPr>
              <w:autoSpaceDE w:val="0"/>
              <w:autoSpaceDN w:val="0"/>
              <w:adjustRightInd w:val="0"/>
              <w:rPr>
                <w:sz w:val="22"/>
                <w:szCs w:val="22"/>
              </w:rPr>
            </w:pPr>
          </w:p>
        </w:tc>
      </w:tr>
      <w:tr w:rsidR="003A78D0" w:rsidRPr="00B02007" w14:paraId="1C994531" w14:textId="77777777" w:rsidTr="002C66FC">
        <w:tc>
          <w:tcPr>
            <w:tcW w:w="3319" w:type="dxa"/>
          </w:tcPr>
          <w:p w14:paraId="39D1E88E" w14:textId="77777777" w:rsidR="003A78D0" w:rsidRPr="00215D1E" w:rsidRDefault="003A78D0" w:rsidP="002C66FC">
            <w:pPr>
              <w:autoSpaceDE w:val="0"/>
              <w:autoSpaceDN w:val="0"/>
              <w:adjustRightInd w:val="0"/>
              <w:rPr>
                <w:sz w:val="22"/>
                <w:szCs w:val="22"/>
              </w:rPr>
            </w:pPr>
            <w:r w:rsidRPr="00215D1E">
              <w:rPr>
                <w:sz w:val="22"/>
                <w:szCs w:val="22"/>
              </w:rPr>
              <w:lastRenderedPageBreak/>
              <w:t>Poreme</w:t>
            </w:r>
            <w:r w:rsidRPr="00215D1E">
              <w:rPr>
                <w:rFonts w:eastAsia="TimesNewRoman"/>
                <w:sz w:val="22"/>
                <w:szCs w:val="22"/>
              </w:rPr>
              <w:t>ć</w:t>
            </w:r>
            <w:r w:rsidRPr="00215D1E">
              <w:rPr>
                <w:sz w:val="22"/>
                <w:szCs w:val="22"/>
              </w:rPr>
              <w:t xml:space="preserve">aji </w:t>
            </w:r>
          </w:p>
          <w:p w14:paraId="44D352CC" w14:textId="77777777" w:rsidR="003A78D0" w:rsidRPr="00215D1E" w:rsidRDefault="003A78D0" w:rsidP="002C66FC">
            <w:pPr>
              <w:autoSpaceDE w:val="0"/>
              <w:autoSpaceDN w:val="0"/>
              <w:adjustRightInd w:val="0"/>
              <w:rPr>
                <w:sz w:val="22"/>
                <w:szCs w:val="22"/>
              </w:rPr>
            </w:pPr>
            <w:r w:rsidRPr="00215D1E">
              <w:rPr>
                <w:sz w:val="22"/>
                <w:szCs w:val="22"/>
              </w:rPr>
              <w:t>metabolizma i ishrane</w:t>
            </w:r>
          </w:p>
        </w:tc>
        <w:tc>
          <w:tcPr>
            <w:tcW w:w="3319" w:type="dxa"/>
          </w:tcPr>
          <w:p w14:paraId="7A1C3353" w14:textId="77777777" w:rsidR="003A78D0" w:rsidRPr="00215D1E" w:rsidRDefault="003A78D0" w:rsidP="002C66FC">
            <w:pPr>
              <w:autoSpaceDE w:val="0"/>
              <w:autoSpaceDN w:val="0"/>
              <w:adjustRightInd w:val="0"/>
              <w:rPr>
                <w:sz w:val="22"/>
                <w:szCs w:val="22"/>
              </w:rPr>
            </w:pPr>
            <w:r w:rsidRPr="00215D1E">
              <w:rPr>
                <w:sz w:val="22"/>
                <w:szCs w:val="22"/>
              </w:rPr>
              <w:t>Anoreksija (G3/4: 1%);</w:t>
            </w:r>
          </w:p>
          <w:p w14:paraId="26E9E17A" w14:textId="77777777" w:rsidR="003A78D0" w:rsidRPr="00215D1E" w:rsidRDefault="003A78D0" w:rsidP="002C66FC">
            <w:pPr>
              <w:autoSpaceDE w:val="0"/>
              <w:autoSpaceDN w:val="0"/>
              <w:adjustRightInd w:val="0"/>
              <w:rPr>
                <w:sz w:val="22"/>
                <w:szCs w:val="22"/>
              </w:rPr>
            </w:pPr>
          </w:p>
          <w:p w14:paraId="757BD591" w14:textId="77777777" w:rsidR="003A78D0" w:rsidRPr="00215D1E" w:rsidRDefault="003A78D0" w:rsidP="002C66FC">
            <w:pPr>
              <w:autoSpaceDE w:val="0"/>
              <w:autoSpaceDN w:val="0"/>
              <w:adjustRightInd w:val="0"/>
              <w:rPr>
                <w:sz w:val="22"/>
                <w:szCs w:val="22"/>
              </w:rPr>
            </w:pPr>
            <w:r w:rsidRPr="00215D1E">
              <w:rPr>
                <w:sz w:val="22"/>
                <w:szCs w:val="22"/>
              </w:rPr>
              <w:t>Smanjen apetit</w:t>
            </w:r>
          </w:p>
        </w:tc>
        <w:tc>
          <w:tcPr>
            <w:tcW w:w="3034" w:type="dxa"/>
          </w:tcPr>
          <w:p w14:paraId="2ABD0A1F" w14:textId="77777777" w:rsidR="003A78D0" w:rsidRPr="00215D1E" w:rsidRDefault="003A78D0" w:rsidP="002C66FC">
            <w:pPr>
              <w:autoSpaceDE w:val="0"/>
              <w:autoSpaceDN w:val="0"/>
              <w:adjustRightInd w:val="0"/>
              <w:rPr>
                <w:sz w:val="22"/>
                <w:szCs w:val="22"/>
              </w:rPr>
            </w:pPr>
            <w:r w:rsidRPr="00215D1E">
              <w:rPr>
                <w:sz w:val="22"/>
                <w:szCs w:val="22"/>
              </w:rPr>
              <w:t>Dehidratacija (G3/4: 2%)</w:t>
            </w:r>
          </w:p>
          <w:p w14:paraId="313A1736" w14:textId="77777777" w:rsidR="003A78D0" w:rsidRPr="00215D1E" w:rsidRDefault="003A78D0" w:rsidP="002C66FC">
            <w:pPr>
              <w:autoSpaceDE w:val="0"/>
              <w:autoSpaceDN w:val="0"/>
              <w:adjustRightInd w:val="0"/>
              <w:rPr>
                <w:sz w:val="22"/>
                <w:szCs w:val="22"/>
              </w:rPr>
            </w:pPr>
          </w:p>
        </w:tc>
      </w:tr>
      <w:tr w:rsidR="003A78D0" w:rsidRPr="00B02007" w14:paraId="7921AE9B" w14:textId="77777777" w:rsidTr="002C66FC">
        <w:trPr>
          <w:trHeight w:val="803"/>
        </w:trPr>
        <w:tc>
          <w:tcPr>
            <w:tcW w:w="3319" w:type="dxa"/>
          </w:tcPr>
          <w:p w14:paraId="3F0022B9"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 nervnog</w:t>
            </w:r>
          </w:p>
          <w:p w14:paraId="0340D659" w14:textId="77777777" w:rsidR="003A78D0" w:rsidRPr="007C19F4" w:rsidRDefault="003A78D0" w:rsidP="002C66FC">
            <w:pPr>
              <w:autoSpaceDE w:val="0"/>
              <w:autoSpaceDN w:val="0"/>
              <w:adjustRightInd w:val="0"/>
              <w:rPr>
                <w:sz w:val="22"/>
                <w:szCs w:val="22"/>
              </w:rPr>
            </w:pPr>
            <w:r w:rsidRPr="007C19F4">
              <w:rPr>
                <w:sz w:val="22"/>
                <w:szCs w:val="22"/>
              </w:rPr>
              <w:t>sistema</w:t>
            </w:r>
          </w:p>
          <w:p w14:paraId="696BBE37" w14:textId="77777777" w:rsidR="003A78D0" w:rsidRPr="007C19F4" w:rsidRDefault="003A78D0" w:rsidP="002C66FC">
            <w:pPr>
              <w:autoSpaceDE w:val="0"/>
              <w:autoSpaceDN w:val="0"/>
              <w:adjustRightInd w:val="0"/>
              <w:rPr>
                <w:sz w:val="22"/>
                <w:szCs w:val="22"/>
              </w:rPr>
            </w:pPr>
          </w:p>
        </w:tc>
        <w:tc>
          <w:tcPr>
            <w:tcW w:w="3319" w:type="dxa"/>
            <w:shd w:val="clear" w:color="auto" w:fill="auto"/>
          </w:tcPr>
          <w:p w14:paraId="656D326D" w14:textId="77777777" w:rsidR="003A78D0" w:rsidRPr="007C19F4" w:rsidRDefault="003A78D0" w:rsidP="002C66FC">
            <w:pPr>
              <w:autoSpaceDE w:val="0"/>
              <w:autoSpaceDN w:val="0"/>
              <w:adjustRightInd w:val="0"/>
              <w:rPr>
                <w:sz w:val="22"/>
                <w:szCs w:val="22"/>
              </w:rPr>
            </w:pPr>
            <w:r w:rsidRPr="007C19F4">
              <w:rPr>
                <w:sz w:val="22"/>
                <w:szCs w:val="22"/>
              </w:rPr>
              <w:t>Disgeuzija (G3/4: &lt; 1%);</w:t>
            </w:r>
          </w:p>
          <w:p w14:paraId="29346667" w14:textId="77777777" w:rsidR="003A78D0" w:rsidRPr="007C19F4" w:rsidRDefault="003A78D0" w:rsidP="002C66FC">
            <w:pPr>
              <w:autoSpaceDE w:val="0"/>
              <w:autoSpaceDN w:val="0"/>
              <w:adjustRightInd w:val="0"/>
              <w:rPr>
                <w:sz w:val="22"/>
                <w:szCs w:val="22"/>
              </w:rPr>
            </w:pPr>
          </w:p>
          <w:p w14:paraId="5A4938FC" w14:textId="77777777" w:rsidR="003A78D0" w:rsidRPr="007C19F4" w:rsidRDefault="003A78D0" w:rsidP="002C66FC">
            <w:pPr>
              <w:autoSpaceDE w:val="0"/>
              <w:autoSpaceDN w:val="0"/>
              <w:adjustRightInd w:val="0"/>
              <w:rPr>
                <w:sz w:val="22"/>
                <w:szCs w:val="22"/>
              </w:rPr>
            </w:pPr>
            <w:r w:rsidRPr="007C19F4">
              <w:rPr>
                <w:sz w:val="22"/>
                <w:szCs w:val="22"/>
              </w:rPr>
              <w:t>Parestezija (G3/4: &lt;</w:t>
            </w:r>
            <w:r>
              <w:rPr>
                <w:sz w:val="22"/>
                <w:szCs w:val="22"/>
              </w:rPr>
              <w:t xml:space="preserve"> </w:t>
            </w:r>
            <w:r w:rsidRPr="007C19F4">
              <w:rPr>
                <w:sz w:val="22"/>
                <w:szCs w:val="22"/>
              </w:rPr>
              <w:t>1%)</w:t>
            </w:r>
          </w:p>
          <w:p w14:paraId="461C04E5" w14:textId="77777777" w:rsidR="003A78D0" w:rsidRPr="007C19F4" w:rsidRDefault="003A78D0" w:rsidP="002C66FC">
            <w:pPr>
              <w:autoSpaceDE w:val="0"/>
              <w:autoSpaceDN w:val="0"/>
              <w:adjustRightInd w:val="0"/>
              <w:rPr>
                <w:sz w:val="22"/>
                <w:szCs w:val="22"/>
              </w:rPr>
            </w:pPr>
          </w:p>
        </w:tc>
        <w:tc>
          <w:tcPr>
            <w:tcW w:w="3034" w:type="dxa"/>
            <w:shd w:val="clear" w:color="auto" w:fill="auto"/>
          </w:tcPr>
          <w:p w14:paraId="3BF4ADDE" w14:textId="77777777" w:rsidR="003A78D0" w:rsidRPr="007C19F4" w:rsidRDefault="003A78D0" w:rsidP="002C66FC">
            <w:pPr>
              <w:autoSpaceDE w:val="0"/>
              <w:autoSpaceDN w:val="0"/>
              <w:adjustRightInd w:val="0"/>
              <w:rPr>
                <w:sz w:val="22"/>
                <w:szCs w:val="22"/>
              </w:rPr>
            </w:pPr>
            <w:r w:rsidRPr="007C19F4">
              <w:rPr>
                <w:sz w:val="22"/>
                <w:szCs w:val="22"/>
              </w:rPr>
              <w:t>Vrtoglavica;</w:t>
            </w:r>
          </w:p>
          <w:p w14:paraId="34BEEDF9" w14:textId="77777777" w:rsidR="003A78D0" w:rsidRPr="007C19F4" w:rsidRDefault="003A78D0" w:rsidP="002C66FC">
            <w:pPr>
              <w:autoSpaceDE w:val="0"/>
              <w:autoSpaceDN w:val="0"/>
              <w:adjustRightInd w:val="0"/>
              <w:rPr>
                <w:sz w:val="22"/>
                <w:szCs w:val="22"/>
              </w:rPr>
            </w:pPr>
          </w:p>
          <w:p w14:paraId="1BBC3882" w14:textId="77777777" w:rsidR="003A78D0" w:rsidRPr="007C19F4" w:rsidRDefault="003A78D0" w:rsidP="002C66FC">
            <w:pPr>
              <w:autoSpaceDE w:val="0"/>
              <w:autoSpaceDN w:val="0"/>
              <w:adjustRightInd w:val="0"/>
              <w:rPr>
                <w:sz w:val="22"/>
                <w:szCs w:val="22"/>
              </w:rPr>
            </w:pPr>
            <w:r w:rsidRPr="007C19F4">
              <w:rPr>
                <w:sz w:val="22"/>
                <w:szCs w:val="22"/>
              </w:rPr>
              <w:t>Glavobolja (G3/4: &lt;</w:t>
            </w:r>
            <w:r>
              <w:rPr>
                <w:sz w:val="22"/>
                <w:szCs w:val="22"/>
              </w:rPr>
              <w:t xml:space="preserve"> </w:t>
            </w:r>
            <w:r w:rsidRPr="007C19F4">
              <w:rPr>
                <w:sz w:val="22"/>
                <w:szCs w:val="22"/>
              </w:rPr>
              <w:t>1%);</w:t>
            </w:r>
          </w:p>
          <w:p w14:paraId="1ED09EE8" w14:textId="77777777" w:rsidR="003A78D0" w:rsidRPr="007C19F4" w:rsidRDefault="003A78D0" w:rsidP="002C66FC">
            <w:pPr>
              <w:autoSpaceDE w:val="0"/>
              <w:autoSpaceDN w:val="0"/>
              <w:adjustRightInd w:val="0"/>
              <w:rPr>
                <w:sz w:val="22"/>
                <w:szCs w:val="22"/>
              </w:rPr>
            </w:pPr>
          </w:p>
          <w:p w14:paraId="446CEF4A" w14:textId="77777777" w:rsidR="003A78D0" w:rsidRPr="007C19F4" w:rsidRDefault="003A78D0" w:rsidP="002C66FC">
            <w:pPr>
              <w:autoSpaceDE w:val="0"/>
              <w:autoSpaceDN w:val="0"/>
              <w:adjustRightInd w:val="0"/>
              <w:rPr>
                <w:sz w:val="22"/>
                <w:szCs w:val="22"/>
              </w:rPr>
            </w:pPr>
            <w:r w:rsidRPr="007C19F4">
              <w:rPr>
                <w:sz w:val="22"/>
                <w:szCs w:val="22"/>
              </w:rPr>
              <w:t xml:space="preserve">Periferna neuropatija </w:t>
            </w:r>
          </w:p>
          <w:p w14:paraId="2224CEE3" w14:textId="77777777" w:rsidR="003A78D0" w:rsidRPr="007C19F4" w:rsidRDefault="003A78D0" w:rsidP="002C66FC">
            <w:pPr>
              <w:autoSpaceDE w:val="0"/>
              <w:autoSpaceDN w:val="0"/>
              <w:adjustRightInd w:val="0"/>
              <w:rPr>
                <w:sz w:val="22"/>
                <w:szCs w:val="22"/>
              </w:rPr>
            </w:pPr>
          </w:p>
        </w:tc>
      </w:tr>
      <w:tr w:rsidR="003A78D0" w:rsidRPr="00B02007" w14:paraId="79F0C81D" w14:textId="77777777" w:rsidTr="002C66FC">
        <w:trPr>
          <w:trHeight w:val="398"/>
        </w:trPr>
        <w:tc>
          <w:tcPr>
            <w:tcW w:w="3319" w:type="dxa"/>
          </w:tcPr>
          <w:p w14:paraId="1C346FD7" w14:textId="77777777" w:rsidR="003A78D0" w:rsidRPr="007C19F4" w:rsidRDefault="003A78D0" w:rsidP="002C66FC">
            <w:pPr>
              <w:autoSpaceDE w:val="0"/>
              <w:autoSpaceDN w:val="0"/>
              <w:adjustRightInd w:val="0"/>
              <w:rPr>
                <w:sz w:val="22"/>
                <w:szCs w:val="22"/>
              </w:rPr>
            </w:pPr>
            <w:r w:rsidRPr="007C19F4">
              <w:rPr>
                <w:sz w:val="22"/>
                <w:szCs w:val="22"/>
              </w:rPr>
              <w:t>Poremećaji oka</w:t>
            </w:r>
          </w:p>
        </w:tc>
        <w:tc>
          <w:tcPr>
            <w:tcW w:w="3319" w:type="dxa"/>
            <w:shd w:val="clear" w:color="auto" w:fill="auto"/>
          </w:tcPr>
          <w:p w14:paraId="22B34494" w14:textId="77777777" w:rsidR="003A78D0" w:rsidRPr="007C19F4" w:rsidRDefault="003A78D0" w:rsidP="002C66FC">
            <w:pPr>
              <w:autoSpaceDE w:val="0"/>
              <w:autoSpaceDN w:val="0"/>
              <w:adjustRightInd w:val="0"/>
              <w:rPr>
                <w:sz w:val="22"/>
                <w:szCs w:val="22"/>
              </w:rPr>
            </w:pPr>
            <w:r w:rsidRPr="007C19F4">
              <w:rPr>
                <w:sz w:val="22"/>
                <w:szCs w:val="22"/>
              </w:rPr>
              <w:t>Pojačano suzenje</w:t>
            </w:r>
          </w:p>
        </w:tc>
        <w:tc>
          <w:tcPr>
            <w:tcW w:w="3034" w:type="dxa"/>
            <w:shd w:val="clear" w:color="auto" w:fill="auto"/>
          </w:tcPr>
          <w:p w14:paraId="525AA174" w14:textId="77777777" w:rsidR="003A78D0" w:rsidRPr="007C19F4" w:rsidRDefault="003A78D0" w:rsidP="002C66FC">
            <w:pPr>
              <w:autoSpaceDE w:val="0"/>
              <w:autoSpaceDN w:val="0"/>
              <w:adjustRightInd w:val="0"/>
              <w:rPr>
                <w:sz w:val="22"/>
                <w:szCs w:val="22"/>
              </w:rPr>
            </w:pPr>
          </w:p>
        </w:tc>
      </w:tr>
      <w:tr w:rsidR="003A78D0" w:rsidRPr="00B02007" w14:paraId="053295F6" w14:textId="77777777" w:rsidTr="002C66FC">
        <w:trPr>
          <w:trHeight w:val="397"/>
        </w:trPr>
        <w:tc>
          <w:tcPr>
            <w:tcW w:w="3319" w:type="dxa"/>
          </w:tcPr>
          <w:p w14:paraId="2539ECBC" w14:textId="77777777" w:rsidR="003A78D0" w:rsidRPr="007C19F4" w:rsidRDefault="003A78D0" w:rsidP="002C66FC">
            <w:pPr>
              <w:autoSpaceDE w:val="0"/>
              <w:autoSpaceDN w:val="0"/>
              <w:adjustRightInd w:val="0"/>
              <w:rPr>
                <w:sz w:val="22"/>
                <w:szCs w:val="22"/>
              </w:rPr>
            </w:pPr>
            <w:r w:rsidRPr="007C19F4">
              <w:rPr>
                <w:sz w:val="22"/>
                <w:szCs w:val="22"/>
              </w:rPr>
              <w:t>Respiratorni, torakalni i</w:t>
            </w:r>
          </w:p>
          <w:p w14:paraId="3A3BA6DD" w14:textId="77777777" w:rsidR="003A78D0" w:rsidRPr="007C19F4" w:rsidRDefault="003A78D0" w:rsidP="002C66FC">
            <w:pPr>
              <w:autoSpaceDE w:val="0"/>
              <w:autoSpaceDN w:val="0"/>
              <w:adjustRightInd w:val="0"/>
              <w:rPr>
                <w:sz w:val="22"/>
                <w:szCs w:val="22"/>
              </w:rPr>
            </w:pPr>
            <w:r w:rsidRPr="007C19F4">
              <w:rPr>
                <w:sz w:val="22"/>
                <w:szCs w:val="22"/>
              </w:rPr>
              <w:t>medijastinalni poreme</w:t>
            </w:r>
            <w:r w:rsidRPr="007C19F4">
              <w:rPr>
                <w:rFonts w:eastAsia="TimesNewRoman"/>
                <w:sz w:val="22"/>
                <w:szCs w:val="22"/>
              </w:rPr>
              <w:t>ć</w:t>
            </w:r>
            <w:r w:rsidRPr="007C19F4">
              <w:rPr>
                <w:sz w:val="22"/>
                <w:szCs w:val="22"/>
              </w:rPr>
              <w:t>aji</w:t>
            </w:r>
          </w:p>
          <w:p w14:paraId="1D7D3977" w14:textId="77777777" w:rsidR="003A78D0" w:rsidRPr="007C19F4" w:rsidRDefault="003A78D0" w:rsidP="002C66FC">
            <w:pPr>
              <w:autoSpaceDE w:val="0"/>
              <w:autoSpaceDN w:val="0"/>
              <w:adjustRightInd w:val="0"/>
              <w:rPr>
                <w:sz w:val="22"/>
                <w:szCs w:val="22"/>
              </w:rPr>
            </w:pPr>
          </w:p>
        </w:tc>
        <w:tc>
          <w:tcPr>
            <w:tcW w:w="3319" w:type="dxa"/>
            <w:shd w:val="clear" w:color="auto" w:fill="auto"/>
          </w:tcPr>
          <w:p w14:paraId="68124127" w14:textId="77777777" w:rsidR="003A78D0" w:rsidRPr="007C19F4" w:rsidRDefault="003A78D0" w:rsidP="002C66FC">
            <w:pPr>
              <w:autoSpaceDE w:val="0"/>
              <w:autoSpaceDN w:val="0"/>
              <w:adjustRightInd w:val="0"/>
              <w:rPr>
                <w:sz w:val="22"/>
                <w:szCs w:val="22"/>
              </w:rPr>
            </w:pPr>
            <w:r w:rsidRPr="007C19F4">
              <w:rPr>
                <w:sz w:val="22"/>
                <w:szCs w:val="22"/>
              </w:rPr>
              <w:t>Faringo-laringealni bol (G3/4: 2%)</w:t>
            </w:r>
          </w:p>
          <w:p w14:paraId="1F5A547B" w14:textId="77777777" w:rsidR="003A78D0" w:rsidRPr="007C19F4" w:rsidRDefault="003A78D0" w:rsidP="002C66FC">
            <w:pPr>
              <w:autoSpaceDE w:val="0"/>
              <w:autoSpaceDN w:val="0"/>
              <w:adjustRightInd w:val="0"/>
              <w:rPr>
                <w:sz w:val="22"/>
                <w:szCs w:val="22"/>
              </w:rPr>
            </w:pPr>
          </w:p>
        </w:tc>
        <w:tc>
          <w:tcPr>
            <w:tcW w:w="3034" w:type="dxa"/>
            <w:shd w:val="clear" w:color="auto" w:fill="auto"/>
          </w:tcPr>
          <w:p w14:paraId="6767A7F5" w14:textId="77777777" w:rsidR="003A78D0" w:rsidRPr="007C19F4" w:rsidRDefault="003A78D0" w:rsidP="002C66FC">
            <w:pPr>
              <w:autoSpaceDE w:val="0"/>
              <w:autoSpaceDN w:val="0"/>
              <w:adjustRightInd w:val="0"/>
              <w:rPr>
                <w:sz w:val="22"/>
                <w:szCs w:val="22"/>
              </w:rPr>
            </w:pPr>
            <w:r w:rsidRPr="007C19F4">
              <w:rPr>
                <w:sz w:val="22"/>
                <w:szCs w:val="22"/>
              </w:rPr>
              <w:t>Dispnea (G3/4: 1%);</w:t>
            </w:r>
          </w:p>
          <w:p w14:paraId="0EA34177" w14:textId="77777777" w:rsidR="003A78D0" w:rsidRPr="007C19F4" w:rsidRDefault="003A78D0" w:rsidP="002C66FC">
            <w:pPr>
              <w:autoSpaceDE w:val="0"/>
              <w:autoSpaceDN w:val="0"/>
              <w:adjustRightInd w:val="0"/>
              <w:rPr>
                <w:sz w:val="22"/>
                <w:szCs w:val="22"/>
              </w:rPr>
            </w:pPr>
          </w:p>
          <w:p w14:paraId="28133571" w14:textId="77777777" w:rsidR="003A78D0" w:rsidRPr="007C19F4" w:rsidRDefault="003A78D0" w:rsidP="002C66FC">
            <w:pPr>
              <w:autoSpaceDE w:val="0"/>
              <w:autoSpaceDN w:val="0"/>
              <w:adjustRightInd w:val="0"/>
              <w:rPr>
                <w:sz w:val="22"/>
                <w:szCs w:val="22"/>
              </w:rPr>
            </w:pPr>
            <w:r w:rsidRPr="007C19F4">
              <w:rPr>
                <w:sz w:val="22"/>
                <w:szCs w:val="22"/>
              </w:rPr>
              <w:t>Kašalj (G3/4: &lt;</w:t>
            </w:r>
            <w:r>
              <w:rPr>
                <w:sz w:val="22"/>
                <w:szCs w:val="22"/>
              </w:rPr>
              <w:t xml:space="preserve"> </w:t>
            </w:r>
            <w:r w:rsidRPr="007C19F4">
              <w:rPr>
                <w:sz w:val="22"/>
                <w:szCs w:val="22"/>
              </w:rPr>
              <w:t>1%);</w:t>
            </w:r>
          </w:p>
          <w:p w14:paraId="03F60745" w14:textId="77777777" w:rsidR="003A78D0" w:rsidRPr="007C19F4" w:rsidRDefault="003A78D0" w:rsidP="002C66FC">
            <w:pPr>
              <w:autoSpaceDE w:val="0"/>
              <w:autoSpaceDN w:val="0"/>
              <w:adjustRightInd w:val="0"/>
              <w:rPr>
                <w:sz w:val="22"/>
                <w:szCs w:val="22"/>
              </w:rPr>
            </w:pPr>
          </w:p>
          <w:p w14:paraId="1081A608" w14:textId="77777777" w:rsidR="003A78D0" w:rsidRPr="007C19F4" w:rsidRDefault="003A78D0" w:rsidP="002C66FC">
            <w:pPr>
              <w:autoSpaceDE w:val="0"/>
              <w:autoSpaceDN w:val="0"/>
              <w:adjustRightInd w:val="0"/>
              <w:rPr>
                <w:sz w:val="22"/>
                <w:szCs w:val="22"/>
              </w:rPr>
            </w:pPr>
            <w:r w:rsidRPr="007C19F4">
              <w:rPr>
                <w:sz w:val="22"/>
                <w:szCs w:val="22"/>
              </w:rPr>
              <w:t>Epistaksa (G3/4: &lt;</w:t>
            </w:r>
            <w:r>
              <w:rPr>
                <w:sz w:val="22"/>
                <w:szCs w:val="22"/>
              </w:rPr>
              <w:t xml:space="preserve"> </w:t>
            </w:r>
            <w:r w:rsidRPr="007C19F4">
              <w:rPr>
                <w:sz w:val="22"/>
                <w:szCs w:val="22"/>
              </w:rPr>
              <w:t>1%)</w:t>
            </w:r>
          </w:p>
          <w:p w14:paraId="58CB2AB7" w14:textId="77777777" w:rsidR="003A78D0" w:rsidRPr="007C19F4" w:rsidRDefault="003A78D0" w:rsidP="002C66FC">
            <w:pPr>
              <w:autoSpaceDE w:val="0"/>
              <w:autoSpaceDN w:val="0"/>
              <w:adjustRightInd w:val="0"/>
              <w:rPr>
                <w:sz w:val="22"/>
                <w:szCs w:val="22"/>
              </w:rPr>
            </w:pPr>
          </w:p>
        </w:tc>
      </w:tr>
      <w:tr w:rsidR="003A78D0" w:rsidRPr="00B02007" w14:paraId="065F9785" w14:textId="77777777" w:rsidTr="002C66FC">
        <w:tc>
          <w:tcPr>
            <w:tcW w:w="3319" w:type="dxa"/>
          </w:tcPr>
          <w:p w14:paraId="00AFABEE" w14:textId="77777777" w:rsidR="003A78D0" w:rsidRPr="007C19F4" w:rsidRDefault="003A78D0" w:rsidP="002C66FC">
            <w:pPr>
              <w:autoSpaceDE w:val="0"/>
              <w:autoSpaceDN w:val="0"/>
              <w:adjustRightInd w:val="0"/>
              <w:rPr>
                <w:sz w:val="22"/>
                <w:szCs w:val="22"/>
              </w:rPr>
            </w:pPr>
            <w:r w:rsidRPr="007C19F4">
              <w:rPr>
                <w:sz w:val="22"/>
                <w:szCs w:val="22"/>
              </w:rPr>
              <w:t>Gastrointestinalni</w:t>
            </w:r>
          </w:p>
          <w:p w14:paraId="6E63675B"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w:t>
            </w:r>
          </w:p>
          <w:p w14:paraId="7680FA1A" w14:textId="77777777" w:rsidR="003A78D0" w:rsidRPr="007C19F4" w:rsidRDefault="003A78D0" w:rsidP="002C66FC">
            <w:pPr>
              <w:autoSpaceDE w:val="0"/>
              <w:autoSpaceDN w:val="0"/>
              <w:adjustRightInd w:val="0"/>
              <w:rPr>
                <w:sz w:val="22"/>
                <w:szCs w:val="22"/>
              </w:rPr>
            </w:pPr>
          </w:p>
        </w:tc>
        <w:tc>
          <w:tcPr>
            <w:tcW w:w="3319" w:type="dxa"/>
          </w:tcPr>
          <w:p w14:paraId="4D07C057" w14:textId="77777777" w:rsidR="003A78D0" w:rsidRPr="007C19F4" w:rsidRDefault="003A78D0" w:rsidP="002C66FC">
            <w:pPr>
              <w:autoSpaceDE w:val="0"/>
              <w:autoSpaceDN w:val="0"/>
              <w:adjustRightInd w:val="0"/>
              <w:rPr>
                <w:sz w:val="22"/>
                <w:szCs w:val="22"/>
              </w:rPr>
            </w:pPr>
            <w:r w:rsidRPr="007C19F4">
              <w:rPr>
                <w:sz w:val="22"/>
                <w:szCs w:val="22"/>
              </w:rPr>
              <w:t>Stomatitis (G3/4: 18%);</w:t>
            </w:r>
          </w:p>
          <w:p w14:paraId="3D6A9E0D" w14:textId="77777777" w:rsidR="003A78D0" w:rsidRPr="007C19F4" w:rsidRDefault="003A78D0" w:rsidP="002C66FC">
            <w:pPr>
              <w:autoSpaceDE w:val="0"/>
              <w:autoSpaceDN w:val="0"/>
              <w:adjustRightInd w:val="0"/>
              <w:rPr>
                <w:sz w:val="22"/>
                <w:szCs w:val="22"/>
              </w:rPr>
            </w:pPr>
          </w:p>
          <w:p w14:paraId="3E3E2766" w14:textId="77777777" w:rsidR="003A78D0" w:rsidRPr="007C19F4" w:rsidRDefault="003A78D0" w:rsidP="002C66FC">
            <w:pPr>
              <w:autoSpaceDE w:val="0"/>
              <w:autoSpaceDN w:val="0"/>
              <w:adjustRightInd w:val="0"/>
              <w:rPr>
                <w:sz w:val="22"/>
                <w:szCs w:val="22"/>
              </w:rPr>
            </w:pPr>
            <w:r w:rsidRPr="007C19F4">
              <w:rPr>
                <w:sz w:val="22"/>
                <w:szCs w:val="22"/>
              </w:rPr>
              <w:t>Dijareja (G3/4: 14%);</w:t>
            </w:r>
          </w:p>
          <w:p w14:paraId="717A4340" w14:textId="77777777" w:rsidR="003A78D0" w:rsidRPr="007C19F4" w:rsidRDefault="003A78D0" w:rsidP="002C66FC">
            <w:pPr>
              <w:autoSpaceDE w:val="0"/>
              <w:autoSpaceDN w:val="0"/>
              <w:adjustRightInd w:val="0"/>
              <w:rPr>
                <w:sz w:val="22"/>
                <w:szCs w:val="22"/>
              </w:rPr>
            </w:pPr>
          </w:p>
          <w:p w14:paraId="7A72EE39" w14:textId="77777777" w:rsidR="003A78D0" w:rsidRPr="007C19F4" w:rsidRDefault="003A78D0" w:rsidP="002C66FC">
            <w:pPr>
              <w:autoSpaceDE w:val="0"/>
              <w:autoSpaceDN w:val="0"/>
              <w:adjustRightInd w:val="0"/>
              <w:rPr>
                <w:sz w:val="22"/>
                <w:szCs w:val="22"/>
              </w:rPr>
            </w:pPr>
            <w:r w:rsidRPr="007C19F4">
              <w:rPr>
                <w:sz w:val="22"/>
                <w:szCs w:val="22"/>
              </w:rPr>
              <w:t>Mu</w:t>
            </w:r>
            <w:r w:rsidRPr="007C19F4">
              <w:rPr>
                <w:rFonts w:eastAsia="TimesNewRoman"/>
                <w:sz w:val="22"/>
                <w:szCs w:val="22"/>
              </w:rPr>
              <w:t>č</w:t>
            </w:r>
            <w:r w:rsidRPr="007C19F4">
              <w:rPr>
                <w:sz w:val="22"/>
                <w:szCs w:val="22"/>
              </w:rPr>
              <w:t>nina (G3/4: 6%);</w:t>
            </w:r>
          </w:p>
          <w:p w14:paraId="262A0A34" w14:textId="77777777" w:rsidR="003A78D0" w:rsidRPr="007C19F4" w:rsidRDefault="003A78D0" w:rsidP="002C66FC">
            <w:pPr>
              <w:autoSpaceDE w:val="0"/>
              <w:autoSpaceDN w:val="0"/>
              <w:adjustRightInd w:val="0"/>
              <w:rPr>
                <w:sz w:val="22"/>
                <w:szCs w:val="22"/>
              </w:rPr>
            </w:pPr>
          </w:p>
          <w:p w14:paraId="35D62C5B" w14:textId="77777777" w:rsidR="003A78D0" w:rsidRPr="007C19F4" w:rsidRDefault="003A78D0" w:rsidP="002C66FC">
            <w:pPr>
              <w:autoSpaceDE w:val="0"/>
              <w:autoSpaceDN w:val="0"/>
              <w:adjustRightInd w:val="0"/>
              <w:rPr>
                <w:sz w:val="22"/>
                <w:szCs w:val="22"/>
              </w:rPr>
            </w:pPr>
            <w:r w:rsidRPr="007C19F4">
              <w:rPr>
                <w:sz w:val="22"/>
                <w:szCs w:val="22"/>
              </w:rPr>
              <w:t>Povraćanje (G3/4: 4%);</w:t>
            </w:r>
          </w:p>
          <w:p w14:paraId="74707320" w14:textId="77777777" w:rsidR="003A78D0" w:rsidRPr="007C19F4" w:rsidRDefault="003A78D0" w:rsidP="002C66FC">
            <w:pPr>
              <w:autoSpaceDE w:val="0"/>
              <w:autoSpaceDN w:val="0"/>
              <w:adjustRightInd w:val="0"/>
              <w:rPr>
                <w:sz w:val="22"/>
                <w:szCs w:val="22"/>
              </w:rPr>
            </w:pPr>
          </w:p>
          <w:p w14:paraId="18FD8B30" w14:textId="77777777" w:rsidR="003A78D0" w:rsidRPr="007C19F4" w:rsidRDefault="003A78D0" w:rsidP="002C66FC">
            <w:pPr>
              <w:autoSpaceDE w:val="0"/>
              <w:autoSpaceDN w:val="0"/>
              <w:adjustRightInd w:val="0"/>
              <w:rPr>
                <w:sz w:val="22"/>
                <w:szCs w:val="22"/>
              </w:rPr>
            </w:pPr>
            <w:r w:rsidRPr="007C19F4">
              <w:rPr>
                <w:sz w:val="22"/>
                <w:szCs w:val="22"/>
              </w:rPr>
              <w:t>Opstipacija (G3/4: 1%);</w:t>
            </w:r>
          </w:p>
          <w:p w14:paraId="51D16DF4" w14:textId="77777777" w:rsidR="003A78D0" w:rsidRPr="007C19F4" w:rsidRDefault="003A78D0" w:rsidP="002C66FC">
            <w:pPr>
              <w:autoSpaceDE w:val="0"/>
              <w:autoSpaceDN w:val="0"/>
              <w:adjustRightInd w:val="0"/>
              <w:rPr>
                <w:sz w:val="22"/>
                <w:szCs w:val="22"/>
              </w:rPr>
            </w:pPr>
          </w:p>
          <w:p w14:paraId="6A740859" w14:textId="77777777" w:rsidR="003A78D0" w:rsidRPr="007C19F4" w:rsidRDefault="003A78D0" w:rsidP="002C66FC">
            <w:pPr>
              <w:autoSpaceDE w:val="0"/>
              <w:autoSpaceDN w:val="0"/>
              <w:adjustRightInd w:val="0"/>
              <w:rPr>
                <w:sz w:val="22"/>
                <w:szCs w:val="22"/>
              </w:rPr>
            </w:pPr>
            <w:r w:rsidRPr="007C19F4">
              <w:rPr>
                <w:sz w:val="22"/>
                <w:szCs w:val="22"/>
              </w:rPr>
              <w:t>Bol u abdomenu (G3/4: 2%);</w:t>
            </w:r>
          </w:p>
          <w:p w14:paraId="00712EF4" w14:textId="77777777" w:rsidR="003A78D0" w:rsidRPr="007C19F4" w:rsidRDefault="003A78D0" w:rsidP="002C66FC">
            <w:pPr>
              <w:autoSpaceDE w:val="0"/>
              <w:autoSpaceDN w:val="0"/>
              <w:adjustRightInd w:val="0"/>
              <w:rPr>
                <w:sz w:val="22"/>
                <w:szCs w:val="22"/>
              </w:rPr>
            </w:pPr>
          </w:p>
          <w:p w14:paraId="1122FA58" w14:textId="77777777" w:rsidR="003A78D0" w:rsidRPr="007C19F4" w:rsidRDefault="003A78D0" w:rsidP="002C66FC">
            <w:pPr>
              <w:autoSpaceDE w:val="0"/>
              <w:autoSpaceDN w:val="0"/>
              <w:adjustRightInd w:val="0"/>
              <w:rPr>
                <w:sz w:val="22"/>
                <w:szCs w:val="22"/>
              </w:rPr>
            </w:pPr>
            <w:r w:rsidRPr="007C19F4">
              <w:rPr>
                <w:sz w:val="22"/>
                <w:szCs w:val="22"/>
              </w:rPr>
              <w:t>Dispepsija</w:t>
            </w:r>
          </w:p>
        </w:tc>
        <w:tc>
          <w:tcPr>
            <w:tcW w:w="3034" w:type="dxa"/>
          </w:tcPr>
          <w:p w14:paraId="05EAC230" w14:textId="77777777" w:rsidR="003A78D0" w:rsidRPr="007C19F4" w:rsidRDefault="003A78D0" w:rsidP="002C66FC">
            <w:pPr>
              <w:autoSpaceDE w:val="0"/>
              <w:autoSpaceDN w:val="0"/>
              <w:adjustRightInd w:val="0"/>
              <w:rPr>
                <w:sz w:val="22"/>
                <w:szCs w:val="22"/>
              </w:rPr>
            </w:pPr>
            <w:r w:rsidRPr="007C19F4">
              <w:rPr>
                <w:sz w:val="22"/>
                <w:szCs w:val="22"/>
              </w:rPr>
              <w:t>Bol u gornjem abdomenu;</w:t>
            </w:r>
          </w:p>
          <w:p w14:paraId="1A285D9B" w14:textId="77777777" w:rsidR="003A78D0" w:rsidRPr="007C19F4" w:rsidRDefault="003A78D0" w:rsidP="002C66FC">
            <w:pPr>
              <w:autoSpaceDE w:val="0"/>
              <w:autoSpaceDN w:val="0"/>
              <w:adjustRightInd w:val="0"/>
              <w:rPr>
                <w:sz w:val="22"/>
                <w:szCs w:val="22"/>
              </w:rPr>
            </w:pPr>
          </w:p>
          <w:p w14:paraId="199BBAF2" w14:textId="77777777" w:rsidR="003A78D0" w:rsidRPr="007C19F4" w:rsidRDefault="003A78D0" w:rsidP="002C66FC">
            <w:pPr>
              <w:autoSpaceDE w:val="0"/>
              <w:autoSpaceDN w:val="0"/>
              <w:adjustRightInd w:val="0"/>
              <w:rPr>
                <w:sz w:val="22"/>
                <w:szCs w:val="22"/>
              </w:rPr>
            </w:pPr>
            <w:r w:rsidRPr="007C19F4">
              <w:rPr>
                <w:sz w:val="22"/>
                <w:szCs w:val="22"/>
              </w:rPr>
              <w:t>Suvoća usta</w:t>
            </w:r>
          </w:p>
        </w:tc>
      </w:tr>
      <w:tr w:rsidR="003A78D0" w:rsidRPr="00B02007" w14:paraId="622D5335" w14:textId="77777777" w:rsidTr="002C66FC">
        <w:tc>
          <w:tcPr>
            <w:tcW w:w="3319" w:type="dxa"/>
          </w:tcPr>
          <w:p w14:paraId="1C446AA0"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 kože i</w:t>
            </w:r>
          </w:p>
          <w:p w14:paraId="07BB38C9" w14:textId="77777777" w:rsidR="003A78D0" w:rsidRPr="007C19F4" w:rsidRDefault="003A78D0" w:rsidP="002C66FC">
            <w:pPr>
              <w:autoSpaceDE w:val="0"/>
              <w:autoSpaceDN w:val="0"/>
              <w:adjustRightInd w:val="0"/>
              <w:rPr>
                <w:sz w:val="22"/>
                <w:szCs w:val="22"/>
              </w:rPr>
            </w:pPr>
            <w:r w:rsidRPr="007C19F4">
              <w:rPr>
                <w:sz w:val="22"/>
                <w:szCs w:val="22"/>
              </w:rPr>
              <w:t xml:space="preserve">potkožnog tkiva </w:t>
            </w:r>
          </w:p>
          <w:p w14:paraId="347E18C7" w14:textId="77777777" w:rsidR="003A78D0" w:rsidRPr="007C19F4" w:rsidRDefault="003A78D0" w:rsidP="002C66FC">
            <w:pPr>
              <w:autoSpaceDE w:val="0"/>
              <w:autoSpaceDN w:val="0"/>
              <w:adjustRightInd w:val="0"/>
              <w:rPr>
                <w:sz w:val="22"/>
                <w:szCs w:val="22"/>
              </w:rPr>
            </w:pPr>
          </w:p>
        </w:tc>
        <w:tc>
          <w:tcPr>
            <w:tcW w:w="3319" w:type="dxa"/>
          </w:tcPr>
          <w:p w14:paraId="64894A64" w14:textId="77777777" w:rsidR="003A78D0" w:rsidRPr="007C19F4" w:rsidRDefault="003A78D0" w:rsidP="002C66FC">
            <w:pPr>
              <w:autoSpaceDE w:val="0"/>
              <w:autoSpaceDN w:val="0"/>
              <w:adjustRightInd w:val="0"/>
              <w:rPr>
                <w:sz w:val="22"/>
                <w:szCs w:val="22"/>
              </w:rPr>
            </w:pPr>
            <w:r w:rsidRPr="007C19F4">
              <w:rPr>
                <w:sz w:val="22"/>
                <w:szCs w:val="22"/>
              </w:rPr>
              <w:t>Sindrom šaka-stopalo (G3/4: 24%);</w:t>
            </w:r>
          </w:p>
          <w:p w14:paraId="01F7DA73" w14:textId="77777777" w:rsidR="003A78D0" w:rsidRPr="007C19F4" w:rsidRDefault="003A78D0" w:rsidP="002C66FC">
            <w:pPr>
              <w:autoSpaceDE w:val="0"/>
              <w:autoSpaceDN w:val="0"/>
              <w:adjustRightInd w:val="0"/>
              <w:rPr>
                <w:sz w:val="22"/>
                <w:szCs w:val="22"/>
              </w:rPr>
            </w:pPr>
          </w:p>
          <w:p w14:paraId="1C84302B" w14:textId="77777777" w:rsidR="003A78D0" w:rsidRPr="007C19F4" w:rsidRDefault="003A78D0" w:rsidP="002C66FC">
            <w:pPr>
              <w:autoSpaceDE w:val="0"/>
              <w:autoSpaceDN w:val="0"/>
              <w:adjustRightInd w:val="0"/>
              <w:rPr>
                <w:sz w:val="22"/>
                <w:szCs w:val="22"/>
              </w:rPr>
            </w:pPr>
            <w:r w:rsidRPr="007C19F4">
              <w:rPr>
                <w:sz w:val="22"/>
                <w:szCs w:val="22"/>
              </w:rPr>
              <w:t>Alopecija (G3/4: 6%);</w:t>
            </w:r>
          </w:p>
          <w:p w14:paraId="1638928E" w14:textId="77777777" w:rsidR="003A78D0" w:rsidRPr="007C19F4" w:rsidRDefault="003A78D0" w:rsidP="002C66FC">
            <w:pPr>
              <w:autoSpaceDE w:val="0"/>
              <w:autoSpaceDN w:val="0"/>
              <w:adjustRightInd w:val="0"/>
              <w:rPr>
                <w:sz w:val="22"/>
                <w:szCs w:val="22"/>
              </w:rPr>
            </w:pPr>
          </w:p>
          <w:p w14:paraId="135B0D28" w14:textId="77777777" w:rsidR="003A78D0" w:rsidRPr="007C19F4" w:rsidRDefault="003A78D0" w:rsidP="002C66FC">
            <w:pPr>
              <w:autoSpaceDE w:val="0"/>
              <w:autoSpaceDN w:val="0"/>
              <w:adjustRightInd w:val="0"/>
              <w:rPr>
                <w:sz w:val="22"/>
                <w:szCs w:val="22"/>
              </w:rPr>
            </w:pPr>
            <w:r w:rsidRPr="007C19F4">
              <w:rPr>
                <w:sz w:val="22"/>
                <w:szCs w:val="22"/>
              </w:rPr>
              <w:t>Promjene na noktima</w:t>
            </w:r>
          </w:p>
          <w:p w14:paraId="27147A85" w14:textId="77777777" w:rsidR="003A78D0" w:rsidRPr="007C19F4" w:rsidRDefault="003A78D0" w:rsidP="002C66FC">
            <w:pPr>
              <w:autoSpaceDE w:val="0"/>
              <w:autoSpaceDN w:val="0"/>
              <w:adjustRightInd w:val="0"/>
              <w:rPr>
                <w:sz w:val="22"/>
                <w:szCs w:val="22"/>
              </w:rPr>
            </w:pPr>
            <w:r w:rsidRPr="007C19F4">
              <w:rPr>
                <w:sz w:val="22"/>
                <w:szCs w:val="22"/>
              </w:rPr>
              <w:t>(G3/4: 2%)</w:t>
            </w:r>
          </w:p>
          <w:p w14:paraId="57AD02A0" w14:textId="77777777" w:rsidR="003A78D0" w:rsidRPr="007C19F4" w:rsidRDefault="003A78D0" w:rsidP="002C66FC">
            <w:pPr>
              <w:autoSpaceDE w:val="0"/>
              <w:autoSpaceDN w:val="0"/>
              <w:adjustRightInd w:val="0"/>
              <w:rPr>
                <w:sz w:val="22"/>
                <w:szCs w:val="22"/>
              </w:rPr>
            </w:pPr>
          </w:p>
        </w:tc>
        <w:tc>
          <w:tcPr>
            <w:tcW w:w="3034" w:type="dxa"/>
          </w:tcPr>
          <w:p w14:paraId="234AAAD0" w14:textId="77777777" w:rsidR="003A78D0" w:rsidRPr="003A78D0" w:rsidRDefault="003A78D0" w:rsidP="002C66FC">
            <w:pPr>
              <w:autoSpaceDE w:val="0"/>
              <w:autoSpaceDN w:val="0"/>
              <w:adjustRightInd w:val="0"/>
              <w:rPr>
                <w:sz w:val="22"/>
                <w:szCs w:val="22"/>
                <w:lang w:val="de-DE"/>
              </w:rPr>
            </w:pPr>
            <w:r w:rsidRPr="003A78D0">
              <w:rPr>
                <w:sz w:val="22"/>
                <w:szCs w:val="22"/>
                <w:lang w:val="de-DE"/>
              </w:rPr>
              <w:t>Dermatitis;</w:t>
            </w:r>
          </w:p>
          <w:p w14:paraId="0287BC9E" w14:textId="77777777" w:rsidR="003A78D0" w:rsidRPr="003A78D0" w:rsidRDefault="003A78D0" w:rsidP="002C66FC">
            <w:pPr>
              <w:autoSpaceDE w:val="0"/>
              <w:autoSpaceDN w:val="0"/>
              <w:adjustRightInd w:val="0"/>
              <w:rPr>
                <w:sz w:val="22"/>
                <w:szCs w:val="22"/>
                <w:lang w:val="de-DE"/>
              </w:rPr>
            </w:pPr>
          </w:p>
          <w:p w14:paraId="2C5B9EB7" w14:textId="77777777" w:rsidR="003A78D0" w:rsidRPr="003A78D0" w:rsidRDefault="003A78D0" w:rsidP="002C66FC">
            <w:pPr>
              <w:autoSpaceDE w:val="0"/>
              <w:autoSpaceDN w:val="0"/>
              <w:adjustRightInd w:val="0"/>
              <w:rPr>
                <w:sz w:val="22"/>
                <w:szCs w:val="22"/>
                <w:lang w:val="de-DE"/>
              </w:rPr>
            </w:pPr>
            <w:r w:rsidRPr="003A78D0">
              <w:rPr>
                <w:sz w:val="22"/>
                <w:szCs w:val="22"/>
                <w:lang w:val="de-DE"/>
              </w:rPr>
              <w:t>Eritematozni osip (G3/4: &lt;1%);</w:t>
            </w:r>
          </w:p>
          <w:p w14:paraId="51E4977E" w14:textId="77777777" w:rsidR="003A78D0" w:rsidRPr="003A78D0" w:rsidRDefault="003A78D0" w:rsidP="002C66FC">
            <w:pPr>
              <w:autoSpaceDE w:val="0"/>
              <w:autoSpaceDN w:val="0"/>
              <w:adjustRightInd w:val="0"/>
              <w:rPr>
                <w:sz w:val="22"/>
                <w:szCs w:val="22"/>
                <w:lang w:val="de-DE"/>
              </w:rPr>
            </w:pPr>
          </w:p>
          <w:p w14:paraId="4994926B" w14:textId="77777777" w:rsidR="003A78D0" w:rsidRPr="003A78D0" w:rsidRDefault="003A78D0" w:rsidP="002C66FC">
            <w:pPr>
              <w:autoSpaceDE w:val="0"/>
              <w:autoSpaceDN w:val="0"/>
              <w:adjustRightInd w:val="0"/>
              <w:rPr>
                <w:sz w:val="22"/>
                <w:szCs w:val="22"/>
                <w:lang w:val="de-DE"/>
              </w:rPr>
            </w:pPr>
            <w:r w:rsidRPr="003A78D0">
              <w:rPr>
                <w:sz w:val="22"/>
                <w:szCs w:val="22"/>
                <w:lang w:val="de-DE"/>
              </w:rPr>
              <w:t>Promjena boje noktiju;</w:t>
            </w:r>
          </w:p>
          <w:p w14:paraId="63C1DDF3" w14:textId="77777777" w:rsidR="003A78D0" w:rsidRPr="003A78D0" w:rsidRDefault="003A78D0" w:rsidP="002C66FC">
            <w:pPr>
              <w:autoSpaceDE w:val="0"/>
              <w:autoSpaceDN w:val="0"/>
              <w:adjustRightInd w:val="0"/>
              <w:rPr>
                <w:sz w:val="22"/>
                <w:szCs w:val="22"/>
                <w:lang w:val="de-DE"/>
              </w:rPr>
            </w:pPr>
          </w:p>
          <w:p w14:paraId="1F6C8D45" w14:textId="77777777" w:rsidR="003A78D0" w:rsidRPr="007C19F4" w:rsidRDefault="003A78D0" w:rsidP="002C66FC">
            <w:pPr>
              <w:autoSpaceDE w:val="0"/>
              <w:autoSpaceDN w:val="0"/>
              <w:adjustRightInd w:val="0"/>
              <w:rPr>
                <w:sz w:val="22"/>
                <w:szCs w:val="22"/>
              </w:rPr>
            </w:pPr>
            <w:r w:rsidRPr="007C19F4">
              <w:rPr>
                <w:sz w:val="22"/>
                <w:szCs w:val="22"/>
              </w:rPr>
              <w:t>Oniholiza (G3/4: 1%)</w:t>
            </w:r>
          </w:p>
          <w:p w14:paraId="22744950" w14:textId="77777777" w:rsidR="003A78D0" w:rsidRPr="007C19F4" w:rsidRDefault="003A78D0" w:rsidP="002C66FC">
            <w:pPr>
              <w:autoSpaceDE w:val="0"/>
              <w:autoSpaceDN w:val="0"/>
              <w:adjustRightInd w:val="0"/>
              <w:rPr>
                <w:sz w:val="22"/>
                <w:szCs w:val="22"/>
              </w:rPr>
            </w:pPr>
          </w:p>
        </w:tc>
      </w:tr>
      <w:tr w:rsidR="003A78D0" w:rsidRPr="00BB3077" w14:paraId="57514A0E" w14:textId="77777777" w:rsidTr="002C66FC">
        <w:tc>
          <w:tcPr>
            <w:tcW w:w="3319" w:type="dxa"/>
          </w:tcPr>
          <w:p w14:paraId="7FDE0D97"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w:t>
            </w:r>
          </w:p>
          <w:p w14:paraId="04BC44EF" w14:textId="77777777" w:rsidR="003A78D0" w:rsidRPr="007C19F4" w:rsidRDefault="003A78D0" w:rsidP="002C66FC">
            <w:pPr>
              <w:autoSpaceDE w:val="0"/>
              <w:autoSpaceDN w:val="0"/>
              <w:adjustRightInd w:val="0"/>
              <w:rPr>
                <w:sz w:val="22"/>
                <w:szCs w:val="22"/>
              </w:rPr>
            </w:pPr>
            <w:r w:rsidRPr="007C19F4">
              <w:rPr>
                <w:sz w:val="22"/>
                <w:szCs w:val="22"/>
              </w:rPr>
              <w:t>miši</w:t>
            </w:r>
            <w:r w:rsidRPr="007C19F4">
              <w:rPr>
                <w:rFonts w:eastAsia="TimesNewRoman"/>
                <w:sz w:val="22"/>
                <w:szCs w:val="22"/>
              </w:rPr>
              <w:t>ć</w:t>
            </w:r>
            <w:r w:rsidRPr="007C19F4">
              <w:rPr>
                <w:sz w:val="22"/>
                <w:szCs w:val="22"/>
              </w:rPr>
              <w:t>noskeletnog</w:t>
            </w:r>
          </w:p>
          <w:p w14:paraId="45AD27AA" w14:textId="77777777" w:rsidR="003A78D0" w:rsidRPr="007C19F4" w:rsidRDefault="003A78D0" w:rsidP="002C66FC">
            <w:pPr>
              <w:autoSpaceDE w:val="0"/>
              <w:autoSpaceDN w:val="0"/>
              <w:adjustRightInd w:val="0"/>
              <w:rPr>
                <w:sz w:val="22"/>
                <w:szCs w:val="22"/>
              </w:rPr>
            </w:pPr>
            <w:r w:rsidRPr="007C19F4">
              <w:rPr>
                <w:sz w:val="22"/>
                <w:szCs w:val="22"/>
              </w:rPr>
              <w:t>sistema i vezivnog tkiva</w:t>
            </w:r>
          </w:p>
          <w:p w14:paraId="1ED7905B" w14:textId="77777777" w:rsidR="003A78D0" w:rsidRPr="007C19F4" w:rsidRDefault="003A78D0" w:rsidP="002C66FC">
            <w:pPr>
              <w:autoSpaceDE w:val="0"/>
              <w:autoSpaceDN w:val="0"/>
              <w:adjustRightInd w:val="0"/>
              <w:rPr>
                <w:sz w:val="22"/>
                <w:szCs w:val="22"/>
              </w:rPr>
            </w:pPr>
          </w:p>
        </w:tc>
        <w:tc>
          <w:tcPr>
            <w:tcW w:w="3319" w:type="dxa"/>
          </w:tcPr>
          <w:p w14:paraId="4EC9C69A" w14:textId="77777777" w:rsidR="003A78D0" w:rsidRPr="007C19F4" w:rsidRDefault="003A78D0" w:rsidP="002C66FC">
            <w:pPr>
              <w:autoSpaceDE w:val="0"/>
              <w:autoSpaceDN w:val="0"/>
              <w:adjustRightInd w:val="0"/>
              <w:rPr>
                <w:sz w:val="22"/>
                <w:szCs w:val="22"/>
              </w:rPr>
            </w:pPr>
            <w:r w:rsidRPr="007C19F4">
              <w:rPr>
                <w:sz w:val="22"/>
                <w:szCs w:val="22"/>
              </w:rPr>
              <w:t>Mialgija (G3/4: 2%)</w:t>
            </w:r>
          </w:p>
          <w:p w14:paraId="2DD4F017" w14:textId="77777777" w:rsidR="003A78D0" w:rsidRPr="007C19F4" w:rsidRDefault="003A78D0" w:rsidP="002C66FC">
            <w:pPr>
              <w:autoSpaceDE w:val="0"/>
              <w:autoSpaceDN w:val="0"/>
              <w:adjustRightInd w:val="0"/>
              <w:rPr>
                <w:sz w:val="22"/>
                <w:szCs w:val="22"/>
              </w:rPr>
            </w:pPr>
          </w:p>
          <w:p w14:paraId="5D0B7CA5" w14:textId="77777777" w:rsidR="003A78D0" w:rsidRPr="007C19F4" w:rsidRDefault="003A78D0" w:rsidP="002C66FC">
            <w:pPr>
              <w:autoSpaceDE w:val="0"/>
              <w:autoSpaceDN w:val="0"/>
              <w:adjustRightInd w:val="0"/>
              <w:rPr>
                <w:sz w:val="22"/>
                <w:szCs w:val="22"/>
              </w:rPr>
            </w:pPr>
            <w:r w:rsidRPr="007C19F4">
              <w:rPr>
                <w:sz w:val="22"/>
                <w:szCs w:val="22"/>
              </w:rPr>
              <w:t>Artralgija (G3/4: 1%)</w:t>
            </w:r>
          </w:p>
          <w:p w14:paraId="1CB99B10" w14:textId="77777777" w:rsidR="003A78D0" w:rsidRPr="007C19F4" w:rsidRDefault="003A78D0" w:rsidP="002C66FC">
            <w:pPr>
              <w:autoSpaceDE w:val="0"/>
              <w:autoSpaceDN w:val="0"/>
              <w:adjustRightInd w:val="0"/>
              <w:rPr>
                <w:sz w:val="22"/>
                <w:szCs w:val="22"/>
              </w:rPr>
            </w:pPr>
          </w:p>
        </w:tc>
        <w:tc>
          <w:tcPr>
            <w:tcW w:w="3034" w:type="dxa"/>
          </w:tcPr>
          <w:p w14:paraId="177E757A" w14:textId="77777777" w:rsidR="003A78D0" w:rsidRPr="003A78D0" w:rsidRDefault="003A78D0" w:rsidP="002C66FC">
            <w:pPr>
              <w:autoSpaceDE w:val="0"/>
              <w:autoSpaceDN w:val="0"/>
              <w:adjustRightInd w:val="0"/>
              <w:rPr>
                <w:sz w:val="22"/>
                <w:szCs w:val="22"/>
                <w:lang w:val="de-DE"/>
              </w:rPr>
            </w:pPr>
            <w:r w:rsidRPr="003A78D0">
              <w:rPr>
                <w:sz w:val="22"/>
                <w:szCs w:val="22"/>
                <w:lang w:val="de-DE"/>
              </w:rPr>
              <w:t>Bol u ekstremitetima (G3/4: &lt;1%)</w:t>
            </w:r>
          </w:p>
          <w:p w14:paraId="696D99CB" w14:textId="77777777" w:rsidR="003A78D0" w:rsidRPr="003A78D0" w:rsidRDefault="003A78D0" w:rsidP="002C66FC">
            <w:pPr>
              <w:autoSpaceDE w:val="0"/>
              <w:autoSpaceDN w:val="0"/>
              <w:adjustRightInd w:val="0"/>
              <w:rPr>
                <w:sz w:val="22"/>
                <w:szCs w:val="22"/>
                <w:lang w:val="de-DE"/>
              </w:rPr>
            </w:pPr>
          </w:p>
          <w:p w14:paraId="2CB1DDBC" w14:textId="77777777" w:rsidR="003A78D0" w:rsidRPr="003A78D0" w:rsidRDefault="003A78D0" w:rsidP="002C66FC">
            <w:pPr>
              <w:autoSpaceDE w:val="0"/>
              <w:autoSpaceDN w:val="0"/>
              <w:adjustRightInd w:val="0"/>
              <w:rPr>
                <w:sz w:val="22"/>
                <w:szCs w:val="22"/>
                <w:lang w:val="de-DE"/>
              </w:rPr>
            </w:pPr>
            <w:r w:rsidRPr="003A78D0">
              <w:rPr>
                <w:sz w:val="22"/>
                <w:szCs w:val="22"/>
                <w:lang w:val="de-DE"/>
              </w:rPr>
              <w:t>Bol u le</w:t>
            </w:r>
            <w:r w:rsidRPr="003A78D0">
              <w:rPr>
                <w:rFonts w:eastAsia="TimesNewRoman"/>
                <w:sz w:val="22"/>
                <w:szCs w:val="22"/>
                <w:lang w:val="de-DE"/>
              </w:rPr>
              <w:t>đ</w:t>
            </w:r>
            <w:r w:rsidRPr="003A78D0">
              <w:rPr>
                <w:sz w:val="22"/>
                <w:szCs w:val="22"/>
                <w:lang w:val="de-DE"/>
              </w:rPr>
              <w:t>ima( (G3/4: 1%)</w:t>
            </w:r>
          </w:p>
          <w:p w14:paraId="3E9438BC" w14:textId="77777777" w:rsidR="003A78D0" w:rsidRPr="003A78D0" w:rsidRDefault="003A78D0" w:rsidP="002C66FC">
            <w:pPr>
              <w:autoSpaceDE w:val="0"/>
              <w:autoSpaceDN w:val="0"/>
              <w:adjustRightInd w:val="0"/>
              <w:rPr>
                <w:sz w:val="22"/>
                <w:szCs w:val="22"/>
                <w:lang w:val="de-DE"/>
              </w:rPr>
            </w:pPr>
          </w:p>
        </w:tc>
      </w:tr>
      <w:tr w:rsidR="003A78D0" w:rsidRPr="00B02007" w14:paraId="2473E039" w14:textId="77777777" w:rsidTr="002C66FC">
        <w:tc>
          <w:tcPr>
            <w:tcW w:w="3319" w:type="dxa"/>
          </w:tcPr>
          <w:p w14:paraId="6492D90B" w14:textId="77777777" w:rsidR="003A78D0" w:rsidRPr="007C19F4" w:rsidRDefault="003A78D0" w:rsidP="002C66FC">
            <w:pPr>
              <w:autoSpaceDE w:val="0"/>
              <w:autoSpaceDN w:val="0"/>
              <w:adjustRightInd w:val="0"/>
              <w:rPr>
                <w:sz w:val="22"/>
                <w:szCs w:val="22"/>
              </w:rPr>
            </w:pPr>
            <w:r w:rsidRPr="007C19F4">
              <w:rPr>
                <w:sz w:val="22"/>
                <w:szCs w:val="22"/>
              </w:rPr>
              <w:t>Opšti poreme</w:t>
            </w:r>
            <w:r w:rsidRPr="007C19F4">
              <w:rPr>
                <w:rFonts w:eastAsia="TimesNewRoman"/>
                <w:sz w:val="22"/>
                <w:szCs w:val="22"/>
              </w:rPr>
              <w:t>ć</w:t>
            </w:r>
            <w:r w:rsidRPr="007C19F4">
              <w:rPr>
                <w:sz w:val="22"/>
                <w:szCs w:val="22"/>
              </w:rPr>
              <w:t>aji i</w:t>
            </w:r>
          </w:p>
          <w:p w14:paraId="709D72A7" w14:textId="77777777" w:rsidR="003A78D0" w:rsidRPr="007C19F4" w:rsidRDefault="003A78D0" w:rsidP="002C66FC">
            <w:pPr>
              <w:autoSpaceDE w:val="0"/>
              <w:autoSpaceDN w:val="0"/>
              <w:adjustRightInd w:val="0"/>
              <w:rPr>
                <w:sz w:val="22"/>
                <w:szCs w:val="22"/>
              </w:rPr>
            </w:pPr>
            <w:r w:rsidRPr="007C19F4">
              <w:rPr>
                <w:sz w:val="22"/>
                <w:szCs w:val="22"/>
              </w:rPr>
              <w:t>promjene na mjestu</w:t>
            </w:r>
          </w:p>
          <w:p w14:paraId="634473F1" w14:textId="77777777" w:rsidR="003A78D0" w:rsidRPr="007C19F4" w:rsidRDefault="003A78D0" w:rsidP="002C66FC">
            <w:pPr>
              <w:autoSpaceDE w:val="0"/>
              <w:autoSpaceDN w:val="0"/>
              <w:adjustRightInd w:val="0"/>
              <w:rPr>
                <w:sz w:val="22"/>
                <w:szCs w:val="22"/>
              </w:rPr>
            </w:pPr>
            <w:r w:rsidRPr="007C19F4">
              <w:rPr>
                <w:sz w:val="22"/>
                <w:szCs w:val="22"/>
              </w:rPr>
              <w:t>primjene</w:t>
            </w:r>
          </w:p>
          <w:p w14:paraId="5420C761" w14:textId="77777777" w:rsidR="003A78D0" w:rsidRPr="007C19F4" w:rsidRDefault="003A78D0" w:rsidP="002C66FC">
            <w:pPr>
              <w:autoSpaceDE w:val="0"/>
              <w:autoSpaceDN w:val="0"/>
              <w:adjustRightInd w:val="0"/>
              <w:rPr>
                <w:sz w:val="22"/>
                <w:szCs w:val="22"/>
              </w:rPr>
            </w:pPr>
          </w:p>
        </w:tc>
        <w:tc>
          <w:tcPr>
            <w:tcW w:w="3319" w:type="dxa"/>
          </w:tcPr>
          <w:p w14:paraId="088DC47C" w14:textId="77777777" w:rsidR="003A78D0" w:rsidRPr="007C19F4" w:rsidRDefault="003A78D0" w:rsidP="002C66FC">
            <w:pPr>
              <w:autoSpaceDE w:val="0"/>
              <w:autoSpaceDN w:val="0"/>
              <w:adjustRightInd w:val="0"/>
              <w:rPr>
                <w:sz w:val="22"/>
                <w:szCs w:val="22"/>
              </w:rPr>
            </w:pPr>
            <w:r w:rsidRPr="007C19F4">
              <w:rPr>
                <w:sz w:val="22"/>
                <w:szCs w:val="22"/>
              </w:rPr>
              <w:t>Astenija (G3/4: 3%);</w:t>
            </w:r>
          </w:p>
          <w:p w14:paraId="41B78045" w14:textId="77777777" w:rsidR="003A78D0" w:rsidRPr="007C19F4" w:rsidRDefault="003A78D0" w:rsidP="002C66FC">
            <w:pPr>
              <w:autoSpaceDE w:val="0"/>
              <w:autoSpaceDN w:val="0"/>
              <w:adjustRightInd w:val="0"/>
              <w:rPr>
                <w:sz w:val="22"/>
                <w:szCs w:val="22"/>
              </w:rPr>
            </w:pPr>
          </w:p>
          <w:p w14:paraId="37C0ABE3" w14:textId="77777777" w:rsidR="003A78D0" w:rsidRPr="007C19F4" w:rsidRDefault="003A78D0" w:rsidP="002C66FC">
            <w:pPr>
              <w:autoSpaceDE w:val="0"/>
              <w:autoSpaceDN w:val="0"/>
              <w:adjustRightInd w:val="0"/>
              <w:rPr>
                <w:sz w:val="22"/>
                <w:szCs w:val="22"/>
              </w:rPr>
            </w:pPr>
            <w:r w:rsidRPr="007C19F4">
              <w:rPr>
                <w:sz w:val="22"/>
                <w:szCs w:val="22"/>
              </w:rPr>
              <w:t>Povišena tjelesna temperatura</w:t>
            </w:r>
          </w:p>
          <w:p w14:paraId="758EEE9D" w14:textId="77777777" w:rsidR="003A78D0" w:rsidRPr="007C19F4" w:rsidRDefault="003A78D0" w:rsidP="002C66FC">
            <w:pPr>
              <w:autoSpaceDE w:val="0"/>
              <w:autoSpaceDN w:val="0"/>
              <w:adjustRightInd w:val="0"/>
              <w:rPr>
                <w:sz w:val="22"/>
                <w:szCs w:val="22"/>
              </w:rPr>
            </w:pPr>
            <w:r w:rsidRPr="007C19F4">
              <w:rPr>
                <w:sz w:val="22"/>
                <w:szCs w:val="22"/>
              </w:rPr>
              <w:t xml:space="preserve"> (G3/4: 1%);</w:t>
            </w:r>
          </w:p>
          <w:p w14:paraId="0765045C" w14:textId="77777777" w:rsidR="003A78D0" w:rsidRPr="007C19F4" w:rsidRDefault="003A78D0" w:rsidP="002C66FC">
            <w:pPr>
              <w:autoSpaceDE w:val="0"/>
              <w:autoSpaceDN w:val="0"/>
              <w:adjustRightInd w:val="0"/>
              <w:rPr>
                <w:sz w:val="22"/>
                <w:szCs w:val="22"/>
              </w:rPr>
            </w:pPr>
          </w:p>
          <w:p w14:paraId="4964F2B2" w14:textId="77777777" w:rsidR="003A78D0" w:rsidRPr="003A78D0" w:rsidRDefault="003A78D0" w:rsidP="002C66FC">
            <w:pPr>
              <w:autoSpaceDE w:val="0"/>
              <w:autoSpaceDN w:val="0"/>
              <w:adjustRightInd w:val="0"/>
              <w:rPr>
                <w:sz w:val="22"/>
                <w:szCs w:val="22"/>
                <w:lang w:val="de-DE"/>
              </w:rPr>
            </w:pPr>
            <w:r w:rsidRPr="003A78D0">
              <w:rPr>
                <w:sz w:val="22"/>
                <w:szCs w:val="22"/>
                <w:lang w:val="de-DE"/>
              </w:rPr>
              <w:t>Zamor/iscrpljenost (G3/4: 5%);</w:t>
            </w:r>
          </w:p>
          <w:p w14:paraId="40BF761F" w14:textId="77777777" w:rsidR="003A78D0" w:rsidRPr="003A78D0" w:rsidRDefault="003A78D0" w:rsidP="002C66FC">
            <w:pPr>
              <w:autoSpaceDE w:val="0"/>
              <w:autoSpaceDN w:val="0"/>
              <w:adjustRightInd w:val="0"/>
              <w:rPr>
                <w:sz w:val="22"/>
                <w:szCs w:val="22"/>
                <w:lang w:val="de-DE"/>
              </w:rPr>
            </w:pPr>
          </w:p>
          <w:p w14:paraId="0C236CD7" w14:textId="77777777" w:rsidR="003A78D0" w:rsidRPr="003A78D0" w:rsidRDefault="003A78D0" w:rsidP="002C66FC">
            <w:pPr>
              <w:autoSpaceDE w:val="0"/>
              <w:autoSpaceDN w:val="0"/>
              <w:adjustRightInd w:val="0"/>
              <w:rPr>
                <w:sz w:val="22"/>
                <w:szCs w:val="22"/>
                <w:lang w:val="de-DE"/>
              </w:rPr>
            </w:pPr>
            <w:r w:rsidRPr="003A78D0">
              <w:rPr>
                <w:sz w:val="22"/>
                <w:szCs w:val="22"/>
                <w:lang w:val="de-DE"/>
              </w:rPr>
              <w:t>Periferni edem (G3/4: 1%)</w:t>
            </w:r>
          </w:p>
          <w:p w14:paraId="461324F5" w14:textId="77777777" w:rsidR="003A78D0" w:rsidRPr="003A78D0" w:rsidRDefault="003A78D0" w:rsidP="002C66FC">
            <w:pPr>
              <w:autoSpaceDE w:val="0"/>
              <w:autoSpaceDN w:val="0"/>
              <w:adjustRightInd w:val="0"/>
              <w:rPr>
                <w:sz w:val="22"/>
                <w:szCs w:val="22"/>
                <w:lang w:val="de-DE"/>
              </w:rPr>
            </w:pPr>
          </w:p>
          <w:p w14:paraId="677DB553" w14:textId="77777777" w:rsidR="003A78D0" w:rsidRPr="003A78D0" w:rsidRDefault="003A78D0" w:rsidP="002C66FC">
            <w:pPr>
              <w:autoSpaceDE w:val="0"/>
              <w:autoSpaceDN w:val="0"/>
              <w:adjustRightInd w:val="0"/>
              <w:rPr>
                <w:sz w:val="22"/>
                <w:szCs w:val="22"/>
                <w:lang w:val="de-DE"/>
              </w:rPr>
            </w:pPr>
          </w:p>
        </w:tc>
        <w:tc>
          <w:tcPr>
            <w:tcW w:w="3034" w:type="dxa"/>
          </w:tcPr>
          <w:p w14:paraId="5CA227B0" w14:textId="77777777" w:rsidR="003A78D0" w:rsidRPr="007C19F4" w:rsidRDefault="003A78D0" w:rsidP="002C66FC">
            <w:pPr>
              <w:autoSpaceDE w:val="0"/>
              <w:autoSpaceDN w:val="0"/>
              <w:adjustRightInd w:val="0"/>
              <w:rPr>
                <w:sz w:val="22"/>
                <w:szCs w:val="22"/>
              </w:rPr>
            </w:pPr>
            <w:r w:rsidRPr="007C19F4">
              <w:rPr>
                <w:sz w:val="22"/>
                <w:szCs w:val="22"/>
              </w:rPr>
              <w:t>Letargija;</w:t>
            </w:r>
          </w:p>
          <w:p w14:paraId="53D9726A" w14:textId="77777777" w:rsidR="003A78D0" w:rsidRPr="007C19F4" w:rsidRDefault="003A78D0" w:rsidP="002C66FC">
            <w:pPr>
              <w:autoSpaceDE w:val="0"/>
              <w:autoSpaceDN w:val="0"/>
              <w:adjustRightInd w:val="0"/>
              <w:rPr>
                <w:sz w:val="22"/>
                <w:szCs w:val="22"/>
              </w:rPr>
            </w:pPr>
          </w:p>
          <w:p w14:paraId="5807206D" w14:textId="77777777" w:rsidR="003A78D0" w:rsidRPr="007C19F4" w:rsidRDefault="003A78D0" w:rsidP="002C66FC">
            <w:pPr>
              <w:autoSpaceDE w:val="0"/>
              <w:autoSpaceDN w:val="0"/>
              <w:adjustRightInd w:val="0"/>
              <w:rPr>
                <w:sz w:val="22"/>
                <w:szCs w:val="22"/>
              </w:rPr>
            </w:pPr>
            <w:r w:rsidRPr="007C19F4">
              <w:rPr>
                <w:sz w:val="22"/>
                <w:szCs w:val="22"/>
              </w:rPr>
              <w:t>Bol</w:t>
            </w:r>
          </w:p>
        </w:tc>
      </w:tr>
      <w:tr w:rsidR="003A78D0" w:rsidRPr="00BB3077" w14:paraId="0B056CEF" w14:textId="77777777" w:rsidTr="002C66FC">
        <w:tc>
          <w:tcPr>
            <w:tcW w:w="3319" w:type="dxa"/>
          </w:tcPr>
          <w:p w14:paraId="0C6DB065" w14:textId="77777777" w:rsidR="003A78D0" w:rsidRPr="007C19F4" w:rsidRDefault="003A78D0" w:rsidP="002C66FC">
            <w:pPr>
              <w:autoSpaceDE w:val="0"/>
              <w:autoSpaceDN w:val="0"/>
              <w:adjustRightInd w:val="0"/>
              <w:rPr>
                <w:sz w:val="22"/>
                <w:szCs w:val="22"/>
              </w:rPr>
            </w:pPr>
            <w:r w:rsidRPr="007C19F4">
              <w:rPr>
                <w:sz w:val="22"/>
                <w:szCs w:val="22"/>
              </w:rPr>
              <w:t>Ispitivanja</w:t>
            </w:r>
          </w:p>
        </w:tc>
        <w:tc>
          <w:tcPr>
            <w:tcW w:w="3319" w:type="dxa"/>
          </w:tcPr>
          <w:p w14:paraId="6714C351" w14:textId="77777777" w:rsidR="003A78D0" w:rsidRPr="007C19F4" w:rsidRDefault="003A78D0" w:rsidP="002C66FC">
            <w:pPr>
              <w:autoSpaceDE w:val="0"/>
              <w:autoSpaceDN w:val="0"/>
              <w:adjustRightInd w:val="0"/>
              <w:rPr>
                <w:sz w:val="22"/>
                <w:szCs w:val="22"/>
              </w:rPr>
            </w:pPr>
          </w:p>
        </w:tc>
        <w:tc>
          <w:tcPr>
            <w:tcW w:w="3034" w:type="dxa"/>
          </w:tcPr>
          <w:p w14:paraId="2295F636" w14:textId="77777777" w:rsidR="003A78D0" w:rsidRPr="003A78D0" w:rsidRDefault="003A78D0" w:rsidP="002C66FC">
            <w:pPr>
              <w:autoSpaceDE w:val="0"/>
              <w:autoSpaceDN w:val="0"/>
              <w:adjustRightInd w:val="0"/>
              <w:rPr>
                <w:sz w:val="22"/>
                <w:szCs w:val="22"/>
                <w:lang w:val="de-DE"/>
              </w:rPr>
            </w:pPr>
            <w:r w:rsidRPr="003A78D0">
              <w:rPr>
                <w:sz w:val="22"/>
                <w:szCs w:val="22"/>
                <w:lang w:val="de-DE"/>
              </w:rPr>
              <w:t>Smanjenje tjelesne mase;</w:t>
            </w:r>
          </w:p>
          <w:p w14:paraId="6E132BCA" w14:textId="77777777" w:rsidR="003A78D0" w:rsidRPr="003A78D0" w:rsidRDefault="003A78D0" w:rsidP="002C66FC">
            <w:pPr>
              <w:autoSpaceDE w:val="0"/>
              <w:autoSpaceDN w:val="0"/>
              <w:adjustRightInd w:val="0"/>
              <w:rPr>
                <w:sz w:val="22"/>
                <w:szCs w:val="22"/>
                <w:lang w:val="de-DE"/>
              </w:rPr>
            </w:pPr>
          </w:p>
          <w:p w14:paraId="7083CABB" w14:textId="77777777" w:rsidR="003A78D0" w:rsidRPr="003A78D0" w:rsidRDefault="003A78D0" w:rsidP="002C66FC">
            <w:pPr>
              <w:autoSpaceDE w:val="0"/>
              <w:autoSpaceDN w:val="0"/>
              <w:adjustRightInd w:val="0"/>
              <w:rPr>
                <w:sz w:val="22"/>
                <w:szCs w:val="22"/>
                <w:lang w:val="de-DE"/>
              </w:rPr>
            </w:pPr>
            <w:r w:rsidRPr="003A78D0">
              <w:rPr>
                <w:sz w:val="22"/>
                <w:szCs w:val="22"/>
                <w:lang w:val="de-DE"/>
              </w:rPr>
              <w:t>Povišen bilirubin u krvi G3/4 (9%)</w:t>
            </w:r>
          </w:p>
        </w:tc>
      </w:tr>
    </w:tbl>
    <w:p w14:paraId="6A30D02F" w14:textId="77777777" w:rsidR="003A78D0" w:rsidRPr="003A78D0" w:rsidRDefault="003A78D0" w:rsidP="003A78D0">
      <w:pPr>
        <w:pStyle w:val="Header"/>
        <w:tabs>
          <w:tab w:val="left" w:pos="284"/>
        </w:tabs>
        <w:rPr>
          <w:sz w:val="22"/>
          <w:szCs w:val="22"/>
          <w:lang w:val="de-DE"/>
        </w:rPr>
      </w:pPr>
    </w:p>
    <w:p w14:paraId="6DAF803A" w14:textId="77777777" w:rsidR="003A78D0" w:rsidRPr="003A78D0" w:rsidRDefault="003A78D0" w:rsidP="003A78D0">
      <w:pPr>
        <w:autoSpaceDE w:val="0"/>
        <w:autoSpaceDN w:val="0"/>
        <w:adjustRightInd w:val="0"/>
        <w:rPr>
          <w:bCs/>
          <w:iCs/>
          <w:sz w:val="22"/>
          <w:szCs w:val="22"/>
          <w:u w:val="single"/>
          <w:lang w:val="de-DE"/>
        </w:rPr>
      </w:pPr>
    </w:p>
    <w:p w14:paraId="00D71328" w14:textId="77777777" w:rsidR="003A78D0" w:rsidRPr="003A78D0" w:rsidRDefault="003A78D0" w:rsidP="003A78D0">
      <w:pPr>
        <w:autoSpaceDE w:val="0"/>
        <w:autoSpaceDN w:val="0"/>
        <w:adjustRightInd w:val="0"/>
        <w:rPr>
          <w:bCs/>
          <w:i/>
          <w:iCs/>
          <w:sz w:val="22"/>
          <w:szCs w:val="22"/>
          <w:u w:val="single"/>
          <w:lang w:val="de-DE"/>
        </w:rPr>
      </w:pPr>
      <w:r w:rsidRPr="003A78D0">
        <w:rPr>
          <w:bCs/>
          <w:iCs/>
          <w:sz w:val="22"/>
          <w:szCs w:val="22"/>
          <w:u w:val="single"/>
          <w:lang w:val="de-DE"/>
        </w:rPr>
        <w:t>Tabelarni prikaz neželjenih reakcija kod metastatskog karcinoma prostate rezistentnog na kastraciju za</w:t>
      </w:r>
      <w:r w:rsidRPr="003A78D0">
        <w:rPr>
          <w:bCs/>
          <w:i/>
          <w:iCs/>
          <w:sz w:val="22"/>
          <w:szCs w:val="22"/>
          <w:u w:val="single"/>
          <w:lang w:val="de-DE"/>
        </w:rPr>
        <w:t xml:space="preserve"> docetaksel 75 mg/m² u kombinaciji sa prednizonom ili prednizolonom</w:t>
      </w:r>
    </w:p>
    <w:p w14:paraId="5606902A" w14:textId="77777777" w:rsidR="003A78D0" w:rsidRPr="003A78D0" w:rsidRDefault="003A78D0" w:rsidP="003A78D0">
      <w:pPr>
        <w:autoSpaceDE w:val="0"/>
        <w:autoSpaceDN w:val="0"/>
        <w:adjustRightInd w:val="0"/>
        <w:rPr>
          <w:sz w:val="22"/>
          <w:szCs w:val="22"/>
          <w:lang w:val="de-DE"/>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1"/>
        <w:gridCol w:w="3071"/>
        <w:gridCol w:w="3595"/>
      </w:tblGrid>
      <w:tr w:rsidR="003A78D0" w:rsidRPr="00B02007" w14:paraId="35D453F1" w14:textId="77777777" w:rsidTr="002C66FC">
        <w:trPr>
          <w:trHeight w:val="761"/>
        </w:trPr>
        <w:tc>
          <w:tcPr>
            <w:tcW w:w="3071" w:type="dxa"/>
          </w:tcPr>
          <w:p w14:paraId="54D582A9" w14:textId="77777777" w:rsidR="003A78D0" w:rsidRPr="007C19F4" w:rsidRDefault="003A78D0" w:rsidP="002C66FC">
            <w:pPr>
              <w:autoSpaceDE w:val="0"/>
              <w:autoSpaceDN w:val="0"/>
              <w:adjustRightInd w:val="0"/>
              <w:rPr>
                <w:sz w:val="22"/>
                <w:szCs w:val="22"/>
              </w:rPr>
            </w:pPr>
            <w:r w:rsidRPr="007C19F4">
              <w:rPr>
                <w:b/>
                <w:bCs/>
                <w:sz w:val="22"/>
                <w:szCs w:val="22"/>
              </w:rPr>
              <w:t>Organski sistemi po</w:t>
            </w:r>
          </w:p>
          <w:p w14:paraId="1E0265D0" w14:textId="77777777" w:rsidR="003A78D0" w:rsidRPr="007C19F4" w:rsidRDefault="003A78D0" w:rsidP="002C66FC">
            <w:pPr>
              <w:autoSpaceDE w:val="0"/>
              <w:autoSpaceDN w:val="0"/>
              <w:adjustRightInd w:val="0"/>
              <w:rPr>
                <w:b/>
                <w:bCs/>
                <w:sz w:val="22"/>
                <w:szCs w:val="22"/>
              </w:rPr>
            </w:pPr>
            <w:r w:rsidRPr="007C19F4">
              <w:rPr>
                <w:b/>
                <w:bCs/>
                <w:sz w:val="22"/>
                <w:szCs w:val="22"/>
              </w:rPr>
              <w:t>MedDRA</w:t>
            </w:r>
          </w:p>
          <w:p w14:paraId="5D089CED" w14:textId="77777777" w:rsidR="003A78D0" w:rsidRPr="007C19F4" w:rsidRDefault="003A78D0" w:rsidP="002C66FC">
            <w:pPr>
              <w:autoSpaceDE w:val="0"/>
              <w:autoSpaceDN w:val="0"/>
              <w:adjustRightInd w:val="0"/>
              <w:rPr>
                <w:sz w:val="22"/>
                <w:szCs w:val="22"/>
              </w:rPr>
            </w:pPr>
          </w:p>
        </w:tc>
        <w:tc>
          <w:tcPr>
            <w:tcW w:w="3071" w:type="dxa"/>
          </w:tcPr>
          <w:p w14:paraId="2E790B10" w14:textId="77777777" w:rsidR="003A78D0" w:rsidRPr="007C19F4" w:rsidRDefault="003A78D0" w:rsidP="002C66FC">
            <w:pPr>
              <w:autoSpaceDE w:val="0"/>
              <w:autoSpaceDN w:val="0"/>
              <w:adjustRightInd w:val="0"/>
              <w:rPr>
                <w:b/>
                <w:bCs/>
                <w:sz w:val="22"/>
                <w:szCs w:val="22"/>
              </w:rPr>
            </w:pPr>
            <w:r w:rsidRPr="007C19F4">
              <w:rPr>
                <w:b/>
                <w:bCs/>
                <w:sz w:val="22"/>
                <w:szCs w:val="22"/>
              </w:rPr>
              <w:t xml:space="preserve">Veoma </w:t>
            </w:r>
            <w:r w:rsidRPr="007C19F4">
              <w:rPr>
                <w:rFonts w:eastAsia="TimesNewRoman,Bold"/>
                <w:b/>
                <w:bCs/>
                <w:sz w:val="22"/>
                <w:szCs w:val="22"/>
              </w:rPr>
              <w:t>č</w:t>
            </w:r>
            <w:r w:rsidRPr="007C19F4">
              <w:rPr>
                <w:b/>
                <w:bCs/>
                <w:sz w:val="22"/>
                <w:szCs w:val="22"/>
              </w:rPr>
              <w:t xml:space="preserve">esta neželjena dejstva </w:t>
            </w:r>
          </w:p>
          <w:p w14:paraId="74AA2BEB" w14:textId="77777777" w:rsidR="003A78D0" w:rsidRPr="007C19F4" w:rsidRDefault="003A78D0" w:rsidP="002C66FC">
            <w:pPr>
              <w:autoSpaceDE w:val="0"/>
              <w:autoSpaceDN w:val="0"/>
              <w:adjustRightInd w:val="0"/>
              <w:rPr>
                <w:sz w:val="22"/>
                <w:szCs w:val="22"/>
              </w:rPr>
            </w:pPr>
          </w:p>
        </w:tc>
        <w:tc>
          <w:tcPr>
            <w:tcW w:w="3595" w:type="dxa"/>
          </w:tcPr>
          <w:p w14:paraId="3F63BEAC" w14:textId="77777777" w:rsidR="003A78D0" w:rsidRPr="007C19F4" w:rsidRDefault="003A78D0" w:rsidP="002C66FC">
            <w:pPr>
              <w:autoSpaceDE w:val="0"/>
              <w:autoSpaceDN w:val="0"/>
              <w:adjustRightInd w:val="0"/>
              <w:rPr>
                <w:b/>
                <w:bCs/>
                <w:sz w:val="22"/>
                <w:szCs w:val="22"/>
              </w:rPr>
            </w:pPr>
            <w:r w:rsidRPr="007C19F4">
              <w:rPr>
                <w:rFonts w:eastAsia="TimesNewRoman,Bold"/>
                <w:b/>
                <w:bCs/>
                <w:sz w:val="22"/>
                <w:szCs w:val="22"/>
              </w:rPr>
              <w:t>Č</w:t>
            </w:r>
            <w:r w:rsidRPr="007C19F4">
              <w:rPr>
                <w:b/>
                <w:bCs/>
                <w:sz w:val="22"/>
                <w:szCs w:val="22"/>
              </w:rPr>
              <w:t>esta neželjena dejstva</w:t>
            </w:r>
          </w:p>
          <w:p w14:paraId="7096A054" w14:textId="77777777" w:rsidR="003A78D0" w:rsidRPr="007C19F4" w:rsidRDefault="003A78D0" w:rsidP="002C66FC">
            <w:pPr>
              <w:autoSpaceDE w:val="0"/>
              <w:autoSpaceDN w:val="0"/>
              <w:adjustRightInd w:val="0"/>
              <w:rPr>
                <w:b/>
                <w:bCs/>
                <w:sz w:val="22"/>
                <w:szCs w:val="22"/>
              </w:rPr>
            </w:pPr>
          </w:p>
          <w:p w14:paraId="5D919A2B" w14:textId="77777777" w:rsidR="003A78D0" w:rsidRPr="007C19F4" w:rsidRDefault="003A78D0" w:rsidP="002C66FC">
            <w:pPr>
              <w:autoSpaceDE w:val="0"/>
              <w:autoSpaceDN w:val="0"/>
              <w:adjustRightInd w:val="0"/>
              <w:rPr>
                <w:sz w:val="22"/>
                <w:szCs w:val="22"/>
              </w:rPr>
            </w:pPr>
          </w:p>
        </w:tc>
      </w:tr>
      <w:tr w:rsidR="003A78D0" w:rsidRPr="00B02007" w14:paraId="2405EB2E" w14:textId="77777777" w:rsidTr="002C66FC">
        <w:trPr>
          <w:trHeight w:val="508"/>
        </w:trPr>
        <w:tc>
          <w:tcPr>
            <w:tcW w:w="3071" w:type="dxa"/>
          </w:tcPr>
          <w:p w14:paraId="2DA502BE" w14:textId="77777777" w:rsidR="003A78D0" w:rsidRPr="007C19F4" w:rsidRDefault="003A78D0" w:rsidP="002C66FC">
            <w:pPr>
              <w:autoSpaceDE w:val="0"/>
              <w:autoSpaceDN w:val="0"/>
              <w:adjustRightInd w:val="0"/>
              <w:rPr>
                <w:sz w:val="22"/>
                <w:szCs w:val="22"/>
              </w:rPr>
            </w:pPr>
            <w:r w:rsidRPr="007C19F4">
              <w:rPr>
                <w:sz w:val="22"/>
                <w:szCs w:val="22"/>
              </w:rPr>
              <w:t>Infekcije i infestacije</w:t>
            </w:r>
          </w:p>
        </w:tc>
        <w:tc>
          <w:tcPr>
            <w:tcW w:w="3071" w:type="dxa"/>
          </w:tcPr>
          <w:p w14:paraId="2E6703B9" w14:textId="77777777" w:rsidR="003A78D0" w:rsidRPr="007C19F4" w:rsidRDefault="003A78D0" w:rsidP="002C66FC">
            <w:pPr>
              <w:autoSpaceDE w:val="0"/>
              <w:autoSpaceDN w:val="0"/>
              <w:adjustRightInd w:val="0"/>
              <w:rPr>
                <w:sz w:val="22"/>
                <w:szCs w:val="22"/>
              </w:rPr>
            </w:pPr>
            <w:r w:rsidRPr="007C19F4">
              <w:rPr>
                <w:sz w:val="22"/>
                <w:szCs w:val="22"/>
              </w:rPr>
              <w:t>Infekcije (G3/4: 3,3%)</w:t>
            </w:r>
          </w:p>
        </w:tc>
        <w:tc>
          <w:tcPr>
            <w:tcW w:w="3595" w:type="dxa"/>
          </w:tcPr>
          <w:p w14:paraId="41069BBC" w14:textId="77777777" w:rsidR="003A78D0" w:rsidRPr="007C19F4" w:rsidRDefault="003A78D0" w:rsidP="002C66FC">
            <w:pPr>
              <w:autoSpaceDE w:val="0"/>
              <w:autoSpaceDN w:val="0"/>
              <w:adjustRightInd w:val="0"/>
              <w:rPr>
                <w:sz w:val="22"/>
                <w:szCs w:val="22"/>
              </w:rPr>
            </w:pPr>
          </w:p>
          <w:p w14:paraId="359158BC" w14:textId="77777777" w:rsidR="003A78D0" w:rsidRPr="007C19F4" w:rsidRDefault="003A78D0" w:rsidP="002C66FC">
            <w:pPr>
              <w:autoSpaceDE w:val="0"/>
              <w:autoSpaceDN w:val="0"/>
              <w:adjustRightInd w:val="0"/>
              <w:rPr>
                <w:sz w:val="22"/>
                <w:szCs w:val="22"/>
              </w:rPr>
            </w:pPr>
          </w:p>
        </w:tc>
      </w:tr>
      <w:tr w:rsidR="003A78D0" w:rsidRPr="00B02007" w14:paraId="15913D2F" w14:textId="77777777" w:rsidTr="002C66FC">
        <w:trPr>
          <w:trHeight w:val="1512"/>
        </w:trPr>
        <w:tc>
          <w:tcPr>
            <w:tcW w:w="3071" w:type="dxa"/>
          </w:tcPr>
          <w:p w14:paraId="121C171C"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 krvi i</w:t>
            </w:r>
          </w:p>
          <w:p w14:paraId="5AAF4704" w14:textId="77777777" w:rsidR="003A78D0" w:rsidRPr="007C19F4" w:rsidRDefault="003A78D0" w:rsidP="002C66FC">
            <w:pPr>
              <w:autoSpaceDE w:val="0"/>
              <w:autoSpaceDN w:val="0"/>
              <w:adjustRightInd w:val="0"/>
              <w:rPr>
                <w:sz w:val="22"/>
                <w:szCs w:val="22"/>
              </w:rPr>
            </w:pPr>
            <w:r w:rsidRPr="007C19F4">
              <w:rPr>
                <w:sz w:val="22"/>
                <w:szCs w:val="22"/>
              </w:rPr>
              <w:t>limfnog sistema</w:t>
            </w:r>
          </w:p>
          <w:p w14:paraId="114446FD" w14:textId="77777777" w:rsidR="003A78D0" w:rsidRPr="007C19F4" w:rsidRDefault="003A78D0" w:rsidP="002C66FC">
            <w:pPr>
              <w:autoSpaceDE w:val="0"/>
              <w:autoSpaceDN w:val="0"/>
              <w:adjustRightInd w:val="0"/>
              <w:rPr>
                <w:sz w:val="22"/>
                <w:szCs w:val="22"/>
              </w:rPr>
            </w:pPr>
          </w:p>
        </w:tc>
        <w:tc>
          <w:tcPr>
            <w:tcW w:w="3071" w:type="dxa"/>
          </w:tcPr>
          <w:p w14:paraId="036405EC" w14:textId="77777777" w:rsidR="003A78D0" w:rsidRPr="007C19F4" w:rsidRDefault="003A78D0" w:rsidP="002C66FC">
            <w:pPr>
              <w:autoSpaceDE w:val="0"/>
              <w:autoSpaceDN w:val="0"/>
              <w:adjustRightInd w:val="0"/>
              <w:rPr>
                <w:sz w:val="22"/>
                <w:szCs w:val="22"/>
              </w:rPr>
            </w:pPr>
            <w:r w:rsidRPr="007C19F4">
              <w:rPr>
                <w:sz w:val="22"/>
                <w:szCs w:val="22"/>
              </w:rPr>
              <w:t>Neutropenija (G3/4: 32%);</w:t>
            </w:r>
          </w:p>
          <w:p w14:paraId="2F43D014" w14:textId="77777777" w:rsidR="003A78D0" w:rsidRPr="007C19F4" w:rsidRDefault="003A78D0" w:rsidP="002C66FC">
            <w:pPr>
              <w:autoSpaceDE w:val="0"/>
              <w:autoSpaceDN w:val="0"/>
              <w:adjustRightInd w:val="0"/>
              <w:rPr>
                <w:sz w:val="22"/>
                <w:szCs w:val="22"/>
              </w:rPr>
            </w:pPr>
          </w:p>
          <w:p w14:paraId="57926296" w14:textId="77777777" w:rsidR="003A78D0" w:rsidRPr="007C19F4" w:rsidRDefault="003A78D0" w:rsidP="002C66FC">
            <w:pPr>
              <w:autoSpaceDE w:val="0"/>
              <w:autoSpaceDN w:val="0"/>
              <w:adjustRightInd w:val="0"/>
              <w:rPr>
                <w:sz w:val="22"/>
                <w:szCs w:val="22"/>
              </w:rPr>
            </w:pPr>
            <w:r w:rsidRPr="007C19F4">
              <w:rPr>
                <w:sz w:val="22"/>
                <w:szCs w:val="22"/>
              </w:rPr>
              <w:t>Anemija (G3/4: 4,9%)</w:t>
            </w:r>
          </w:p>
        </w:tc>
        <w:tc>
          <w:tcPr>
            <w:tcW w:w="3595" w:type="dxa"/>
          </w:tcPr>
          <w:p w14:paraId="25DCEDBC" w14:textId="77777777" w:rsidR="003A78D0" w:rsidRPr="007C19F4" w:rsidRDefault="003A78D0" w:rsidP="002C66FC">
            <w:pPr>
              <w:autoSpaceDE w:val="0"/>
              <w:autoSpaceDN w:val="0"/>
              <w:adjustRightInd w:val="0"/>
              <w:rPr>
                <w:sz w:val="22"/>
                <w:szCs w:val="22"/>
              </w:rPr>
            </w:pPr>
            <w:r w:rsidRPr="007C19F4">
              <w:rPr>
                <w:sz w:val="22"/>
                <w:szCs w:val="22"/>
              </w:rPr>
              <w:t>Trombocitopenija (G3/4: 0,6%);</w:t>
            </w:r>
          </w:p>
          <w:p w14:paraId="27990596" w14:textId="77777777" w:rsidR="003A78D0" w:rsidRPr="007C19F4" w:rsidRDefault="003A78D0" w:rsidP="002C66FC">
            <w:pPr>
              <w:autoSpaceDE w:val="0"/>
              <w:autoSpaceDN w:val="0"/>
              <w:adjustRightInd w:val="0"/>
              <w:rPr>
                <w:sz w:val="22"/>
                <w:szCs w:val="22"/>
              </w:rPr>
            </w:pPr>
          </w:p>
          <w:p w14:paraId="34781F7D" w14:textId="77777777" w:rsidR="003A78D0" w:rsidRPr="007C19F4" w:rsidRDefault="003A78D0" w:rsidP="002C66FC">
            <w:pPr>
              <w:autoSpaceDE w:val="0"/>
              <w:autoSpaceDN w:val="0"/>
              <w:adjustRightInd w:val="0"/>
              <w:rPr>
                <w:sz w:val="22"/>
                <w:szCs w:val="22"/>
              </w:rPr>
            </w:pPr>
            <w:r w:rsidRPr="007C19F4">
              <w:rPr>
                <w:sz w:val="22"/>
                <w:szCs w:val="22"/>
              </w:rPr>
              <w:t>Febrilna neutropenija</w:t>
            </w:r>
          </w:p>
          <w:p w14:paraId="7F5CC9A2" w14:textId="77777777" w:rsidR="003A78D0" w:rsidRPr="007C19F4" w:rsidRDefault="003A78D0" w:rsidP="002C66FC">
            <w:pPr>
              <w:autoSpaceDE w:val="0"/>
              <w:autoSpaceDN w:val="0"/>
              <w:adjustRightInd w:val="0"/>
              <w:rPr>
                <w:sz w:val="22"/>
                <w:szCs w:val="22"/>
              </w:rPr>
            </w:pPr>
          </w:p>
          <w:p w14:paraId="25B05A24" w14:textId="77777777" w:rsidR="003A78D0" w:rsidRPr="007C19F4" w:rsidRDefault="003A78D0" w:rsidP="002C66FC">
            <w:pPr>
              <w:autoSpaceDE w:val="0"/>
              <w:autoSpaceDN w:val="0"/>
              <w:adjustRightInd w:val="0"/>
              <w:rPr>
                <w:sz w:val="22"/>
                <w:szCs w:val="22"/>
              </w:rPr>
            </w:pPr>
          </w:p>
          <w:p w14:paraId="797EEE84" w14:textId="77777777" w:rsidR="003A78D0" w:rsidRPr="007C19F4" w:rsidRDefault="003A78D0" w:rsidP="002C66FC">
            <w:pPr>
              <w:autoSpaceDE w:val="0"/>
              <w:autoSpaceDN w:val="0"/>
              <w:adjustRightInd w:val="0"/>
              <w:rPr>
                <w:sz w:val="22"/>
                <w:szCs w:val="22"/>
              </w:rPr>
            </w:pPr>
          </w:p>
        </w:tc>
      </w:tr>
      <w:tr w:rsidR="003A78D0" w:rsidRPr="00B02007" w14:paraId="2244FCC6" w14:textId="77777777" w:rsidTr="002C66FC">
        <w:trPr>
          <w:trHeight w:val="508"/>
        </w:trPr>
        <w:tc>
          <w:tcPr>
            <w:tcW w:w="3071" w:type="dxa"/>
          </w:tcPr>
          <w:p w14:paraId="7FE4F808"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 imunog sistema</w:t>
            </w:r>
          </w:p>
        </w:tc>
        <w:tc>
          <w:tcPr>
            <w:tcW w:w="3071" w:type="dxa"/>
          </w:tcPr>
          <w:p w14:paraId="0E0C4172" w14:textId="77777777" w:rsidR="003A78D0" w:rsidRPr="007C19F4" w:rsidRDefault="003A78D0" w:rsidP="002C66FC">
            <w:pPr>
              <w:autoSpaceDE w:val="0"/>
              <w:autoSpaceDN w:val="0"/>
              <w:adjustRightInd w:val="0"/>
              <w:rPr>
                <w:sz w:val="22"/>
                <w:szCs w:val="22"/>
              </w:rPr>
            </w:pPr>
          </w:p>
        </w:tc>
        <w:tc>
          <w:tcPr>
            <w:tcW w:w="3595" w:type="dxa"/>
          </w:tcPr>
          <w:p w14:paraId="073773AE" w14:textId="77777777" w:rsidR="003A78D0" w:rsidRPr="007C19F4" w:rsidRDefault="003A78D0" w:rsidP="002C66FC">
            <w:pPr>
              <w:autoSpaceDE w:val="0"/>
              <w:autoSpaceDN w:val="0"/>
              <w:adjustRightInd w:val="0"/>
              <w:rPr>
                <w:sz w:val="22"/>
                <w:szCs w:val="22"/>
              </w:rPr>
            </w:pPr>
            <w:r w:rsidRPr="007C19F4">
              <w:rPr>
                <w:sz w:val="22"/>
                <w:szCs w:val="22"/>
              </w:rPr>
              <w:t>Preosjetljivost (G3/4: 0,6%)</w:t>
            </w:r>
          </w:p>
          <w:p w14:paraId="755D95B3" w14:textId="77777777" w:rsidR="003A78D0" w:rsidRPr="007C19F4" w:rsidRDefault="003A78D0" w:rsidP="002C66FC">
            <w:pPr>
              <w:autoSpaceDE w:val="0"/>
              <w:autoSpaceDN w:val="0"/>
              <w:adjustRightInd w:val="0"/>
              <w:rPr>
                <w:sz w:val="22"/>
                <w:szCs w:val="22"/>
              </w:rPr>
            </w:pPr>
          </w:p>
        </w:tc>
      </w:tr>
      <w:tr w:rsidR="003A78D0" w:rsidRPr="00B02007" w14:paraId="0949A69A" w14:textId="77777777" w:rsidTr="002C66FC">
        <w:trPr>
          <w:trHeight w:val="761"/>
        </w:trPr>
        <w:tc>
          <w:tcPr>
            <w:tcW w:w="3071" w:type="dxa"/>
          </w:tcPr>
          <w:p w14:paraId="4BA1FE70"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 xml:space="preserve">aji </w:t>
            </w:r>
          </w:p>
          <w:p w14:paraId="20AAE59B" w14:textId="77777777" w:rsidR="003A78D0" w:rsidRPr="007C19F4" w:rsidRDefault="003A78D0" w:rsidP="002C66FC">
            <w:pPr>
              <w:autoSpaceDE w:val="0"/>
              <w:autoSpaceDN w:val="0"/>
              <w:adjustRightInd w:val="0"/>
              <w:rPr>
                <w:sz w:val="22"/>
                <w:szCs w:val="22"/>
              </w:rPr>
            </w:pPr>
            <w:r w:rsidRPr="007C19F4">
              <w:rPr>
                <w:sz w:val="22"/>
                <w:szCs w:val="22"/>
              </w:rPr>
              <w:t>metabolizma i ishrane</w:t>
            </w:r>
          </w:p>
          <w:p w14:paraId="573739C2" w14:textId="77777777" w:rsidR="003A78D0" w:rsidRPr="007C19F4" w:rsidRDefault="003A78D0" w:rsidP="002C66FC">
            <w:pPr>
              <w:autoSpaceDE w:val="0"/>
              <w:autoSpaceDN w:val="0"/>
              <w:adjustRightInd w:val="0"/>
              <w:rPr>
                <w:sz w:val="22"/>
                <w:szCs w:val="22"/>
              </w:rPr>
            </w:pPr>
          </w:p>
        </w:tc>
        <w:tc>
          <w:tcPr>
            <w:tcW w:w="3071" w:type="dxa"/>
          </w:tcPr>
          <w:p w14:paraId="7CAFA821" w14:textId="77777777" w:rsidR="003A78D0" w:rsidRPr="007C19F4" w:rsidRDefault="003A78D0" w:rsidP="002C66FC">
            <w:pPr>
              <w:autoSpaceDE w:val="0"/>
              <w:autoSpaceDN w:val="0"/>
              <w:adjustRightInd w:val="0"/>
              <w:rPr>
                <w:sz w:val="22"/>
                <w:szCs w:val="22"/>
              </w:rPr>
            </w:pPr>
            <w:r w:rsidRPr="007C19F4">
              <w:rPr>
                <w:sz w:val="22"/>
                <w:szCs w:val="22"/>
              </w:rPr>
              <w:t>Anoreksija (G3/4: 0,6%)</w:t>
            </w:r>
          </w:p>
        </w:tc>
        <w:tc>
          <w:tcPr>
            <w:tcW w:w="3595" w:type="dxa"/>
          </w:tcPr>
          <w:p w14:paraId="79D20653" w14:textId="77777777" w:rsidR="003A78D0" w:rsidRPr="007C19F4" w:rsidRDefault="003A78D0" w:rsidP="002C66FC">
            <w:pPr>
              <w:autoSpaceDE w:val="0"/>
              <w:autoSpaceDN w:val="0"/>
              <w:adjustRightInd w:val="0"/>
              <w:rPr>
                <w:sz w:val="22"/>
                <w:szCs w:val="22"/>
              </w:rPr>
            </w:pPr>
          </w:p>
        </w:tc>
      </w:tr>
      <w:tr w:rsidR="003A78D0" w:rsidRPr="00B02007" w14:paraId="7A823485" w14:textId="77777777" w:rsidTr="002C66FC">
        <w:trPr>
          <w:trHeight w:val="1258"/>
        </w:trPr>
        <w:tc>
          <w:tcPr>
            <w:tcW w:w="3071" w:type="dxa"/>
          </w:tcPr>
          <w:p w14:paraId="69890C94"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 nervnog</w:t>
            </w:r>
          </w:p>
          <w:p w14:paraId="49B4712B" w14:textId="77777777" w:rsidR="003A78D0" w:rsidRPr="007C19F4" w:rsidRDefault="003A78D0" w:rsidP="002C66FC">
            <w:pPr>
              <w:autoSpaceDE w:val="0"/>
              <w:autoSpaceDN w:val="0"/>
              <w:adjustRightInd w:val="0"/>
              <w:rPr>
                <w:sz w:val="22"/>
                <w:szCs w:val="22"/>
              </w:rPr>
            </w:pPr>
            <w:r w:rsidRPr="007C19F4">
              <w:rPr>
                <w:sz w:val="22"/>
                <w:szCs w:val="22"/>
              </w:rPr>
              <w:t>sistema</w:t>
            </w:r>
          </w:p>
          <w:p w14:paraId="2A664B93" w14:textId="77777777" w:rsidR="003A78D0" w:rsidRPr="007C19F4" w:rsidRDefault="003A78D0" w:rsidP="002C66FC">
            <w:pPr>
              <w:autoSpaceDE w:val="0"/>
              <w:autoSpaceDN w:val="0"/>
              <w:adjustRightInd w:val="0"/>
              <w:rPr>
                <w:sz w:val="22"/>
                <w:szCs w:val="22"/>
              </w:rPr>
            </w:pPr>
          </w:p>
        </w:tc>
        <w:tc>
          <w:tcPr>
            <w:tcW w:w="3071" w:type="dxa"/>
          </w:tcPr>
          <w:p w14:paraId="316E0EC9" w14:textId="77777777" w:rsidR="003A78D0" w:rsidRPr="003A78D0" w:rsidRDefault="003A78D0" w:rsidP="002C66FC">
            <w:pPr>
              <w:autoSpaceDE w:val="0"/>
              <w:autoSpaceDN w:val="0"/>
              <w:adjustRightInd w:val="0"/>
              <w:rPr>
                <w:sz w:val="22"/>
                <w:szCs w:val="22"/>
                <w:lang w:val="de-DE"/>
              </w:rPr>
            </w:pPr>
            <w:r w:rsidRPr="003A78D0">
              <w:rPr>
                <w:sz w:val="22"/>
                <w:szCs w:val="22"/>
                <w:lang w:val="de-DE"/>
              </w:rPr>
              <w:t>Periferna senzorna neuropatija (G3/4: 1,2%)</w:t>
            </w:r>
          </w:p>
          <w:p w14:paraId="6639FA54" w14:textId="77777777" w:rsidR="003A78D0" w:rsidRPr="003A78D0" w:rsidRDefault="003A78D0" w:rsidP="002C66FC">
            <w:pPr>
              <w:autoSpaceDE w:val="0"/>
              <w:autoSpaceDN w:val="0"/>
              <w:adjustRightInd w:val="0"/>
              <w:rPr>
                <w:sz w:val="22"/>
                <w:szCs w:val="22"/>
                <w:lang w:val="de-DE"/>
              </w:rPr>
            </w:pPr>
          </w:p>
          <w:p w14:paraId="59454307" w14:textId="77777777" w:rsidR="003A78D0" w:rsidRPr="003A78D0" w:rsidRDefault="003A78D0" w:rsidP="002C66FC">
            <w:pPr>
              <w:autoSpaceDE w:val="0"/>
              <w:autoSpaceDN w:val="0"/>
              <w:adjustRightInd w:val="0"/>
              <w:rPr>
                <w:sz w:val="22"/>
                <w:szCs w:val="22"/>
                <w:lang w:val="de-DE"/>
              </w:rPr>
            </w:pPr>
            <w:r w:rsidRPr="003A78D0">
              <w:rPr>
                <w:sz w:val="22"/>
                <w:szCs w:val="22"/>
                <w:lang w:val="de-DE"/>
              </w:rPr>
              <w:t>Disgeuzija (G3/4: 0 %)</w:t>
            </w:r>
          </w:p>
          <w:p w14:paraId="51294D91" w14:textId="77777777" w:rsidR="003A78D0" w:rsidRPr="003A78D0" w:rsidRDefault="003A78D0" w:rsidP="002C66FC">
            <w:pPr>
              <w:autoSpaceDE w:val="0"/>
              <w:autoSpaceDN w:val="0"/>
              <w:adjustRightInd w:val="0"/>
              <w:rPr>
                <w:sz w:val="22"/>
                <w:szCs w:val="22"/>
                <w:lang w:val="de-DE"/>
              </w:rPr>
            </w:pPr>
          </w:p>
        </w:tc>
        <w:tc>
          <w:tcPr>
            <w:tcW w:w="3595" w:type="dxa"/>
          </w:tcPr>
          <w:p w14:paraId="38918E57" w14:textId="77777777" w:rsidR="003A78D0" w:rsidRPr="007C19F4" w:rsidRDefault="003A78D0" w:rsidP="002C66FC">
            <w:pPr>
              <w:autoSpaceDE w:val="0"/>
              <w:autoSpaceDN w:val="0"/>
              <w:adjustRightInd w:val="0"/>
              <w:rPr>
                <w:sz w:val="22"/>
                <w:szCs w:val="22"/>
              </w:rPr>
            </w:pPr>
            <w:r w:rsidRPr="007C19F4">
              <w:rPr>
                <w:sz w:val="22"/>
                <w:szCs w:val="22"/>
              </w:rPr>
              <w:t>Periferna motorna neuropatija</w:t>
            </w:r>
          </w:p>
          <w:p w14:paraId="430E7134" w14:textId="77777777" w:rsidR="003A78D0" w:rsidRPr="007C19F4" w:rsidRDefault="003A78D0" w:rsidP="002C66FC">
            <w:pPr>
              <w:autoSpaceDE w:val="0"/>
              <w:autoSpaceDN w:val="0"/>
              <w:adjustRightInd w:val="0"/>
              <w:rPr>
                <w:sz w:val="22"/>
                <w:szCs w:val="22"/>
              </w:rPr>
            </w:pPr>
            <w:r w:rsidRPr="007C19F4">
              <w:rPr>
                <w:sz w:val="22"/>
                <w:szCs w:val="22"/>
              </w:rPr>
              <w:t>(G3/4: 0%)</w:t>
            </w:r>
          </w:p>
          <w:p w14:paraId="1C19AA50" w14:textId="77777777" w:rsidR="003A78D0" w:rsidRPr="007C19F4" w:rsidRDefault="003A78D0" w:rsidP="002C66FC">
            <w:pPr>
              <w:autoSpaceDE w:val="0"/>
              <w:autoSpaceDN w:val="0"/>
              <w:adjustRightInd w:val="0"/>
              <w:rPr>
                <w:sz w:val="22"/>
                <w:szCs w:val="22"/>
              </w:rPr>
            </w:pPr>
          </w:p>
          <w:p w14:paraId="1FA79169" w14:textId="77777777" w:rsidR="003A78D0" w:rsidRPr="007C19F4" w:rsidDel="000C617B" w:rsidRDefault="003A78D0" w:rsidP="002C66FC">
            <w:pPr>
              <w:autoSpaceDE w:val="0"/>
              <w:autoSpaceDN w:val="0"/>
              <w:adjustRightInd w:val="0"/>
              <w:rPr>
                <w:sz w:val="22"/>
                <w:szCs w:val="22"/>
              </w:rPr>
            </w:pPr>
          </w:p>
        </w:tc>
      </w:tr>
      <w:tr w:rsidR="003A78D0" w:rsidRPr="00B02007" w14:paraId="7A274E0D" w14:textId="77777777" w:rsidTr="002C66FC">
        <w:trPr>
          <w:trHeight w:val="253"/>
        </w:trPr>
        <w:tc>
          <w:tcPr>
            <w:tcW w:w="3071" w:type="dxa"/>
          </w:tcPr>
          <w:p w14:paraId="7025C82D" w14:textId="77777777" w:rsidR="003A78D0" w:rsidRPr="007C19F4" w:rsidRDefault="003A78D0" w:rsidP="002C66FC">
            <w:pPr>
              <w:autoSpaceDE w:val="0"/>
              <w:autoSpaceDN w:val="0"/>
              <w:adjustRightInd w:val="0"/>
              <w:rPr>
                <w:sz w:val="22"/>
                <w:szCs w:val="22"/>
              </w:rPr>
            </w:pPr>
            <w:r w:rsidRPr="007C19F4">
              <w:rPr>
                <w:sz w:val="22"/>
                <w:szCs w:val="22"/>
              </w:rPr>
              <w:t>Poremećaji oka</w:t>
            </w:r>
          </w:p>
        </w:tc>
        <w:tc>
          <w:tcPr>
            <w:tcW w:w="3071" w:type="dxa"/>
          </w:tcPr>
          <w:p w14:paraId="747D5BE8" w14:textId="77777777" w:rsidR="003A78D0" w:rsidRPr="007C19F4" w:rsidRDefault="003A78D0" w:rsidP="002C66FC">
            <w:pPr>
              <w:autoSpaceDE w:val="0"/>
              <w:autoSpaceDN w:val="0"/>
              <w:adjustRightInd w:val="0"/>
              <w:rPr>
                <w:sz w:val="22"/>
                <w:szCs w:val="22"/>
              </w:rPr>
            </w:pPr>
          </w:p>
        </w:tc>
        <w:tc>
          <w:tcPr>
            <w:tcW w:w="3595" w:type="dxa"/>
          </w:tcPr>
          <w:p w14:paraId="083BD356" w14:textId="77777777" w:rsidR="003A78D0" w:rsidRPr="007C19F4" w:rsidRDefault="003A78D0" w:rsidP="002C66FC">
            <w:pPr>
              <w:autoSpaceDE w:val="0"/>
              <w:autoSpaceDN w:val="0"/>
              <w:adjustRightInd w:val="0"/>
              <w:rPr>
                <w:sz w:val="22"/>
                <w:szCs w:val="22"/>
              </w:rPr>
            </w:pPr>
            <w:r w:rsidRPr="007C19F4">
              <w:rPr>
                <w:sz w:val="22"/>
                <w:szCs w:val="22"/>
              </w:rPr>
              <w:t>Pojačano suzenje (G3/4: 0,6)</w:t>
            </w:r>
          </w:p>
        </w:tc>
      </w:tr>
      <w:tr w:rsidR="003A78D0" w:rsidRPr="00B02007" w14:paraId="172831F5" w14:textId="77777777" w:rsidTr="002C66FC">
        <w:trPr>
          <w:trHeight w:val="804"/>
        </w:trPr>
        <w:tc>
          <w:tcPr>
            <w:tcW w:w="3071" w:type="dxa"/>
          </w:tcPr>
          <w:p w14:paraId="50EA3152" w14:textId="77777777" w:rsidR="003A78D0" w:rsidRPr="007C19F4" w:rsidRDefault="003A78D0" w:rsidP="002C66FC">
            <w:pPr>
              <w:autoSpaceDE w:val="0"/>
              <w:autoSpaceDN w:val="0"/>
              <w:adjustRightInd w:val="0"/>
              <w:rPr>
                <w:sz w:val="22"/>
                <w:szCs w:val="22"/>
              </w:rPr>
            </w:pPr>
            <w:r w:rsidRPr="007C19F4">
              <w:rPr>
                <w:sz w:val="22"/>
                <w:szCs w:val="22"/>
              </w:rPr>
              <w:t>Sr</w:t>
            </w:r>
            <w:r w:rsidRPr="007C19F4">
              <w:rPr>
                <w:rFonts w:eastAsia="TimesNewRoman"/>
                <w:sz w:val="22"/>
                <w:szCs w:val="22"/>
              </w:rPr>
              <w:t>č</w:t>
            </w:r>
            <w:r w:rsidRPr="007C19F4">
              <w:rPr>
                <w:sz w:val="22"/>
                <w:szCs w:val="22"/>
              </w:rPr>
              <w:t>ani poreme</w:t>
            </w:r>
            <w:r w:rsidRPr="007C19F4">
              <w:rPr>
                <w:rFonts w:eastAsia="TimesNewRoman"/>
                <w:sz w:val="22"/>
                <w:szCs w:val="22"/>
              </w:rPr>
              <w:t>ć</w:t>
            </w:r>
            <w:r w:rsidRPr="007C19F4">
              <w:rPr>
                <w:sz w:val="22"/>
                <w:szCs w:val="22"/>
              </w:rPr>
              <w:t>aji</w:t>
            </w:r>
          </w:p>
        </w:tc>
        <w:tc>
          <w:tcPr>
            <w:tcW w:w="3071" w:type="dxa"/>
            <w:shd w:val="clear" w:color="auto" w:fill="auto"/>
          </w:tcPr>
          <w:p w14:paraId="43730682" w14:textId="77777777" w:rsidR="003A78D0" w:rsidRPr="007C19F4" w:rsidRDefault="003A78D0" w:rsidP="002C66FC">
            <w:pPr>
              <w:autoSpaceDE w:val="0"/>
              <w:autoSpaceDN w:val="0"/>
              <w:adjustRightInd w:val="0"/>
              <w:rPr>
                <w:sz w:val="22"/>
                <w:szCs w:val="22"/>
              </w:rPr>
            </w:pPr>
          </w:p>
        </w:tc>
        <w:tc>
          <w:tcPr>
            <w:tcW w:w="3595" w:type="dxa"/>
            <w:shd w:val="clear" w:color="auto" w:fill="auto"/>
          </w:tcPr>
          <w:p w14:paraId="2ECD7C66" w14:textId="77777777" w:rsidR="003A78D0" w:rsidRPr="007C19F4" w:rsidRDefault="003A78D0" w:rsidP="002C66FC">
            <w:pPr>
              <w:autoSpaceDE w:val="0"/>
              <w:autoSpaceDN w:val="0"/>
              <w:adjustRightInd w:val="0"/>
              <w:rPr>
                <w:sz w:val="22"/>
                <w:szCs w:val="22"/>
              </w:rPr>
            </w:pPr>
            <w:r w:rsidRPr="007C19F4">
              <w:rPr>
                <w:sz w:val="22"/>
                <w:szCs w:val="22"/>
              </w:rPr>
              <w:t>Slabljenje funkcije lijeve sr</w:t>
            </w:r>
            <w:r w:rsidRPr="007C19F4">
              <w:rPr>
                <w:rFonts w:eastAsia="TimesNewRoman"/>
                <w:sz w:val="22"/>
                <w:szCs w:val="22"/>
              </w:rPr>
              <w:t>č</w:t>
            </w:r>
            <w:r w:rsidRPr="007C19F4">
              <w:rPr>
                <w:sz w:val="22"/>
                <w:szCs w:val="22"/>
              </w:rPr>
              <w:t>ane</w:t>
            </w:r>
          </w:p>
          <w:p w14:paraId="1C2A205C" w14:textId="77777777" w:rsidR="003A78D0" w:rsidRPr="007C19F4" w:rsidRDefault="003A78D0" w:rsidP="002C66FC">
            <w:pPr>
              <w:autoSpaceDE w:val="0"/>
              <w:autoSpaceDN w:val="0"/>
              <w:adjustRightInd w:val="0"/>
              <w:rPr>
                <w:sz w:val="22"/>
                <w:szCs w:val="22"/>
              </w:rPr>
            </w:pPr>
            <w:r w:rsidRPr="007C19F4">
              <w:rPr>
                <w:sz w:val="22"/>
                <w:szCs w:val="22"/>
              </w:rPr>
              <w:t>komore (G3/4: 0,3%)</w:t>
            </w:r>
          </w:p>
        </w:tc>
      </w:tr>
      <w:tr w:rsidR="003A78D0" w:rsidRPr="00B02007" w14:paraId="2FC4508C" w14:textId="77777777" w:rsidTr="002C66FC">
        <w:trPr>
          <w:trHeight w:val="398"/>
        </w:trPr>
        <w:tc>
          <w:tcPr>
            <w:tcW w:w="3071" w:type="dxa"/>
          </w:tcPr>
          <w:p w14:paraId="7C1130E2" w14:textId="77777777" w:rsidR="003A78D0" w:rsidRPr="007C19F4" w:rsidRDefault="003A78D0" w:rsidP="002C66FC">
            <w:pPr>
              <w:autoSpaceDE w:val="0"/>
              <w:autoSpaceDN w:val="0"/>
              <w:adjustRightInd w:val="0"/>
              <w:rPr>
                <w:sz w:val="22"/>
                <w:szCs w:val="22"/>
              </w:rPr>
            </w:pPr>
            <w:r w:rsidRPr="007C19F4">
              <w:rPr>
                <w:sz w:val="22"/>
                <w:szCs w:val="22"/>
              </w:rPr>
              <w:t>Respiratorni, torakalni i</w:t>
            </w:r>
          </w:p>
          <w:p w14:paraId="3A8D46BD" w14:textId="77777777" w:rsidR="003A78D0" w:rsidRPr="007C19F4" w:rsidRDefault="003A78D0" w:rsidP="002C66FC">
            <w:pPr>
              <w:autoSpaceDE w:val="0"/>
              <w:autoSpaceDN w:val="0"/>
              <w:adjustRightInd w:val="0"/>
              <w:rPr>
                <w:sz w:val="22"/>
                <w:szCs w:val="22"/>
              </w:rPr>
            </w:pPr>
            <w:r w:rsidRPr="007C19F4">
              <w:rPr>
                <w:sz w:val="22"/>
                <w:szCs w:val="22"/>
              </w:rPr>
              <w:t>medijastinalni poreme</w:t>
            </w:r>
            <w:r w:rsidRPr="007C19F4">
              <w:rPr>
                <w:rFonts w:eastAsia="TimesNewRoman"/>
                <w:sz w:val="22"/>
                <w:szCs w:val="22"/>
              </w:rPr>
              <w:t>ć</w:t>
            </w:r>
            <w:r w:rsidRPr="007C19F4">
              <w:rPr>
                <w:sz w:val="22"/>
                <w:szCs w:val="22"/>
              </w:rPr>
              <w:t>aji</w:t>
            </w:r>
          </w:p>
          <w:p w14:paraId="58DF8538" w14:textId="77777777" w:rsidR="003A78D0" w:rsidRPr="007C19F4" w:rsidRDefault="003A78D0" w:rsidP="002C66FC">
            <w:pPr>
              <w:autoSpaceDE w:val="0"/>
              <w:autoSpaceDN w:val="0"/>
              <w:adjustRightInd w:val="0"/>
              <w:rPr>
                <w:sz w:val="22"/>
                <w:szCs w:val="22"/>
              </w:rPr>
            </w:pPr>
          </w:p>
        </w:tc>
        <w:tc>
          <w:tcPr>
            <w:tcW w:w="3071" w:type="dxa"/>
            <w:shd w:val="clear" w:color="auto" w:fill="auto"/>
          </w:tcPr>
          <w:p w14:paraId="120696E7" w14:textId="77777777" w:rsidR="003A78D0" w:rsidRPr="007C19F4" w:rsidRDefault="003A78D0" w:rsidP="002C66FC">
            <w:pPr>
              <w:autoSpaceDE w:val="0"/>
              <w:autoSpaceDN w:val="0"/>
              <w:adjustRightInd w:val="0"/>
              <w:rPr>
                <w:sz w:val="22"/>
                <w:szCs w:val="22"/>
              </w:rPr>
            </w:pPr>
          </w:p>
        </w:tc>
        <w:tc>
          <w:tcPr>
            <w:tcW w:w="3595" w:type="dxa"/>
            <w:shd w:val="clear" w:color="auto" w:fill="auto"/>
          </w:tcPr>
          <w:p w14:paraId="21D7E26D" w14:textId="77777777" w:rsidR="003A78D0" w:rsidRPr="007C19F4" w:rsidRDefault="003A78D0" w:rsidP="002C66FC">
            <w:pPr>
              <w:autoSpaceDE w:val="0"/>
              <w:autoSpaceDN w:val="0"/>
              <w:adjustRightInd w:val="0"/>
              <w:rPr>
                <w:sz w:val="22"/>
                <w:szCs w:val="22"/>
              </w:rPr>
            </w:pPr>
            <w:r w:rsidRPr="007C19F4">
              <w:rPr>
                <w:sz w:val="22"/>
                <w:szCs w:val="22"/>
              </w:rPr>
              <w:t>Epistaksa (G3/4: 0%);</w:t>
            </w:r>
          </w:p>
          <w:p w14:paraId="72164683" w14:textId="77777777" w:rsidR="003A78D0" w:rsidRPr="007C19F4" w:rsidRDefault="003A78D0" w:rsidP="002C66FC">
            <w:pPr>
              <w:autoSpaceDE w:val="0"/>
              <w:autoSpaceDN w:val="0"/>
              <w:adjustRightInd w:val="0"/>
              <w:rPr>
                <w:sz w:val="22"/>
                <w:szCs w:val="22"/>
              </w:rPr>
            </w:pPr>
          </w:p>
          <w:p w14:paraId="5B9C0467" w14:textId="77777777" w:rsidR="003A78D0" w:rsidRPr="007C19F4" w:rsidRDefault="003A78D0" w:rsidP="002C66FC">
            <w:pPr>
              <w:autoSpaceDE w:val="0"/>
              <w:autoSpaceDN w:val="0"/>
              <w:adjustRightInd w:val="0"/>
              <w:rPr>
                <w:sz w:val="22"/>
                <w:szCs w:val="22"/>
              </w:rPr>
            </w:pPr>
            <w:r w:rsidRPr="007C19F4">
              <w:rPr>
                <w:sz w:val="22"/>
                <w:szCs w:val="22"/>
              </w:rPr>
              <w:t>Dispneja (G3/4: 0,6%);</w:t>
            </w:r>
          </w:p>
          <w:p w14:paraId="0B61C427" w14:textId="77777777" w:rsidR="003A78D0" w:rsidRPr="007C19F4" w:rsidRDefault="003A78D0" w:rsidP="002C66FC">
            <w:pPr>
              <w:autoSpaceDE w:val="0"/>
              <w:autoSpaceDN w:val="0"/>
              <w:adjustRightInd w:val="0"/>
              <w:rPr>
                <w:sz w:val="22"/>
                <w:szCs w:val="22"/>
              </w:rPr>
            </w:pPr>
          </w:p>
          <w:p w14:paraId="40AED2C0" w14:textId="77777777" w:rsidR="003A78D0" w:rsidRPr="007C19F4" w:rsidRDefault="003A78D0" w:rsidP="002C66FC">
            <w:pPr>
              <w:autoSpaceDE w:val="0"/>
              <w:autoSpaceDN w:val="0"/>
              <w:adjustRightInd w:val="0"/>
              <w:rPr>
                <w:sz w:val="22"/>
                <w:szCs w:val="22"/>
              </w:rPr>
            </w:pPr>
            <w:r w:rsidRPr="007C19F4">
              <w:rPr>
                <w:sz w:val="22"/>
                <w:szCs w:val="22"/>
              </w:rPr>
              <w:t>Kašalj (G3/4: 0%)</w:t>
            </w:r>
          </w:p>
          <w:p w14:paraId="0DD7EDA3" w14:textId="77777777" w:rsidR="003A78D0" w:rsidRPr="007C19F4" w:rsidRDefault="003A78D0" w:rsidP="002C66FC">
            <w:pPr>
              <w:autoSpaceDE w:val="0"/>
              <w:autoSpaceDN w:val="0"/>
              <w:adjustRightInd w:val="0"/>
              <w:rPr>
                <w:sz w:val="22"/>
                <w:szCs w:val="22"/>
              </w:rPr>
            </w:pPr>
          </w:p>
        </w:tc>
      </w:tr>
      <w:tr w:rsidR="003A78D0" w:rsidRPr="00B02007" w14:paraId="1E67D4EE" w14:textId="77777777" w:rsidTr="002C66FC">
        <w:trPr>
          <w:trHeight w:val="397"/>
        </w:trPr>
        <w:tc>
          <w:tcPr>
            <w:tcW w:w="3071" w:type="dxa"/>
          </w:tcPr>
          <w:p w14:paraId="1952C588" w14:textId="77777777" w:rsidR="003A78D0" w:rsidRPr="007C19F4" w:rsidRDefault="003A78D0" w:rsidP="002C66FC">
            <w:pPr>
              <w:autoSpaceDE w:val="0"/>
              <w:autoSpaceDN w:val="0"/>
              <w:adjustRightInd w:val="0"/>
              <w:rPr>
                <w:sz w:val="22"/>
                <w:szCs w:val="22"/>
              </w:rPr>
            </w:pPr>
            <w:r w:rsidRPr="007C19F4">
              <w:rPr>
                <w:sz w:val="22"/>
                <w:szCs w:val="22"/>
              </w:rPr>
              <w:t>Gastrointestinalni</w:t>
            </w:r>
          </w:p>
          <w:p w14:paraId="1770AE80" w14:textId="77777777" w:rsidR="003A78D0" w:rsidRPr="007C19F4" w:rsidRDefault="003A78D0" w:rsidP="002C66FC">
            <w:pPr>
              <w:autoSpaceDE w:val="0"/>
              <w:autoSpaceDN w:val="0"/>
              <w:adjustRightInd w:val="0"/>
              <w:rPr>
                <w:sz w:val="22"/>
                <w:szCs w:val="22"/>
              </w:rPr>
            </w:pPr>
            <w:r w:rsidRPr="007C19F4">
              <w:rPr>
                <w:sz w:val="22"/>
                <w:szCs w:val="22"/>
              </w:rPr>
              <w:t>poreme</w:t>
            </w:r>
            <w:r w:rsidRPr="007C19F4">
              <w:rPr>
                <w:rFonts w:eastAsia="TimesNewRoman"/>
                <w:sz w:val="22"/>
                <w:szCs w:val="22"/>
              </w:rPr>
              <w:t>ć</w:t>
            </w:r>
            <w:r w:rsidRPr="007C19F4">
              <w:rPr>
                <w:sz w:val="22"/>
                <w:szCs w:val="22"/>
              </w:rPr>
              <w:t>aji</w:t>
            </w:r>
          </w:p>
          <w:p w14:paraId="58E331E6" w14:textId="77777777" w:rsidR="003A78D0" w:rsidRPr="007C19F4" w:rsidRDefault="003A78D0" w:rsidP="002C66FC">
            <w:pPr>
              <w:autoSpaceDE w:val="0"/>
              <w:autoSpaceDN w:val="0"/>
              <w:adjustRightInd w:val="0"/>
              <w:rPr>
                <w:sz w:val="22"/>
                <w:szCs w:val="22"/>
              </w:rPr>
            </w:pPr>
          </w:p>
        </w:tc>
        <w:tc>
          <w:tcPr>
            <w:tcW w:w="3071" w:type="dxa"/>
            <w:shd w:val="clear" w:color="auto" w:fill="auto"/>
          </w:tcPr>
          <w:p w14:paraId="1EFE36BF" w14:textId="77777777" w:rsidR="003A78D0" w:rsidRPr="007C19F4" w:rsidRDefault="003A78D0" w:rsidP="002C66FC">
            <w:pPr>
              <w:autoSpaceDE w:val="0"/>
              <w:autoSpaceDN w:val="0"/>
              <w:adjustRightInd w:val="0"/>
              <w:rPr>
                <w:sz w:val="22"/>
                <w:szCs w:val="22"/>
              </w:rPr>
            </w:pPr>
            <w:r w:rsidRPr="007C19F4">
              <w:rPr>
                <w:sz w:val="22"/>
                <w:szCs w:val="22"/>
              </w:rPr>
              <w:t>Mu</w:t>
            </w:r>
            <w:r w:rsidRPr="007C19F4">
              <w:rPr>
                <w:rFonts w:eastAsia="TimesNewRoman"/>
                <w:sz w:val="22"/>
                <w:szCs w:val="22"/>
              </w:rPr>
              <w:t>č</w:t>
            </w:r>
            <w:r w:rsidRPr="007C19F4">
              <w:rPr>
                <w:sz w:val="22"/>
                <w:szCs w:val="22"/>
              </w:rPr>
              <w:t>nina (G3/4: 2,4%);</w:t>
            </w:r>
          </w:p>
          <w:p w14:paraId="19871056" w14:textId="77777777" w:rsidR="003A78D0" w:rsidRPr="007C19F4" w:rsidRDefault="003A78D0" w:rsidP="002C66FC">
            <w:pPr>
              <w:autoSpaceDE w:val="0"/>
              <w:autoSpaceDN w:val="0"/>
              <w:adjustRightInd w:val="0"/>
              <w:rPr>
                <w:sz w:val="22"/>
                <w:szCs w:val="22"/>
              </w:rPr>
            </w:pPr>
          </w:p>
          <w:p w14:paraId="6D8A69A3" w14:textId="77777777" w:rsidR="003A78D0" w:rsidRPr="007C19F4" w:rsidRDefault="003A78D0" w:rsidP="002C66FC">
            <w:pPr>
              <w:autoSpaceDE w:val="0"/>
              <w:autoSpaceDN w:val="0"/>
              <w:adjustRightInd w:val="0"/>
              <w:rPr>
                <w:sz w:val="22"/>
                <w:szCs w:val="22"/>
              </w:rPr>
            </w:pPr>
            <w:r w:rsidRPr="007C19F4">
              <w:rPr>
                <w:sz w:val="22"/>
                <w:szCs w:val="22"/>
              </w:rPr>
              <w:t>Dijareja (G3/4: 1,2%);</w:t>
            </w:r>
          </w:p>
          <w:p w14:paraId="72038D78" w14:textId="77777777" w:rsidR="003A78D0" w:rsidRPr="007C19F4" w:rsidRDefault="003A78D0" w:rsidP="002C66FC">
            <w:pPr>
              <w:autoSpaceDE w:val="0"/>
              <w:autoSpaceDN w:val="0"/>
              <w:adjustRightInd w:val="0"/>
              <w:rPr>
                <w:sz w:val="22"/>
                <w:szCs w:val="22"/>
              </w:rPr>
            </w:pPr>
          </w:p>
          <w:p w14:paraId="0D572D28" w14:textId="77777777" w:rsidR="003A78D0" w:rsidRPr="007C19F4" w:rsidRDefault="003A78D0" w:rsidP="002C66FC">
            <w:pPr>
              <w:autoSpaceDE w:val="0"/>
              <w:autoSpaceDN w:val="0"/>
              <w:adjustRightInd w:val="0"/>
              <w:rPr>
                <w:sz w:val="22"/>
                <w:szCs w:val="22"/>
              </w:rPr>
            </w:pPr>
            <w:r w:rsidRPr="007C19F4">
              <w:rPr>
                <w:sz w:val="22"/>
                <w:szCs w:val="22"/>
              </w:rPr>
              <w:t>Stomatitis/faringitis (G3/4: 0,9%);</w:t>
            </w:r>
          </w:p>
          <w:p w14:paraId="646C150C" w14:textId="77777777" w:rsidR="003A78D0" w:rsidRPr="007C19F4" w:rsidRDefault="003A78D0" w:rsidP="002C66FC">
            <w:pPr>
              <w:autoSpaceDE w:val="0"/>
              <w:autoSpaceDN w:val="0"/>
              <w:adjustRightInd w:val="0"/>
              <w:rPr>
                <w:sz w:val="22"/>
                <w:szCs w:val="22"/>
              </w:rPr>
            </w:pPr>
          </w:p>
          <w:p w14:paraId="21704C12" w14:textId="77777777" w:rsidR="003A78D0" w:rsidRPr="007C19F4" w:rsidRDefault="003A78D0" w:rsidP="002C66FC">
            <w:pPr>
              <w:autoSpaceDE w:val="0"/>
              <w:autoSpaceDN w:val="0"/>
              <w:adjustRightInd w:val="0"/>
              <w:rPr>
                <w:sz w:val="22"/>
                <w:szCs w:val="22"/>
              </w:rPr>
            </w:pPr>
            <w:r w:rsidRPr="007C19F4">
              <w:rPr>
                <w:sz w:val="22"/>
                <w:szCs w:val="22"/>
              </w:rPr>
              <w:t>Povraćanje (G3/4: 1,2%)</w:t>
            </w:r>
          </w:p>
          <w:p w14:paraId="6C2318CA" w14:textId="77777777" w:rsidR="003A78D0" w:rsidRPr="007C19F4" w:rsidRDefault="003A78D0" w:rsidP="002C66FC">
            <w:pPr>
              <w:autoSpaceDE w:val="0"/>
              <w:autoSpaceDN w:val="0"/>
              <w:adjustRightInd w:val="0"/>
              <w:rPr>
                <w:sz w:val="22"/>
                <w:szCs w:val="22"/>
              </w:rPr>
            </w:pPr>
          </w:p>
        </w:tc>
        <w:tc>
          <w:tcPr>
            <w:tcW w:w="3595" w:type="dxa"/>
            <w:shd w:val="clear" w:color="auto" w:fill="auto"/>
          </w:tcPr>
          <w:p w14:paraId="197AFDD0" w14:textId="77777777" w:rsidR="003A78D0" w:rsidRPr="007C19F4" w:rsidRDefault="003A78D0" w:rsidP="002C66FC">
            <w:pPr>
              <w:autoSpaceDE w:val="0"/>
              <w:autoSpaceDN w:val="0"/>
              <w:adjustRightInd w:val="0"/>
              <w:rPr>
                <w:sz w:val="22"/>
                <w:szCs w:val="22"/>
              </w:rPr>
            </w:pPr>
          </w:p>
        </w:tc>
      </w:tr>
      <w:tr w:rsidR="003A78D0" w:rsidRPr="00B02007" w14:paraId="01EAE743" w14:textId="77777777" w:rsidTr="002C66FC">
        <w:trPr>
          <w:trHeight w:val="1269"/>
        </w:trPr>
        <w:tc>
          <w:tcPr>
            <w:tcW w:w="3071" w:type="dxa"/>
          </w:tcPr>
          <w:p w14:paraId="10606310" w14:textId="77777777" w:rsidR="003A78D0" w:rsidRPr="004E3481" w:rsidRDefault="003A78D0" w:rsidP="002C66FC">
            <w:pPr>
              <w:autoSpaceDE w:val="0"/>
              <w:autoSpaceDN w:val="0"/>
              <w:adjustRightInd w:val="0"/>
              <w:rPr>
                <w:sz w:val="22"/>
                <w:szCs w:val="22"/>
              </w:rPr>
            </w:pPr>
            <w:r w:rsidRPr="004E3481">
              <w:rPr>
                <w:sz w:val="22"/>
                <w:szCs w:val="22"/>
              </w:rPr>
              <w:t>Poreme</w:t>
            </w:r>
            <w:r w:rsidRPr="004E3481">
              <w:rPr>
                <w:rFonts w:eastAsia="TimesNewRoman"/>
                <w:sz w:val="22"/>
                <w:szCs w:val="22"/>
              </w:rPr>
              <w:t>ć</w:t>
            </w:r>
            <w:r w:rsidRPr="004E3481">
              <w:rPr>
                <w:sz w:val="22"/>
                <w:szCs w:val="22"/>
              </w:rPr>
              <w:t>aji kože i</w:t>
            </w:r>
          </w:p>
          <w:p w14:paraId="5CC523EB" w14:textId="77777777" w:rsidR="003A78D0" w:rsidRPr="004E3481" w:rsidRDefault="003A78D0" w:rsidP="002C66FC">
            <w:pPr>
              <w:autoSpaceDE w:val="0"/>
              <w:autoSpaceDN w:val="0"/>
              <w:adjustRightInd w:val="0"/>
              <w:rPr>
                <w:sz w:val="22"/>
                <w:szCs w:val="22"/>
              </w:rPr>
            </w:pPr>
            <w:r w:rsidRPr="004E3481">
              <w:rPr>
                <w:sz w:val="22"/>
                <w:szCs w:val="22"/>
              </w:rPr>
              <w:t xml:space="preserve">potkožnog tkiva </w:t>
            </w:r>
          </w:p>
          <w:p w14:paraId="11FFD6AD" w14:textId="77777777" w:rsidR="003A78D0" w:rsidRPr="004E3481" w:rsidRDefault="003A78D0" w:rsidP="002C66FC">
            <w:pPr>
              <w:autoSpaceDE w:val="0"/>
              <w:autoSpaceDN w:val="0"/>
              <w:adjustRightInd w:val="0"/>
              <w:rPr>
                <w:sz w:val="22"/>
                <w:szCs w:val="22"/>
              </w:rPr>
            </w:pPr>
          </w:p>
        </w:tc>
        <w:tc>
          <w:tcPr>
            <w:tcW w:w="3071" w:type="dxa"/>
          </w:tcPr>
          <w:p w14:paraId="1EDB5855" w14:textId="77777777" w:rsidR="003A78D0" w:rsidRPr="004E3481" w:rsidRDefault="003A78D0" w:rsidP="002C66FC">
            <w:pPr>
              <w:autoSpaceDE w:val="0"/>
              <w:autoSpaceDN w:val="0"/>
              <w:adjustRightInd w:val="0"/>
              <w:rPr>
                <w:sz w:val="22"/>
                <w:szCs w:val="22"/>
              </w:rPr>
            </w:pPr>
            <w:r w:rsidRPr="004E3481">
              <w:rPr>
                <w:sz w:val="22"/>
                <w:szCs w:val="22"/>
              </w:rPr>
              <w:t xml:space="preserve">Alopecija; </w:t>
            </w:r>
          </w:p>
          <w:p w14:paraId="5FD8722B" w14:textId="77777777" w:rsidR="003A78D0" w:rsidRPr="004E3481" w:rsidRDefault="003A78D0" w:rsidP="002C66FC">
            <w:pPr>
              <w:autoSpaceDE w:val="0"/>
              <w:autoSpaceDN w:val="0"/>
              <w:adjustRightInd w:val="0"/>
              <w:rPr>
                <w:sz w:val="22"/>
                <w:szCs w:val="22"/>
              </w:rPr>
            </w:pPr>
          </w:p>
          <w:p w14:paraId="0DA0CBCB" w14:textId="77777777" w:rsidR="003A78D0" w:rsidRPr="004E3481" w:rsidRDefault="003A78D0" w:rsidP="002C66FC">
            <w:pPr>
              <w:autoSpaceDE w:val="0"/>
              <w:autoSpaceDN w:val="0"/>
              <w:adjustRightInd w:val="0"/>
              <w:rPr>
                <w:sz w:val="22"/>
                <w:szCs w:val="22"/>
              </w:rPr>
            </w:pPr>
            <w:r w:rsidRPr="004E3481">
              <w:rPr>
                <w:sz w:val="22"/>
                <w:szCs w:val="22"/>
              </w:rPr>
              <w:t>Promjene na noktima</w:t>
            </w:r>
          </w:p>
          <w:p w14:paraId="6CB6DAFF" w14:textId="77777777" w:rsidR="003A78D0" w:rsidRPr="004E3481" w:rsidRDefault="003A78D0" w:rsidP="002C66FC">
            <w:pPr>
              <w:autoSpaceDE w:val="0"/>
              <w:autoSpaceDN w:val="0"/>
              <w:adjustRightInd w:val="0"/>
              <w:rPr>
                <w:sz w:val="22"/>
                <w:szCs w:val="22"/>
              </w:rPr>
            </w:pPr>
            <w:r w:rsidRPr="004E3481">
              <w:rPr>
                <w:sz w:val="22"/>
                <w:szCs w:val="22"/>
              </w:rPr>
              <w:t>(nisu teške)</w:t>
            </w:r>
          </w:p>
          <w:p w14:paraId="3DFC67F1" w14:textId="77777777" w:rsidR="003A78D0" w:rsidRPr="004E3481" w:rsidRDefault="003A78D0" w:rsidP="002C66FC">
            <w:pPr>
              <w:autoSpaceDE w:val="0"/>
              <w:autoSpaceDN w:val="0"/>
              <w:adjustRightInd w:val="0"/>
              <w:rPr>
                <w:sz w:val="22"/>
                <w:szCs w:val="22"/>
              </w:rPr>
            </w:pPr>
          </w:p>
        </w:tc>
        <w:tc>
          <w:tcPr>
            <w:tcW w:w="3595" w:type="dxa"/>
          </w:tcPr>
          <w:p w14:paraId="172C5368" w14:textId="77777777" w:rsidR="003A78D0" w:rsidRPr="004E3481" w:rsidRDefault="003A78D0" w:rsidP="002C66FC">
            <w:pPr>
              <w:autoSpaceDE w:val="0"/>
              <w:autoSpaceDN w:val="0"/>
              <w:adjustRightInd w:val="0"/>
              <w:rPr>
                <w:sz w:val="22"/>
                <w:szCs w:val="22"/>
              </w:rPr>
            </w:pPr>
            <w:r w:rsidRPr="004E3481">
              <w:rPr>
                <w:sz w:val="22"/>
                <w:szCs w:val="22"/>
              </w:rPr>
              <w:t>Eksfolijativni osip (G3/4: 0,3%)</w:t>
            </w:r>
          </w:p>
          <w:p w14:paraId="1A8881DE" w14:textId="77777777" w:rsidR="003A78D0" w:rsidRPr="004E3481" w:rsidRDefault="003A78D0" w:rsidP="002C66FC">
            <w:pPr>
              <w:autoSpaceDE w:val="0"/>
              <w:autoSpaceDN w:val="0"/>
              <w:adjustRightInd w:val="0"/>
              <w:rPr>
                <w:sz w:val="22"/>
                <w:szCs w:val="22"/>
              </w:rPr>
            </w:pPr>
          </w:p>
        </w:tc>
      </w:tr>
      <w:tr w:rsidR="003A78D0" w:rsidRPr="00B02007" w14:paraId="2C5D1FC5" w14:textId="77777777" w:rsidTr="002C66FC">
        <w:trPr>
          <w:trHeight w:val="242"/>
        </w:trPr>
        <w:tc>
          <w:tcPr>
            <w:tcW w:w="3071" w:type="dxa"/>
          </w:tcPr>
          <w:p w14:paraId="2BB69F00" w14:textId="77777777" w:rsidR="003A78D0" w:rsidRPr="004E3481" w:rsidRDefault="003A78D0" w:rsidP="002C66FC">
            <w:pPr>
              <w:autoSpaceDE w:val="0"/>
              <w:autoSpaceDN w:val="0"/>
              <w:adjustRightInd w:val="0"/>
              <w:rPr>
                <w:sz w:val="22"/>
                <w:szCs w:val="22"/>
              </w:rPr>
            </w:pPr>
            <w:r w:rsidRPr="004E3481">
              <w:rPr>
                <w:sz w:val="22"/>
                <w:szCs w:val="22"/>
              </w:rPr>
              <w:t>Poreme</w:t>
            </w:r>
            <w:r w:rsidRPr="004E3481">
              <w:rPr>
                <w:rFonts w:eastAsia="TimesNewRoman"/>
                <w:sz w:val="22"/>
                <w:szCs w:val="22"/>
              </w:rPr>
              <w:t>ć</w:t>
            </w:r>
            <w:r w:rsidRPr="004E3481">
              <w:rPr>
                <w:sz w:val="22"/>
                <w:szCs w:val="22"/>
              </w:rPr>
              <w:t>aji miši</w:t>
            </w:r>
            <w:r w:rsidRPr="004E3481">
              <w:rPr>
                <w:rFonts w:eastAsia="TimesNewRoman"/>
                <w:sz w:val="22"/>
                <w:szCs w:val="22"/>
              </w:rPr>
              <w:t>ć</w:t>
            </w:r>
            <w:r w:rsidRPr="004E3481">
              <w:rPr>
                <w:sz w:val="22"/>
                <w:szCs w:val="22"/>
              </w:rPr>
              <w:t>noskeletnog</w:t>
            </w:r>
          </w:p>
          <w:p w14:paraId="17FE9C8B" w14:textId="77777777" w:rsidR="003A78D0" w:rsidRPr="004E3481" w:rsidRDefault="003A78D0" w:rsidP="002C66FC">
            <w:pPr>
              <w:autoSpaceDE w:val="0"/>
              <w:autoSpaceDN w:val="0"/>
              <w:adjustRightInd w:val="0"/>
              <w:rPr>
                <w:sz w:val="22"/>
                <w:szCs w:val="22"/>
              </w:rPr>
            </w:pPr>
            <w:r w:rsidRPr="004E3481">
              <w:rPr>
                <w:sz w:val="22"/>
                <w:szCs w:val="22"/>
              </w:rPr>
              <w:t>sistema i vezivnog tkiva</w:t>
            </w:r>
          </w:p>
          <w:p w14:paraId="1DC84D4D" w14:textId="77777777" w:rsidR="003A78D0" w:rsidRPr="004E3481" w:rsidRDefault="003A78D0" w:rsidP="002C66FC">
            <w:pPr>
              <w:autoSpaceDE w:val="0"/>
              <w:autoSpaceDN w:val="0"/>
              <w:adjustRightInd w:val="0"/>
              <w:rPr>
                <w:sz w:val="22"/>
                <w:szCs w:val="22"/>
              </w:rPr>
            </w:pPr>
          </w:p>
        </w:tc>
        <w:tc>
          <w:tcPr>
            <w:tcW w:w="3071" w:type="dxa"/>
          </w:tcPr>
          <w:p w14:paraId="284A3D6B" w14:textId="77777777" w:rsidR="003A78D0" w:rsidRPr="004E3481" w:rsidRDefault="003A78D0" w:rsidP="002C66FC">
            <w:pPr>
              <w:autoSpaceDE w:val="0"/>
              <w:autoSpaceDN w:val="0"/>
              <w:adjustRightInd w:val="0"/>
              <w:rPr>
                <w:sz w:val="22"/>
                <w:szCs w:val="22"/>
              </w:rPr>
            </w:pPr>
          </w:p>
        </w:tc>
        <w:tc>
          <w:tcPr>
            <w:tcW w:w="3595" w:type="dxa"/>
          </w:tcPr>
          <w:p w14:paraId="4322FF6C" w14:textId="77777777" w:rsidR="003A78D0" w:rsidRPr="004E3481" w:rsidRDefault="003A78D0" w:rsidP="002C66FC">
            <w:pPr>
              <w:autoSpaceDE w:val="0"/>
              <w:autoSpaceDN w:val="0"/>
              <w:adjustRightInd w:val="0"/>
              <w:rPr>
                <w:sz w:val="22"/>
                <w:szCs w:val="22"/>
              </w:rPr>
            </w:pPr>
            <w:r w:rsidRPr="004E3481">
              <w:rPr>
                <w:sz w:val="22"/>
                <w:szCs w:val="22"/>
              </w:rPr>
              <w:t>Artralgija (G3/4: 0,3%);</w:t>
            </w:r>
          </w:p>
          <w:p w14:paraId="30ADAC00" w14:textId="77777777" w:rsidR="003A78D0" w:rsidRPr="004E3481" w:rsidRDefault="003A78D0" w:rsidP="002C66FC">
            <w:pPr>
              <w:autoSpaceDE w:val="0"/>
              <w:autoSpaceDN w:val="0"/>
              <w:adjustRightInd w:val="0"/>
              <w:rPr>
                <w:sz w:val="22"/>
                <w:szCs w:val="22"/>
              </w:rPr>
            </w:pPr>
          </w:p>
          <w:p w14:paraId="11AC46B5" w14:textId="77777777" w:rsidR="003A78D0" w:rsidRPr="004E3481" w:rsidRDefault="003A78D0" w:rsidP="002C66FC">
            <w:pPr>
              <w:autoSpaceDE w:val="0"/>
              <w:autoSpaceDN w:val="0"/>
              <w:adjustRightInd w:val="0"/>
              <w:rPr>
                <w:sz w:val="22"/>
                <w:szCs w:val="22"/>
              </w:rPr>
            </w:pPr>
            <w:r w:rsidRPr="004E3481">
              <w:rPr>
                <w:sz w:val="22"/>
                <w:szCs w:val="22"/>
              </w:rPr>
              <w:t>Mialgija (G3/4: 0,3%)</w:t>
            </w:r>
          </w:p>
          <w:p w14:paraId="192144E7" w14:textId="77777777" w:rsidR="003A78D0" w:rsidRPr="004E3481" w:rsidRDefault="003A78D0" w:rsidP="002C66FC">
            <w:pPr>
              <w:autoSpaceDE w:val="0"/>
              <w:autoSpaceDN w:val="0"/>
              <w:adjustRightInd w:val="0"/>
              <w:rPr>
                <w:sz w:val="22"/>
                <w:szCs w:val="22"/>
              </w:rPr>
            </w:pPr>
          </w:p>
        </w:tc>
      </w:tr>
      <w:tr w:rsidR="003A78D0" w:rsidRPr="00B02007" w14:paraId="250E1657" w14:textId="77777777" w:rsidTr="002C66FC">
        <w:trPr>
          <w:trHeight w:val="504"/>
        </w:trPr>
        <w:tc>
          <w:tcPr>
            <w:tcW w:w="3071" w:type="dxa"/>
          </w:tcPr>
          <w:p w14:paraId="0B9897D8" w14:textId="77777777" w:rsidR="003A78D0" w:rsidRPr="004E3481" w:rsidRDefault="003A78D0" w:rsidP="002C66FC">
            <w:pPr>
              <w:autoSpaceDE w:val="0"/>
              <w:autoSpaceDN w:val="0"/>
              <w:adjustRightInd w:val="0"/>
              <w:rPr>
                <w:sz w:val="22"/>
                <w:szCs w:val="22"/>
              </w:rPr>
            </w:pPr>
            <w:r w:rsidRPr="004E3481">
              <w:rPr>
                <w:sz w:val="22"/>
                <w:szCs w:val="22"/>
              </w:rPr>
              <w:t>Opšti poreme</w:t>
            </w:r>
            <w:r w:rsidRPr="004E3481">
              <w:rPr>
                <w:rFonts w:eastAsia="TimesNewRoman"/>
                <w:sz w:val="22"/>
                <w:szCs w:val="22"/>
              </w:rPr>
              <w:t>ć</w:t>
            </w:r>
            <w:r w:rsidRPr="004E3481">
              <w:rPr>
                <w:sz w:val="22"/>
                <w:szCs w:val="22"/>
              </w:rPr>
              <w:t>aji i</w:t>
            </w:r>
          </w:p>
          <w:p w14:paraId="7805F3AF" w14:textId="77777777" w:rsidR="003A78D0" w:rsidRPr="004E3481" w:rsidRDefault="003A78D0" w:rsidP="002C66FC">
            <w:pPr>
              <w:autoSpaceDE w:val="0"/>
              <w:autoSpaceDN w:val="0"/>
              <w:adjustRightInd w:val="0"/>
              <w:rPr>
                <w:sz w:val="22"/>
                <w:szCs w:val="22"/>
              </w:rPr>
            </w:pPr>
            <w:r w:rsidRPr="004E3481">
              <w:rPr>
                <w:sz w:val="22"/>
                <w:szCs w:val="22"/>
              </w:rPr>
              <w:t>promjene na mjestu</w:t>
            </w:r>
          </w:p>
          <w:p w14:paraId="176285F3" w14:textId="77777777" w:rsidR="003A78D0" w:rsidRPr="004E3481" w:rsidRDefault="003A78D0" w:rsidP="002C66FC">
            <w:pPr>
              <w:autoSpaceDE w:val="0"/>
              <w:autoSpaceDN w:val="0"/>
              <w:adjustRightInd w:val="0"/>
              <w:rPr>
                <w:sz w:val="22"/>
                <w:szCs w:val="22"/>
              </w:rPr>
            </w:pPr>
            <w:r w:rsidRPr="004E3481">
              <w:rPr>
                <w:sz w:val="22"/>
                <w:szCs w:val="22"/>
              </w:rPr>
              <w:lastRenderedPageBreak/>
              <w:t>primjene</w:t>
            </w:r>
          </w:p>
          <w:p w14:paraId="39B97B0B" w14:textId="77777777" w:rsidR="003A78D0" w:rsidRPr="004E3481" w:rsidRDefault="003A78D0" w:rsidP="002C66FC">
            <w:pPr>
              <w:autoSpaceDE w:val="0"/>
              <w:autoSpaceDN w:val="0"/>
              <w:adjustRightInd w:val="0"/>
              <w:rPr>
                <w:sz w:val="22"/>
                <w:szCs w:val="22"/>
              </w:rPr>
            </w:pPr>
          </w:p>
        </w:tc>
        <w:tc>
          <w:tcPr>
            <w:tcW w:w="3071" w:type="dxa"/>
            <w:shd w:val="clear" w:color="auto" w:fill="auto"/>
          </w:tcPr>
          <w:p w14:paraId="1BB21E94" w14:textId="77777777" w:rsidR="003A78D0" w:rsidRPr="004E3481" w:rsidRDefault="003A78D0" w:rsidP="002C66FC">
            <w:pPr>
              <w:autoSpaceDE w:val="0"/>
              <w:autoSpaceDN w:val="0"/>
              <w:adjustRightInd w:val="0"/>
              <w:rPr>
                <w:sz w:val="22"/>
                <w:szCs w:val="22"/>
              </w:rPr>
            </w:pPr>
            <w:r w:rsidRPr="004E3481">
              <w:rPr>
                <w:sz w:val="22"/>
                <w:szCs w:val="22"/>
              </w:rPr>
              <w:lastRenderedPageBreak/>
              <w:t>Iscrpljenost (G3/4: 3,9%);</w:t>
            </w:r>
          </w:p>
          <w:p w14:paraId="1B4BD57B" w14:textId="77777777" w:rsidR="003A78D0" w:rsidRPr="004E3481" w:rsidRDefault="003A78D0" w:rsidP="002C66FC">
            <w:pPr>
              <w:autoSpaceDE w:val="0"/>
              <w:autoSpaceDN w:val="0"/>
              <w:adjustRightInd w:val="0"/>
              <w:rPr>
                <w:sz w:val="22"/>
                <w:szCs w:val="22"/>
              </w:rPr>
            </w:pPr>
          </w:p>
          <w:p w14:paraId="47498EA0" w14:textId="77777777" w:rsidR="003A78D0" w:rsidRPr="004E3481" w:rsidRDefault="003A78D0" w:rsidP="002C66FC">
            <w:pPr>
              <w:autoSpaceDE w:val="0"/>
              <w:autoSpaceDN w:val="0"/>
              <w:adjustRightInd w:val="0"/>
              <w:rPr>
                <w:sz w:val="22"/>
                <w:szCs w:val="22"/>
              </w:rPr>
            </w:pPr>
            <w:r w:rsidRPr="004E3481">
              <w:rPr>
                <w:sz w:val="22"/>
                <w:szCs w:val="22"/>
              </w:rPr>
              <w:lastRenderedPageBreak/>
              <w:t>Retencija te</w:t>
            </w:r>
            <w:r w:rsidRPr="004E3481">
              <w:rPr>
                <w:rFonts w:eastAsia="TimesNewRoman"/>
                <w:sz w:val="22"/>
                <w:szCs w:val="22"/>
              </w:rPr>
              <w:t>č</w:t>
            </w:r>
            <w:r w:rsidRPr="004E3481">
              <w:rPr>
                <w:sz w:val="22"/>
                <w:szCs w:val="22"/>
              </w:rPr>
              <w:t>nosti (teška: 0,6%)</w:t>
            </w:r>
          </w:p>
        </w:tc>
        <w:tc>
          <w:tcPr>
            <w:tcW w:w="3595" w:type="dxa"/>
            <w:shd w:val="clear" w:color="auto" w:fill="auto"/>
          </w:tcPr>
          <w:p w14:paraId="6BF159C7" w14:textId="77777777" w:rsidR="003A78D0" w:rsidRPr="004E3481" w:rsidRDefault="003A78D0" w:rsidP="002C66FC">
            <w:pPr>
              <w:autoSpaceDE w:val="0"/>
              <w:autoSpaceDN w:val="0"/>
              <w:adjustRightInd w:val="0"/>
              <w:rPr>
                <w:sz w:val="22"/>
                <w:szCs w:val="22"/>
              </w:rPr>
            </w:pPr>
          </w:p>
        </w:tc>
      </w:tr>
    </w:tbl>
    <w:p w14:paraId="287BC293" w14:textId="77777777" w:rsidR="003A78D0" w:rsidRPr="004E3481" w:rsidRDefault="003A78D0" w:rsidP="003A78D0">
      <w:pPr>
        <w:autoSpaceDE w:val="0"/>
        <w:autoSpaceDN w:val="0"/>
        <w:adjustRightInd w:val="0"/>
        <w:rPr>
          <w:b/>
          <w:bCs/>
          <w:i/>
          <w:iCs/>
          <w:sz w:val="22"/>
          <w:szCs w:val="22"/>
        </w:rPr>
      </w:pPr>
    </w:p>
    <w:p w14:paraId="2EE4595F" w14:textId="77777777" w:rsidR="003A78D0" w:rsidRPr="004E3481" w:rsidRDefault="003A78D0" w:rsidP="003A78D0">
      <w:pPr>
        <w:autoSpaceDE w:val="0"/>
        <w:autoSpaceDN w:val="0"/>
        <w:adjustRightInd w:val="0"/>
        <w:rPr>
          <w:bCs/>
          <w:iCs/>
          <w:sz w:val="22"/>
          <w:szCs w:val="22"/>
          <w:u w:val="single"/>
        </w:rPr>
      </w:pPr>
      <w:r w:rsidRPr="004E3481">
        <w:rPr>
          <w:bCs/>
          <w:iCs/>
          <w:sz w:val="22"/>
          <w:szCs w:val="22"/>
          <w:u w:val="single"/>
        </w:rPr>
        <w:t xml:space="preserve">Tabelarni prikaz neželjenih reakcija kod visokorizičnog lokalno uznapredovalog ili metastatskog karcinoma prostate osjetljivog na hormone za docetaksel 75 mg/m² u kombinaciji sa prednizonom ili prednizolonom i </w:t>
      </w:r>
      <w:r>
        <w:rPr>
          <w:sz w:val="22"/>
          <w:szCs w:val="22"/>
        </w:rPr>
        <w:t>terapijom</w:t>
      </w:r>
      <w:r w:rsidRPr="00416799">
        <w:rPr>
          <w:sz w:val="22"/>
          <w:szCs w:val="22"/>
        </w:rPr>
        <w:t xml:space="preserve"> androgene deprivacije</w:t>
      </w:r>
      <w:r w:rsidRPr="004E3481">
        <w:rPr>
          <w:bCs/>
          <w:iCs/>
          <w:sz w:val="22"/>
          <w:szCs w:val="22"/>
          <w:u w:val="single"/>
        </w:rPr>
        <w:t xml:space="preserve"> </w:t>
      </w:r>
      <w:r>
        <w:rPr>
          <w:bCs/>
          <w:iCs/>
          <w:sz w:val="22"/>
          <w:szCs w:val="22"/>
          <w:u w:val="single"/>
        </w:rPr>
        <w:t>(</w:t>
      </w:r>
      <w:r w:rsidRPr="004E3481">
        <w:rPr>
          <w:bCs/>
          <w:iCs/>
          <w:sz w:val="22"/>
          <w:szCs w:val="22"/>
          <w:u w:val="single"/>
        </w:rPr>
        <w:t>ADT</w:t>
      </w:r>
      <w:r>
        <w:rPr>
          <w:bCs/>
          <w:iCs/>
          <w:sz w:val="22"/>
          <w:szCs w:val="22"/>
          <w:u w:val="single"/>
        </w:rPr>
        <w:t>)</w:t>
      </w:r>
      <w:r w:rsidRPr="004E3481">
        <w:rPr>
          <w:bCs/>
          <w:iCs/>
          <w:sz w:val="22"/>
          <w:szCs w:val="22"/>
          <w:u w:val="single"/>
        </w:rPr>
        <w:t xml:space="preserve"> (studija STAMPEDE)</w:t>
      </w:r>
    </w:p>
    <w:p w14:paraId="09454E6F" w14:textId="77777777" w:rsidR="003A78D0" w:rsidRPr="004E3481" w:rsidRDefault="003A78D0" w:rsidP="003A78D0">
      <w:pPr>
        <w:autoSpaceDE w:val="0"/>
        <w:autoSpaceDN w:val="0"/>
        <w:adjustRightInd w:val="0"/>
        <w:rPr>
          <w:bCs/>
          <w:iCs/>
          <w:sz w:val="22"/>
          <w:szCs w:val="22"/>
          <w:u w:val="single"/>
        </w:rPr>
      </w:pPr>
    </w:p>
    <w:tbl>
      <w:tblPr>
        <w:tblW w:w="9676" w:type="dxa"/>
        <w:tblLayout w:type="fixed"/>
        <w:tblCellMar>
          <w:top w:w="58" w:type="dxa"/>
          <w:left w:w="100" w:type="dxa"/>
          <w:right w:w="67" w:type="dxa"/>
        </w:tblCellMar>
        <w:tblLook w:val="04A0" w:firstRow="1" w:lastRow="0" w:firstColumn="1" w:lastColumn="0" w:noHBand="0" w:noVBand="1"/>
      </w:tblPr>
      <w:tblGrid>
        <w:gridCol w:w="3156"/>
        <w:gridCol w:w="2976"/>
        <w:gridCol w:w="3544"/>
      </w:tblGrid>
      <w:tr w:rsidR="003A78D0" w:rsidRPr="00B02007" w14:paraId="45964F98" w14:textId="77777777" w:rsidTr="002C66FC">
        <w:trPr>
          <w:cantSplit/>
          <w:trHeight w:val="576"/>
          <w:tblHeader/>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2DE9F49" w14:textId="77777777" w:rsidR="003A78D0" w:rsidRPr="00B02007" w:rsidRDefault="003A78D0" w:rsidP="002C66FC">
            <w:pPr>
              <w:autoSpaceDE w:val="0"/>
              <w:autoSpaceDN w:val="0"/>
              <w:adjustRightInd w:val="0"/>
              <w:rPr>
                <w:sz w:val="22"/>
                <w:szCs w:val="22"/>
              </w:rPr>
            </w:pPr>
            <w:r w:rsidRPr="00B02007">
              <w:rPr>
                <w:b/>
                <w:bCs/>
                <w:sz w:val="22"/>
                <w:szCs w:val="22"/>
              </w:rPr>
              <w:t>Organski sistemi po</w:t>
            </w:r>
          </w:p>
          <w:p w14:paraId="71919EBD" w14:textId="77777777" w:rsidR="003A78D0" w:rsidRPr="005F707A" w:rsidRDefault="003A78D0" w:rsidP="002C66FC">
            <w:pPr>
              <w:autoSpaceDE w:val="0"/>
              <w:autoSpaceDN w:val="0"/>
              <w:adjustRightInd w:val="0"/>
              <w:rPr>
                <w:b/>
                <w:bCs/>
                <w:sz w:val="22"/>
                <w:szCs w:val="22"/>
              </w:rPr>
            </w:pPr>
            <w:r w:rsidRPr="005F707A">
              <w:rPr>
                <w:b/>
                <w:bCs/>
                <w:sz w:val="22"/>
                <w:szCs w:val="22"/>
              </w:rPr>
              <w:t>MedDRA</w:t>
            </w:r>
          </w:p>
          <w:p w14:paraId="7A83B616" w14:textId="77777777" w:rsidR="003A78D0" w:rsidRPr="004E3481" w:rsidRDefault="003A78D0" w:rsidP="002C66FC">
            <w:pPr>
              <w:autoSpaceDE w:val="0"/>
              <w:autoSpaceDN w:val="0"/>
              <w:adjustRightInd w:val="0"/>
              <w:rPr>
                <w:bCs/>
                <w:iCs/>
                <w:sz w:val="22"/>
                <w:szCs w:val="22"/>
                <w:u w:val="singl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ED6CE5" w14:textId="77777777" w:rsidR="003A78D0" w:rsidRPr="00B02007" w:rsidRDefault="003A78D0" w:rsidP="002C66FC">
            <w:pPr>
              <w:autoSpaceDE w:val="0"/>
              <w:autoSpaceDN w:val="0"/>
              <w:adjustRightInd w:val="0"/>
              <w:rPr>
                <w:b/>
                <w:bCs/>
                <w:sz w:val="22"/>
                <w:szCs w:val="22"/>
              </w:rPr>
            </w:pPr>
            <w:r w:rsidRPr="00B02007">
              <w:rPr>
                <w:b/>
                <w:bCs/>
                <w:sz w:val="22"/>
                <w:szCs w:val="22"/>
              </w:rPr>
              <w:t xml:space="preserve">Veoma </w:t>
            </w:r>
            <w:r w:rsidRPr="00B02007">
              <w:rPr>
                <w:rFonts w:eastAsia="TimesNewRoman,Bold"/>
                <w:b/>
                <w:bCs/>
                <w:sz w:val="22"/>
                <w:szCs w:val="22"/>
              </w:rPr>
              <w:t>č</w:t>
            </w:r>
            <w:r w:rsidRPr="00B02007">
              <w:rPr>
                <w:b/>
                <w:bCs/>
                <w:sz w:val="22"/>
                <w:szCs w:val="22"/>
              </w:rPr>
              <w:t>esta neželjena dejstva</w:t>
            </w:r>
          </w:p>
          <w:p w14:paraId="14774D42" w14:textId="77777777" w:rsidR="003A78D0" w:rsidRPr="005F707A" w:rsidRDefault="003A78D0" w:rsidP="002C66FC">
            <w:pPr>
              <w:autoSpaceDE w:val="0"/>
              <w:autoSpaceDN w:val="0"/>
              <w:adjustRightInd w:val="0"/>
              <w:rPr>
                <w:b/>
                <w:bCs/>
                <w:sz w:val="22"/>
                <w:szCs w:val="22"/>
              </w:rPr>
            </w:pPr>
            <w:r w:rsidRPr="005F707A">
              <w:rPr>
                <w:b/>
                <w:bCs/>
                <w:sz w:val="22"/>
                <w:szCs w:val="22"/>
              </w:rPr>
              <w:t xml:space="preserve"> </w:t>
            </w:r>
          </w:p>
          <w:p w14:paraId="3FDB9C11" w14:textId="77777777" w:rsidR="003A78D0" w:rsidRPr="004E3481" w:rsidRDefault="003A78D0" w:rsidP="002C66FC">
            <w:pPr>
              <w:autoSpaceDE w:val="0"/>
              <w:autoSpaceDN w:val="0"/>
              <w:adjustRightInd w:val="0"/>
              <w:rPr>
                <w:bCs/>
                <w:iCs/>
                <w:sz w:val="22"/>
                <w:szCs w:val="22"/>
                <w:u w:val="single"/>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6FF0FC4" w14:textId="77777777" w:rsidR="003A78D0" w:rsidRPr="005F707A" w:rsidRDefault="003A78D0" w:rsidP="002C66FC">
            <w:pPr>
              <w:autoSpaceDE w:val="0"/>
              <w:autoSpaceDN w:val="0"/>
              <w:adjustRightInd w:val="0"/>
              <w:rPr>
                <w:b/>
                <w:bCs/>
                <w:sz w:val="22"/>
                <w:szCs w:val="22"/>
              </w:rPr>
            </w:pPr>
            <w:r w:rsidRPr="00B02007">
              <w:rPr>
                <w:rFonts w:eastAsia="TimesNewRoman,Bold"/>
                <w:b/>
                <w:bCs/>
                <w:sz w:val="22"/>
                <w:szCs w:val="22"/>
              </w:rPr>
              <w:t>Č</w:t>
            </w:r>
            <w:r w:rsidRPr="00B02007">
              <w:rPr>
                <w:b/>
                <w:bCs/>
                <w:sz w:val="22"/>
                <w:szCs w:val="22"/>
              </w:rPr>
              <w:t>esta neželjena dejstva</w:t>
            </w:r>
          </w:p>
          <w:p w14:paraId="620CB901" w14:textId="77777777" w:rsidR="003A78D0" w:rsidRPr="00B02007" w:rsidRDefault="003A78D0" w:rsidP="002C66FC">
            <w:pPr>
              <w:autoSpaceDE w:val="0"/>
              <w:autoSpaceDN w:val="0"/>
              <w:adjustRightInd w:val="0"/>
              <w:rPr>
                <w:b/>
                <w:bCs/>
                <w:sz w:val="22"/>
                <w:szCs w:val="22"/>
              </w:rPr>
            </w:pPr>
          </w:p>
          <w:p w14:paraId="1D223D4C" w14:textId="77777777" w:rsidR="003A78D0" w:rsidRPr="004E3481" w:rsidRDefault="003A78D0" w:rsidP="002C66FC">
            <w:pPr>
              <w:autoSpaceDE w:val="0"/>
              <w:autoSpaceDN w:val="0"/>
              <w:adjustRightInd w:val="0"/>
              <w:rPr>
                <w:bCs/>
                <w:iCs/>
                <w:sz w:val="22"/>
                <w:szCs w:val="22"/>
                <w:u w:val="single"/>
              </w:rPr>
            </w:pPr>
          </w:p>
        </w:tc>
      </w:tr>
      <w:tr w:rsidR="003A78D0" w:rsidRPr="00B02007" w14:paraId="64C68A5D" w14:textId="77777777" w:rsidTr="002C66FC">
        <w:trPr>
          <w:trHeight w:val="792"/>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327862E5" w14:textId="77777777" w:rsidR="003A78D0" w:rsidRPr="00FC64C8" w:rsidRDefault="003A78D0" w:rsidP="002C66FC">
            <w:pPr>
              <w:autoSpaceDE w:val="0"/>
              <w:autoSpaceDN w:val="0"/>
              <w:adjustRightInd w:val="0"/>
              <w:rPr>
                <w:sz w:val="22"/>
                <w:szCs w:val="22"/>
              </w:rPr>
            </w:pPr>
            <w:r w:rsidRPr="00FC64C8">
              <w:rPr>
                <w:sz w:val="22"/>
                <w:szCs w:val="22"/>
              </w:rPr>
              <w:t>Poreme</w:t>
            </w:r>
            <w:r w:rsidRPr="00FC64C8">
              <w:rPr>
                <w:rFonts w:eastAsia="TimesNewRoman"/>
                <w:sz w:val="22"/>
                <w:szCs w:val="22"/>
              </w:rPr>
              <w:t>ć</w:t>
            </w:r>
            <w:r w:rsidRPr="00FC64C8">
              <w:rPr>
                <w:sz w:val="22"/>
                <w:szCs w:val="22"/>
              </w:rPr>
              <w:t>aji krvi i limfnog sistema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F76BB84" w14:textId="77777777" w:rsidR="003A78D0" w:rsidRPr="00FC64C8" w:rsidRDefault="003A78D0" w:rsidP="002C66FC">
            <w:pPr>
              <w:autoSpaceDE w:val="0"/>
              <w:autoSpaceDN w:val="0"/>
              <w:adjustRightInd w:val="0"/>
              <w:rPr>
                <w:bCs/>
                <w:iCs/>
                <w:sz w:val="22"/>
                <w:szCs w:val="22"/>
              </w:rPr>
            </w:pPr>
            <w:r w:rsidRPr="00FC64C8">
              <w:rPr>
                <w:bCs/>
                <w:iCs/>
                <w:sz w:val="22"/>
                <w:szCs w:val="22"/>
              </w:rPr>
              <w:t xml:space="preserve">Neutropenija (G3-4: 12%) </w:t>
            </w:r>
          </w:p>
          <w:p w14:paraId="19048601" w14:textId="77777777" w:rsidR="003A78D0" w:rsidRPr="00FC64C8" w:rsidRDefault="003A78D0" w:rsidP="002C66FC">
            <w:pPr>
              <w:autoSpaceDE w:val="0"/>
              <w:autoSpaceDN w:val="0"/>
              <w:adjustRightInd w:val="0"/>
              <w:rPr>
                <w:bCs/>
                <w:iCs/>
                <w:sz w:val="22"/>
                <w:szCs w:val="22"/>
              </w:rPr>
            </w:pPr>
            <w:r w:rsidRPr="00FC64C8">
              <w:rPr>
                <w:bCs/>
                <w:iCs/>
                <w:sz w:val="22"/>
                <w:szCs w:val="22"/>
              </w:rPr>
              <w:t xml:space="preserve">Anemija  </w:t>
            </w:r>
          </w:p>
          <w:p w14:paraId="5D95A00A" w14:textId="77777777" w:rsidR="003A78D0" w:rsidRPr="00FC64C8" w:rsidRDefault="003A78D0" w:rsidP="002C66FC">
            <w:pPr>
              <w:autoSpaceDE w:val="0"/>
              <w:autoSpaceDN w:val="0"/>
              <w:adjustRightInd w:val="0"/>
              <w:rPr>
                <w:bCs/>
                <w:iCs/>
                <w:sz w:val="22"/>
                <w:szCs w:val="22"/>
              </w:rPr>
            </w:pPr>
            <w:r w:rsidRPr="00FC64C8">
              <w:rPr>
                <w:bCs/>
                <w:iCs/>
                <w:sz w:val="22"/>
                <w:szCs w:val="22"/>
              </w:rPr>
              <w:t xml:space="preserve">Febrilna neutropenija (G3-4: 15%)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0298B01" w14:textId="77777777" w:rsidR="003A78D0" w:rsidRPr="00FC64C8" w:rsidRDefault="003A78D0" w:rsidP="002C66FC">
            <w:pPr>
              <w:autoSpaceDE w:val="0"/>
              <w:autoSpaceDN w:val="0"/>
              <w:adjustRightInd w:val="0"/>
              <w:rPr>
                <w:bCs/>
                <w:iCs/>
                <w:sz w:val="22"/>
                <w:szCs w:val="22"/>
              </w:rPr>
            </w:pPr>
            <w:r w:rsidRPr="00FC64C8">
              <w:rPr>
                <w:bCs/>
                <w:iCs/>
                <w:sz w:val="22"/>
                <w:szCs w:val="22"/>
              </w:rPr>
              <w:t xml:space="preserve"> </w:t>
            </w:r>
          </w:p>
        </w:tc>
      </w:tr>
      <w:tr w:rsidR="003A78D0" w:rsidRPr="00B02007" w14:paraId="7FAD6E21" w14:textId="77777777" w:rsidTr="002C66FC">
        <w:trPr>
          <w:trHeight w:val="306"/>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2FB70C4B" w14:textId="77777777" w:rsidR="003A78D0" w:rsidRPr="006F5BC7" w:rsidRDefault="003A78D0" w:rsidP="002C66FC">
            <w:pPr>
              <w:autoSpaceDE w:val="0"/>
              <w:autoSpaceDN w:val="0"/>
              <w:adjustRightInd w:val="0"/>
              <w:rPr>
                <w:bCs/>
                <w:iCs/>
                <w:sz w:val="22"/>
                <w:szCs w:val="22"/>
              </w:rPr>
            </w:pPr>
            <w:r w:rsidRPr="00FC64C8">
              <w:rPr>
                <w:sz w:val="22"/>
                <w:szCs w:val="22"/>
              </w:rPr>
              <w:t>Poreme</w:t>
            </w:r>
            <w:r w:rsidRPr="00FC64C8">
              <w:rPr>
                <w:rFonts w:eastAsia="TimesNewRoman"/>
                <w:sz w:val="22"/>
                <w:szCs w:val="22"/>
              </w:rPr>
              <w:t>ć</w:t>
            </w:r>
            <w:r w:rsidRPr="00FC64C8">
              <w:rPr>
                <w:sz w:val="22"/>
                <w:szCs w:val="22"/>
              </w:rPr>
              <w:t>aji imunog sistema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C5F726A"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4B505D5" w14:textId="77777777" w:rsidR="003A78D0" w:rsidRPr="006F5BC7" w:rsidRDefault="003A78D0" w:rsidP="002C66FC">
            <w:pPr>
              <w:autoSpaceDE w:val="0"/>
              <w:autoSpaceDN w:val="0"/>
              <w:adjustRightInd w:val="0"/>
              <w:rPr>
                <w:bCs/>
                <w:iCs/>
                <w:sz w:val="22"/>
                <w:szCs w:val="22"/>
              </w:rPr>
            </w:pPr>
            <w:r w:rsidRPr="00FC64C8">
              <w:rPr>
                <w:sz w:val="22"/>
                <w:szCs w:val="22"/>
              </w:rPr>
              <w:t xml:space="preserve">Preosjetljivost </w:t>
            </w:r>
            <w:r w:rsidRPr="006F5BC7">
              <w:rPr>
                <w:bCs/>
                <w:iCs/>
                <w:sz w:val="22"/>
                <w:szCs w:val="22"/>
              </w:rPr>
              <w:t xml:space="preserve">(G3-4: 1%) </w:t>
            </w:r>
          </w:p>
        </w:tc>
      </w:tr>
      <w:tr w:rsidR="003A78D0" w:rsidRPr="00B02007" w14:paraId="6BA0CE0B" w14:textId="77777777" w:rsidTr="002C66FC">
        <w:trPr>
          <w:trHeight w:val="288"/>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3B66D935"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Endokrini poremećaji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3A78B69"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D9C2E15"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Dijabetes (G3-4: 1%) </w:t>
            </w:r>
          </w:p>
        </w:tc>
      </w:tr>
      <w:tr w:rsidR="003A78D0" w:rsidRPr="00B02007" w14:paraId="423268CA" w14:textId="77777777" w:rsidTr="002C66FC">
        <w:trPr>
          <w:trHeight w:val="567"/>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130D63ED" w14:textId="77777777" w:rsidR="003A78D0" w:rsidRPr="006F5BC7" w:rsidRDefault="003A78D0" w:rsidP="002C66FC">
            <w:pPr>
              <w:autoSpaceDE w:val="0"/>
              <w:autoSpaceDN w:val="0"/>
              <w:adjustRightInd w:val="0"/>
              <w:rPr>
                <w:sz w:val="22"/>
                <w:szCs w:val="22"/>
              </w:rPr>
            </w:pPr>
            <w:r w:rsidRPr="00FC64C8">
              <w:rPr>
                <w:sz w:val="22"/>
                <w:szCs w:val="22"/>
              </w:rPr>
              <w:t>Poreme</w:t>
            </w:r>
            <w:r w:rsidRPr="00FC64C8">
              <w:rPr>
                <w:rFonts w:eastAsia="TimesNewRoman"/>
                <w:sz w:val="22"/>
                <w:szCs w:val="22"/>
              </w:rPr>
              <w:t>ć</w:t>
            </w:r>
            <w:r w:rsidRPr="00FC64C8">
              <w:rPr>
                <w:sz w:val="22"/>
                <w:szCs w:val="22"/>
              </w:rPr>
              <w:t>aji metabolizma i ishrane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BF2C2E"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80E9336"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Anoreksija  </w:t>
            </w:r>
          </w:p>
        </w:tc>
      </w:tr>
      <w:tr w:rsidR="003A78D0" w:rsidRPr="00B02007" w14:paraId="531CFFA8" w14:textId="77777777" w:rsidTr="002C66FC">
        <w:trPr>
          <w:trHeight w:val="378"/>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22EAF5FC"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Psihijatrijski poremećaji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AEB8DE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Insomnija (G3: 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9AFAA1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r>
      <w:tr w:rsidR="003A78D0" w:rsidRPr="00B02007" w14:paraId="202C1D72" w14:textId="77777777" w:rsidTr="002C66FC">
        <w:trPr>
          <w:trHeight w:val="837"/>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1A88BEED"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Poremećaji nervnog sistema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115D59" w14:textId="77777777" w:rsidR="003A78D0" w:rsidRPr="006F5BC7" w:rsidRDefault="003A78D0" w:rsidP="002C66FC">
            <w:pPr>
              <w:autoSpaceDE w:val="0"/>
              <w:autoSpaceDN w:val="0"/>
              <w:adjustRightInd w:val="0"/>
              <w:rPr>
                <w:bCs/>
                <w:iCs/>
                <w:sz w:val="22"/>
                <w:szCs w:val="22"/>
              </w:rPr>
            </w:pPr>
            <w:r w:rsidRPr="00FC64C8">
              <w:rPr>
                <w:sz w:val="22"/>
                <w:szCs w:val="22"/>
              </w:rPr>
              <w:t xml:space="preserve">Periferna senzorna neuropatija </w:t>
            </w:r>
            <w:r w:rsidRPr="006F5BC7">
              <w:rPr>
                <w:bCs/>
                <w:iCs/>
                <w:sz w:val="22"/>
                <w:szCs w:val="22"/>
              </w:rPr>
              <w:t>(≥G3: 2%)</w:t>
            </w:r>
            <w:r w:rsidRPr="006F5BC7">
              <w:rPr>
                <w:bCs/>
                <w:iCs/>
                <w:sz w:val="22"/>
                <w:szCs w:val="22"/>
                <w:vertAlign w:val="superscript"/>
              </w:rPr>
              <w:t>a</w:t>
            </w:r>
            <w:r w:rsidRPr="006F5BC7">
              <w:rPr>
                <w:bCs/>
                <w:iCs/>
                <w:sz w:val="22"/>
                <w:szCs w:val="22"/>
              </w:rPr>
              <w:t xml:space="preserve"> </w:t>
            </w:r>
          </w:p>
          <w:p w14:paraId="3436CB3E" w14:textId="77777777" w:rsidR="003A78D0" w:rsidRPr="006F5BC7" w:rsidRDefault="003A78D0" w:rsidP="002C66FC">
            <w:pPr>
              <w:autoSpaceDE w:val="0"/>
              <w:autoSpaceDN w:val="0"/>
              <w:adjustRightInd w:val="0"/>
              <w:rPr>
                <w:bCs/>
                <w:iCs/>
                <w:sz w:val="22"/>
                <w:szCs w:val="22"/>
              </w:rPr>
            </w:pPr>
            <w:r w:rsidRPr="006F5BC7">
              <w:rPr>
                <w:bCs/>
                <w:iCs/>
                <w:sz w:val="22"/>
                <w:szCs w:val="22"/>
              </w:rPr>
              <w:t>Glavobolja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51FCDEF"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Vrtoglavica </w:t>
            </w:r>
          </w:p>
        </w:tc>
      </w:tr>
      <w:tr w:rsidR="003A78D0" w:rsidRPr="00B02007" w14:paraId="3AD0FEDC" w14:textId="77777777" w:rsidTr="002C66FC">
        <w:trPr>
          <w:trHeight w:val="369"/>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57726D2A"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Poremećaji oka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D2BA6D"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E46BD1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Zamućen vid </w:t>
            </w:r>
          </w:p>
        </w:tc>
      </w:tr>
      <w:tr w:rsidR="003A78D0" w:rsidRPr="00B02007" w14:paraId="7DE5E0DB" w14:textId="77777777" w:rsidTr="002C66FC">
        <w:trPr>
          <w:trHeight w:val="369"/>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7ECE2026"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Srčani poremećaji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4B4570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57B7FE2"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Hipotenzija (G3: 0%) </w:t>
            </w:r>
          </w:p>
        </w:tc>
      </w:tr>
      <w:tr w:rsidR="003A78D0" w:rsidRPr="00B02007" w14:paraId="18E60B5F" w14:textId="77777777" w:rsidTr="002C66FC">
        <w:trPr>
          <w:trHeight w:val="1021"/>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76F03701" w14:textId="77777777" w:rsidR="003A78D0" w:rsidRPr="00FC64C8" w:rsidRDefault="003A78D0" w:rsidP="002C66FC">
            <w:pPr>
              <w:autoSpaceDE w:val="0"/>
              <w:autoSpaceDN w:val="0"/>
              <w:adjustRightInd w:val="0"/>
              <w:rPr>
                <w:sz w:val="22"/>
                <w:szCs w:val="22"/>
              </w:rPr>
            </w:pPr>
            <w:r w:rsidRPr="00FC64C8">
              <w:rPr>
                <w:sz w:val="22"/>
                <w:szCs w:val="22"/>
              </w:rPr>
              <w:t>Respiratorni, torakalni i medijastinalni poreme</w:t>
            </w:r>
            <w:r w:rsidRPr="00FC64C8">
              <w:rPr>
                <w:rFonts w:eastAsia="TimesNewRoman"/>
                <w:sz w:val="22"/>
                <w:szCs w:val="22"/>
              </w:rPr>
              <w:t>ć</w:t>
            </w:r>
            <w:r w:rsidRPr="00FC64C8">
              <w:rPr>
                <w:sz w:val="22"/>
                <w:szCs w:val="22"/>
              </w:rPr>
              <w:t>aji</w:t>
            </w:r>
          </w:p>
          <w:p w14:paraId="787B0E88" w14:textId="77777777" w:rsidR="003A78D0" w:rsidRPr="006F5BC7" w:rsidRDefault="003A78D0" w:rsidP="002C66FC">
            <w:pPr>
              <w:autoSpaceDE w:val="0"/>
              <w:autoSpaceDN w:val="0"/>
              <w:adjustRightInd w:val="0"/>
              <w:rPr>
                <w:bCs/>
                <w:iCs/>
                <w:sz w:val="22"/>
                <w:szCs w:val="22"/>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E96A46"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Dispneja (G3: 1%) </w:t>
            </w:r>
          </w:p>
          <w:p w14:paraId="4C9EC47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Kašalj (G3: 0%) </w:t>
            </w:r>
          </w:p>
          <w:p w14:paraId="01E2E1B2"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Infekcija gornjih disajnih puteva </w:t>
            </w:r>
          </w:p>
          <w:p w14:paraId="77F91771"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(G3: 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A054995"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Faringitis (G3: 0%) </w:t>
            </w:r>
          </w:p>
          <w:p w14:paraId="27E4A98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p w14:paraId="0A48761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r>
      <w:tr w:rsidR="003A78D0" w:rsidRPr="00B02007" w14:paraId="76A66797" w14:textId="77777777" w:rsidTr="002C66FC">
        <w:trPr>
          <w:trHeight w:val="1781"/>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C4F00E5"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Gastrointestinalni poremećaji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E232AD"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Dijareja (G3: 3%) </w:t>
            </w:r>
          </w:p>
          <w:p w14:paraId="39BED663"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Stomatitis (G3: 0%) </w:t>
            </w:r>
          </w:p>
          <w:p w14:paraId="69336F0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Konstipacija (G3: 0%) </w:t>
            </w:r>
          </w:p>
          <w:p w14:paraId="7536477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Mučnina (G3: 1%) </w:t>
            </w:r>
          </w:p>
          <w:p w14:paraId="3E5F77DE"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Dispepsija </w:t>
            </w:r>
          </w:p>
          <w:p w14:paraId="6F8653F1"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Bol u abdomenu (G3: 0%) </w:t>
            </w:r>
          </w:p>
          <w:p w14:paraId="0F4F2BA8" w14:textId="77777777" w:rsidR="003A78D0" w:rsidRPr="006F5BC7" w:rsidRDefault="003A78D0" w:rsidP="002C66FC">
            <w:pPr>
              <w:autoSpaceDE w:val="0"/>
              <w:autoSpaceDN w:val="0"/>
              <w:adjustRightInd w:val="0"/>
              <w:rPr>
                <w:bCs/>
                <w:iCs/>
                <w:sz w:val="22"/>
                <w:szCs w:val="22"/>
              </w:rPr>
            </w:pPr>
            <w:r w:rsidRPr="006F5BC7">
              <w:rPr>
                <w:bCs/>
                <w:iCs/>
                <w:sz w:val="22"/>
                <w:szCs w:val="22"/>
              </w:rPr>
              <w:t>Flatulencija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B4A7D1B"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Povraćanje (G3: 1%) </w:t>
            </w:r>
          </w:p>
          <w:p w14:paraId="23AE740A"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r>
      <w:tr w:rsidR="003A78D0" w:rsidRPr="00B02007" w14:paraId="6CD549BF" w14:textId="77777777" w:rsidTr="002C66FC">
        <w:trPr>
          <w:trHeight w:val="567"/>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68E10264" w14:textId="77777777" w:rsidR="003A78D0" w:rsidRPr="006F5BC7" w:rsidRDefault="003A78D0" w:rsidP="002C66FC">
            <w:pPr>
              <w:autoSpaceDE w:val="0"/>
              <w:autoSpaceDN w:val="0"/>
              <w:adjustRightInd w:val="0"/>
              <w:rPr>
                <w:sz w:val="22"/>
                <w:szCs w:val="22"/>
              </w:rPr>
            </w:pPr>
            <w:r w:rsidRPr="00FC64C8">
              <w:rPr>
                <w:sz w:val="22"/>
                <w:szCs w:val="22"/>
              </w:rPr>
              <w:t>Poreme</w:t>
            </w:r>
            <w:r w:rsidRPr="00FC64C8">
              <w:rPr>
                <w:rFonts w:eastAsia="TimesNewRoman"/>
                <w:sz w:val="22"/>
                <w:szCs w:val="22"/>
              </w:rPr>
              <w:t>ć</w:t>
            </w:r>
            <w:r w:rsidRPr="00FC64C8">
              <w:rPr>
                <w:sz w:val="22"/>
                <w:szCs w:val="22"/>
              </w:rPr>
              <w:t xml:space="preserve">aji kože i potkožnog tkiva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B259DF5" w14:textId="77777777" w:rsidR="003A78D0" w:rsidRPr="006F5BC7" w:rsidRDefault="003A78D0" w:rsidP="002C66FC">
            <w:pPr>
              <w:autoSpaceDE w:val="0"/>
              <w:autoSpaceDN w:val="0"/>
              <w:adjustRightInd w:val="0"/>
              <w:rPr>
                <w:bCs/>
                <w:iCs/>
                <w:sz w:val="22"/>
                <w:szCs w:val="22"/>
              </w:rPr>
            </w:pPr>
            <w:r w:rsidRPr="006F5BC7">
              <w:rPr>
                <w:bCs/>
                <w:iCs/>
                <w:sz w:val="22"/>
                <w:szCs w:val="22"/>
              </w:rPr>
              <w:t>Alopecija (G3: 3%)</w:t>
            </w:r>
            <w:r w:rsidRPr="006F5BC7">
              <w:rPr>
                <w:bCs/>
                <w:iCs/>
                <w:sz w:val="22"/>
                <w:szCs w:val="22"/>
                <w:vertAlign w:val="superscript"/>
              </w:rPr>
              <w:t>a</w:t>
            </w:r>
            <w:r w:rsidRPr="006F5BC7">
              <w:rPr>
                <w:bCs/>
                <w:iCs/>
                <w:sz w:val="22"/>
                <w:szCs w:val="22"/>
              </w:rPr>
              <w:t xml:space="preserve"> </w:t>
            </w:r>
          </w:p>
          <w:p w14:paraId="0D297B8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Promjene na noktima (G3: 1%)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B739985"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Osip </w:t>
            </w:r>
          </w:p>
        </w:tc>
      </w:tr>
      <w:tr w:rsidR="003A78D0" w:rsidRPr="00B02007" w14:paraId="058CF9AE" w14:textId="77777777" w:rsidTr="002C66FC">
        <w:trPr>
          <w:trHeight w:val="567"/>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4D7B1AB3" w14:textId="77777777" w:rsidR="003A78D0" w:rsidRPr="006F5BC7" w:rsidRDefault="003A78D0" w:rsidP="002C66FC">
            <w:pPr>
              <w:autoSpaceDE w:val="0"/>
              <w:autoSpaceDN w:val="0"/>
              <w:adjustRightInd w:val="0"/>
              <w:rPr>
                <w:sz w:val="22"/>
                <w:szCs w:val="22"/>
              </w:rPr>
            </w:pPr>
            <w:r w:rsidRPr="00FC64C8">
              <w:rPr>
                <w:sz w:val="22"/>
                <w:szCs w:val="22"/>
              </w:rPr>
              <w:t>Poreme</w:t>
            </w:r>
            <w:r w:rsidRPr="00FC64C8">
              <w:rPr>
                <w:rFonts w:eastAsia="TimesNewRoman"/>
                <w:sz w:val="22"/>
                <w:szCs w:val="22"/>
              </w:rPr>
              <w:t>ć</w:t>
            </w:r>
            <w:r w:rsidRPr="00FC64C8">
              <w:rPr>
                <w:sz w:val="22"/>
                <w:szCs w:val="22"/>
              </w:rPr>
              <w:t>aji miši</w:t>
            </w:r>
            <w:r w:rsidRPr="00FC64C8">
              <w:rPr>
                <w:rFonts w:eastAsia="TimesNewRoman"/>
                <w:sz w:val="22"/>
                <w:szCs w:val="22"/>
              </w:rPr>
              <w:t>ć</w:t>
            </w:r>
            <w:r w:rsidRPr="00FC64C8">
              <w:rPr>
                <w:sz w:val="22"/>
                <w:szCs w:val="22"/>
              </w:rPr>
              <w:t>noskeletnog sistema i vezivnog tkiva</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BC17AD" w14:textId="77777777" w:rsidR="003A78D0" w:rsidRPr="006F5BC7" w:rsidRDefault="003A78D0" w:rsidP="002C66FC">
            <w:pPr>
              <w:autoSpaceDE w:val="0"/>
              <w:autoSpaceDN w:val="0"/>
              <w:adjustRightInd w:val="0"/>
              <w:rPr>
                <w:bCs/>
                <w:iCs/>
                <w:sz w:val="22"/>
                <w:szCs w:val="22"/>
              </w:rPr>
            </w:pPr>
            <w:r w:rsidRPr="006F5BC7">
              <w:rPr>
                <w:bCs/>
                <w:iCs/>
                <w:sz w:val="22"/>
                <w:szCs w:val="22"/>
              </w:rPr>
              <w:t>M</w:t>
            </w:r>
            <w:r w:rsidRPr="00FC64C8">
              <w:rPr>
                <w:bCs/>
                <w:iCs/>
                <w:sz w:val="22"/>
                <w:szCs w:val="22"/>
              </w:rPr>
              <w:t>i</w:t>
            </w:r>
            <w:r w:rsidRPr="006F5BC7">
              <w:rPr>
                <w:bCs/>
                <w:iCs/>
                <w:sz w:val="22"/>
                <w:szCs w:val="22"/>
              </w:rPr>
              <w:t xml:space="preserve">algija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8E508BB"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 </w:t>
            </w:r>
          </w:p>
        </w:tc>
      </w:tr>
      <w:tr w:rsidR="003A78D0" w:rsidRPr="00B02007" w14:paraId="5A529E02" w14:textId="77777777" w:rsidTr="002C66FC">
        <w:trPr>
          <w:trHeight w:val="1276"/>
        </w:trPr>
        <w:tc>
          <w:tcPr>
            <w:tcW w:w="3156" w:type="dxa"/>
            <w:tcBorders>
              <w:top w:val="single" w:sz="4" w:space="0" w:color="000000"/>
              <w:left w:val="single" w:sz="4" w:space="0" w:color="000000"/>
              <w:bottom w:val="single" w:sz="4" w:space="0" w:color="000000"/>
              <w:right w:val="single" w:sz="4" w:space="0" w:color="000000"/>
            </w:tcBorders>
            <w:shd w:val="clear" w:color="auto" w:fill="auto"/>
          </w:tcPr>
          <w:p w14:paraId="0C53328D" w14:textId="77777777" w:rsidR="003A78D0" w:rsidRPr="006F5BC7" w:rsidRDefault="003A78D0" w:rsidP="002C66FC">
            <w:pPr>
              <w:autoSpaceDE w:val="0"/>
              <w:autoSpaceDN w:val="0"/>
              <w:adjustRightInd w:val="0"/>
              <w:rPr>
                <w:sz w:val="22"/>
                <w:szCs w:val="22"/>
              </w:rPr>
            </w:pPr>
            <w:r w:rsidRPr="00FC64C8">
              <w:rPr>
                <w:sz w:val="22"/>
                <w:szCs w:val="22"/>
              </w:rPr>
              <w:t>Opšti poreme</w:t>
            </w:r>
            <w:r w:rsidRPr="00FC64C8">
              <w:rPr>
                <w:rFonts w:eastAsia="TimesNewRoman"/>
                <w:sz w:val="22"/>
                <w:szCs w:val="22"/>
              </w:rPr>
              <w:t>ć</w:t>
            </w:r>
            <w:r w:rsidRPr="00FC64C8">
              <w:rPr>
                <w:sz w:val="22"/>
                <w:szCs w:val="22"/>
              </w:rPr>
              <w:t>aji i promjene na mjestu primjene</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EC6F062"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Letargija (G3-4: 2%) </w:t>
            </w:r>
          </w:p>
          <w:p w14:paraId="6100E366"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Simptomi nalik gripu (G3: 0%) </w:t>
            </w:r>
          </w:p>
          <w:p w14:paraId="7A20AD5F"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Astenija (G3: 0%) </w:t>
            </w:r>
          </w:p>
          <w:p w14:paraId="52A8163D"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Retencija tečnosti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569FE66"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Groznica (G3: 1%) </w:t>
            </w:r>
          </w:p>
          <w:p w14:paraId="1E515989" w14:textId="77777777" w:rsidR="003A78D0" w:rsidRPr="006F5BC7" w:rsidRDefault="003A78D0" w:rsidP="002C66FC">
            <w:pPr>
              <w:autoSpaceDE w:val="0"/>
              <w:autoSpaceDN w:val="0"/>
              <w:adjustRightInd w:val="0"/>
              <w:rPr>
                <w:bCs/>
                <w:iCs/>
                <w:sz w:val="22"/>
                <w:szCs w:val="22"/>
              </w:rPr>
            </w:pPr>
            <w:r w:rsidRPr="006F5BC7">
              <w:rPr>
                <w:bCs/>
                <w:iCs/>
                <w:sz w:val="22"/>
                <w:szCs w:val="22"/>
              </w:rPr>
              <w:t>Oralna kandidijaza</w:t>
            </w:r>
          </w:p>
          <w:p w14:paraId="31E4A560"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Hipokalcemija (G3: 0%) </w:t>
            </w:r>
          </w:p>
          <w:p w14:paraId="2BA92E17"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Hipofosfatemija (G3-4: 1%) </w:t>
            </w:r>
          </w:p>
          <w:p w14:paraId="1459F682" w14:textId="77777777" w:rsidR="003A78D0" w:rsidRPr="006F5BC7" w:rsidRDefault="003A78D0" w:rsidP="002C66FC">
            <w:pPr>
              <w:autoSpaceDE w:val="0"/>
              <w:autoSpaceDN w:val="0"/>
              <w:adjustRightInd w:val="0"/>
              <w:rPr>
                <w:bCs/>
                <w:iCs/>
                <w:sz w:val="22"/>
                <w:szCs w:val="22"/>
              </w:rPr>
            </w:pPr>
            <w:r w:rsidRPr="006F5BC7">
              <w:rPr>
                <w:bCs/>
                <w:iCs/>
                <w:sz w:val="22"/>
                <w:szCs w:val="22"/>
              </w:rPr>
              <w:t xml:space="preserve">Hipokalemija (G3: 0%) </w:t>
            </w:r>
          </w:p>
        </w:tc>
      </w:tr>
    </w:tbl>
    <w:p w14:paraId="2E84A931" w14:textId="77777777" w:rsidR="003A78D0" w:rsidRPr="005D449E" w:rsidRDefault="003A78D0" w:rsidP="003A78D0">
      <w:pPr>
        <w:autoSpaceDE w:val="0"/>
        <w:autoSpaceDN w:val="0"/>
        <w:adjustRightInd w:val="0"/>
        <w:rPr>
          <w:bCs/>
          <w:iCs/>
          <w:sz w:val="22"/>
          <w:szCs w:val="22"/>
        </w:rPr>
      </w:pPr>
      <w:r w:rsidRPr="005D449E">
        <w:rPr>
          <w:bCs/>
          <w:iCs/>
          <w:sz w:val="22"/>
          <w:szCs w:val="22"/>
          <w:u w:val="single"/>
          <w:vertAlign w:val="superscript"/>
        </w:rPr>
        <w:t>a</w:t>
      </w:r>
      <w:r w:rsidRPr="005D449E">
        <w:rPr>
          <w:bCs/>
          <w:iCs/>
          <w:sz w:val="22"/>
          <w:szCs w:val="22"/>
          <w:u w:val="single"/>
        </w:rPr>
        <w:t xml:space="preserve"> Iz studije GETUG AFU15</w:t>
      </w:r>
    </w:p>
    <w:p w14:paraId="325B76F2" w14:textId="77777777" w:rsidR="003A78D0" w:rsidRPr="006F5BC7" w:rsidRDefault="003A78D0" w:rsidP="003A78D0">
      <w:pPr>
        <w:autoSpaceDE w:val="0"/>
        <w:autoSpaceDN w:val="0"/>
        <w:adjustRightInd w:val="0"/>
        <w:rPr>
          <w:bCs/>
          <w:iCs/>
          <w:sz w:val="22"/>
          <w:szCs w:val="22"/>
          <w:u w:val="single"/>
        </w:rPr>
      </w:pPr>
    </w:p>
    <w:p w14:paraId="79EEF9F4" w14:textId="77777777" w:rsidR="003A78D0" w:rsidRPr="00E558A7" w:rsidRDefault="003A78D0" w:rsidP="003A78D0">
      <w:pPr>
        <w:autoSpaceDE w:val="0"/>
        <w:autoSpaceDN w:val="0"/>
        <w:adjustRightInd w:val="0"/>
        <w:rPr>
          <w:bCs/>
          <w:iCs/>
          <w:sz w:val="22"/>
          <w:szCs w:val="22"/>
          <w:u w:val="single"/>
        </w:rPr>
      </w:pPr>
      <w:r w:rsidRPr="00E558A7">
        <w:rPr>
          <w:bCs/>
          <w:iCs/>
          <w:sz w:val="22"/>
          <w:szCs w:val="22"/>
          <w:u w:val="single"/>
        </w:rPr>
        <w:lastRenderedPageBreak/>
        <w:t xml:space="preserve">Tabelarni prikaz neželjenih reakcija </w:t>
      </w:r>
      <w:r>
        <w:rPr>
          <w:bCs/>
          <w:iCs/>
          <w:sz w:val="22"/>
          <w:szCs w:val="22"/>
          <w:u w:val="single"/>
        </w:rPr>
        <w:t xml:space="preserve">kod karcinoma dojke </w:t>
      </w:r>
      <w:r w:rsidRPr="00E558A7">
        <w:rPr>
          <w:bCs/>
          <w:iCs/>
          <w:sz w:val="22"/>
          <w:szCs w:val="22"/>
          <w:u w:val="single"/>
        </w:rPr>
        <w:t>za adjuvantnu terapiju</w:t>
      </w:r>
      <w:r w:rsidRPr="00E558A7">
        <w:rPr>
          <w:bCs/>
          <w:i/>
          <w:iCs/>
          <w:sz w:val="22"/>
          <w:szCs w:val="22"/>
          <w:u w:val="single"/>
        </w:rPr>
        <w:t xml:space="preserve"> docetakselom 75 mg/m² u kombinaciji sa doksorubicinom i ciklofosfamidom </w:t>
      </w:r>
      <w:r w:rsidRPr="00E558A7">
        <w:rPr>
          <w:bCs/>
          <w:iCs/>
          <w:sz w:val="22"/>
          <w:szCs w:val="22"/>
          <w:u w:val="single"/>
        </w:rPr>
        <w:t>kod pacijenata sa nodus-pozitivnim (TAX 316) i nodus-negativnim (GEICAM 9805) karcinomom dojke – zbirni podaci</w:t>
      </w:r>
    </w:p>
    <w:p w14:paraId="338A68A0" w14:textId="560103B4" w:rsidR="003A78D0" w:rsidRDefault="003A78D0" w:rsidP="00A46C9A">
      <w:pPr>
        <w:spacing w:after="200" w:line="276" w:lineRule="auto"/>
        <w:rPr>
          <w:rFonts w:eastAsia="Calibri"/>
          <w:sz w:val="22"/>
          <w:szCs w:val="22"/>
          <w:u w:val="single"/>
          <w:lang w:val="sr-Latn-RS"/>
        </w:rPr>
      </w:pPr>
    </w:p>
    <w:tbl>
      <w:tblPr>
        <w:tblStyle w:val="TableGrid"/>
        <w:tblW w:w="0" w:type="auto"/>
        <w:tblLook w:val="04A0" w:firstRow="1" w:lastRow="0" w:firstColumn="1" w:lastColumn="0" w:noHBand="0" w:noVBand="1"/>
      </w:tblPr>
      <w:tblGrid>
        <w:gridCol w:w="2265"/>
        <w:gridCol w:w="2266"/>
        <w:gridCol w:w="2266"/>
        <w:gridCol w:w="2266"/>
      </w:tblGrid>
      <w:tr w:rsidR="003A78D0" w14:paraId="4DC71A5A" w14:textId="77777777" w:rsidTr="003A78D0">
        <w:tc>
          <w:tcPr>
            <w:tcW w:w="2265" w:type="dxa"/>
          </w:tcPr>
          <w:p w14:paraId="3A9CE657" w14:textId="77777777" w:rsidR="003A78D0" w:rsidRPr="006F5BC7" w:rsidRDefault="003A78D0" w:rsidP="003A78D0">
            <w:pPr>
              <w:autoSpaceDE w:val="0"/>
              <w:autoSpaceDN w:val="0"/>
              <w:adjustRightInd w:val="0"/>
              <w:rPr>
                <w:sz w:val="22"/>
                <w:szCs w:val="22"/>
              </w:rPr>
            </w:pPr>
            <w:r w:rsidRPr="006F5BC7">
              <w:rPr>
                <w:b/>
                <w:bCs/>
                <w:sz w:val="22"/>
                <w:szCs w:val="22"/>
              </w:rPr>
              <w:t>Organski sistemi po</w:t>
            </w:r>
          </w:p>
          <w:p w14:paraId="303D6D8D" w14:textId="77777777" w:rsidR="003A78D0" w:rsidRPr="006F5BC7" w:rsidRDefault="003A78D0" w:rsidP="003A78D0">
            <w:pPr>
              <w:autoSpaceDE w:val="0"/>
              <w:autoSpaceDN w:val="0"/>
              <w:adjustRightInd w:val="0"/>
              <w:rPr>
                <w:b/>
                <w:bCs/>
                <w:sz w:val="22"/>
                <w:szCs w:val="22"/>
              </w:rPr>
            </w:pPr>
            <w:r w:rsidRPr="006F5BC7">
              <w:rPr>
                <w:b/>
                <w:bCs/>
                <w:sz w:val="22"/>
                <w:szCs w:val="22"/>
              </w:rPr>
              <w:t>MedDRA</w:t>
            </w:r>
          </w:p>
          <w:p w14:paraId="1D9C9FA1" w14:textId="77777777" w:rsidR="003A78D0" w:rsidRDefault="003A78D0" w:rsidP="003A78D0">
            <w:pPr>
              <w:spacing w:after="200" w:line="276" w:lineRule="auto"/>
              <w:rPr>
                <w:rFonts w:eastAsia="Calibri"/>
                <w:sz w:val="22"/>
                <w:szCs w:val="22"/>
                <w:u w:val="single"/>
                <w:lang w:val="sr-Latn-RS"/>
              </w:rPr>
            </w:pPr>
          </w:p>
        </w:tc>
        <w:tc>
          <w:tcPr>
            <w:tcW w:w="2266" w:type="dxa"/>
          </w:tcPr>
          <w:p w14:paraId="3FA07AD0" w14:textId="77777777" w:rsidR="003A78D0" w:rsidRPr="006F5BC7" w:rsidRDefault="003A78D0" w:rsidP="003A78D0">
            <w:pPr>
              <w:autoSpaceDE w:val="0"/>
              <w:autoSpaceDN w:val="0"/>
              <w:adjustRightInd w:val="0"/>
              <w:rPr>
                <w:b/>
                <w:bCs/>
                <w:sz w:val="22"/>
                <w:szCs w:val="22"/>
              </w:rPr>
            </w:pPr>
            <w:r w:rsidRPr="006F5BC7">
              <w:rPr>
                <w:b/>
                <w:bCs/>
                <w:sz w:val="22"/>
                <w:szCs w:val="22"/>
              </w:rPr>
              <w:t xml:space="preserve">Veoma </w:t>
            </w:r>
            <w:r w:rsidRPr="006F5BC7">
              <w:rPr>
                <w:rFonts w:eastAsia="TimesNewRoman,Bold"/>
                <w:b/>
                <w:bCs/>
                <w:sz w:val="22"/>
                <w:szCs w:val="22"/>
              </w:rPr>
              <w:t>č</w:t>
            </w:r>
            <w:r w:rsidRPr="006F5BC7">
              <w:rPr>
                <w:b/>
                <w:bCs/>
                <w:sz w:val="22"/>
                <w:szCs w:val="22"/>
              </w:rPr>
              <w:t>esta neželjena dejstva</w:t>
            </w:r>
          </w:p>
          <w:p w14:paraId="0A944712" w14:textId="77777777" w:rsidR="003A78D0" w:rsidRPr="006F5BC7" w:rsidRDefault="003A78D0" w:rsidP="003A78D0">
            <w:pPr>
              <w:autoSpaceDE w:val="0"/>
              <w:autoSpaceDN w:val="0"/>
              <w:adjustRightInd w:val="0"/>
              <w:rPr>
                <w:b/>
                <w:bCs/>
                <w:sz w:val="22"/>
                <w:szCs w:val="22"/>
              </w:rPr>
            </w:pPr>
            <w:r w:rsidRPr="006F5BC7">
              <w:rPr>
                <w:b/>
                <w:bCs/>
                <w:sz w:val="22"/>
                <w:szCs w:val="22"/>
              </w:rPr>
              <w:t xml:space="preserve"> </w:t>
            </w:r>
          </w:p>
          <w:p w14:paraId="1CA4B011" w14:textId="77777777" w:rsidR="003A78D0" w:rsidRDefault="003A78D0" w:rsidP="003A78D0">
            <w:pPr>
              <w:spacing w:after="200" w:line="276" w:lineRule="auto"/>
              <w:rPr>
                <w:rFonts w:eastAsia="Calibri"/>
                <w:sz w:val="22"/>
                <w:szCs w:val="22"/>
                <w:u w:val="single"/>
                <w:lang w:val="sr-Latn-RS"/>
              </w:rPr>
            </w:pPr>
          </w:p>
        </w:tc>
        <w:tc>
          <w:tcPr>
            <w:tcW w:w="2266" w:type="dxa"/>
          </w:tcPr>
          <w:p w14:paraId="75773848" w14:textId="77777777" w:rsidR="003A78D0" w:rsidRPr="006F5BC7" w:rsidRDefault="003A78D0" w:rsidP="003A78D0">
            <w:pPr>
              <w:autoSpaceDE w:val="0"/>
              <w:autoSpaceDN w:val="0"/>
              <w:adjustRightInd w:val="0"/>
              <w:rPr>
                <w:b/>
                <w:bCs/>
                <w:sz w:val="22"/>
                <w:szCs w:val="22"/>
              </w:rPr>
            </w:pPr>
            <w:r w:rsidRPr="006F5BC7">
              <w:rPr>
                <w:rFonts w:eastAsia="TimesNewRoman,Bold"/>
                <w:b/>
                <w:bCs/>
                <w:sz w:val="22"/>
                <w:szCs w:val="22"/>
              </w:rPr>
              <w:t>Č</w:t>
            </w:r>
            <w:r w:rsidRPr="006F5BC7">
              <w:rPr>
                <w:b/>
                <w:bCs/>
                <w:sz w:val="22"/>
                <w:szCs w:val="22"/>
              </w:rPr>
              <w:t>esta neželjena dejstva</w:t>
            </w:r>
          </w:p>
          <w:p w14:paraId="79B70B94" w14:textId="77777777" w:rsidR="003A78D0" w:rsidRPr="006F5BC7" w:rsidRDefault="003A78D0" w:rsidP="003A78D0">
            <w:pPr>
              <w:autoSpaceDE w:val="0"/>
              <w:autoSpaceDN w:val="0"/>
              <w:adjustRightInd w:val="0"/>
              <w:rPr>
                <w:b/>
                <w:bCs/>
                <w:sz w:val="22"/>
                <w:szCs w:val="22"/>
              </w:rPr>
            </w:pPr>
          </w:p>
          <w:p w14:paraId="75034813" w14:textId="77777777" w:rsidR="003A78D0" w:rsidRDefault="003A78D0" w:rsidP="003A78D0">
            <w:pPr>
              <w:spacing w:after="200" w:line="276" w:lineRule="auto"/>
              <w:rPr>
                <w:rFonts w:eastAsia="Calibri"/>
                <w:sz w:val="22"/>
                <w:szCs w:val="22"/>
                <w:u w:val="single"/>
                <w:lang w:val="sr-Latn-RS"/>
              </w:rPr>
            </w:pPr>
          </w:p>
        </w:tc>
        <w:tc>
          <w:tcPr>
            <w:tcW w:w="2266" w:type="dxa"/>
          </w:tcPr>
          <w:p w14:paraId="7E441C7B" w14:textId="77777777" w:rsidR="003A78D0" w:rsidRPr="006F5BC7" w:rsidRDefault="003A78D0" w:rsidP="003A78D0">
            <w:pPr>
              <w:autoSpaceDE w:val="0"/>
              <w:autoSpaceDN w:val="0"/>
              <w:adjustRightInd w:val="0"/>
              <w:rPr>
                <w:b/>
                <w:bCs/>
                <w:sz w:val="22"/>
                <w:szCs w:val="22"/>
              </w:rPr>
            </w:pPr>
            <w:r w:rsidRPr="006F5BC7">
              <w:rPr>
                <w:b/>
                <w:bCs/>
                <w:sz w:val="22"/>
                <w:szCs w:val="22"/>
              </w:rPr>
              <w:t>Povremena neželjena</w:t>
            </w:r>
          </w:p>
          <w:p w14:paraId="1605944C" w14:textId="77777777" w:rsidR="003A78D0" w:rsidRPr="006F5BC7" w:rsidRDefault="003A78D0" w:rsidP="003A78D0">
            <w:pPr>
              <w:autoSpaceDE w:val="0"/>
              <w:autoSpaceDN w:val="0"/>
              <w:adjustRightInd w:val="0"/>
              <w:rPr>
                <w:b/>
                <w:bCs/>
                <w:sz w:val="22"/>
                <w:szCs w:val="22"/>
              </w:rPr>
            </w:pPr>
            <w:r w:rsidRPr="006F5BC7">
              <w:rPr>
                <w:b/>
                <w:bCs/>
                <w:sz w:val="22"/>
                <w:szCs w:val="22"/>
              </w:rPr>
              <w:t>Dejstva</w:t>
            </w:r>
          </w:p>
          <w:p w14:paraId="6F16D397" w14:textId="77777777" w:rsidR="003A78D0" w:rsidRPr="006F5BC7" w:rsidRDefault="003A78D0" w:rsidP="003A78D0">
            <w:pPr>
              <w:autoSpaceDE w:val="0"/>
              <w:autoSpaceDN w:val="0"/>
              <w:adjustRightInd w:val="0"/>
              <w:rPr>
                <w:b/>
                <w:bCs/>
                <w:sz w:val="22"/>
                <w:szCs w:val="22"/>
              </w:rPr>
            </w:pPr>
            <w:r w:rsidRPr="006F5BC7">
              <w:rPr>
                <w:b/>
                <w:bCs/>
                <w:sz w:val="22"/>
                <w:szCs w:val="22"/>
              </w:rPr>
              <w:t xml:space="preserve"> </w:t>
            </w:r>
          </w:p>
          <w:p w14:paraId="19F1012F" w14:textId="77777777" w:rsidR="003A78D0" w:rsidRDefault="003A78D0" w:rsidP="003A78D0">
            <w:pPr>
              <w:spacing w:after="200" w:line="276" w:lineRule="auto"/>
              <w:rPr>
                <w:rFonts w:eastAsia="Calibri"/>
                <w:sz w:val="22"/>
                <w:szCs w:val="22"/>
                <w:u w:val="single"/>
                <w:lang w:val="sr-Latn-RS"/>
              </w:rPr>
            </w:pPr>
          </w:p>
        </w:tc>
      </w:tr>
      <w:tr w:rsidR="003A78D0" w14:paraId="175DD40A" w14:textId="77777777" w:rsidTr="003A78D0">
        <w:tc>
          <w:tcPr>
            <w:tcW w:w="2265" w:type="dxa"/>
          </w:tcPr>
          <w:p w14:paraId="6A4AC3F6" w14:textId="59C03998" w:rsidR="003A78D0" w:rsidRDefault="003A78D0" w:rsidP="003A78D0">
            <w:pPr>
              <w:spacing w:after="200" w:line="276" w:lineRule="auto"/>
              <w:rPr>
                <w:rFonts w:eastAsia="Calibri"/>
                <w:sz w:val="22"/>
                <w:szCs w:val="22"/>
                <w:u w:val="single"/>
                <w:lang w:val="sr-Latn-RS"/>
              </w:rPr>
            </w:pPr>
            <w:r w:rsidRPr="00B30FB2">
              <w:rPr>
                <w:sz w:val="22"/>
                <w:szCs w:val="22"/>
              </w:rPr>
              <w:t>Infekcije i infestacije</w:t>
            </w:r>
          </w:p>
        </w:tc>
        <w:tc>
          <w:tcPr>
            <w:tcW w:w="2266" w:type="dxa"/>
          </w:tcPr>
          <w:p w14:paraId="3E6E723B" w14:textId="77777777" w:rsidR="003A78D0" w:rsidRPr="00B30FB2" w:rsidRDefault="003A78D0" w:rsidP="003A78D0">
            <w:pPr>
              <w:autoSpaceDE w:val="0"/>
              <w:autoSpaceDN w:val="0"/>
              <w:adjustRightInd w:val="0"/>
              <w:rPr>
                <w:sz w:val="22"/>
                <w:szCs w:val="22"/>
              </w:rPr>
            </w:pPr>
            <w:r w:rsidRPr="00B30FB2">
              <w:rPr>
                <w:sz w:val="22"/>
                <w:szCs w:val="22"/>
              </w:rPr>
              <w:t>Infekcije (G3/4: 2,4%);</w:t>
            </w:r>
          </w:p>
          <w:p w14:paraId="2E211E7F" w14:textId="77777777" w:rsidR="003A78D0" w:rsidRPr="00B30FB2" w:rsidRDefault="003A78D0" w:rsidP="003A78D0">
            <w:pPr>
              <w:autoSpaceDE w:val="0"/>
              <w:autoSpaceDN w:val="0"/>
              <w:adjustRightInd w:val="0"/>
              <w:rPr>
                <w:sz w:val="22"/>
                <w:szCs w:val="22"/>
              </w:rPr>
            </w:pPr>
          </w:p>
          <w:p w14:paraId="479BB88A" w14:textId="77777777" w:rsidR="003A78D0" w:rsidRPr="00B30FB2" w:rsidRDefault="003A78D0" w:rsidP="003A78D0">
            <w:pPr>
              <w:autoSpaceDE w:val="0"/>
              <w:autoSpaceDN w:val="0"/>
              <w:adjustRightInd w:val="0"/>
              <w:rPr>
                <w:sz w:val="22"/>
                <w:szCs w:val="22"/>
              </w:rPr>
            </w:pPr>
            <w:r w:rsidRPr="00B30FB2">
              <w:rPr>
                <w:sz w:val="22"/>
                <w:szCs w:val="22"/>
              </w:rPr>
              <w:t xml:space="preserve">Neutropenijske infekcije (G3/4: 2,6%) </w:t>
            </w:r>
          </w:p>
          <w:p w14:paraId="514CA954" w14:textId="77777777" w:rsidR="003A78D0" w:rsidRDefault="003A78D0" w:rsidP="003A78D0">
            <w:pPr>
              <w:spacing w:after="200" w:line="276" w:lineRule="auto"/>
              <w:rPr>
                <w:rFonts w:eastAsia="Calibri"/>
                <w:sz w:val="22"/>
                <w:szCs w:val="22"/>
                <w:u w:val="single"/>
                <w:lang w:val="sr-Latn-RS"/>
              </w:rPr>
            </w:pPr>
          </w:p>
        </w:tc>
        <w:tc>
          <w:tcPr>
            <w:tcW w:w="2266" w:type="dxa"/>
          </w:tcPr>
          <w:p w14:paraId="0508EA1D" w14:textId="77777777" w:rsidR="003A78D0" w:rsidRDefault="003A78D0" w:rsidP="003A78D0">
            <w:pPr>
              <w:spacing w:after="200" w:line="276" w:lineRule="auto"/>
              <w:rPr>
                <w:rFonts w:eastAsia="Calibri"/>
                <w:sz w:val="22"/>
                <w:szCs w:val="22"/>
                <w:u w:val="single"/>
                <w:lang w:val="sr-Latn-RS"/>
              </w:rPr>
            </w:pPr>
          </w:p>
        </w:tc>
        <w:tc>
          <w:tcPr>
            <w:tcW w:w="2266" w:type="dxa"/>
          </w:tcPr>
          <w:p w14:paraId="420A11E8" w14:textId="77777777" w:rsidR="003A78D0" w:rsidRDefault="003A78D0" w:rsidP="003A78D0">
            <w:pPr>
              <w:spacing w:after="200" w:line="276" w:lineRule="auto"/>
              <w:rPr>
                <w:rFonts w:eastAsia="Calibri"/>
                <w:sz w:val="22"/>
                <w:szCs w:val="22"/>
                <w:u w:val="single"/>
                <w:lang w:val="sr-Latn-RS"/>
              </w:rPr>
            </w:pPr>
          </w:p>
        </w:tc>
      </w:tr>
      <w:tr w:rsidR="003A78D0" w14:paraId="75F6DEB8" w14:textId="77777777" w:rsidTr="003A78D0">
        <w:tc>
          <w:tcPr>
            <w:tcW w:w="2265" w:type="dxa"/>
          </w:tcPr>
          <w:p w14:paraId="6AA4ECAF" w14:textId="77777777" w:rsidR="003A78D0" w:rsidRPr="00B30FB2" w:rsidRDefault="003A78D0" w:rsidP="003A78D0">
            <w:pPr>
              <w:autoSpaceDE w:val="0"/>
              <w:autoSpaceDN w:val="0"/>
              <w:adjustRightInd w:val="0"/>
              <w:rPr>
                <w:sz w:val="22"/>
                <w:szCs w:val="22"/>
              </w:rPr>
            </w:pPr>
            <w:r w:rsidRPr="00B30FB2">
              <w:rPr>
                <w:sz w:val="22"/>
                <w:szCs w:val="22"/>
              </w:rPr>
              <w:t>Poreme</w:t>
            </w:r>
            <w:r w:rsidRPr="00B30FB2">
              <w:rPr>
                <w:rFonts w:eastAsia="TimesNewRoman"/>
                <w:sz w:val="22"/>
                <w:szCs w:val="22"/>
              </w:rPr>
              <w:t>ć</w:t>
            </w:r>
            <w:r w:rsidRPr="00B30FB2">
              <w:rPr>
                <w:sz w:val="22"/>
                <w:szCs w:val="22"/>
              </w:rPr>
              <w:t>aji krvi i</w:t>
            </w:r>
          </w:p>
          <w:p w14:paraId="5418E9B6" w14:textId="77777777" w:rsidR="003A78D0" w:rsidRPr="00B30FB2" w:rsidRDefault="003A78D0" w:rsidP="003A78D0">
            <w:pPr>
              <w:autoSpaceDE w:val="0"/>
              <w:autoSpaceDN w:val="0"/>
              <w:adjustRightInd w:val="0"/>
              <w:rPr>
                <w:sz w:val="22"/>
                <w:szCs w:val="22"/>
              </w:rPr>
            </w:pPr>
            <w:r w:rsidRPr="00B30FB2">
              <w:rPr>
                <w:sz w:val="22"/>
                <w:szCs w:val="22"/>
              </w:rPr>
              <w:t>limfnog sistema</w:t>
            </w:r>
          </w:p>
          <w:p w14:paraId="059C468C" w14:textId="77777777" w:rsidR="003A78D0" w:rsidRDefault="003A78D0" w:rsidP="003A78D0">
            <w:pPr>
              <w:spacing w:after="200" w:line="276" w:lineRule="auto"/>
              <w:rPr>
                <w:rFonts w:eastAsia="Calibri"/>
                <w:sz w:val="22"/>
                <w:szCs w:val="22"/>
                <w:u w:val="single"/>
                <w:lang w:val="sr-Latn-RS"/>
              </w:rPr>
            </w:pPr>
          </w:p>
        </w:tc>
        <w:tc>
          <w:tcPr>
            <w:tcW w:w="2266" w:type="dxa"/>
          </w:tcPr>
          <w:p w14:paraId="5ACAD9C9" w14:textId="77777777" w:rsidR="003A78D0" w:rsidRPr="003A78D0" w:rsidRDefault="003A78D0" w:rsidP="003A78D0">
            <w:pPr>
              <w:autoSpaceDE w:val="0"/>
              <w:autoSpaceDN w:val="0"/>
              <w:adjustRightInd w:val="0"/>
              <w:rPr>
                <w:sz w:val="22"/>
                <w:szCs w:val="22"/>
                <w:lang w:val="sr-Latn-RS"/>
              </w:rPr>
            </w:pPr>
            <w:r w:rsidRPr="003A78D0">
              <w:rPr>
                <w:sz w:val="22"/>
                <w:szCs w:val="22"/>
                <w:lang w:val="sr-Latn-RS"/>
              </w:rPr>
              <w:t>Anemija (G3/4: 3%)</w:t>
            </w:r>
          </w:p>
          <w:p w14:paraId="3311D8B9" w14:textId="77777777" w:rsidR="003A78D0" w:rsidRPr="003A78D0" w:rsidRDefault="003A78D0" w:rsidP="003A78D0">
            <w:pPr>
              <w:autoSpaceDE w:val="0"/>
              <w:autoSpaceDN w:val="0"/>
              <w:adjustRightInd w:val="0"/>
              <w:rPr>
                <w:sz w:val="22"/>
                <w:szCs w:val="22"/>
                <w:lang w:val="sr-Latn-RS"/>
              </w:rPr>
            </w:pPr>
          </w:p>
          <w:p w14:paraId="4EB40FD7" w14:textId="77777777" w:rsidR="003A78D0" w:rsidRPr="003A78D0" w:rsidRDefault="003A78D0" w:rsidP="003A78D0">
            <w:pPr>
              <w:autoSpaceDE w:val="0"/>
              <w:autoSpaceDN w:val="0"/>
              <w:adjustRightInd w:val="0"/>
              <w:rPr>
                <w:sz w:val="22"/>
                <w:szCs w:val="22"/>
                <w:lang w:val="sr-Latn-RS"/>
              </w:rPr>
            </w:pPr>
            <w:r w:rsidRPr="003A78D0">
              <w:rPr>
                <w:sz w:val="22"/>
                <w:szCs w:val="22"/>
                <w:lang w:val="sr-Latn-RS"/>
              </w:rPr>
              <w:t>Neutropenija (G3/4: 59,2%)</w:t>
            </w:r>
          </w:p>
          <w:p w14:paraId="6CD094C0" w14:textId="77777777" w:rsidR="003A78D0" w:rsidRPr="003A78D0" w:rsidRDefault="003A78D0" w:rsidP="003A78D0">
            <w:pPr>
              <w:autoSpaceDE w:val="0"/>
              <w:autoSpaceDN w:val="0"/>
              <w:adjustRightInd w:val="0"/>
              <w:rPr>
                <w:sz w:val="22"/>
                <w:szCs w:val="22"/>
                <w:lang w:val="sr-Latn-RS"/>
              </w:rPr>
            </w:pPr>
          </w:p>
          <w:p w14:paraId="18E78E4D" w14:textId="77777777" w:rsidR="003A78D0" w:rsidRPr="003A78D0" w:rsidRDefault="003A78D0" w:rsidP="003A78D0">
            <w:pPr>
              <w:autoSpaceDE w:val="0"/>
              <w:autoSpaceDN w:val="0"/>
              <w:adjustRightInd w:val="0"/>
              <w:rPr>
                <w:sz w:val="22"/>
                <w:szCs w:val="22"/>
                <w:lang w:val="sr-Latn-RS"/>
              </w:rPr>
            </w:pPr>
            <w:r w:rsidRPr="003A78D0">
              <w:rPr>
                <w:sz w:val="22"/>
                <w:szCs w:val="22"/>
                <w:lang w:val="sr-Latn-RS"/>
              </w:rPr>
              <w:t>Trombocitopenija (G3/4:</w:t>
            </w:r>
          </w:p>
          <w:p w14:paraId="064ADFE4" w14:textId="77777777" w:rsidR="003A78D0" w:rsidRPr="00B30FB2" w:rsidRDefault="003A78D0" w:rsidP="003A78D0">
            <w:pPr>
              <w:autoSpaceDE w:val="0"/>
              <w:autoSpaceDN w:val="0"/>
              <w:adjustRightInd w:val="0"/>
              <w:rPr>
                <w:sz w:val="22"/>
                <w:szCs w:val="22"/>
              </w:rPr>
            </w:pPr>
            <w:r w:rsidRPr="00B30FB2">
              <w:rPr>
                <w:sz w:val="22"/>
                <w:szCs w:val="22"/>
              </w:rPr>
              <w:t>1,6%)</w:t>
            </w:r>
          </w:p>
          <w:p w14:paraId="017BDEFC" w14:textId="77777777" w:rsidR="003A78D0" w:rsidRPr="00B30FB2" w:rsidRDefault="003A78D0" w:rsidP="003A78D0">
            <w:pPr>
              <w:autoSpaceDE w:val="0"/>
              <w:autoSpaceDN w:val="0"/>
              <w:adjustRightInd w:val="0"/>
              <w:rPr>
                <w:sz w:val="22"/>
                <w:szCs w:val="22"/>
              </w:rPr>
            </w:pPr>
          </w:p>
          <w:p w14:paraId="574B2434" w14:textId="08262305" w:rsidR="003A78D0" w:rsidRDefault="003A78D0" w:rsidP="003A78D0">
            <w:pPr>
              <w:spacing w:after="200" w:line="276" w:lineRule="auto"/>
              <w:rPr>
                <w:rFonts w:eastAsia="Calibri"/>
                <w:sz w:val="22"/>
                <w:szCs w:val="22"/>
                <w:u w:val="single"/>
                <w:lang w:val="sr-Latn-RS"/>
              </w:rPr>
            </w:pPr>
            <w:r w:rsidRPr="00B30FB2">
              <w:rPr>
                <w:sz w:val="22"/>
                <w:szCs w:val="22"/>
              </w:rPr>
              <w:t>Febrilna neutropenija (G3/4: NA)</w:t>
            </w:r>
          </w:p>
        </w:tc>
        <w:tc>
          <w:tcPr>
            <w:tcW w:w="2266" w:type="dxa"/>
          </w:tcPr>
          <w:p w14:paraId="3A1A3682" w14:textId="77777777" w:rsidR="003A78D0" w:rsidRPr="00B30FB2" w:rsidRDefault="003A78D0" w:rsidP="003A78D0">
            <w:pPr>
              <w:autoSpaceDE w:val="0"/>
              <w:autoSpaceDN w:val="0"/>
              <w:adjustRightInd w:val="0"/>
              <w:rPr>
                <w:sz w:val="22"/>
                <w:szCs w:val="22"/>
              </w:rPr>
            </w:pPr>
          </w:p>
          <w:p w14:paraId="78B8B355" w14:textId="77777777" w:rsidR="003A78D0" w:rsidRDefault="003A78D0" w:rsidP="003A78D0">
            <w:pPr>
              <w:spacing w:after="200" w:line="276" w:lineRule="auto"/>
              <w:rPr>
                <w:rFonts w:eastAsia="Calibri"/>
                <w:sz w:val="22"/>
                <w:szCs w:val="22"/>
                <w:u w:val="single"/>
                <w:lang w:val="sr-Latn-RS"/>
              </w:rPr>
            </w:pPr>
          </w:p>
        </w:tc>
        <w:tc>
          <w:tcPr>
            <w:tcW w:w="2266" w:type="dxa"/>
          </w:tcPr>
          <w:p w14:paraId="60C4B8EA" w14:textId="77777777" w:rsidR="003A78D0" w:rsidRDefault="003A78D0" w:rsidP="003A78D0">
            <w:pPr>
              <w:spacing w:after="200" w:line="276" w:lineRule="auto"/>
              <w:rPr>
                <w:rFonts w:eastAsia="Calibri"/>
                <w:sz w:val="22"/>
                <w:szCs w:val="22"/>
                <w:u w:val="single"/>
                <w:lang w:val="sr-Latn-RS"/>
              </w:rPr>
            </w:pPr>
          </w:p>
        </w:tc>
      </w:tr>
      <w:tr w:rsidR="003A78D0" w14:paraId="0D9B4D52" w14:textId="77777777" w:rsidTr="003A78D0">
        <w:tc>
          <w:tcPr>
            <w:tcW w:w="2265" w:type="dxa"/>
          </w:tcPr>
          <w:p w14:paraId="6ACE72AC" w14:textId="77777777" w:rsidR="003A78D0" w:rsidRPr="00B30FB2" w:rsidRDefault="003A78D0" w:rsidP="003A78D0">
            <w:pPr>
              <w:autoSpaceDE w:val="0"/>
              <w:autoSpaceDN w:val="0"/>
              <w:adjustRightInd w:val="0"/>
              <w:rPr>
                <w:sz w:val="22"/>
                <w:szCs w:val="22"/>
              </w:rPr>
            </w:pPr>
            <w:r w:rsidRPr="00B30FB2">
              <w:rPr>
                <w:sz w:val="22"/>
                <w:szCs w:val="22"/>
              </w:rPr>
              <w:t>Poreme</w:t>
            </w:r>
            <w:r w:rsidRPr="00B30FB2">
              <w:rPr>
                <w:rFonts w:eastAsia="TimesNewRoman"/>
                <w:sz w:val="22"/>
                <w:szCs w:val="22"/>
              </w:rPr>
              <w:t>ć</w:t>
            </w:r>
            <w:r w:rsidRPr="00B30FB2">
              <w:rPr>
                <w:sz w:val="22"/>
                <w:szCs w:val="22"/>
              </w:rPr>
              <w:t>aji imunog</w:t>
            </w:r>
          </w:p>
          <w:p w14:paraId="0D12291F" w14:textId="77777777" w:rsidR="003A78D0" w:rsidRPr="00B30FB2" w:rsidRDefault="003A78D0" w:rsidP="003A78D0">
            <w:pPr>
              <w:autoSpaceDE w:val="0"/>
              <w:autoSpaceDN w:val="0"/>
              <w:adjustRightInd w:val="0"/>
              <w:rPr>
                <w:sz w:val="22"/>
                <w:szCs w:val="22"/>
              </w:rPr>
            </w:pPr>
            <w:r w:rsidRPr="00B30FB2">
              <w:rPr>
                <w:sz w:val="22"/>
                <w:szCs w:val="22"/>
              </w:rPr>
              <w:t>sistema</w:t>
            </w:r>
          </w:p>
          <w:p w14:paraId="1ACB2066" w14:textId="77777777" w:rsidR="003A78D0" w:rsidRDefault="003A78D0" w:rsidP="003A78D0">
            <w:pPr>
              <w:spacing w:after="200" w:line="276" w:lineRule="auto"/>
              <w:rPr>
                <w:rFonts w:eastAsia="Calibri"/>
                <w:sz w:val="22"/>
                <w:szCs w:val="22"/>
                <w:u w:val="single"/>
                <w:lang w:val="sr-Latn-RS"/>
              </w:rPr>
            </w:pPr>
          </w:p>
        </w:tc>
        <w:tc>
          <w:tcPr>
            <w:tcW w:w="2266" w:type="dxa"/>
          </w:tcPr>
          <w:p w14:paraId="7DA69DBA" w14:textId="77777777" w:rsidR="003A78D0" w:rsidRDefault="003A78D0" w:rsidP="003A78D0">
            <w:pPr>
              <w:spacing w:after="200" w:line="276" w:lineRule="auto"/>
              <w:rPr>
                <w:rFonts w:eastAsia="Calibri"/>
                <w:sz w:val="22"/>
                <w:szCs w:val="22"/>
                <w:u w:val="single"/>
                <w:lang w:val="sr-Latn-RS"/>
              </w:rPr>
            </w:pPr>
          </w:p>
        </w:tc>
        <w:tc>
          <w:tcPr>
            <w:tcW w:w="2266" w:type="dxa"/>
          </w:tcPr>
          <w:p w14:paraId="0CC04ED3" w14:textId="77777777" w:rsidR="003A78D0" w:rsidRPr="00B30FB2" w:rsidRDefault="003A78D0" w:rsidP="003A78D0">
            <w:pPr>
              <w:autoSpaceDE w:val="0"/>
              <w:autoSpaceDN w:val="0"/>
              <w:adjustRightInd w:val="0"/>
              <w:rPr>
                <w:sz w:val="22"/>
                <w:szCs w:val="22"/>
              </w:rPr>
            </w:pPr>
            <w:r w:rsidRPr="00B30FB2">
              <w:rPr>
                <w:sz w:val="22"/>
                <w:szCs w:val="22"/>
              </w:rPr>
              <w:t xml:space="preserve">Preosjetljivost </w:t>
            </w:r>
          </w:p>
          <w:p w14:paraId="7BFDDD01" w14:textId="489CAFD8" w:rsidR="003A78D0" w:rsidRDefault="003A78D0" w:rsidP="003A78D0">
            <w:pPr>
              <w:spacing w:after="200" w:line="276" w:lineRule="auto"/>
              <w:rPr>
                <w:rFonts w:eastAsia="Calibri"/>
                <w:sz w:val="22"/>
                <w:szCs w:val="22"/>
                <w:u w:val="single"/>
                <w:lang w:val="sr-Latn-RS"/>
              </w:rPr>
            </w:pPr>
            <w:r w:rsidRPr="00B30FB2">
              <w:rPr>
                <w:sz w:val="22"/>
                <w:szCs w:val="22"/>
              </w:rPr>
              <w:t>(G3/4: 0,6%)</w:t>
            </w:r>
          </w:p>
        </w:tc>
        <w:tc>
          <w:tcPr>
            <w:tcW w:w="2266" w:type="dxa"/>
          </w:tcPr>
          <w:p w14:paraId="55147A0E" w14:textId="77777777" w:rsidR="003A78D0" w:rsidRDefault="003A78D0" w:rsidP="003A78D0">
            <w:pPr>
              <w:spacing w:after="200" w:line="276" w:lineRule="auto"/>
              <w:rPr>
                <w:rFonts w:eastAsia="Calibri"/>
                <w:sz w:val="22"/>
                <w:szCs w:val="22"/>
                <w:u w:val="single"/>
                <w:lang w:val="sr-Latn-RS"/>
              </w:rPr>
            </w:pPr>
          </w:p>
        </w:tc>
      </w:tr>
      <w:tr w:rsidR="003A78D0" w14:paraId="2F8C15F0" w14:textId="77777777" w:rsidTr="003A78D0">
        <w:tc>
          <w:tcPr>
            <w:tcW w:w="2265" w:type="dxa"/>
          </w:tcPr>
          <w:p w14:paraId="3E12DE57" w14:textId="77777777" w:rsidR="003A78D0" w:rsidRPr="00B30FB2" w:rsidRDefault="003A78D0" w:rsidP="003A78D0">
            <w:pPr>
              <w:autoSpaceDE w:val="0"/>
              <w:autoSpaceDN w:val="0"/>
              <w:adjustRightInd w:val="0"/>
              <w:rPr>
                <w:sz w:val="22"/>
                <w:szCs w:val="22"/>
              </w:rPr>
            </w:pPr>
            <w:r w:rsidRPr="00B30FB2">
              <w:rPr>
                <w:sz w:val="22"/>
                <w:szCs w:val="22"/>
              </w:rPr>
              <w:t>Poreme</w:t>
            </w:r>
            <w:r w:rsidRPr="00B30FB2">
              <w:rPr>
                <w:rFonts w:eastAsia="TimesNewRoman"/>
                <w:sz w:val="22"/>
                <w:szCs w:val="22"/>
              </w:rPr>
              <w:t>ć</w:t>
            </w:r>
            <w:r w:rsidRPr="00B30FB2">
              <w:rPr>
                <w:sz w:val="22"/>
                <w:szCs w:val="22"/>
              </w:rPr>
              <w:t xml:space="preserve">aji </w:t>
            </w:r>
          </w:p>
          <w:p w14:paraId="74E88685" w14:textId="77777777" w:rsidR="003A78D0" w:rsidRPr="00B30FB2" w:rsidRDefault="003A78D0" w:rsidP="003A78D0">
            <w:pPr>
              <w:autoSpaceDE w:val="0"/>
              <w:autoSpaceDN w:val="0"/>
              <w:adjustRightInd w:val="0"/>
              <w:rPr>
                <w:sz w:val="22"/>
                <w:szCs w:val="22"/>
              </w:rPr>
            </w:pPr>
            <w:r w:rsidRPr="00B30FB2">
              <w:rPr>
                <w:sz w:val="22"/>
                <w:szCs w:val="22"/>
              </w:rPr>
              <w:t>metabolizma i ishrane</w:t>
            </w:r>
          </w:p>
          <w:p w14:paraId="19F1FB4A" w14:textId="77777777" w:rsidR="003A78D0" w:rsidRDefault="003A78D0" w:rsidP="003A78D0">
            <w:pPr>
              <w:spacing w:after="200" w:line="276" w:lineRule="auto"/>
              <w:rPr>
                <w:rFonts w:eastAsia="Calibri"/>
                <w:sz w:val="22"/>
                <w:szCs w:val="22"/>
                <w:u w:val="single"/>
                <w:lang w:val="sr-Latn-RS"/>
              </w:rPr>
            </w:pPr>
          </w:p>
        </w:tc>
        <w:tc>
          <w:tcPr>
            <w:tcW w:w="2266" w:type="dxa"/>
          </w:tcPr>
          <w:p w14:paraId="7341F7B5" w14:textId="177D9122" w:rsidR="003A78D0" w:rsidRDefault="003A78D0" w:rsidP="003A78D0">
            <w:pPr>
              <w:spacing w:after="200" w:line="276" w:lineRule="auto"/>
              <w:rPr>
                <w:rFonts w:eastAsia="Calibri"/>
                <w:sz w:val="22"/>
                <w:szCs w:val="22"/>
                <w:u w:val="single"/>
                <w:lang w:val="sr-Latn-RS"/>
              </w:rPr>
            </w:pPr>
            <w:r w:rsidRPr="00B30FB2">
              <w:rPr>
                <w:sz w:val="22"/>
                <w:szCs w:val="22"/>
              </w:rPr>
              <w:t>Anoreksija (G3/4: 1,5%)</w:t>
            </w:r>
          </w:p>
        </w:tc>
        <w:tc>
          <w:tcPr>
            <w:tcW w:w="2266" w:type="dxa"/>
          </w:tcPr>
          <w:p w14:paraId="44C8D2F0" w14:textId="77777777" w:rsidR="003A78D0" w:rsidRDefault="003A78D0" w:rsidP="003A78D0">
            <w:pPr>
              <w:spacing w:after="200" w:line="276" w:lineRule="auto"/>
              <w:rPr>
                <w:rFonts w:eastAsia="Calibri"/>
                <w:sz w:val="22"/>
                <w:szCs w:val="22"/>
                <w:u w:val="single"/>
                <w:lang w:val="sr-Latn-RS"/>
              </w:rPr>
            </w:pPr>
          </w:p>
        </w:tc>
        <w:tc>
          <w:tcPr>
            <w:tcW w:w="2266" w:type="dxa"/>
          </w:tcPr>
          <w:p w14:paraId="67512883" w14:textId="77777777" w:rsidR="003A78D0" w:rsidRDefault="003A78D0" w:rsidP="003A78D0">
            <w:pPr>
              <w:spacing w:after="200" w:line="276" w:lineRule="auto"/>
              <w:rPr>
                <w:rFonts w:eastAsia="Calibri"/>
                <w:sz w:val="22"/>
                <w:szCs w:val="22"/>
                <w:u w:val="single"/>
                <w:lang w:val="sr-Latn-RS"/>
              </w:rPr>
            </w:pPr>
          </w:p>
        </w:tc>
      </w:tr>
      <w:tr w:rsidR="003A78D0" w:rsidRPr="00BB3077" w14:paraId="51EE77BB" w14:textId="77777777" w:rsidTr="003A78D0">
        <w:tc>
          <w:tcPr>
            <w:tcW w:w="2265" w:type="dxa"/>
          </w:tcPr>
          <w:p w14:paraId="47357FB8" w14:textId="77777777" w:rsidR="003A78D0" w:rsidRPr="00B30FB2" w:rsidRDefault="003A78D0" w:rsidP="003A78D0">
            <w:pPr>
              <w:autoSpaceDE w:val="0"/>
              <w:autoSpaceDN w:val="0"/>
              <w:adjustRightInd w:val="0"/>
              <w:rPr>
                <w:sz w:val="22"/>
                <w:szCs w:val="22"/>
              </w:rPr>
            </w:pPr>
            <w:r w:rsidRPr="00B30FB2">
              <w:rPr>
                <w:sz w:val="22"/>
                <w:szCs w:val="22"/>
              </w:rPr>
              <w:t>Poreme</w:t>
            </w:r>
            <w:r w:rsidRPr="00B30FB2">
              <w:rPr>
                <w:rFonts w:eastAsia="TimesNewRoman"/>
                <w:sz w:val="22"/>
                <w:szCs w:val="22"/>
              </w:rPr>
              <w:t>ć</w:t>
            </w:r>
            <w:r w:rsidRPr="00B30FB2">
              <w:rPr>
                <w:sz w:val="22"/>
                <w:szCs w:val="22"/>
              </w:rPr>
              <w:t>aji nervnog</w:t>
            </w:r>
          </w:p>
          <w:p w14:paraId="6A71A2CA" w14:textId="77777777" w:rsidR="003A78D0" w:rsidRPr="00B30FB2" w:rsidRDefault="003A78D0" w:rsidP="003A78D0">
            <w:pPr>
              <w:autoSpaceDE w:val="0"/>
              <w:autoSpaceDN w:val="0"/>
              <w:adjustRightInd w:val="0"/>
              <w:rPr>
                <w:sz w:val="22"/>
                <w:szCs w:val="22"/>
              </w:rPr>
            </w:pPr>
            <w:r w:rsidRPr="00B30FB2">
              <w:rPr>
                <w:sz w:val="22"/>
                <w:szCs w:val="22"/>
              </w:rPr>
              <w:t>sistema</w:t>
            </w:r>
          </w:p>
          <w:p w14:paraId="2C3264B1" w14:textId="77777777" w:rsidR="003A78D0" w:rsidRDefault="003A78D0" w:rsidP="003A78D0">
            <w:pPr>
              <w:spacing w:after="200" w:line="276" w:lineRule="auto"/>
              <w:rPr>
                <w:rFonts w:eastAsia="Calibri"/>
                <w:sz w:val="22"/>
                <w:szCs w:val="22"/>
                <w:u w:val="single"/>
                <w:lang w:val="sr-Latn-RS"/>
              </w:rPr>
            </w:pPr>
          </w:p>
        </w:tc>
        <w:tc>
          <w:tcPr>
            <w:tcW w:w="2266" w:type="dxa"/>
          </w:tcPr>
          <w:p w14:paraId="247EFD45" w14:textId="77777777" w:rsidR="003A78D0" w:rsidRPr="003A78D0" w:rsidRDefault="003A78D0" w:rsidP="003A78D0">
            <w:pPr>
              <w:autoSpaceDE w:val="0"/>
              <w:autoSpaceDN w:val="0"/>
              <w:adjustRightInd w:val="0"/>
              <w:rPr>
                <w:sz w:val="22"/>
                <w:szCs w:val="22"/>
                <w:lang w:val="de-DE"/>
              </w:rPr>
            </w:pPr>
            <w:r w:rsidRPr="003A78D0">
              <w:rPr>
                <w:sz w:val="22"/>
                <w:szCs w:val="22"/>
                <w:lang w:val="de-DE"/>
              </w:rPr>
              <w:t>Disgeuzija (G3/4: 0,6%)</w:t>
            </w:r>
          </w:p>
          <w:p w14:paraId="36C70A65" w14:textId="77777777" w:rsidR="003A78D0" w:rsidRPr="003A78D0" w:rsidRDefault="003A78D0" w:rsidP="003A78D0">
            <w:pPr>
              <w:autoSpaceDE w:val="0"/>
              <w:autoSpaceDN w:val="0"/>
              <w:adjustRightInd w:val="0"/>
              <w:rPr>
                <w:sz w:val="22"/>
                <w:szCs w:val="22"/>
                <w:lang w:val="de-DE"/>
              </w:rPr>
            </w:pPr>
          </w:p>
          <w:p w14:paraId="0CE6A5BA" w14:textId="77777777" w:rsidR="003A78D0" w:rsidRPr="003A78D0" w:rsidRDefault="003A78D0" w:rsidP="003A78D0">
            <w:pPr>
              <w:autoSpaceDE w:val="0"/>
              <w:autoSpaceDN w:val="0"/>
              <w:adjustRightInd w:val="0"/>
              <w:rPr>
                <w:sz w:val="22"/>
                <w:szCs w:val="22"/>
                <w:lang w:val="de-DE"/>
              </w:rPr>
            </w:pPr>
            <w:r w:rsidRPr="003A78D0">
              <w:rPr>
                <w:sz w:val="22"/>
                <w:szCs w:val="22"/>
                <w:lang w:val="de-DE"/>
              </w:rPr>
              <w:t>Periferna senzorna</w:t>
            </w:r>
          </w:p>
          <w:p w14:paraId="07708CAB" w14:textId="77777777" w:rsidR="003A78D0" w:rsidRPr="003A78D0" w:rsidRDefault="003A78D0" w:rsidP="003A78D0">
            <w:pPr>
              <w:autoSpaceDE w:val="0"/>
              <w:autoSpaceDN w:val="0"/>
              <w:adjustRightInd w:val="0"/>
              <w:rPr>
                <w:sz w:val="22"/>
                <w:szCs w:val="22"/>
                <w:lang w:val="de-DE"/>
              </w:rPr>
            </w:pPr>
            <w:r w:rsidRPr="003A78D0">
              <w:rPr>
                <w:sz w:val="22"/>
                <w:szCs w:val="22"/>
                <w:lang w:val="de-DE"/>
              </w:rPr>
              <w:t xml:space="preserve">neuropatija (G3/4: </w:t>
            </w:r>
            <w:r w:rsidRPr="003A78D0">
              <w:rPr>
                <w:rFonts w:eastAsia="MS Mincho"/>
                <w:color w:val="000000"/>
                <w:sz w:val="22"/>
                <w:szCs w:val="22"/>
                <w:lang w:val="de-DE"/>
              </w:rPr>
              <w:t xml:space="preserve">&lt; </w:t>
            </w:r>
            <w:r w:rsidRPr="003A78D0">
              <w:rPr>
                <w:sz w:val="22"/>
                <w:szCs w:val="22"/>
                <w:lang w:val="de-DE"/>
              </w:rPr>
              <w:t>0,1%)</w:t>
            </w:r>
          </w:p>
          <w:p w14:paraId="03D1232A" w14:textId="77777777" w:rsidR="003A78D0" w:rsidRPr="003A78D0" w:rsidRDefault="003A78D0" w:rsidP="003A78D0">
            <w:pPr>
              <w:autoSpaceDE w:val="0"/>
              <w:autoSpaceDN w:val="0"/>
              <w:adjustRightInd w:val="0"/>
              <w:rPr>
                <w:sz w:val="22"/>
                <w:szCs w:val="22"/>
                <w:lang w:val="de-DE"/>
              </w:rPr>
            </w:pPr>
          </w:p>
          <w:p w14:paraId="244D9F3D" w14:textId="77777777" w:rsidR="003A78D0" w:rsidRDefault="003A78D0" w:rsidP="003A78D0">
            <w:pPr>
              <w:spacing w:after="200" w:line="276" w:lineRule="auto"/>
              <w:rPr>
                <w:rFonts w:eastAsia="Calibri"/>
                <w:sz w:val="22"/>
                <w:szCs w:val="22"/>
                <w:u w:val="single"/>
                <w:lang w:val="sr-Latn-RS"/>
              </w:rPr>
            </w:pPr>
          </w:p>
        </w:tc>
        <w:tc>
          <w:tcPr>
            <w:tcW w:w="2266" w:type="dxa"/>
          </w:tcPr>
          <w:p w14:paraId="093EA7BA" w14:textId="77777777" w:rsidR="003A78D0" w:rsidRPr="00B30FB2" w:rsidRDefault="003A78D0" w:rsidP="003A78D0">
            <w:pPr>
              <w:autoSpaceDE w:val="0"/>
              <w:autoSpaceDN w:val="0"/>
              <w:adjustRightInd w:val="0"/>
              <w:rPr>
                <w:sz w:val="22"/>
                <w:szCs w:val="22"/>
              </w:rPr>
            </w:pPr>
            <w:r w:rsidRPr="00B30FB2">
              <w:rPr>
                <w:sz w:val="22"/>
                <w:szCs w:val="22"/>
              </w:rPr>
              <w:t>Periferna motorna</w:t>
            </w:r>
          </w:p>
          <w:p w14:paraId="43B53727" w14:textId="77777777" w:rsidR="003A78D0" w:rsidRPr="00B30FB2" w:rsidRDefault="003A78D0" w:rsidP="003A78D0">
            <w:pPr>
              <w:autoSpaceDE w:val="0"/>
              <w:autoSpaceDN w:val="0"/>
              <w:adjustRightInd w:val="0"/>
              <w:rPr>
                <w:sz w:val="22"/>
                <w:szCs w:val="22"/>
              </w:rPr>
            </w:pPr>
            <w:r w:rsidRPr="00B30FB2">
              <w:rPr>
                <w:sz w:val="22"/>
                <w:szCs w:val="22"/>
              </w:rPr>
              <w:t>neuropatija (G3/4: 0%);</w:t>
            </w:r>
          </w:p>
          <w:p w14:paraId="1A11AFEF" w14:textId="77777777" w:rsidR="003A78D0" w:rsidRPr="00B30FB2" w:rsidRDefault="003A78D0" w:rsidP="003A78D0">
            <w:pPr>
              <w:autoSpaceDE w:val="0"/>
              <w:autoSpaceDN w:val="0"/>
              <w:adjustRightInd w:val="0"/>
              <w:rPr>
                <w:sz w:val="22"/>
                <w:szCs w:val="22"/>
              </w:rPr>
            </w:pPr>
          </w:p>
          <w:p w14:paraId="50E29ED5" w14:textId="77777777" w:rsidR="003A78D0" w:rsidRDefault="003A78D0" w:rsidP="003A78D0">
            <w:pPr>
              <w:spacing w:after="200" w:line="276" w:lineRule="auto"/>
              <w:rPr>
                <w:rFonts w:eastAsia="Calibri"/>
                <w:sz w:val="22"/>
                <w:szCs w:val="22"/>
                <w:u w:val="single"/>
                <w:lang w:val="sr-Latn-RS"/>
              </w:rPr>
            </w:pPr>
          </w:p>
        </w:tc>
        <w:tc>
          <w:tcPr>
            <w:tcW w:w="2266" w:type="dxa"/>
          </w:tcPr>
          <w:p w14:paraId="3397125B" w14:textId="77777777" w:rsidR="003A78D0" w:rsidRPr="003A78D0" w:rsidRDefault="003A78D0" w:rsidP="003A78D0">
            <w:pPr>
              <w:autoSpaceDE w:val="0"/>
              <w:autoSpaceDN w:val="0"/>
              <w:adjustRightInd w:val="0"/>
              <w:rPr>
                <w:sz w:val="22"/>
                <w:szCs w:val="22"/>
                <w:lang w:val="de-DE"/>
              </w:rPr>
            </w:pPr>
            <w:r w:rsidRPr="003A78D0">
              <w:rPr>
                <w:sz w:val="22"/>
                <w:szCs w:val="22"/>
                <w:lang w:val="de-DE"/>
              </w:rPr>
              <w:t>Sinkopa (G3/4: 0%);</w:t>
            </w:r>
          </w:p>
          <w:p w14:paraId="45A7FF2E" w14:textId="77777777" w:rsidR="003A78D0" w:rsidRPr="003A78D0" w:rsidRDefault="003A78D0" w:rsidP="003A78D0">
            <w:pPr>
              <w:autoSpaceDE w:val="0"/>
              <w:autoSpaceDN w:val="0"/>
              <w:adjustRightInd w:val="0"/>
              <w:rPr>
                <w:sz w:val="22"/>
                <w:szCs w:val="22"/>
                <w:lang w:val="de-DE"/>
              </w:rPr>
            </w:pPr>
            <w:r w:rsidRPr="003A78D0">
              <w:rPr>
                <w:sz w:val="22"/>
                <w:szCs w:val="22"/>
                <w:lang w:val="de-DE"/>
              </w:rPr>
              <w:t xml:space="preserve">Neurotoksičnost </w:t>
            </w:r>
          </w:p>
          <w:p w14:paraId="58F5648C" w14:textId="77777777" w:rsidR="003A78D0" w:rsidRPr="003A78D0" w:rsidRDefault="003A78D0" w:rsidP="003A78D0">
            <w:pPr>
              <w:autoSpaceDE w:val="0"/>
              <w:autoSpaceDN w:val="0"/>
              <w:adjustRightInd w:val="0"/>
              <w:rPr>
                <w:sz w:val="22"/>
                <w:szCs w:val="22"/>
                <w:lang w:val="de-DE"/>
              </w:rPr>
            </w:pPr>
            <w:r w:rsidRPr="003A78D0">
              <w:rPr>
                <w:sz w:val="22"/>
                <w:szCs w:val="22"/>
                <w:lang w:val="de-DE"/>
              </w:rPr>
              <w:t>(G3/4: 0%);</w:t>
            </w:r>
          </w:p>
          <w:p w14:paraId="591F2AB8" w14:textId="77777777" w:rsidR="003A78D0" w:rsidRPr="003A78D0" w:rsidRDefault="003A78D0" w:rsidP="003A78D0">
            <w:pPr>
              <w:autoSpaceDE w:val="0"/>
              <w:autoSpaceDN w:val="0"/>
              <w:adjustRightInd w:val="0"/>
              <w:rPr>
                <w:sz w:val="22"/>
                <w:szCs w:val="22"/>
                <w:lang w:val="de-DE"/>
              </w:rPr>
            </w:pPr>
            <w:r w:rsidRPr="003A78D0">
              <w:rPr>
                <w:sz w:val="22"/>
                <w:szCs w:val="22"/>
                <w:lang w:val="de-DE"/>
              </w:rPr>
              <w:t xml:space="preserve">Somnolencija </w:t>
            </w:r>
          </w:p>
          <w:p w14:paraId="1BB6C936" w14:textId="77777777" w:rsidR="003A78D0" w:rsidRPr="003A78D0" w:rsidRDefault="003A78D0" w:rsidP="003A78D0">
            <w:pPr>
              <w:autoSpaceDE w:val="0"/>
              <w:autoSpaceDN w:val="0"/>
              <w:adjustRightInd w:val="0"/>
              <w:rPr>
                <w:sz w:val="22"/>
                <w:szCs w:val="22"/>
                <w:lang w:val="de-DE"/>
              </w:rPr>
            </w:pPr>
            <w:r w:rsidRPr="003A78D0">
              <w:rPr>
                <w:sz w:val="22"/>
                <w:szCs w:val="22"/>
                <w:lang w:val="de-DE"/>
              </w:rPr>
              <w:t>(G3/4: 0%)</w:t>
            </w:r>
          </w:p>
          <w:p w14:paraId="20F429A6" w14:textId="77777777" w:rsidR="003A78D0" w:rsidRDefault="003A78D0" w:rsidP="003A78D0">
            <w:pPr>
              <w:spacing w:after="200" w:line="276" w:lineRule="auto"/>
              <w:rPr>
                <w:rFonts w:eastAsia="Calibri"/>
                <w:sz w:val="22"/>
                <w:szCs w:val="22"/>
                <w:u w:val="single"/>
                <w:lang w:val="sr-Latn-RS"/>
              </w:rPr>
            </w:pPr>
          </w:p>
        </w:tc>
      </w:tr>
      <w:tr w:rsidR="003A78D0" w14:paraId="2E34D082" w14:textId="77777777" w:rsidTr="002C66FC">
        <w:tc>
          <w:tcPr>
            <w:tcW w:w="2265" w:type="dxa"/>
            <w:tcBorders>
              <w:bottom w:val="single" w:sz="4" w:space="0" w:color="auto"/>
            </w:tcBorders>
          </w:tcPr>
          <w:p w14:paraId="4E51D377" w14:textId="77777777" w:rsidR="003A78D0" w:rsidRPr="00B30FB2" w:rsidRDefault="003A78D0" w:rsidP="003A78D0">
            <w:pPr>
              <w:autoSpaceDE w:val="0"/>
              <w:autoSpaceDN w:val="0"/>
              <w:adjustRightInd w:val="0"/>
              <w:rPr>
                <w:sz w:val="22"/>
                <w:szCs w:val="22"/>
              </w:rPr>
            </w:pPr>
            <w:r w:rsidRPr="00B30FB2">
              <w:rPr>
                <w:sz w:val="22"/>
                <w:szCs w:val="22"/>
              </w:rPr>
              <w:t>Poreme</w:t>
            </w:r>
            <w:r w:rsidRPr="00B30FB2">
              <w:rPr>
                <w:rFonts w:eastAsia="TimesNewRoman"/>
                <w:sz w:val="22"/>
                <w:szCs w:val="22"/>
              </w:rPr>
              <w:t>ć</w:t>
            </w:r>
            <w:r w:rsidRPr="00B30FB2">
              <w:rPr>
                <w:sz w:val="22"/>
                <w:szCs w:val="22"/>
              </w:rPr>
              <w:t xml:space="preserve">aji oka </w:t>
            </w:r>
          </w:p>
          <w:p w14:paraId="46A1DFA0" w14:textId="77777777" w:rsidR="003A78D0" w:rsidRDefault="003A78D0" w:rsidP="003A78D0">
            <w:pPr>
              <w:spacing w:after="200" w:line="276" w:lineRule="auto"/>
              <w:rPr>
                <w:rFonts w:eastAsia="Calibri"/>
                <w:sz w:val="22"/>
                <w:szCs w:val="22"/>
                <w:u w:val="single"/>
                <w:lang w:val="sr-Latn-RS"/>
              </w:rPr>
            </w:pPr>
          </w:p>
        </w:tc>
        <w:tc>
          <w:tcPr>
            <w:tcW w:w="2266" w:type="dxa"/>
            <w:tcBorders>
              <w:bottom w:val="single" w:sz="4" w:space="0" w:color="auto"/>
            </w:tcBorders>
          </w:tcPr>
          <w:p w14:paraId="4B0CC8F4" w14:textId="342A5492" w:rsidR="003A78D0" w:rsidRDefault="003A78D0" w:rsidP="003A78D0">
            <w:pPr>
              <w:spacing w:after="200" w:line="276" w:lineRule="auto"/>
              <w:rPr>
                <w:rFonts w:eastAsia="Calibri"/>
                <w:sz w:val="22"/>
                <w:szCs w:val="22"/>
                <w:u w:val="single"/>
                <w:lang w:val="sr-Latn-RS"/>
              </w:rPr>
            </w:pPr>
            <w:r w:rsidRPr="00B30FB2">
              <w:rPr>
                <w:sz w:val="22"/>
                <w:szCs w:val="22"/>
              </w:rPr>
              <w:t>Konjunktivitis (G3/4: &lt;</w:t>
            </w:r>
            <w:r>
              <w:rPr>
                <w:sz w:val="22"/>
                <w:szCs w:val="22"/>
              </w:rPr>
              <w:t xml:space="preserve"> </w:t>
            </w:r>
            <w:r w:rsidRPr="00B30FB2">
              <w:rPr>
                <w:sz w:val="22"/>
                <w:szCs w:val="22"/>
              </w:rPr>
              <w:t>0,1%)</w:t>
            </w:r>
          </w:p>
        </w:tc>
        <w:tc>
          <w:tcPr>
            <w:tcW w:w="2266" w:type="dxa"/>
            <w:tcBorders>
              <w:bottom w:val="single" w:sz="4" w:space="0" w:color="auto"/>
            </w:tcBorders>
          </w:tcPr>
          <w:p w14:paraId="56FB44CC" w14:textId="77777777" w:rsidR="003A78D0" w:rsidRPr="00B30FB2" w:rsidRDefault="003A78D0" w:rsidP="003A78D0">
            <w:pPr>
              <w:autoSpaceDE w:val="0"/>
              <w:autoSpaceDN w:val="0"/>
              <w:adjustRightInd w:val="0"/>
              <w:rPr>
                <w:sz w:val="22"/>
                <w:szCs w:val="22"/>
              </w:rPr>
            </w:pPr>
            <w:r w:rsidRPr="00B30FB2">
              <w:rPr>
                <w:sz w:val="22"/>
                <w:szCs w:val="22"/>
              </w:rPr>
              <w:t>Pojačano suzenje</w:t>
            </w:r>
          </w:p>
          <w:p w14:paraId="44860B96" w14:textId="1D797A37" w:rsidR="003A78D0" w:rsidRPr="0087355E" w:rsidRDefault="003A78D0" w:rsidP="0087355E">
            <w:pPr>
              <w:autoSpaceDE w:val="0"/>
              <w:autoSpaceDN w:val="0"/>
              <w:adjustRightInd w:val="0"/>
              <w:rPr>
                <w:sz w:val="22"/>
                <w:szCs w:val="22"/>
              </w:rPr>
            </w:pPr>
            <w:r w:rsidRPr="00B30FB2">
              <w:rPr>
                <w:sz w:val="22"/>
                <w:szCs w:val="22"/>
              </w:rPr>
              <w:t>(G3/4: &lt;</w:t>
            </w:r>
            <w:r>
              <w:rPr>
                <w:sz w:val="22"/>
                <w:szCs w:val="22"/>
              </w:rPr>
              <w:t xml:space="preserve"> </w:t>
            </w:r>
            <w:r w:rsidRPr="00B30FB2">
              <w:rPr>
                <w:sz w:val="22"/>
                <w:szCs w:val="22"/>
              </w:rPr>
              <w:t>0,1%)</w:t>
            </w:r>
          </w:p>
        </w:tc>
        <w:tc>
          <w:tcPr>
            <w:tcW w:w="2266" w:type="dxa"/>
          </w:tcPr>
          <w:p w14:paraId="65775640" w14:textId="77777777" w:rsidR="003A78D0" w:rsidRDefault="003A78D0" w:rsidP="003A78D0">
            <w:pPr>
              <w:spacing w:after="200" w:line="276" w:lineRule="auto"/>
              <w:rPr>
                <w:rFonts w:eastAsia="Calibri"/>
                <w:sz w:val="22"/>
                <w:szCs w:val="22"/>
                <w:u w:val="single"/>
                <w:lang w:val="sr-Latn-RS"/>
              </w:rPr>
            </w:pPr>
          </w:p>
        </w:tc>
      </w:tr>
      <w:tr w:rsidR="0046791B" w14:paraId="74F8B6F0" w14:textId="77777777" w:rsidTr="003A78D0">
        <w:tc>
          <w:tcPr>
            <w:tcW w:w="2265" w:type="dxa"/>
          </w:tcPr>
          <w:p w14:paraId="4F818192" w14:textId="77BE79A2" w:rsidR="0046791B" w:rsidRDefault="0046791B" w:rsidP="0046791B">
            <w:pPr>
              <w:spacing w:after="200" w:line="276" w:lineRule="auto"/>
              <w:rPr>
                <w:rFonts w:eastAsia="Calibri"/>
                <w:sz w:val="22"/>
                <w:szCs w:val="22"/>
                <w:u w:val="single"/>
                <w:lang w:val="sr-Latn-RS"/>
              </w:rPr>
            </w:pPr>
            <w:r w:rsidRPr="009A4AF5">
              <w:rPr>
                <w:sz w:val="22"/>
                <w:szCs w:val="22"/>
              </w:rPr>
              <w:t xml:space="preserve"> Sr</w:t>
            </w:r>
            <w:r w:rsidRPr="009A4AF5">
              <w:rPr>
                <w:rFonts w:eastAsia="TimesNewRoman"/>
                <w:sz w:val="22"/>
                <w:szCs w:val="22"/>
              </w:rPr>
              <w:t>č</w:t>
            </w:r>
            <w:r w:rsidRPr="009A4AF5">
              <w:rPr>
                <w:sz w:val="22"/>
                <w:szCs w:val="22"/>
              </w:rPr>
              <w:t>ani poreme</w:t>
            </w:r>
            <w:r w:rsidRPr="009A4AF5">
              <w:rPr>
                <w:rFonts w:eastAsia="TimesNewRoman"/>
                <w:sz w:val="22"/>
                <w:szCs w:val="22"/>
              </w:rPr>
              <w:t>ć</w:t>
            </w:r>
            <w:r w:rsidRPr="009A4AF5">
              <w:rPr>
                <w:sz w:val="22"/>
                <w:szCs w:val="22"/>
              </w:rPr>
              <w:t>aji</w:t>
            </w:r>
          </w:p>
        </w:tc>
        <w:tc>
          <w:tcPr>
            <w:tcW w:w="2266" w:type="dxa"/>
          </w:tcPr>
          <w:p w14:paraId="36549661" w14:textId="77777777" w:rsidR="0046791B" w:rsidRDefault="0046791B" w:rsidP="0046791B">
            <w:pPr>
              <w:spacing w:after="200" w:line="276" w:lineRule="auto"/>
              <w:rPr>
                <w:rFonts w:eastAsia="Calibri"/>
                <w:sz w:val="22"/>
                <w:szCs w:val="22"/>
                <w:u w:val="single"/>
                <w:lang w:val="sr-Latn-RS"/>
              </w:rPr>
            </w:pPr>
          </w:p>
        </w:tc>
        <w:tc>
          <w:tcPr>
            <w:tcW w:w="2266" w:type="dxa"/>
          </w:tcPr>
          <w:p w14:paraId="614D2F8A" w14:textId="77777777" w:rsidR="0046791B" w:rsidRPr="009A4AF5" w:rsidRDefault="0046791B" w:rsidP="0046791B">
            <w:pPr>
              <w:autoSpaceDE w:val="0"/>
              <w:autoSpaceDN w:val="0"/>
              <w:adjustRightInd w:val="0"/>
              <w:rPr>
                <w:sz w:val="22"/>
                <w:szCs w:val="22"/>
              </w:rPr>
            </w:pPr>
            <w:r w:rsidRPr="009A4AF5">
              <w:rPr>
                <w:sz w:val="22"/>
                <w:szCs w:val="22"/>
              </w:rPr>
              <w:t>Aritmija (G3/4: 0,2%)</w:t>
            </w:r>
          </w:p>
          <w:p w14:paraId="6619E6FF" w14:textId="77777777" w:rsidR="0046791B" w:rsidRDefault="0046791B" w:rsidP="0046791B">
            <w:pPr>
              <w:spacing w:after="200" w:line="276" w:lineRule="auto"/>
              <w:rPr>
                <w:rFonts w:eastAsia="Calibri"/>
                <w:sz w:val="22"/>
                <w:szCs w:val="22"/>
                <w:u w:val="single"/>
                <w:lang w:val="sr-Latn-RS"/>
              </w:rPr>
            </w:pPr>
          </w:p>
        </w:tc>
        <w:tc>
          <w:tcPr>
            <w:tcW w:w="2266" w:type="dxa"/>
          </w:tcPr>
          <w:p w14:paraId="0ABFA3B9" w14:textId="77777777" w:rsidR="0046791B" w:rsidRDefault="0046791B" w:rsidP="0046791B">
            <w:pPr>
              <w:spacing w:after="200" w:line="276" w:lineRule="auto"/>
              <w:rPr>
                <w:rFonts w:eastAsia="Calibri"/>
                <w:sz w:val="22"/>
                <w:szCs w:val="22"/>
                <w:u w:val="single"/>
                <w:lang w:val="sr-Latn-RS"/>
              </w:rPr>
            </w:pPr>
          </w:p>
        </w:tc>
      </w:tr>
      <w:tr w:rsidR="0046791B" w14:paraId="11984273" w14:textId="77777777" w:rsidTr="002C66FC">
        <w:tc>
          <w:tcPr>
            <w:tcW w:w="2265" w:type="dxa"/>
          </w:tcPr>
          <w:p w14:paraId="21AD3CEB" w14:textId="6925AC5A" w:rsidR="0046791B" w:rsidRDefault="0046791B" w:rsidP="0046791B">
            <w:pPr>
              <w:spacing w:after="200" w:line="276" w:lineRule="auto"/>
              <w:rPr>
                <w:rFonts w:eastAsia="Calibri"/>
                <w:sz w:val="22"/>
                <w:szCs w:val="22"/>
                <w:u w:val="single"/>
                <w:lang w:val="sr-Latn-RS"/>
              </w:rPr>
            </w:pPr>
            <w:r w:rsidRPr="009A4AF5">
              <w:rPr>
                <w:sz w:val="22"/>
                <w:szCs w:val="22"/>
              </w:rPr>
              <w:t>Vaskularni poreme</w:t>
            </w:r>
            <w:r w:rsidRPr="009A4AF5">
              <w:rPr>
                <w:rFonts w:eastAsia="TimesNewRoman"/>
                <w:sz w:val="22"/>
                <w:szCs w:val="22"/>
              </w:rPr>
              <w:t>ć</w:t>
            </w:r>
            <w:r w:rsidRPr="009A4AF5">
              <w:rPr>
                <w:sz w:val="22"/>
                <w:szCs w:val="22"/>
              </w:rPr>
              <w:t>aji</w:t>
            </w:r>
          </w:p>
        </w:tc>
        <w:tc>
          <w:tcPr>
            <w:tcW w:w="2266" w:type="dxa"/>
            <w:shd w:val="clear" w:color="auto" w:fill="auto"/>
          </w:tcPr>
          <w:p w14:paraId="6551F620" w14:textId="77777777" w:rsidR="0046791B" w:rsidRPr="009A4AF5" w:rsidRDefault="0046791B" w:rsidP="0046791B">
            <w:pPr>
              <w:autoSpaceDE w:val="0"/>
              <w:autoSpaceDN w:val="0"/>
              <w:adjustRightInd w:val="0"/>
              <w:rPr>
                <w:sz w:val="22"/>
                <w:szCs w:val="22"/>
              </w:rPr>
            </w:pPr>
            <w:r w:rsidRPr="009A4AF5">
              <w:rPr>
                <w:sz w:val="22"/>
                <w:szCs w:val="22"/>
              </w:rPr>
              <w:t>Valunzi (G3/4:</w:t>
            </w:r>
          </w:p>
          <w:p w14:paraId="145C0604" w14:textId="77777777" w:rsidR="0046791B" w:rsidRPr="009A4AF5" w:rsidRDefault="0046791B" w:rsidP="0046791B">
            <w:pPr>
              <w:autoSpaceDE w:val="0"/>
              <w:autoSpaceDN w:val="0"/>
              <w:adjustRightInd w:val="0"/>
              <w:rPr>
                <w:sz w:val="22"/>
                <w:szCs w:val="22"/>
              </w:rPr>
            </w:pPr>
            <w:r w:rsidRPr="009A4AF5">
              <w:rPr>
                <w:sz w:val="22"/>
                <w:szCs w:val="22"/>
              </w:rPr>
              <w:t>0,5%)</w:t>
            </w:r>
          </w:p>
          <w:p w14:paraId="0E06C756"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295F7982" w14:textId="77777777" w:rsidR="0046791B" w:rsidRPr="009A4AF5" w:rsidRDefault="0046791B" w:rsidP="0046791B">
            <w:pPr>
              <w:autoSpaceDE w:val="0"/>
              <w:autoSpaceDN w:val="0"/>
              <w:adjustRightInd w:val="0"/>
              <w:rPr>
                <w:sz w:val="22"/>
                <w:szCs w:val="22"/>
              </w:rPr>
            </w:pPr>
            <w:r w:rsidRPr="009A4AF5">
              <w:rPr>
                <w:sz w:val="22"/>
                <w:szCs w:val="22"/>
              </w:rPr>
              <w:t>Hipotenzija (G3/4: 0%);</w:t>
            </w:r>
          </w:p>
          <w:p w14:paraId="4EC53097" w14:textId="77777777" w:rsidR="0046791B" w:rsidRPr="009A4AF5" w:rsidRDefault="0046791B" w:rsidP="0046791B">
            <w:pPr>
              <w:autoSpaceDE w:val="0"/>
              <w:autoSpaceDN w:val="0"/>
              <w:adjustRightInd w:val="0"/>
              <w:rPr>
                <w:sz w:val="22"/>
                <w:szCs w:val="22"/>
              </w:rPr>
            </w:pPr>
            <w:r w:rsidRPr="009A4AF5">
              <w:rPr>
                <w:sz w:val="22"/>
                <w:szCs w:val="22"/>
              </w:rPr>
              <w:t>Flebitis (G3/4: 0%)</w:t>
            </w:r>
          </w:p>
          <w:p w14:paraId="7DE5EBD1" w14:textId="77777777" w:rsidR="0046791B" w:rsidRPr="009A4AF5" w:rsidRDefault="0046791B" w:rsidP="0046791B">
            <w:pPr>
              <w:autoSpaceDE w:val="0"/>
              <w:autoSpaceDN w:val="0"/>
              <w:adjustRightInd w:val="0"/>
              <w:rPr>
                <w:sz w:val="22"/>
                <w:szCs w:val="22"/>
              </w:rPr>
            </w:pPr>
          </w:p>
          <w:p w14:paraId="3519D80E"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78949E65" w14:textId="77777777" w:rsidR="0046791B" w:rsidRPr="009A4AF5" w:rsidRDefault="0046791B" w:rsidP="0046791B">
            <w:pPr>
              <w:autoSpaceDE w:val="0"/>
              <w:autoSpaceDN w:val="0"/>
              <w:adjustRightInd w:val="0"/>
              <w:rPr>
                <w:sz w:val="22"/>
                <w:szCs w:val="22"/>
              </w:rPr>
            </w:pPr>
          </w:p>
          <w:p w14:paraId="788D7110" w14:textId="77777777" w:rsidR="0046791B" w:rsidRPr="009A4AF5" w:rsidRDefault="0046791B" w:rsidP="0046791B">
            <w:pPr>
              <w:autoSpaceDE w:val="0"/>
              <w:autoSpaceDN w:val="0"/>
              <w:adjustRightInd w:val="0"/>
              <w:rPr>
                <w:sz w:val="22"/>
                <w:szCs w:val="22"/>
              </w:rPr>
            </w:pPr>
          </w:p>
          <w:p w14:paraId="65377410" w14:textId="77777777" w:rsidR="0046791B" w:rsidRPr="009A4AF5" w:rsidRDefault="0046791B" w:rsidP="0046791B">
            <w:pPr>
              <w:autoSpaceDE w:val="0"/>
              <w:autoSpaceDN w:val="0"/>
              <w:adjustRightInd w:val="0"/>
              <w:rPr>
                <w:sz w:val="22"/>
                <w:szCs w:val="22"/>
              </w:rPr>
            </w:pPr>
            <w:r w:rsidRPr="009A4AF5">
              <w:rPr>
                <w:sz w:val="22"/>
                <w:szCs w:val="22"/>
              </w:rPr>
              <w:t>Limfedem (G3/4: 0%)</w:t>
            </w:r>
          </w:p>
          <w:p w14:paraId="3B825233" w14:textId="77777777" w:rsidR="0046791B" w:rsidRDefault="0046791B" w:rsidP="0046791B">
            <w:pPr>
              <w:spacing w:after="200" w:line="276" w:lineRule="auto"/>
              <w:rPr>
                <w:rFonts w:eastAsia="Calibri"/>
                <w:sz w:val="22"/>
                <w:szCs w:val="22"/>
                <w:u w:val="single"/>
                <w:lang w:val="sr-Latn-RS"/>
              </w:rPr>
            </w:pPr>
          </w:p>
        </w:tc>
      </w:tr>
      <w:tr w:rsidR="0046791B" w14:paraId="70276104" w14:textId="77777777" w:rsidTr="002C66FC">
        <w:tc>
          <w:tcPr>
            <w:tcW w:w="2265" w:type="dxa"/>
          </w:tcPr>
          <w:p w14:paraId="1B6C7064" w14:textId="77777777" w:rsidR="0046791B" w:rsidRPr="009A4AF5" w:rsidRDefault="0046791B" w:rsidP="0046791B">
            <w:pPr>
              <w:autoSpaceDE w:val="0"/>
              <w:autoSpaceDN w:val="0"/>
              <w:adjustRightInd w:val="0"/>
              <w:rPr>
                <w:sz w:val="22"/>
                <w:szCs w:val="22"/>
              </w:rPr>
            </w:pPr>
            <w:r w:rsidRPr="009A4AF5">
              <w:rPr>
                <w:sz w:val="22"/>
                <w:szCs w:val="22"/>
              </w:rPr>
              <w:lastRenderedPageBreak/>
              <w:t>Respiratorni, torakalni i medijastinalni</w:t>
            </w:r>
          </w:p>
          <w:p w14:paraId="32D1566C" w14:textId="5CB81321" w:rsidR="0046791B" w:rsidRPr="000463B5" w:rsidRDefault="0046791B" w:rsidP="000463B5">
            <w:pPr>
              <w:autoSpaceDE w:val="0"/>
              <w:autoSpaceDN w:val="0"/>
              <w:adjustRightInd w:val="0"/>
              <w:rPr>
                <w:sz w:val="22"/>
                <w:szCs w:val="22"/>
              </w:rPr>
            </w:pPr>
            <w:r w:rsidRPr="009A4AF5">
              <w:rPr>
                <w:sz w:val="22"/>
                <w:szCs w:val="22"/>
              </w:rPr>
              <w:t>poreme</w:t>
            </w:r>
            <w:r w:rsidRPr="009A4AF5">
              <w:rPr>
                <w:rFonts w:eastAsia="TimesNewRoman"/>
                <w:sz w:val="22"/>
                <w:szCs w:val="22"/>
              </w:rPr>
              <w:t>ć</w:t>
            </w:r>
            <w:r w:rsidRPr="009A4AF5">
              <w:rPr>
                <w:sz w:val="22"/>
                <w:szCs w:val="22"/>
              </w:rPr>
              <w:t>aji</w:t>
            </w:r>
          </w:p>
        </w:tc>
        <w:tc>
          <w:tcPr>
            <w:tcW w:w="2266" w:type="dxa"/>
            <w:shd w:val="clear" w:color="auto" w:fill="auto"/>
          </w:tcPr>
          <w:p w14:paraId="23ED2D3A"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3ADC6769" w14:textId="77777777" w:rsidR="0046791B" w:rsidRPr="009A4AF5" w:rsidRDefault="0046791B" w:rsidP="0046791B">
            <w:pPr>
              <w:autoSpaceDE w:val="0"/>
              <w:autoSpaceDN w:val="0"/>
              <w:adjustRightInd w:val="0"/>
              <w:rPr>
                <w:sz w:val="22"/>
                <w:szCs w:val="22"/>
              </w:rPr>
            </w:pPr>
            <w:r w:rsidRPr="009A4AF5">
              <w:rPr>
                <w:sz w:val="22"/>
                <w:szCs w:val="22"/>
              </w:rPr>
              <w:t>Kašalj (G3/4: 0%)</w:t>
            </w:r>
          </w:p>
          <w:p w14:paraId="5CECC231"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01E2AD84" w14:textId="77777777" w:rsidR="0046791B" w:rsidRDefault="0046791B" w:rsidP="0046791B">
            <w:pPr>
              <w:spacing w:after="200" w:line="276" w:lineRule="auto"/>
              <w:rPr>
                <w:rFonts w:eastAsia="Calibri"/>
                <w:sz w:val="22"/>
                <w:szCs w:val="22"/>
                <w:u w:val="single"/>
                <w:lang w:val="sr-Latn-RS"/>
              </w:rPr>
            </w:pPr>
          </w:p>
        </w:tc>
      </w:tr>
      <w:tr w:rsidR="0046791B" w14:paraId="13C81A93" w14:textId="77777777" w:rsidTr="002C66FC">
        <w:tc>
          <w:tcPr>
            <w:tcW w:w="2265" w:type="dxa"/>
          </w:tcPr>
          <w:p w14:paraId="3477E855" w14:textId="77777777" w:rsidR="0046791B" w:rsidRPr="009A4AF5" w:rsidRDefault="0046791B" w:rsidP="0046791B">
            <w:pPr>
              <w:autoSpaceDE w:val="0"/>
              <w:autoSpaceDN w:val="0"/>
              <w:adjustRightInd w:val="0"/>
              <w:rPr>
                <w:sz w:val="22"/>
                <w:szCs w:val="22"/>
              </w:rPr>
            </w:pPr>
            <w:r w:rsidRPr="009A4AF5">
              <w:rPr>
                <w:sz w:val="22"/>
                <w:szCs w:val="22"/>
              </w:rPr>
              <w:t>Gastrointestinalni</w:t>
            </w:r>
          </w:p>
          <w:p w14:paraId="7718DFC4" w14:textId="77777777" w:rsidR="0046791B" w:rsidRPr="009A4AF5" w:rsidRDefault="0046791B" w:rsidP="0046791B">
            <w:pPr>
              <w:autoSpaceDE w:val="0"/>
              <w:autoSpaceDN w:val="0"/>
              <w:adjustRightInd w:val="0"/>
              <w:rPr>
                <w:sz w:val="22"/>
                <w:szCs w:val="22"/>
              </w:rPr>
            </w:pPr>
            <w:r w:rsidRPr="009A4AF5">
              <w:rPr>
                <w:sz w:val="22"/>
                <w:szCs w:val="22"/>
              </w:rPr>
              <w:t>poreme</w:t>
            </w:r>
            <w:r w:rsidRPr="009A4AF5">
              <w:rPr>
                <w:rFonts w:eastAsia="TimesNewRoman"/>
                <w:sz w:val="22"/>
                <w:szCs w:val="22"/>
              </w:rPr>
              <w:t>ć</w:t>
            </w:r>
            <w:r w:rsidRPr="009A4AF5">
              <w:rPr>
                <w:sz w:val="22"/>
                <w:szCs w:val="22"/>
              </w:rPr>
              <w:t>aji</w:t>
            </w:r>
          </w:p>
          <w:p w14:paraId="5F764D93"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104D48B5" w14:textId="77777777" w:rsidR="0046791B" w:rsidRPr="009A4AF5" w:rsidRDefault="0046791B" w:rsidP="0046791B">
            <w:pPr>
              <w:autoSpaceDE w:val="0"/>
              <w:autoSpaceDN w:val="0"/>
              <w:adjustRightInd w:val="0"/>
              <w:rPr>
                <w:sz w:val="22"/>
                <w:szCs w:val="22"/>
              </w:rPr>
            </w:pPr>
            <w:r w:rsidRPr="009A4AF5">
              <w:rPr>
                <w:sz w:val="22"/>
                <w:szCs w:val="22"/>
              </w:rPr>
              <w:t>Mu</w:t>
            </w:r>
            <w:r w:rsidRPr="009A4AF5">
              <w:rPr>
                <w:rFonts w:eastAsia="TimesNewRoman"/>
                <w:sz w:val="22"/>
                <w:szCs w:val="22"/>
              </w:rPr>
              <w:t>č</w:t>
            </w:r>
            <w:r w:rsidRPr="009A4AF5">
              <w:rPr>
                <w:sz w:val="22"/>
                <w:szCs w:val="22"/>
              </w:rPr>
              <w:t>nina (G3/4: 5,0%);</w:t>
            </w:r>
          </w:p>
          <w:p w14:paraId="7FEB0DCF" w14:textId="77777777" w:rsidR="0046791B" w:rsidRPr="009A4AF5" w:rsidRDefault="0046791B" w:rsidP="0046791B">
            <w:pPr>
              <w:autoSpaceDE w:val="0"/>
              <w:autoSpaceDN w:val="0"/>
              <w:adjustRightInd w:val="0"/>
              <w:rPr>
                <w:sz w:val="22"/>
                <w:szCs w:val="22"/>
              </w:rPr>
            </w:pPr>
          </w:p>
          <w:p w14:paraId="777DB808" w14:textId="77777777" w:rsidR="0046791B" w:rsidRPr="009A4AF5" w:rsidRDefault="0046791B" w:rsidP="0046791B">
            <w:pPr>
              <w:autoSpaceDE w:val="0"/>
              <w:autoSpaceDN w:val="0"/>
              <w:adjustRightInd w:val="0"/>
              <w:rPr>
                <w:sz w:val="22"/>
                <w:szCs w:val="22"/>
              </w:rPr>
            </w:pPr>
            <w:r w:rsidRPr="009A4AF5">
              <w:rPr>
                <w:sz w:val="22"/>
                <w:szCs w:val="22"/>
              </w:rPr>
              <w:t>Stomatitis (G3/4: 6,0%);</w:t>
            </w:r>
          </w:p>
          <w:p w14:paraId="2D09F23C" w14:textId="77777777" w:rsidR="0046791B" w:rsidRPr="009A4AF5" w:rsidRDefault="0046791B" w:rsidP="0046791B">
            <w:pPr>
              <w:autoSpaceDE w:val="0"/>
              <w:autoSpaceDN w:val="0"/>
              <w:adjustRightInd w:val="0"/>
              <w:rPr>
                <w:sz w:val="22"/>
                <w:szCs w:val="22"/>
              </w:rPr>
            </w:pPr>
          </w:p>
          <w:p w14:paraId="719EADDA" w14:textId="77777777" w:rsidR="0046791B" w:rsidRPr="009A4AF5" w:rsidRDefault="0046791B" w:rsidP="0046791B">
            <w:pPr>
              <w:autoSpaceDE w:val="0"/>
              <w:autoSpaceDN w:val="0"/>
              <w:adjustRightInd w:val="0"/>
              <w:rPr>
                <w:sz w:val="22"/>
                <w:szCs w:val="22"/>
              </w:rPr>
            </w:pPr>
            <w:r w:rsidRPr="009A4AF5">
              <w:rPr>
                <w:sz w:val="22"/>
                <w:szCs w:val="22"/>
              </w:rPr>
              <w:t>Povraćanje (G3/4: 4,2%);</w:t>
            </w:r>
          </w:p>
          <w:p w14:paraId="6F807E07" w14:textId="77777777" w:rsidR="0046791B" w:rsidRPr="009A4AF5" w:rsidRDefault="0046791B" w:rsidP="0046791B">
            <w:pPr>
              <w:autoSpaceDE w:val="0"/>
              <w:autoSpaceDN w:val="0"/>
              <w:adjustRightInd w:val="0"/>
              <w:rPr>
                <w:sz w:val="22"/>
                <w:szCs w:val="22"/>
              </w:rPr>
            </w:pPr>
          </w:p>
          <w:p w14:paraId="2F6FB9DF" w14:textId="77777777" w:rsidR="0046791B" w:rsidRPr="009A4AF5" w:rsidRDefault="0046791B" w:rsidP="0046791B">
            <w:pPr>
              <w:autoSpaceDE w:val="0"/>
              <w:autoSpaceDN w:val="0"/>
              <w:adjustRightInd w:val="0"/>
              <w:rPr>
                <w:sz w:val="22"/>
                <w:szCs w:val="22"/>
              </w:rPr>
            </w:pPr>
            <w:r w:rsidRPr="009A4AF5">
              <w:rPr>
                <w:sz w:val="22"/>
                <w:szCs w:val="22"/>
              </w:rPr>
              <w:t>Dijareja (G3/4: 3,4%);</w:t>
            </w:r>
          </w:p>
          <w:p w14:paraId="6C3A6611" w14:textId="77777777" w:rsidR="0046791B" w:rsidRPr="009A4AF5" w:rsidRDefault="0046791B" w:rsidP="0046791B">
            <w:pPr>
              <w:autoSpaceDE w:val="0"/>
              <w:autoSpaceDN w:val="0"/>
              <w:adjustRightInd w:val="0"/>
              <w:rPr>
                <w:sz w:val="22"/>
                <w:szCs w:val="22"/>
              </w:rPr>
            </w:pPr>
          </w:p>
          <w:p w14:paraId="588ADE96" w14:textId="1CC2B30E" w:rsidR="0046791B" w:rsidRPr="000463B5" w:rsidRDefault="0046791B" w:rsidP="000463B5">
            <w:pPr>
              <w:autoSpaceDE w:val="0"/>
              <w:autoSpaceDN w:val="0"/>
              <w:adjustRightInd w:val="0"/>
              <w:rPr>
                <w:sz w:val="22"/>
                <w:szCs w:val="22"/>
              </w:rPr>
            </w:pPr>
            <w:r w:rsidRPr="009A4AF5">
              <w:rPr>
                <w:sz w:val="22"/>
                <w:szCs w:val="22"/>
              </w:rPr>
              <w:t>Opstipacija (G3/4: 0,5%)</w:t>
            </w:r>
          </w:p>
        </w:tc>
        <w:tc>
          <w:tcPr>
            <w:tcW w:w="2266" w:type="dxa"/>
            <w:shd w:val="clear" w:color="auto" w:fill="auto"/>
          </w:tcPr>
          <w:p w14:paraId="6EBCF80D" w14:textId="77777777" w:rsidR="0046791B" w:rsidRPr="009A4AF5" w:rsidRDefault="0046791B" w:rsidP="0046791B">
            <w:pPr>
              <w:autoSpaceDE w:val="0"/>
              <w:autoSpaceDN w:val="0"/>
              <w:adjustRightInd w:val="0"/>
              <w:rPr>
                <w:sz w:val="22"/>
                <w:szCs w:val="22"/>
              </w:rPr>
            </w:pPr>
            <w:r w:rsidRPr="009A4AF5">
              <w:rPr>
                <w:sz w:val="22"/>
                <w:szCs w:val="22"/>
              </w:rPr>
              <w:t>Bol u abdomenu (G3/4:</w:t>
            </w:r>
          </w:p>
          <w:p w14:paraId="6284F711" w14:textId="77777777" w:rsidR="0046791B" w:rsidRPr="009A4AF5" w:rsidRDefault="0046791B" w:rsidP="0046791B">
            <w:pPr>
              <w:autoSpaceDE w:val="0"/>
              <w:autoSpaceDN w:val="0"/>
              <w:adjustRightInd w:val="0"/>
              <w:rPr>
                <w:sz w:val="22"/>
                <w:szCs w:val="22"/>
              </w:rPr>
            </w:pPr>
            <w:r w:rsidRPr="009A4AF5">
              <w:rPr>
                <w:sz w:val="22"/>
                <w:szCs w:val="22"/>
              </w:rPr>
              <w:t>0,</w:t>
            </w:r>
            <w:r>
              <w:rPr>
                <w:sz w:val="22"/>
                <w:szCs w:val="22"/>
              </w:rPr>
              <w:t>4</w:t>
            </w:r>
            <w:r w:rsidRPr="009A4AF5">
              <w:rPr>
                <w:sz w:val="22"/>
                <w:szCs w:val="22"/>
              </w:rPr>
              <w:t>%)</w:t>
            </w:r>
          </w:p>
          <w:p w14:paraId="628A06B1" w14:textId="77777777" w:rsidR="0046791B" w:rsidRDefault="0046791B" w:rsidP="0046791B">
            <w:pPr>
              <w:spacing w:after="200" w:line="276" w:lineRule="auto"/>
              <w:rPr>
                <w:rFonts w:eastAsia="Calibri"/>
                <w:sz w:val="22"/>
                <w:szCs w:val="22"/>
                <w:u w:val="single"/>
                <w:lang w:val="sr-Latn-RS"/>
              </w:rPr>
            </w:pPr>
          </w:p>
        </w:tc>
        <w:tc>
          <w:tcPr>
            <w:tcW w:w="2266" w:type="dxa"/>
            <w:shd w:val="clear" w:color="auto" w:fill="auto"/>
          </w:tcPr>
          <w:p w14:paraId="642FAB36" w14:textId="77777777" w:rsidR="0046791B" w:rsidRDefault="0046791B" w:rsidP="0046791B">
            <w:pPr>
              <w:spacing w:after="200" w:line="276" w:lineRule="auto"/>
              <w:rPr>
                <w:rFonts w:eastAsia="Calibri"/>
                <w:sz w:val="22"/>
                <w:szCs w:val="22"/>
                <w:u w:val="single"/>
                <w:lang w:val="sr-Latn-RS"/>
              </w:rPr>
            </w:pPr>
          </w:p>
        </w:tc>
      </w:tr>
      <w:tr w:rsidR="000463B5" w14:paraId="2343A9FD" w14:textId="77777777" w:rsidTr="003A78D0">
        <w:tc>
          <w:tcPr>
            <w:tcW w:w="2265" w:type="dxa"/>
          </w:tcPr>
          <w:p w14:paraId="2BC9D467" w14:textId="77777777" w:rsidR="000463B5" w:rsidRPr="009A4AF5" w:rsidRDefault="000463B5" w:rsidP="000463B5">
            <w:pPr>
              <w:autoSpaceDE w:val="0"/>
              <w:autoSpaceDN w:val="0"/>
              <w:adjustRightInd w:val="0"/>
              <w:rPr>
                <w:sz w:val="22"/>
                <w:szCs w:val="22"/>
              </w:rPr>
            </w:pPr>
            <w:r w:rsidRPr="009A4AF5">
              <w:rPr>
                <w:sz w:val="22"/>
                <w:szCs w:val="22"/>
              </w:rPr>
              <w:t>Poreme</w:t>
            </w:r>
            <w:r w:rsidRPr="009A4AF5">
              <w:rPr>
                <w:rFonts w:eastAsia="TimesNewRoman"/>
                <w:sz w:val="22"/>
                <w:szCs w:val="22"/>
              </w:rPr>
              <w:t>ć</w:t>
            </w:r>
            <w:r w:rsidRPr="009A4AF5">
              <w:rPr>
                <w:sz w:val="22"/>
                <w:szCs w:val="22"/>
              </w:rPr>
              <w:t>aji kože i</w:t>
            </w:r>
          </w:p>
          <w:p w14:paraId="78E634E7" w14:textId="77777777" w:rsidR="000463B5" w:rsidRPr="009A4AF5" w:rsidRDefault="000463B5" w:rsidP="000463B5">
            <w:pPr>
              <w:autoSpaceDE w:val="0"/>
              <w:autoSpaceDN w:val="0"/>
              <w:adjustRightInd w:val="0"/>
              <w:rPr>
                <w:sz w:val="22"/>
                <w:szCs w:val="22"/>
              </w:rPr>
            </w:pPr>
            <w:r w:rsidRPr="009A4AF5">
              <w:rPr>
                <w:sz w:val="22"/>
                <w:szCs w:val="22"/>
              </w:rPr>
              <w:t xml:space="preserve">potkožnog tkiva </w:t>
            </w:r>
          </w:p>
          <w:p w14:paraId="328878AE" w14:textId="77777777" w:rsidR="000463B5" w:rsidRPr="009A4AF5" w:rsidRDefault="000463B5" w:rsidP="000463B5">
            <w:pPr>
              <w:autoSpaceDE w:val="0"/>
              <w:autoSpaceDN w:val="0"/>
              <w:adjustRightInd w:val="0"/>
              <w:rPr>
                <w:sz w:val="22"/>
                <w:szCs w:val="22"/>
              </w:rPr>
            </w:pPr>
          </w:p>
          <w:p w14:paraId="388A814E" w14:textId="77777777" w:rsidR="000463B5" w:rsidRPr="009A4AF5" w:rsidRDefault="000463B5" w:rsidP="000463B5">
            <w:pPr>
              <w:autoSpaceDE w:val="0"/>
              <w:autoSpaceDN w:val="0"/>
              <w:adjustRightInd w:val="0"/>
              <w:rPr>
                <w:sz w:val="22"/>
                <w:szCs w:val="22"/>
              </w:rPr>
            </w:pPr>
          </w:p>
          <w:p w14:paraId="348F5BDD" w14:textId="77777777" w:rsidR="000463B5" w:rsidRPr="009A4AF5" w:rsidRDefault="000463B5" w:rsidP="000463B5">
            <w:pPr>
              <w:autoSpaceDE w:val="0"/>
              <w:autoSpaceDN w:val="0"/>
              <w:adjustRightInd w:val="0"/>
              <w:rPr>
                <w:sz w:val="22"/>
                <w:szCs w:val="22"/>
              </w:rPr>
            </w:pPr>
          </w:p>
          <w:p w14:paraId="7AC3EE8B" w14:textId="77777777" w:rsidR="000463B5" w:rsidRPr="009A4AF5" w:rsidRDefault="000463B5" w:rsidP="000463B5">
            <w:pPr>
              <w:autoSpaceDE w:val="0"/>
              <w:autoSpaceDN w:val="0"/>
              <w:adjustRightInd w:val="0"/>
              <w:rPr>
                <w:sz w:val="22"/>
                <w:szCs w:val="22"/>
              </w:rPr>
            </w:pPr>
          </w:p>
          <w:p w14:paraId="49A352B7" w14:textId="77777777" w:rsidR="000463B5" w:rsidRPr="009A4AF5" w:rsidRDefault="000463B5" w:rsidP="000463B5">
            <w:pPr>
              <w:autoSpaceDE w:val="0"/>
              <w:autoSpaceDN w:val="0"/>
              <w:adjustRightInd w:val="0"/>
              <w:rPr>
                <w:sz w:val="22"/>
                <w:szCs w:val="22"/>
              </w:rPr>
            </w:pPr>
          </w:p>
          <w:p w14:paraId="2C1C65B1" w14:textId="77777777" w:rsidR="000463B5" w:rsidRDefault="000463B5" w:rsidP="000463B5">
            <w:pPr>
              <w:spacing w:after="200" w:line="276" w:lineRule="auto"/>
              <w:rPr>
                <w:rFonts w:eastAsia="Calibri"/>
                <w:sz w:val="22"/>
                <w:szCs w:val="22"/>
                <w:u w:val="single"/>
                <w:lang w:val="sr-Latn-RS"/>
              </w:rPr>
            </w:pPr>
          </w:p>
        </w:tc>
        <w:tc>
          <w:tcPr>
            <w:tcW w:w="2266" w:type="dxa"/>
          </w:tcPr>
          <w:p w14:paraId="19A91904"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Alopecija (uporna: &lt; 3%);</w:t>
            </w:r>
          </w:p>
          <w:p w14:paraId="07315C77" w14:textId="77777777" w:rsidR="000463B5" w:rsidRPr="000463B5" w:rsidRDefault="000463B5" w:rsidP="000463B5">
            <w:pPr>
              <w:autoSpaceDE w:val="0"/>
              <w:autoSpaceDN w:val="0"/>
              <w:adjustRightInd w:val="0"/>
              <w:rPr>
                <w:sz w:val="22"/>
                <w:szCs w:val="22"/>
                <w:lang w:val="sr-Latn-RS"/>
              </w:rPr>
            </w:pPr>
          </w:p>
          <w:p w14:paraId="0BB4E294"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Poremećaji na koži</w:t>
            </w:r>
          </w:p>
          <w:p w14:paraId="3564F4B9"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(G3/4: 0,6%);</w:t>
            </w:r>
          </w:p>
          <w:p w14:paraId="7D0D3671" w14:textId="77777777" w:rsidR="000463B5" w:rsidRPr="000463B5" w:rsidRDefault="000463B5" w:rsidP="000463B5">
            <w:pPr>
              <w:autoSpaceDE w:val="0"/>
              <w:autoSpaceDN w:val="0"/>
              <w:adjustRightInd w:val="0"/>
              <w:rPr>
                <w:sz w:val="22"/>
                <w:szCs w:val="22"/>
                <w:lang w:val="sr-Latn-RS"/>
              </w:rPr>
            </w:pPr>
          </w:p>
          <w:p w14:paraId="7EEE9A10" w14:textId="77777777" w:rsidR="000463B5" w:rsidRPr="009A4AF5" w:rsidRDefault="000463B5" w:rsidP="000463B5">
            <w:pPr>
              <w:autoSpaceDE w:val="0"/>
              <w:autoSpaceDN w:val="0"/>
              <w:adjustRightInd w:val="0"/>
              <w:rPr>
                <w:sz w:val="22"/>
                <w:szCs w:val="22"/>
              </w:rPr>
            </w:pPr>
            <w:r w:rsidRPr="009A4AF5">
              <w:rPr>
                <w:sz w:val="22"/>
                <w:szCs w:val="22"/>
              </w:rPr>
              <w:t>Promjene na noktima</w:t>
            </w:r>
          </w:p>
          <w:p w14:paraId="58760886" w14:textId="5755F243" w:rsidR="000463B5" w:rsidRPr="000463B5" w:rsidRDefault="000463B5" w:rsidP="000463B5">
            <w:pPr>
              <w:autoSpaceDE w:val="0"/>
              <w:autoSpaceDN w:val="0"/>
              <w:adjustRightInd w:val="0"/>
              <w:rPr>
                <w:sz w:val="22"/>
                <w:szCs w:val="22"/>
              </w:rPr>
            </w:pPr>
            <w:r w:rsidRPr="009A4AF5">
              <w:rPr>
                <w:sz w:val="22"/>
                <w:szCs w:val="22"/>
              </w:rPr>
              <w:t>(G3/4: 0,4%)</w:t>
            </w:r>
          </w:p>
        </w:tc>
        <w:tc>
          <w:tcPr>
            <w:tcW w:w="2266" w:type="dxa"/>
          </w:tcPr>
          <w:p w14:paraId="4331D29F" w14:textId="77777777" w:rsidR="000463B5" w:rsidRDefault="000463B5" w:rsidP="000463B5">
            <w:pPr>
              <w:spacing w:after="200" w:line="276" w:lineRule="auto"/>
              <w:rPr>
                <w:rFonts w:eastAsia="Calibri"/>
                <w:sz w:val="22"/>
                <w:szCs w:val="22"/>
                <w:u w:val="single"/>
                <w:lang w:val="sr-Latn-RS"/>
              </w:rPr>
            </w:pPr>
          </w:p>
        </w:tc>
        <w:tc>
          <w:tcPr>
            <w:tcW w:w="2266" w:type="dxa"/>
          </w:tcPr>
          <w:p w14:paraId="696A04B6" w14:textId="77777777" w:rsidR="000463B5" w:rsidRDefault="000463B5" w:rsidP="000463B5">
            <w:pPr>
              <w:spacing w:after="200" w:line="276" w:lineRule="auto"/>
              <w:rPr>
                <w:rFonts w:eastAsia="Calibri"/>
                <w:sz w:val="22"/>
                <w:szCs w:val="22"/>
                <w:u w:val="single"/>
                <w:lang w:val="sr-Latn-RS"/>
              </w:rPr>
            </w:pPr>
          </w:p>
        </w:tc>
      </w:tr>
      <w:tr w:rsidR="000463B5" w14:paraId="0FC27F1B" w14:textId="77777777" w:rsidTr="003A78D0">
        <w:tc>
          <w:tcPr>
            <w:tcW w:w="2265" w:type="dxa"/>
          </w:tcPr>
          <w:p w14:paraId="6EF7ED07" w14:textId="77777777" w:rsidR="000463B5" w:rsidRPr="009A4AF5" w:rsidRDefault="000463B5" w:rsidP="000463B5">
            <w:pPr>
              <w:autoSpaceDE w:val="0"/>
              <w:autoSpaceDN w:val="0"/>
              <w:adjustRightInd w:val="0"/>
              <w:rPr>
                <w:sz w:val="22"/>
                <w:szCs w:val="22"/>
              </w:rPr>
            </w:pPr>
          </w:p>
          <w:p w14:paraId="384D0C32" w14:textId="77777777" w:rsidR="000463B5" w:rsidRPr="009A4AF5" w:rsidRDefault="000463B5" w:rsidP="000463B5">
            <w:pPr>
              <w:autoSpaceDE w:val="0"/>
              <w:autoSpaceDN w:val="0"/>
              <w:adjustRightInd w:val="0"/>
              <w:rPr>
                <w:sz w:val="22"/>
                <w:szCs w:val="22"/>
              </w:rPr>
            </w:pPr>
            <w:r w:rsidRPr="009A4AF5">
              <w:rPr>
                <w:sz w:val="22"/>
                <w:szCs w:val="22"/>
              </w:rPr>
              <w:t>Poreme</w:t>
            </w:r>
            <w:r w:rsidRPr="009A4AF5">
              <w:rPr>
                <w:rFonts w:eastAsia="TimesNewRoman"/>
                <w:sz w:val="22"/>
                <w:szCs w:val="22"/>
              </w:rPr>
              <w:t>ć</w:t>
            </w:r>
            <w:r w:rsidRPr="009A4AF5">
              <w:rPr>
                <w:sz w:val="22"/>
                <w:szCs w:val="22"/>
              </w:rPr>
              <w:t>aji</w:t>
            </w:r>
          </w:p>
          <w:p w14:paraId="7ED9AE4E" w14:textId="77777777" w:rsidR="000463B5" w:rsidRPr="009A4AF5" w:rsidRDefault="000463B5" w:rsidP="000463B5">
            <w:pPr>
              <w:autoSpaceDE w:val="0"/>
              <w:autoSpaceDN w:val="0"/>
              <w:adjustRightInd w:val="0"/>
              <w:rPr>
                <w:sz w:val="22"/>
                <w:szCs w:val="22"/>
              </w:rPr>
            </w:pPr>
            <w:r w:rsidRPr="009A4AF5">
              <w:rPr>
                <w:sz w:val="22"/>
                <w:szCs w:val="22"/>
              </w:rPr>
              <w:t>miši</w:t>
            </w:r>
            <w:r w:rsidRPr="009A4AF5">
              <w:rPr>
                <w:rFonts w:eastAsia="TimesNewRoman"/>
                <w:sz w:val="22"/>
                <w:szCs w:val="22"/>
              </w:rPr>
              <w:t>ć</w:t>
            </w:r>
            <w:r w:rsidRPr="009A4AF5">
              <w:rPr>
                <w:sz w:val="22"/>
                <w:szCs w:val="22"/>
              </w:rPr>
              <w:t>noskeletnog</w:t>
            </w:r>
          </w:p>
          <w:p w14:paraId="0000E5DE" w14:textId="77777777" w:rsidR="000463B5" w:rsidRPr="009A4AF5" w:rsidRDefault="000463B5" w:rsidP="000463B5">
            <w:pPr>
              <w:autoSpaceDE w:val="0"/>
              <w:autoSpaceDN w:val="0"/>
              <w:adjustRightInd w:val="0"/>
              <w:rPr>
                <w:sz w:val="22"/>
                <w:szCs w:val="22"/>
              </w:rPr>
            </w:pPr>
            <w:r w:rsidRPr="009A4AF5">
              <w:rPr>
                <w:sz w:val="22"/>
                <w:szCs w:val="22"/>
              </w:rPr>
              <w:t>sistema i vezivnog tkiva</w:t>
            </w:r>
          </w:p>
          <w:p w14:paraId="7CD11B34" w14:textId="77777777" w:rsidR="000463B5" w:rsidRDefault="000463B5" w:rsidP="000463B5">
            <w:pPr>
              <w:spacing w:after="200" w:line="276" w:lineRule="auto"/>
              <w:rPr>
                <w:rFonts w:eastAsia="Calibri"/>
                <w:sz w:val="22"/>
                <w:szCs w:val="22"/>
                <w:u w:val="single"/>
                <w:lang w:val="sr-Latn-RS"/>
              </w:rPr>
            </w:pPr>
          </w:p>
        </w:tc>
        <w:tc>
          <w:tcPr>
            <w:tcW w:w="2266" w:type="dxa"/>
          </w:tcPr>
          <w:p w14:paraId="3D7F2F1E" w14:textId="77777777" w:rsidR="000463B5" w:rsidRPr="009A4AF5" w:rsidRDefault="000463B5" w:rsidP="000463B5">
            <w:pPr>
              <w:autoSpaceDE w:val="0"/>
              <w:autoSpaceDN w:val="0"/>
              <w:adjustRightInd w:val="0"/>
              <w:rPr>
                <w:sz w:val="22"/>
                <w:szCs w:val="22"/>
              </w:rPr>
            </w:pPr>
          </w:p>
          <w:p w14:paraId="533F77F4" w14:textId="77777777" w:rsidR="000463B5" w:rsidRPr="009A4AF5" w:rsidRDefault="000463B5" w:rsidP="000463B5">
            <w:pPr>
              <w:autoSpaceDE w:val="0"/>
              <w:autoSpaceDN w:val="0"/>
              <w:adjustRightInd w:val="0"/>
              <w:rPr>
                <w:sz w:val="22"/>
                <w:szCs w:val="22"/>
              </w:rPr>
            </w:pPr>
            <w:r w:rsidRPr="009A4AF5">
              <w:rPr>
                <w:sz w:val="22"/>
                <w:szCs w:val="22"/>
              </w:rPr>
              <w:t>Mialgija (G3/4: 0,7%);</w:t>
            </w:r>
          </w:p>
          <w:p w14:paraId="44E99C0A" w14:textId="77777777" w:rsidR="000463B5" w:rsidRPr="009A4AF5" w:rsidRDefault="000463B5" w:rsidP="000463B5">
            <w:pPr>
              <w:autoSpaceDE w:val="0"/>
              <w:autoSpaceDN w:val="0"/>
              <w:adjustRightInd w:val="0"/>
              <w:rPr>
                <w:sz w:val="22"/>
                <w:szCs w:val="22"/>
              </w:rPr>
            </w:pPr>
          </w:p>
          <w:p w14:paraId="7D0D88C8" w14:textId="173BE124" w:rsidR="000463B5" w:rsidRPr="000463B5" w:rsidRDefault="000463B5" w:rsidP="000463B5">
            <w:pPr>
              <w:autoSpaceDE w:val="0"/>
              <w:autoSpaceDN w:val="0"/>
              <w:adjustRightInd w:val="0"/>
              <w:rPr>
                <w:sz w:val="22"/>
                <w:szCs w:val="22"/>
              </w:rPr>
            </w:pPr>
            <w:r w:rsidRPr="009A4AF5">
              <w:rPr>
                <w:sz w:val="22"/>
                <w:szCs w:val="22"/>
              </w:rPr>
              <w:t>Artralgija (G3/4: 0,2%)</w:t>
            </w:r>
          </w:p>
        </w:tc>
        <w:tc>
          <w:tcPr>
            <w:tcW w:w="2266" w:type="dxa"/>
          </w:tcPr>
          <w:p w14:paraId="0B455A45" w14:textId="77777777" w:rsidR="000463B5" w:rsidRDefault="000463B5" w:rsidP="000463B5">
            <w:pPr>
              <w:spacing w:after="200" w:line="276" w:lineRule="auto"/>
              <w:rPr>
                <w:rFonts w:eastAsia="Calibri"/>
                <w:sz w:val="22"/>
                <w:szCs w:val="22"/>
                <w:u w:val="single"/>
                <w:lang w:val="sr-Latn-RS"/>
              </w:rPr>
            </w:pPr>
          </w:p>
        </w:tc>
        <w:tc>
          <w:tcPr>
            <w:tcW w:w="2266" w:type="dxa"/>
          </w:tcPr>
          <w:p w14:paraId="7EA4B50C" w14:textId="77777777" w:rsidR="000463B5" w:rsidRDefault="000463B5" w:rsidP="000463B5">
            <w:pPr>
              <w:spacing w:after="200" w:line="276" w:lineRule="auto"/>
              <w:rPr>
                <w:rFonts w:eastAsia="Calibri"/>
                <w:sz w:val="22"/>
                <w:szCs w:val="22"/>
                <w:u w:val="single"/>
                <w:lang w:val="sr-Latn-RS"/>
              </w:rPr>
            </w:pPr>
          </w:p>
        </w:tc>
      </w:tr>
      <w:tr w:rsidR="000463B5" w14:paraId="5D5F97D4" w14:textId="77777777" w:rsidTr="003A78D0">
        <w:tc>
          <w:tcPr>
            <w:tcW w:w="2265" w:type="dxa"/>
          </w:tcPr>
          <w:p w14:paraId="07902B3A" w14:textId="77777777" w:rsidR="000463B5" w:rsidRPr="009A4AF5" w:rsidRDefault="000463B5" w:rsidP="000463B5">
            <w:pPr>
              <w:autoSpaceDE w:val="0"/>
              <w:autoSpaceDN w:val="0"/>
              <w:adjustRightInd w:val="0"/>
              <w:rPr>
                <w:sz w:val="22"/>
                <w:szCs w:val="22"/>
              </w:rPr>
            </w:pPr>
            <w:r w:rsidRPr="009A4AF5">
              <w:rPr>
                <w:sz w:val="22"/>
                <w:szCs w:val="22"/>
              </w:rPr>
              <w:t>Poreme</w:t>
            </w:r>
            <w:r w:rsidRPr="009A4AF5">
              <w:rPr>
                <w:rFonts w:eastAsia="TimesNewRoman"/>
                <w:sz w:val="22"/>
                <w:szCs w:val="22"/>
              </w:rPr>
              <w:t>ć</w:t>
            </w:r>
            <w:r w:rsidRPr="009A4AF5">
              <w:rPr>
                <w:sz w:val="22"/>
                <w:szCs w:val="22"/>
              </w:rPr>
              <w:t>aji reproduktivnog sistema</w:t>
            </w:r>
          </w:p>
          <w:p w14:paraId="1478011D" w14:textId="6F38DA0C" w:rsidR="000463B5" w:rsidRPr="000463B5" w:rsidRDefault="000463B5" w:rsidP="000463B5">
            <w:pPr>
              <w:autoSpaceDE w:val="0"/>
              <w:autoSpaceDN w:val="0"/>
              <w:adjustRightInd w:val="0"/>
              <w:rPr>
                <w:sz w:val="22"/>
                <w:szCs w:val="22"/>
              </w:rPr>
            </w:pPr>
            <w:r w:rsidRPr="009A4AF5">
              <w:rPr>
                <w:sz w:val="22"/>
                <w:szCs w:val="22"/>
              </w:rPr>
              <w:t>i dojke</w:t>
            </w:r>
          </w:p>
        </w:tc>
        <w:tc>
          <w:tcPr>
            <w:tcW w:w="2266" w:type="dxa"/>
          </w:tcPr>
          <w:p w14:paraId="165EE4A0" w14:textId="77777777" w:rsidR="000463B5" w:rsidRPr="009A4AF5" w:rsidRDefault="000463B5" w:rsidP="000463B5">
            <w:pPr>
              <w:autoSpaceDE w:val="0"/>
              <w:autoSpaceDN w:val="0"/>
              <w:adjustRightInd w:val="0"/>
              <w:rPr>
                <w:sz w:val="22"/>
                <w:szCs w:val="22"/>
              </w:rPr>
            </w:pPr>
            <w:r w:rsidRPr="009A4AF5">
              <w:rPr>
                <w:sz w:val="22"/>
                <w:szCs w:val="22"/>
              </w:rPr>
              <w:t>Amenoreja (G3/4: NA)</w:t>
            </w:r>
          </w:p>
          <w:p w14:paraId="5ACF834F" w14:textId="77777777" w:rsidR="000463B5" w:rsidRDefault="000463B5" w:rsidP="000463B5">
            <w:pPr>
              <w:spacing w:after="200" w:line="276" w:lineRule="auto"/>
              <w:rPr>
                <w:rFonts w:eastAsia="Calibri"/>
                <w:sz w:val="22"/>
                <w:szCs w:val="22"/>
                <w:u w:val="single"/>
                <w:lang w:val="sr-Latn-RS"/>
              </w:rPr>
            </w:pPr>
          </w:p>
        </w:tc>
        <w:tc>
          <w:tcPr>
            <w:tcW w:w="2266" w:type="dxa"/>
          </w:tcPr>
          <w:p w14:paraId="65ED5C5E" w14:textId="77777777" w:rsidR="000463B5" w:rsidRDefault="000463B5" w:rsidP="000463B5">
            <w:pPr>
              <w:spacing w:after="200" w:line="276" w:lineRule="auto"/>
              <w:rPr>
                <w:rFonts w:eastAsia="Calibri"/>
                <w:sz w:val="22"/>
                <w:szCs w:val="22"/>
                <w:u w:val="single"/>
                <w:lang w:val="sr-Latn-RS"/>
              </w:rPr>
            </w:pPr>
          </w:p>
        </w:tc>
        <w:tc>
          <w:tcPr>
            <w:tcW w:w="2266" w:type="dxa"/>
          </w:tcPr>
          <w:p w14:paraId="5DFD66DA" w14:textId="77777777" w:rsidR="000463B5" w:rsidRDefault="000463B5" w:rsidP="000463B5">
            <w:pPr>
              <w:spacing w:after="200" w:line="276" w:lineRule="auto"/>
              <w:rPr>
                <w:rFonts w:eastAsia="Calibri"/>
                <w:sz w:val="22"/>
                <w:szCs w:val="22"/>
                <w:u w:val="single"/>
                <w:lang w:val="sr-Latn-RS"/>
              </w:rPr>
            </w:pPr>
          </w:p>
        </w:tc>
      </w:tr>
      <w:tr w:rsidR="000463B5" w14:paraId="152C9680" w14:textId="77777777" w:rsidTr="003A78D0">
        <w:tc>
          <w:tcPr>
            <w:tcW w:w="2265" w:type="dxa"/>
          </w:tcPr>
          <w:p w14:paraId="51758DAA" w14:textId="77777777" w:rsidR="000463B5" w:rsidRPr="009A4AF5" w:rsidRDefault="000463B5" w:rsidP="000463B5">
            <w:pPr>
              <w:autoSpaceDE w:val="0"/>
              <w:autoSpaceDN w:val="0"/>
              <w:adjustRightInd w:val="0"/>
              <w:rPr>
                <w:sz w:val="22"/>
                <w:szCs w:val="22"/>
              </w:rPr>
            </w:pPr>
            <w:r w:rsidRPr="009A4AF5">
              <w:rPr>
                <w:sz w:val="22"/>
                <w:szCs w:val="22"/>
              </w:rPr>
              <w:t>Opšti poreme</w:t>
            </w:r>
            <w:r w:rsidRPr="009A4AF5">
              <w:rPr>
                <w:rFonts w:eastAsia="TimesNewRoman"/>
                <w:sz w:val="22"/>
                <w:szCs w:val="22"/>
              </w:rPr>
              <w:t>ć</w:t>
            </w:r>
            <w:r w:rsidRPr="009A4AF5">
              <w:rPr>
                <w:sz w:val="22"/>
                <w:szCs w:val="22"/>
              </w:rPr>
              <w:t>aji i</w:t>
            </w:r>
          </w:p>
          <w:p w14:paraId="25C88DCC" w14:textId="77777777" w:rsidR="000463B5" w:rsidRPr="009A4AF5" w:rsidRDefault="000463B5" w:rsidP="000463B5">
            <w:pPr>
              <w:autoSpaceDE w:val="0"/>
              <w:autoSpaceDN w:val="0"/>
              <w:adjustRightInd w:val="0"/>
              <w:rPr>
                <w:sz w:val="22"/>
                <w:szCs w:val="22"/>
              </w:rPr>
            </w:pPr>
            <w:r w:rsidRPr="009A4AF5">
              <w:rPr>
                <w:sz w:val="22"/>
                <w:szCs w:val="22"/>
              </w:rPr>
              <w:t>promjene na mjestu</w:t>
            </w:r>
          </w:p>
          <w:p w14:paraId="19F49930" w14:textId="77777777" w:rsidR="000463B5" w:rsidRPr="009A4AF5" w:rsidRDefault="000463B5" w:rsidP="000463B5">
            <w:pPr>
              <w:autoSpaceDE w:val="0"/>
              <w:autoSpaceDN w:val="0"/>
              <w:adjustRightInd w:val="0"/>
              <w:rPr>
                <w:sz w:val="22"/>
                <w:szCs w:val="22"/>
              </w:rPr>
            </w:pPr>
            <w:r w:rsidRPr="009A4AF5">
              <w:rPr>
                <w:sz w:val="22"/>
                <w:szCs w:val="22"/>
              </w:rPr>
              <w:t>primjene</w:t>
            </w:r>
          </w:p>
          <w:p w14:paraId="51806A59" w14:textId="77777777" w:rsidR="000463B5" w:rsidRDefault="000463B5" w:rsidP="000463B5">
            <w:pPr>
              <w:spacing w:after="200" w:line="276" w:lineRule="auto"/>
              <w:rPr>
                <w:rFonts w:eastAsia="Calibri"/>
                <w:sz w:val="22"/>
                <w:szCs w:val="22"/>
                <w:u w:val="single"/>
                <w:lang w:val="sr-Latn-RS"/>
              </w:rPr>
            </w:pPr>
          </w:p>
        </w:tc>
        <w:tc>
          <w:tcPr>
            <w:tcW w:w="2266" w:type="dxa"/>
          </w:tcPr>
          <w:p w14:paraId="57A58441" w14:textId="77777777" w:rsidR="000463B5" w:rsidRPr="009A4AF5" w:rsidRDefault="000463B5" w:rsidP="000463B5">
            <w:pPr>
              <w:autoSpaceDE w:val="0"/>
              <w:autoSpaceDN w:val="0"/>
              <w:adjustRightInd w:val="0"/>
              <w:rPr>
                <w:sz w:val="22"/>
                <w:szCs w:val="22"/>
              </w:rPr>
            </w:pPr>
            <w:r w:rsidRPr="009A4AF5">
              <w:rPr>
                <w:sz w:val="22"/>
                <w:szCs w:val="22"/>
              </w:rPr>
              <w:t>Astenija (G3/4: 10,0%);</w:t>
            </w:r>
          </w:p>
          <w:p w14:paraId="03CF85D6" w14:textId="77777777" w:rsidR="000463B5" w:rsidRPr="009A4AF5" w:rsidRDefault="000463B5" w:rsidP="000463B5">
            <w:pPr>
              <w:autoSpaceDE w:val="0"/>
              <w:autoSpaceDN w:val="0"/>
              <w:adjustRightInd w:val="0"/>
              <w:rPr>
                <w:sz w:val="22"/>
                <w:szCs w:val="22"/>
              </w:rPr>
            </w:pPr>
          </w:p>
          <w:p w14:paraId="4B4E1C83" w14:textId="77777777" w:rsidR="000463B5" w:rsidRPr="009A4AF5" w:rsidRDefault="000463B5" w:rsidP="000463B5">
            <w:pPr>
              <w:autoSpaceDE w:val="0"/>
              <w:autoSpaceDN w:val="0"/>
              <w:adjustRightInd w:val="0"/>
              <w:rPr>
                <w:sz w:val="22"/>
                <w:szCs w:val="22"/>
              </w:rPr>
            </w:pPr>
            <w:r w:rsidRPr="009A4AF5">
              <w:rPr>
                <w:sz w:val="22"/>
                <w:szCs w:val="22"/>
              </w:rPr>
              <w:t>Povišena tjelesna</w:t>
            </w:r>
          </w:p>
          <w:p w14:paraId="0EA8A928" w14:textId="77777777" w:rsidR="000463B5" w:rsidRPr="009A4AF5" w:rsidRDefault="000463B5" w:rsidP="000463B5">
            <w:pPr>
              <w:autoSpaceDE w:val="0"/>
              <w:autoSpaceDN w:val="0"/>
              <w:adjustRightInd w:val="0"/>
              <w:rPr>
                <w:sz w:val="22"/>
                <w:szCs w:val="22"/>
              </w:rPr>
            </w:pPr>
            <w:r w:rsidRPr="009A4AF5">
              <w:rPr>
                <w:sz w:val="22"/>
                <w:szCs w:val="22"/>
              </w:rPr>
              <w:t>temperatura (G3/4:</w:t>
            </w:r>
          </w:p>
          <w:p w14:paraId="776E15A8" w14:textId="77777777" w:rsidR="000463B5" w:rsidRPr="009A4AF5" w:rsidRDefault="000463B5" w:rsidP="000463B5">
            <w:pPr>
              <w:autoSpaceDE w:val="0"/>
              <w:autoSpaceDN w:val="0"/>
              <w:adjustRightInd w:val="0"/>
              <w:rPr>
                <w:sz w:val="22"/>
                <w:szCs w:val="22"/>
              </w:rPr>
            </w:pPr>
            <w:r w:rsidRPr="009A4AF5">
              <w:rPr>
                <w:sz w:val="22"/>
                <w:szCs w:val="22"/>
              </w:rPr>
              <w:t>NA);</w:t>
            </w:r>
          </w:p>
          <w:p w14:paraId="5541BBBA" w14:textId="77777777" w:rsidR="000463B5" w:rsidRPr="009A4AF5" w:rsidRDefault="000463B5" w:rsidP="000463B5">
            <w:pPr>
              <w:autoSpaceDE w:val="0"/>
              <w:autoSpaceDN w:val="0"/>
              <w:adjustRightInd w:val="0"/>
              <w:rPr>
                <w:sz w:val="22"/>
                <w:szCs w:val="22"/>
              </w:rPr>
            </w:pPr>
          </w:p>
          <w:p w14:paraId="55CBA569" w14:textId="77777777" w:rsidR="000463B5" w:rsidRPr="009A4AF5" w:rsidRDefault="000463B5" w:rsidP="000463B5">
            <w:pPr>
              <w:autoSpaceDE w:val="0"/>
              <w:autoSpaceDN w:val="0"/>
              <w:adjustRightInd w:val="0"/>
              <w:rPr>
                <w:sz w:val="22"/>
                <w:szCs w:val="22"/>
              </w:rPr>
            </w:pPr>
            <w:r w:rsidRPr="009A4AF5">
              <w:rPr>
                <w:sz w:val="22"/>
                <w:szCs w:val="22"/>
              </w:rPr>
              <w:t>Periferni edem (G3/4:</w:t>
            </w:r>
          </w:p>
          <w:p w14:paraId="467CBE02" w14:textId="7311F27F" w:rsidR="000463B5" w:rsidRPr="000463B5" w:rsidRDefault="000463B5" w:rsidP="000463B5">
            <w:pPr>
              <w:autoSpaceDE w:val="0"/>
              <w:autoSpaceDN w:val="0"/>
              <w:adjustRightInd w:val="0"/>
              <w:rPr>
                <w:sz w:val="22"/>
                <w:szCs w:val="22"/>
              </w:rPr>
            </w:pPr>
            <w:r w:rsidRPr="009A4AF5">
              <w:rPr>
                <w:sz w:val="22"/>
                <w:szCs w:val="22"/>
              </w:rPr>
              <w:t>0,2%)</w:t>
            </w:r>
          </w:p>
        </w:tc>
        <w:tc>
          <w:tcPr>
            <w:tcW w:w="2266" w:type="dxa"/>
          </w:tcPr>
          <w:p w14:paraId="0667C0B1" w14:textId="77777777" w:rsidR="000463B5" w:rsidRPr="009A4AF5" w:rsidRDefault="000463B5" w:rsidP="000463B5">
            <w:pPr>
              <w:autoSpaceDE w:val="0"/>
              <w:autoSpaceDN w:val="0"/>
              <w:adjustRightInd w:val="0"/>
              <w:rPr>
                <w:sz w:val="22"/>
                <w:szCs w:val="22"/>
              </w:rPr>
            </w:pPr>
          </w:p>
          <w:p w14:paraId="3A923F39" w14:textId="77777777" w:rsidR="000463B5" w:rsidRDefault="000463B5" w:rsidP="000463B5">
            <w:pPr>
              <w:spacing w:after="200" w:line="276" w:lineRule="auto"/>
              <w:rPr>
                <w:rFonts w:eastAsia="Calibri"/>
                <w:sz w:val="22"/>
                <w:szCs w:val="22"/>
                <w:u w:val="single"/>
                <w:lang w:val="sr-Latn-RS"/>
              </w:rPr>
            </w:pPr>
          </w:p>
        </w:tc>
        <w:tc>
          <w:tcPr>
            <w:tcW w:w="2266" w:type="dxa"/>
          </w:tcPr>
          <w:p w14:paraId="17904826" w14:textId="77777777" w:rsidR="000463B5" w:rsidRDefault="000463B5" w:rsidP="000463B5">
            <w:pPr>
              <w:spacing w:after="200" w:line="276" w:lineRule="auto"/>
              <w:rPr>
                <w:rFonts w:eastAsia="Calibri"/>
                <w:sz w:val="22"/>
                <w:szCs w:val="22"/>
                <w:u w:val="single"/>
                <w:lang w:val="sr-Latn-RS"/>
              </w:rPr>
            </w:pPr>
          </w:p>
        </w:tc>
      </w:tr>
      <w:tr w:rsidR="000463B5" w:rsidRPr="00BB3077" w14:paraId="50B6FE0B" w14:textId="77777777" w:rsidTr="003A78D0">
        <w:tc>
          <w:tcPr>
            <w:tcW w:w="2265" w:type="dxa"/>
          </w:tcPr>
          <w:p w14:paraId="476DC64E" w14:textId="5558058A" w:rsidR="000463B5" w:rsidRDefault="000463B5" w:rsidP="000463B5">
            <w:pPr>
              <w:spacing w:after="200" w:line="276" w:lineRule="auto"/>
              <w:rPr>
                <w:rFonts w:eastAsia="Calibri"/>
                <w:sz w:val="22"/>
                <w:szCs w:val="22"/>
                <w:u w:val="single"/>
                <w:lang w:val="sr-Latn-RS"/>
              </w:rPr>
            </w:pPr>
            <w:r w:rsidRPr="009A4AF5">
              <w:rPr>
                <w:sz w:val="22"/>
                <w:szCs w:val="22"/>
              </w:rPr>
              <w:t>Ispitivanja</w:t>
            </w:r>
          </w:p>
        </w:tc>
        <w:tc>
          <w:tcPr>
            <w:tcW w:w="2266" w:type="dxa"/>
          </w:tcPr>
          <w:p w14:paraId="595D6704" w14:textId="77777777" w:rsidR="000463B5" w:rsidRDefault="000463B5" w:rsidP="000463B5">
            <w:pPr>
              <w:spacing w:after="200" w:line="276" w:lineRule="auto"/>
              <w:rPr>
                <w:rFonts w:eastAsia="Calibri"/>
                <w:sz w:val="22"/>
                <w:szCs w:val="22"/>
                <w:u w:val="single"/>
                <w:lang w:val="sr-Latn-RS"/>
              </w:rPr>
            </w:pPr>
          </w:p>
        </w:tc>
        <w:tc>
          <w:tcPr>
            <w:tcW w:w="2266" w:type="dxa"/>
          </w:tcPr>
          <w:p w14:paraId="2CD97029"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Povećanje težine</w:t>
            </w:r>
          </w:p>
          <w:p w14:paraId="2CB09423"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(G3/4; 0%);</w:t>
            </w:r>
          </w:p>
          <w:p w14:paraId="0D2FC1E2" w14:textId="77777777" w:rsidR="000463B5" w:rsidRPr="000463B5" w:rsidRDefault="000463B5" w:rsidP="000463B5">
            <w:pPr>
              <w:autoSpaceDE w:val="0"/>
              <w:autoSpaceDN w:val="0"/>
              <w:adjustRightInd w:val="0"/>
              <w:rPr>
                <w:sz w:val="22"/>
                <w:szCs w:val="22"/>
                <w:lang w:val="sr-Latn-RS"/>
              </w:rPr>
            </w:pPr>
          </w:p>
          <w:p w14:paraId="7C2DB34B" w14:textId="77777777" w:rsidR="000463B5" w:rsidRPr="000463B5" w:rsidRDefault="000463B5" w:rsidP="000463B5">
            <w:pPr>
              <w:autoSpaceDE w:val="0"/>
              <w:autoSpaceDN w:val="0"/>
              <w:adjustRightInd w:val="0"/>
              <w:rPr>
                <w:sz w:val="22"/>
                <w:szCs w:val="22"/>
                <w:lang w:val="sr-Latn-RS"/>
              </w:rPr>
            </w:pPr>
            <w:r w:rsidRPr="000463B5">
              <w:rPr>
                <w:sz w:val="22"/>
                <w:szCs w:val="22"/>
                <w:lang w:val="sr-Latn-RS"/>
              </w:rPr>
              <w:t>Smanjenje težine</w:t>
            </w:r>
          </w:p>
          <w:p w14:paraId="6F45E5A2" w14:textId="00444D4B" w:rsidR="000463B5" w:rsidRDefault="000463B5" w:rsidP="000463B5">
            <w:pPr>
              <w:spacing w:after="200" w:line="276" w:lineRule="auto"/>
              <w:rPr>
                <w:rFonts w:eastAsia="Calibri"/>
                <w:sz w:val="22"/>
                <w:szCs w:val="22"/>
                <w:u w:val="single"/>
                <w:lang w:val="sr-Latn-RS"/>
              </w:rPr>
            </w:pPr>
            <w:r w:rsidRPr="000463B5">
              <w:rPr>
                <w:sz w:val="22"/>
                <w:szCs w:val="22"/>
                <w:lang w:val="sr-Latn-RS"/>
              </w:rPr>
              <w:t>(G3/4; 0,2%)</w:t>
            </w:r>
          </w:p>
        </w:tc>
        <w:tc>
          <w:tcPr>
            <w:tcW w:w="2266" w:type="dxa"/>
          </w:tcPr>
          <w:p w14:paraId="6787683E" w14:textId="77777777" w:rsidR="000463B5" w:rsidRDefault="000463B5" w:rsidP="000463B5">
            <w:pPr>
              <w:spacing w:after="200" w:line="276" w:lineRule="auto"/>
              <w:rPr>
                <w:rFonts w:eastAsia="Calibri"/>
                <w:sz w:val="22"/>
                <w:szCs w:val="22"/>
                <w:u w:val="single"/>
                <w:lang w:val="sr-Latn-RS"/>
              </w:rPr>
            </w:pPr>
          </w:p>
        </w:tc>
      </w:tr>
    </w:tbl>
    <w:p w14:paraId="7FF7E595" w14:textId="72EDAA18" w:rsidR="003A78D0" w:rsidRDefault="003A78D0" w:rsidP="00A46C9A">
      <w:pPr>
        <w:spacing w:after="200" w:line="276" w:lineRule="auto"/>
        <w:rPr>
          <w:rFonts w:eastAsia="Calibri"/>
          <w:sz w:val="22"/>
          <w:szCs w:val="22"/>
          <w:u w:val="single"/>
          <w:lang w:val="sr-Latn-RS"/>
        </w:rPr>
      </w:pPr>
    </w:p>
    <w:p w14:paraId="6C4EEAA9" w14:textId="77777777" w:rsidR="00684F00" w:rsidRPr="00E47900" w:rsidRDefault="00684F00" w:rsidP="00684F00">
      <w:pPr>
        <w:pStyle w:val="Header"/>
        <w:tabs>
          <w:tab w:val="left" w:pos="284"/>
        </w:tabs>
        <w:rPr>
          <w:iCs/>
          <w:color w:val="000000"/>
          <w:sz w:val="22"/>
          <w:szCs w:val="22"/>
          <w:u w:val="single"/>
          <w:lang w:val="sr-Latn-RS"/>
        </w:rPr>
      </w:pPr>
      <w:r w:rsidRPr="00E47900">
        <w:rPr>
          <w:iCs/>
          <w:color w:val="000000"/>
          <w:sz w:val="22"/>
          <w:szCs w:val="22"/>
          <w:u w:val="single"/>
          <w:lang w:val="sr-Latn-RS"/>
        </w:rPr>
        <w:lastRenderedPageBreak/>
        <w:t>Opis izabranih neželjenih reakcija za adjuvantnu terapiju docetakselom 75 mg/m</w:t>
      </w:r>
      <w:r w:rsidRPr="00E47900">
        <w:rPr>
          <w:sz w:val="22"/>
          <w:szCs w:val="22"/>
          <w:u w:val="single"/>
          <w:vertAlign w:val="superscript"/>
          <w:lang w:val="sr-Latn-RS"/>
        </w:rPr>
        <w:t>2</w:t>
      </w:r>
      <w:r w:rsidRPr="00E47900">
        <w:rPr>
          <w:iCs/>
          <w:color w:val="000000"/>
          <w:sz w:val="22"/>
          <w:szCs w:val="22"/>
          <w:u w:val="single"/>
          <w:lang w:val="sr-Latn-RS"/>
        </w:rPr>
        <w:t xml:space="preserve"> u kombinaciji sa doksorubicinom i ciklofosfamidom kod pacijentkinja sa nodus-pozitivnim (TAX 316) i nodus-negativnim (GEICAM 9805) karcinomom dojke</w:t>
      </w:r>
    </w:p>
    <w:p w14:paraId="2A8D390D" w14:textId="77777777" w:rsidR="00684F00" w:rsidRPr="00E47900" w:rsidRDefault="00684F00" w:rsidP="00684F00">
      <w:pPr>
        <w:pStyle w:val="Header"/>
        <w:tabs>
          <w:tab w:val="left" w:pos="284"/>
        </w:tabs>
        <w:rPr>
          <w:sz w:val="22"/>
          <w:szCs w:val="22"/>
          <w:lang w:val="sr-Latn-RS"/>
        </w:rPr>
      </w:pPr>
    </w:p>
    <w:p w14:paraId="06D271AE" w14:textId="77777777" w:rsidR="00684F00" w:rsidRPr="00E47900" w:rsidRDefault="00684F00" w:rsidP="00684F00">
      <w:pPr>
        <w:autoSpaceDE w:val="0"/>
        <w:autoSpaceDN w:val="0"/>
        <w:adjustRightInd w:val="0"/>
        <w:rPr>
          <w:i/>
          <w:iCs/>
          <w:sz w:val="22"/>
          <w:szCs w:val="22"/>
          <w:u w:val="single"/>
          <w:lang w:val="sr-Latn-RS"/>
        </w:rPr>
      </w:pPr>
      <w:r w:rsidRPr="00E47900">
        <w:rPr>
          <w:i/>
          <w:iCs/>
          <w:sz w:val="22"/>
          <w:szCs w:val="22"/>
          <w:u w:val="single"/>
          <w:lang w:val="sr-Latn-RS"/>
        </w:rPr>
        <w:t>Poremećaji nervnog sistema</w:t>
      </w:r>
    </w:p>
    <w:p w14:paraId="525FDE67" w14:textId="77777777" w:rsidR="00684F00" w:rsidRPr="00E47900" w:rsidRDefault="00684F00" w:rsidP="00684F00">
      <w:pPr>
        <w:autoSpaceDE w:val="0"/>
        <w:autoSpaceDN w:val="0"/>
        <w:adjustRightInd w:val="0"/>
        <w:rPr>
          <w:i/>
          <w:iCs/>
          <w:sz w:val="22"/>
          <w:szCs w:val="22"/>
          <w:lang w:val="sr-Latn-RS"/>
        </w:rPr>
      </w:pPr>
    </w:p>
    <w:p w14:paraId="42E3E61E" w14:textId="77777777" w:rsidR="00684F00" w:rsidRPr="00E47900" w:rsidRDefault="00684F00" w:rsidP="00684F00">
      <w:pPr>
        <w:autoSpaceDE w:val="0"/>
        <w:autoSpaceDN w:val="0"/>
        <w:adjustRightInd w:val="0"/>
        <w:rPr>
          <w:iCs/>
          <w:sz w:val="22"/>
          <w:szCs w:val="22"/>
          <w:lang w:val="sr-Latn-RS"/>
        </w:rPr>
      </w:pPr>
      <w:r w:rsidRPr="00E47900">
        <w:rPr>
          <w:iCs/>
          <w:sz w:val="22"/>
          <w:szCs w:val="22"/>
          <w:lang w:val="sr-Latn-RS"/>
        </w:rPr>
        <w:t>U studiji TAX 316, periferna senzorna neuropatija započela je tokom perioda liječenja i trajala je u periodu praćenja kod 84 pacijenta (11,3%) u TAC grupi i 15 pacijenata (2%) u FAC grupi. Po završetku perioda praćenja (srednje vrijeme praćenja od 8 godina), perifernu senzornu neuropatiju je još uvijek imalo 10 pacijenata (1,3%) koji su bili u TAC grupi i 2 pacijenta (0,3%) koji su bili u FAC grupi. U studiji GEICAM 9805, periferna senzorna neuropatija započela je tokom perioda liječenja i trajala je u periodu praćenja kod 10 pacijenata (1,9%) u TAC grupi i 4 pacijenta (0,8%) u FAC grupi. Po završetku perioda praćenja (srednje vrijeme praćenja od 10 godina i 5 mjeseci), perifernu senzornu neuropatiju je još uvijek imalo 3 pacijenta (0,6%) u TAC grupi i 1 pacijent (0,2%) u FAC grupi.</w:t>
      </w:r>
    </w:p>
    <w:p w14:paraId="3BFFD86D" w14:textId="77777777" w:rsidR="00684F00" w:rsidRPr="00E47900" w:rsidRDefault="00684F00" w:rsidP="00684F00">
      <w:pPr>
        <w:autoSpaceDE w:val="0"/>
        <w:autoSpaceDN w:val="0"/>
        <w:adjustRightInd w:val="0"/>
        <w:rPr>
          <w:i/>
          <w:iCs/>
          <w:sz w:val="22"/>
          <w:szCs w:val="22"/>
          <w:lang w:val="sr-Latn-RS"/>
        </w:rPr>
      </w:pPr>
    </w:p>
    <w:p w14:paraId="611EAB08" w14:textId="77777777" w:rsidR="00684F00" w:rsidRPr="00E47900" w:rsidRDefault="00684F00" w:rsidP="00684F00">
      <w:pPr>
        <w:autoSpaceDE w:val="0"/>
        <w:autoSpaceDN w:val="0"/>
        <w:adjustRightInd w:val="0"/>
        <w:rPr>
          <w:i/>
          <w:iCs/>
          <w:sz w:val="22"/>
          <w:szCs w:val="22"/>
          <w:u w:val="single"/>
          <w:lang w:val="sr-Latn-RS"/>
        </w:rPr>
      </w:pPr>
      <w:r w:rsidRPr="00E47900">
        <w:rPr>
          <w:i/>
          <w:iCs/>
          <w:sz w:val="22"/>
          <w:szCs w:val="22"/>
          <w:u w:val="single"/>
          <w:lang w:val="sr-Latn-RS"/>
        </w:rPr>
        <w:t>Srčani poremećaji</w:t>
      </w:r>
    </w:p>
    <w:p w14:paraId="70943F26" w14:textId="77777777" w:rsidR="00684F00" w:rsidRPr="00E47900" w:rsidRDefault="00684F00" w:rsidP="00684F00">
      <w:pPr>
        <w:autoSpaceDE w:val="0"/>
        <w:autoSpaceDN w:val="0"/>
        <w:adjustRightInd w:val="0"/>
        <w:rPr>
          <w:i/>
          <w:iCs/>
          <w:sz w:val="22"/>
          <w:szCs w:val="22"/>
          <w:lang w:val="sr-Latn-RS"/>
        </w:rPr>
      </w:pPr>
    </w:p>
    <w:p w14:paraId="02478E91" w14:textId="434367EE" w:rsidR="00684F00" w:rsidRPr="00E47900" w:rsidRDefault="00684F00" w:rsidP="00684F00">
      <w:pPr>
        <w:autoSpaceDE w:val="0"/>
        <w:autoSpaceDN w:val="0"/>
        <w:adjustRightInd w:val="0"/>
        <w:rPr>
          <w:iCs/>
          <w:sz w:val="22"/>
          <w:szCs w:val="22"/>
          <w:lang w:val="sr-Latn-RS"/>
        </w:rPr>
      </w:pPr>
      <w:r w:rsidRPr="00E47900">
        <w:rPr>
          <w:iCs/>
          <w:sz w:val="22"/>
          <w:szCs w:val="22"/>
          <w:lang w:val="sr-Latn-RS"/>
        </w:rPr>
        <w:t xml:space="preserve">U studiji TAX 316, 26 pacijenata (3,5%) u TAC grupi i 17 pacijenata (2,3%) u FAC grupi je imalo kongestivnu srčanu </w:t>
      </w:r>
      <w:r w:rsidRPr="00E47900">
        <w:rPr>
          <w:sz w:val="22"/>
          <w:szCs w:val="22"/>
          <w:lang w:val="sr-Latn-RS"/>
        </w:rPr>
        <w:t>insuficijenciju (CHF).</w:t>
      </w:r>
      <w:r w:rsidRPr="00E47900">
        <w:rPr>
          <w:iCs/>
          <w:sz w:val="22"/>
          <w:szCs w:val="22"/>
          <w:lang w:val="sr-Latn-RS"/>
        </w:rPr>
        <w:t xml:space="preserve"> Svima osim jednom pacijentu u svakoj grupi je dijagnostikovan CHF više od 30 dana po završetku perioda liječenja. Dva pacijenta iz TAC grupe i 4 pacijenta iz FAC grupe su </w:t>
      </w:r>
      <w:r w:rsidR="00BD2B3C">
        <w:rPr>
          <w:iCs/>
          <w:sz w:val="22"/>
          <w:szCs w:val="22"/>
          <w:lang w:val="sr-Latn-RS"/>
        </w:rPr>
        <w:t xml:space="preserve">preminuli </w:t>
      </w:r>
      <w:r w:rsidRPr="00E47900">
        <w:rPr>
          <w:iCs/>
          <w:sz w:val="22"/>
          <w:szCs w:val="22"/>
          <w:lang w:val="sr-Latn-RS"/>
        </w:rPr>
        <w:t>od srčane insuficijencije.</w:t>
      </w:r>
    </w:p>
    <w:p w14:paraId="0E350A99" w14:textId="0BF6F4D9" w:rsidR="00684F00" w:rsidRPr="00E47900" w:rsidRDefault="00684F00" w:rsidP="00684F00">
      <w:pPr>
        <w:autoSpaceDE w:val="0"/>
        <w:autoSpaceDN w:val="0"/>
        <w:adjustRightInd w:val="0"/>
        <w:rPr>
          <w:sz w:val="22"/>
          <w:szCs w:val="22"/>
          <w:lang w:val="sr-Latn-RS"/>
        </w:rPr>
      </w:pPr>
      <w:r w:rsidRPr="00E47900">
        <w:rPr>
          <w:sz w:val="22"/>
          <w:szCs w:val="22"/>
          <w:lang w:val="sr-Latn-RS"/>
        </w:rPr>
        <w:t xml:space="preserve">U studiji GEICAM 9805, kod 3 pacijenta (0,6%) u TAC grupi i kod 3 pacijenta (0,6%) u FAC grupi razvila se kongestivna srčana insuficijencija tokom perioda praćenja. Po završetku perioda praćenja (stvarno srednje vrijeme praćenja od 10 godina i 5 mjeseci), nijedan pacijent nije imao CHF u TAC grupi i 1 pacijent u TAC grupi </w:t>
      </w:r>
      <w:r w:rsidR="00BD2B3C">
        <w:rPr>
          <w:sz w:val="22"/>
          <w:szCs w:val="22"/>
          <w:lang w:val="sr-Latn-RS"/>
        </w:rPr>
        <w:t xml:space="preserve">preminuo </w:t>
      </w:r>
      <w:r w:rsidRPr="00E47900">
        <w:rPr>
          <w:sz w:val="22"/>
          <w:szCs w:val="22"/>
          <w:lang w:val="sr-Latn-RS"/>
        </w:rPr>
        <w:t>je od dilatirane kardiomiopatije, a CHF je još uvijek imao 1 pacijent (0,2%) u FAC grupi.</w:t>
      </w:r>
    </w:p>
    <w:p w14:paraId="23E452B9" w14:textId="77777777" w:rsidR="00684F00" w:rsidRPr="00E47900" w:rsidRDefault="00684F00" w:rsidP="00684F00">
      <w:pPr>
        <w:autoSpaceDE w:val="0"/>
        <w:autoSpaceDN w:val="0"/>
        <w:adjustRightInd w:val="0"/>
        <w:rPr>
          <w:i/>
          <w:iCs/>
          <w:sz w:val="22"/>
          <w:szCs w:val="22"/>
          <w:lang w:val="sr-Latn-RS"/>
        </w:rPr>
      </w:pPr>
    </w:p>
    <w:p w14:paraId="09464419" w14:textId="77777777" w:rsidR="00684F00" w:rsidRPr="00E47900" w:rsidRDefault="00684F00" w:rsidP="00684F00">
      <w:pPr>
        <w:autoSpaceDE w:val="0"/>
        <w:autoSpaceDN w:val="0"/>
        <w:adjustRightInd w:val="0"/>
        <w:rPr>
          <w:i/>
          <w:iCs/>
          <w:sz w:val="22"/>
          <w:szCs w:val="22"/>
          <w:u w:val="single"/>
          <w:lang w:val="sr-Latn-RS"/>
        </w:rPr>
      </w:pPr>
      <w:r w:rsidRPr="00E47900">
        <w:rPr>
          <w:i/>
          <w:iCs/>
          <w:sz w:val="22"/>
          <w:szCs w:val="22"/>
          <w:u w:val="single"/>
          <w:lang w:val="sr-Latn-RS"/>
        </w:rPr>
        <w:t>Poremećaji kože i potkožnog tkiva</w:t>
      </w:r>
    </w:p>
    <w:p w14:paraId="67AF3218" w14:textId="77777777" w:rsidR="00684F00" w:rsidRPr="00E47900" w:rsidRDefault="00684F00" w:rsidP="00684F00">
      <w:pPr>
        <w:autoSpaceDE w:val="0"/>
        <w:autoSpaceDN w:val="0"/>
        <w:adjustRightInd w:val="0"/>
        <w:rPr>
          <w:sz w:val="22"/>
          <w:szCs w:val="22"/>
          <w:lang w:val="sr-Latn-RS"/>
        </w:rPr>
      </w:pPr>
    </w:p>
    <w:p w14:paraId="4721B9B4" w14:textId="77777777" w:rsidR="00684F00" w:rsidRPr="00E47900" w:rsidRDefault="00684F00" w:rsidP="00684F00">
      <w:pPr>
        <w:autoSpaceDE w:val="0"/>
        <w:autoSpaceDN w:val="0"/>
        <w:adjustRightInd w:val="0"/>
        <w:rPr>
          <w:sz w:val="22"/>
          <w:szCs w:val="22"/>
          <w:lang w:val="sr-Latn-RS"/>
        </w:rPr>
      </w:pPr>
      <w:r w:rsidRPr="00E47900">
        <w:rPr>
          <w:sz w:val="22"/>
          <w:szCs w:val="22"/>
          <w:lang w:val="sr-Latn-RS"/>
        </w:rPr>
        <w:t xml:space="preserve">U studiji TAX 316, nakon prestanka primjene hemoterapije, tokom perioda praćenja prijavljeno je da se alopecija održala kod 687 od 744 pacijenta koji su bili u TAC grupi (92,3%) i kod 645 od 736 pacijenata koji su bili na terapiji FAC (87,6%). </w:t>
      </w:r>
    </w:p>
    <w:p w14:paraId="73DE194F" w14:textId="77777777" w:rsidR="00684F00" w:rsidRPr="00E47900" w:rsidRDefault="00684F00" w:rsidP="00684F00">
      <w:pPr>
        <w:autoSpaceDE w:val="0"/>
        <w:autoSpaceDN w:val="0"/>
        <w:adjustRightInd w:val="0"/>
        <w:rPr>
          <w:sz w:val="22"/>
          <w:szCs w:val="22"/>
          <w:lang w:val="sr-Latn-RS"/>
        </w:rPr>
      </w:pPr>
      <w:r w:rsidRPr="00E47900">
        <w:rPr>
          <w:sz w:val="22"/>
          <w:szCs w:val="22"/>
          <w:lang w:val="sr-Latn-RS"/>
        </w:rPr>
        <w:t>Po završetku perioda praćenja (stvarno srednje vrijeme praćenja od 8 godina), alopeciju je još uvijek imalo 29 pacijenata koji su bili u TAC grupi (3,9%) i 16 pacijenata koji su bili i u FAC grupi (2,2%).</w:t>
      </w:r>
    </w:p>
    <w:p w14:paraId="2A7DF39F" w14:textId="77777777" w:rsidR="00684F00" w:rsidRPr="00E47900" w:rsidRDefault="00684F00" w:rsidP="00684F00">
      <w:pPr>
        <w:autoSpaceDE w:val="0"/>
        <w:autoSpaceDN w:val="0"/>
        <w:adjustRightInd w:val="0"/>
        <w:rPr>
          <w:sz w:val="22"/>
          <w:szCs w:val="22"/>
          <w:lang w:val="sr-Latn-RS"/>
        </w:rPr>
      </w:pPr>
    </w:p>
    <w:p w14:paraId="3CF7E16B" w14:textId="77777777" w:rsidR="00684F00" w:rsidRPr="00E47900" w:rsidRDefault="00684F00" w:rsidP="00684F00">
      <w:pPr>
        <w:autoSpaceDE w:val="0"/>
        <w:autoSpaceDN w:val="0"/>
        <w:adjustRightInd w:val="0"/>
        <w:rPr>
          <w:sz w:val="22"/>
          <w:szCs w:val="22"/>
          <w:lang w:val="sr-Latn-RS"/>
        </w:rPr>
      </w:pPr>
      <w:r w:rsidRPr="00E47900">
        <w:rPr>
          <w:sz w:val="22"/>
          <w:szCs w:val="22"/>
          <w:lang w:val="sr-Latn-RS"/>
        </w:rPr>
        <w:t>U studiji GEICAM 9805, alopecija koja je započela tokom perioda liječenja i koja je bila prisutna u periodu praćenja nastavila se kod 49 pacijenata (9,2%) u TAC grupi i 35 pacijenata (6,7%) u FAC grupi. Alopecija povezana sa ispitivanim lijekom počela je ili se pogoršala tokom perioda praćenja kod 42 pacijenta (7,9%) u TAC grupi i kod 30 pacijenata (5,8%) u FAC grupi. Po završetku perioda praćenja (srednje vrijeme praćenja od 10 godina i 5 mjeseci), alopeciju je još uvijek imalo 3 pacijenta (0,6%) u TAC grupi i 1 pacijent (0,2%) u FAC grupi.</w:t>
      </w:r>
    </w:p>
    <w:p w14:paraId="0C8FAABA" w14:textId="77777777" w:rsidR="00684F00" w:rsidRPr="00E47900" w:rsidRDefault="00684F00" w:rsidP="00684F00">
      <w:pPr>
        <w:autoSpaceDE w:val="0"/>
        <w:autoSpaceDN w:val="0"/>
        <w:adjustRightInd w:val="0"/>
        <w:rPr>
          <w:i/>
          <w:iCs/>
          <w:sz w:val="22"/>
          <w:szCs w:val="22"/>
          <w:lang w:val="sr-Latn-RS"/>
        </w:rPr>
      </w:pPr>
    </w:p>
    <w:p w14:paraId="7E9567C6" w14:textId="77777777" w:rsidR="00684F00" w:rsidRPr="00E47900" w:rsidRDefault="00684F00" w:rsidP="00684F00">
      <w:pPr>
        <w:keepNext/>
        <w:autoSpaceDE w:val="0"/>
        <w:autoSpaceDN w:val="0"/>
        <w:adjustRightInd w:val="0"/>
        <w:rPr>
          <w:i/>
          <w:iCs/>
          <w:sz w:val="22"/>
          <w:szCs w:val="22"/>
          <w:u w:val="single"/>
          <w:lang w:val="sr-Latn-RS"/>
        </w:rPr>
      </w:pPr>
      <w:r w:rsidRPr="00E47900">
        <w:rPr>
          <w:i/>
          <w:iCs/>
          <w:sz w:val="22"/>
          <w:szCs w:val="22"/>
          <w:u w:val="single"/>
          <w:lang w:val="sr-Latn-RS"/>
        </w:rPr>
        <w:t>Poremećaji reproduktivnog sistema i dojke</w:t>
      </w:r>
    </w:p>
    <w:p w14:paraId="44BB1EB3" w14:textId="77777777" w:rsidR="00684F00" w:rsidRPr="00E47900" w:rsidRDefault="00684F00" w:rsidP="00684F00">
      <w:pPr>
        <w:keepNext/>
        <w:autoSpaceDE w:val="0"/>
        <w:autoSpaceDN w:val="0"/>
        <w:adjustRightInd w:val="0"/>
        <w:rPr>
          <w:i/>
          <w:iCs/>
          <w:sz w:val="22"/>
          <w:szCs w:val="22"/>
          <w:lang w:val="sr-Latn-RS"/>
        </w:rPr>
      </w:pPr>
    </w:p>
    <w:p w14:paraId="599597F6" w14:textId="77777777" w:rsidR="00684F00" w:rsidRPr="00E47900" w:rsidRDefault="00684F00" w:rsidP="00684F00">
      <w:pPr>
        <w:autoSpaceDE w:val="0"/>
        <w:autoSpaceDN w:val="0"/>
        <w:adjustRightInd w:val="0"/>
        <w:rPr>
          <w:sz w:val="22"/>
          <w:szCs w:val="22"/>
          <w:lang w:val="sr-Latn-RS"/>
        </w:rPr>
      </w:pPr>
      <w:r w:rsidRPr="00E47900">
        <w:rPr>
          <w:iCs/>
          <w:sz w:val="22"/>
          <w:szCs w:val="22"/>
          <w:lang w:val="sr-Latn-RS"/>
        </w:rPr>
        <w:t xml:space="preserve">U studiji TAX316, amenoreju koja je započela tokom perioda liječenja i koja je bila prisutna u periodu praćenja po završetku hemoterapije imalo je 202 od 744 pacijentkinja u TAC grupi (27,2%) i 125 od 736 pacijentkinja u FAC grupi (17,0%). </w:t>
      </w:r>
      <w:r w:rsidRPr="00E47900">
        <w:rPr>
          <w:sz w:val="22"/>
          <w:szCs w:val="22"/>
          <w:lang w:val="sr-Latn-RS"/>
        </w:rPr>
        <w:t>Po završetku perioda praćenja (srednje vrijeme praćenja od 8 godina), amenoreju je još uvijek imalo 121 od 744 pacijentkinja u TAC grupi (16,3%) i 86 pacijentkinja u FAC grupi (11,7%).</w:t>
      </w:r>
    </w:p>
    <w:p w14:paraId="5AF39786" w14:textId="77777777" w:rsidR="00684F00" w:rsidRPr="00E47900" w:rsidRDefault="00684F00" w:rsidP="00684F00">
      <w:pPr>
        <w:autoSpaceDE w:val="0"/>
        <w:autoSpaceDN w:val="0"/>
        <w:adjustRightInd w:val="0"/>
        <w:rPr>
          <w:sz w:val="22"/>
          <w:szCs w:val="22"/>
          <w:lang w:val="sr-Latn-RS"/>
        </w:rPr>
      </w:pPr>
    </w:p>
    <w:p w14:paraId="4E08E3BE" w14:textId="77777777" w:rsidR="00684F00" w:rsidRPr="00E47900" w:rsidRDefault="00684F00" w:rsidP="00684F00">
      <w:pPr>
        <w:autoSpaceDE w:val="0"/>
        <w:autoSpaceDN w:val="0"/>
        <w:adjustRightInd w:val="0"/>
        <w:rPr>
          <w:iCs/>
          <w:sz w:val="22"/>
          <w:szCs w:val="22"/>
          <w:lang w:val="sr-Latn-RS"/>
        </w:rPr>
      </w:pPr>
      <w:r w:rsidRPr="00E47900">
        <w:rPr>
          <w:iCs/>
          <w:sz w:val="22"/>
          <w:szCs w:val="22"/>
          <w:lang w:val="sr-Latn-RS"/>
        </w:rPr>
        <w:t xml:space="preserve">U studiji GEICAM 9805, amenoreja koja je započela tokom perioda liječenja i koja je bila prisutna u periodu praćenja nastavila se kod 18 </w:t>
      </w:r>
      <w:r w:rsidRPr="00E47900">
        <w:rPr>
          <w:sz w:val="22"/>
          <w:szCs w:val="22"/>
          <w:lang w:val="sr-Latn-RS"/>
        </w:rPr>
        <w:t xml:space="preserve">pacijentkinja </w:t>
      </w:r>
      <w:r w:rsidRPr="00E47900">
        <w:rPr>
          <w:iCs/>
          <w:sz w:val="22"/>
          <w:szCs w:val="22"/>
          <w:lang w:val="sr-Latn-RS"/>
        </w:rPr>
        <w:t xml:space="preserve">(3,4%) u TAC grupi i 5 </w:t>
      </w:r>
      <w:r w:rsidRPr="00E47900">
        <w:rPr>
          <w:sz w:val="22"/>
          <w:szCs w:val="22"/>
          <w:lang w:val="sr-Latn-RS"/>
        </w:rPr>
        <w:t xml:space="preserve">pacijentkinja </w:t>
      </w:r>
      <w:r w:rsidRPr="00E47900">
        <w:rPr>
          <w:iCs/>
          <w:sz w:val="22"/>
          <w:szCs w:val="22"/>
          <w:lang w:val="sr-Latn-RS"/>
        </w:rPr>
        <w:t xml:space="preserve">(1,0%) u FAC grupi. Po završetku perioda praćenja (srednje vrijeme praćenja od 10 godina i 5 mjeseci), amenoreju je još uvijek imalo 7 </w:t>
      </w:r>
      <w:r w:rsidRPr="00E47900">
        <w:rPr>
          <w:sz w:val="22"/>
          <w:szCs w:val="22"/>
          <w:lang w:val="sr-Latn-RS"/>
        </w:rPr>
        <w:t xml:space="preserve">pacijentkinja </w:t>
      </w:r>
      <w:r w:rsidRPr="00E47900">
        <w:rPr>
          <w:iCs/>
          <w:sz w:val="22"/>
          <w:szCs w:val="22"/>
          <w:lang w:val="sr-Latn-RS"/>
        </w:rPr>
        <w:t xml:space="preserve">(1,3%) u TAC grupi i 4 </w:t>
      </w:r>
      <w:r w:rsidRPr="00E47900">
        <w:rPr>
          <w:sz w:val="22"/>
          <w:szCs w:val="22"/>
          <w:lang w:val="sr-Latn-RS"/>
        </w:rPr>
        <w:t xml:space="preserve">pacijentkinje </w:t>
      </w:r>
      <w:r w:rsidRPr="00E47900">
        <w:rPr>
          <w:iCs/>
          <w:sz w:val="22"/>
          <w:szCs w:val="22"/>
          <w:lang w:val="sr-Latn-RS"/>
        </w:rPr>
        <w:t>(0,8%) u FAC grupi.</w:t>
      </w:r>
    </w:p>
    <w:p w14:paraId="4615D7B9" w14:textId="77777777" w:rsidR="00684F00" w:rsidRPr="00E47900" w:rsidRDefault="00684F00" w:rsidP="00684F00">
      <w:pPr>
        <w:autoSpaceDE w:val="0"/>
        <w:autoSpaceDN w:val="0"/>
        <w:adjustRightInd w:val="0"/>
        <w:rPr>
          <w:i/>
          <w:iCs/>
          <w:sz w:val="22"/>
          <w:szCs w:val="22"/>
          <w:lang w:val="sr-Latn-RS"/>
        </w:rPr>
      </w:pPr>
    </w:p>
    <w:p w14:paraId="4F01BD08" w14:textId="77777777" w:rsidR="00684F00" w:rsidRPr="009A4AF5" w:rsidRDefault="00684F00" w:rsidP="00684F00">
      <w:pPr>
        <w:autoSpaceDE w:val="0"/>
        <w:autoSpaceDN w:val="0"/>
        <w:adjustRightInd w:val="0"/>
        <w:rPr>
          <w:i/>
          <w:iCs/>
          <w:sz w:val="22"/>
          <w:szCs w:val="22"/>
          <w:u w:val="single"/>
        </w:rPr>
      </w:pPr>
      <w:r w:rsidRPr="009A4AF5">
        <w:rPr>
          <w:i/>
          <w:iCs/>
          <w:sz w:val="22"/>
          <w:szCs w:val="22"/>
          <w:u w:val="single"/>
        </w:rPr>
        <w:t>Opšti poremećaji i promjene na mjestu aplikacije</w:t>
      </w:r>
    </w:p>
    <w:p w14:paraId="10BDBA2B" w14:textId="77777777" w:rsidR="00684F00" w:rsidRPr="009A4AF5" w:rsidRDefault="00684F00" w:rsidP="00684F00">
      <w:pPr>
        <w:autoSpaceDE w:val="0"/>
        <w:autoSpaceDN w:val="0"/>
        <w:adjustRightInd w:val="0"/>
        <w:rPr>
          <w:sz w:val="22"/>
          <w:szCs w:val="22"/>
        </w:rPr>
      </w:pPr>
    </w:p>
    <w:p w14:paraId="599BCA6D" w14:textId="77777777" w:rsidR="00684F00" w:rsidRDefault="00684F00" w:rsidP="00684F00">
      <w:pPr>
        <w:autoSpaceDE w:val="0"/>
        <w:autoSpaceDN w:val="0"/>
        <w:adjustRightInd w:val="0"/>
        <w:rPr>
          <w:sz w:val="22"/>
          <w:szCs w:val="22"/>
        </w:rPr>
      </w:pPr>
      <w:r w:rsidRPr="009A4AF5">
        <w:rPr>
          <w:sz w:val="22"/>
          <w:szCs w:val="22"/>
        </w:rPr>
        <w:lastRenderedPageBreak/>
        <w:t>U studiji TAX</w:t>
      </w:r>
      <w:r>
        <w:rPr>
          <w:sz w:val="22"/>
          <w:szCs w:val="22"/>
        </w:rPr>
        <w:t xml:space="preserve"> </w:t>
      </w:r>
      <w:r w:rsidRPr="009A4AF5">
        <w:rPr>
          <w:sz w:val="22"/>
          <w:szCs w:val="22"/>
        </w:rPr>
        <w:t>316, periferni edem koji je započeo tokom perioda liječenja i koji je bio prisutan u periodu praćenja po završetku hemoterapije imalo je 119 od 744 pacijenta u TAC grupi (16,0%) i 23 od 736 pacijenata u FAC grupi (3,1%). Po završetku perioda praćenja (stvarno srednje vrijeme praćenja od 8 godina), periferni edem je još uvijek imalo 19 pacijenata u TAC grupi (2,6%) i 4 pacijenta u FAC grupi (0,5%).</w:t>
      </w:r>
    </w:p>
    <w:p w14:paraId="48B1AA63" w14:textId="77777777" w:rsidR="00684F00" w:rsidRPr="009A4AF5" w:rsidRDefault="00684F00" w:rsidP="00684F00">
      <w:pPr>
        <w:autoSpaceDE w:val="0"/>
        <w:autoSpaceDN w:val="0"/>
        <w:adjustRightInd w:val="0"/>
        <w:rPr>
          <w:sz w:val="22"/>
          <w:szCs w:val="22"/>
        </w:rPr>
      </w:pPr>
    </w:p>
    <w:p w14:paraId="62E27C4B" w14:textId="77777777" w:rsidR="00684F00" w:rsidRPr="009A4AF5" w:rsidRDefault="00684F00" w:rsidP="00684F00">
      <w:pPr>
        <w:autoSpaceDE w:val="0"/>
        <w:autoSpaceDN w:val="0"/>
        <w:adjustRightInd w:val="0"/>
        <w:rPr>
          <w:sz w:val="22"/>
          <w:szCs w:val="22"/>
        </w:rPr>
      </w:pPr>
      <w:r w:rsidRPr="009A4AF5">
        <w:rPr>
          <w:sz w:val="22"/>
          <w:szCs w:val="22"/>
        </w:rPr>
        <w:t>U studiji TAX</w:t>
      </w:r>
      <w:r>
        <w:rPr>
          <w:sz w:val="22"/>
          <w:szCs w:val="22"/>
        </w:rPr>
        <w:t xml:space="preserve"> </w:t>
      </w:r>
      <w:r w:rsidRPr="009A4AF5">
        <w:rPr>
          <w:sz w:val="22"/>
          <w:szCs w:val="22"/>
        </w:rPr>
        <w:t>316, limfoedem koji je započeo tokom perioda liječenja i koji je bio prisutan u periodu praćenja po završetku hemoterapije imalo je 11 od 744 pacijenta u TAC grupi (1,5%) i 1 od 736 pacijenata u FAC grupi (0,1%). Po završetku perioda praćenja (stvarno srednje vrijeme praćenja od 8 godina), limfoedem je još uvijek imalo 6 pacijenata u TAC grupi (0,8%) i 4 pacijenta u FAC grupi (0,1%).</w:t>
      </w:r>
    </w:p>
    <w:p w14:paraId="25C72B67" w14:textId="77777777" w:rsidR="00684F00" w:rsidRPr="009A4AF5" w:rsidRDefault="00684F00" w:rsidP="00684F00">
      <w:pPr>
        <w:autoSpaceDE w:val="0"/>
        <w:autoSpaceDN w:val="0"/>
        <w:adjustRightInd w:val="0"/>
        <w:rPr>
          <w:sz w:val="22"/>
          <w:szCs w:val="22"/>
        </w:rPr>
      </w:pPr>
    </w:p>
    <w:p w14:paraId="64D8E64F" w14:textId="77777777" w:rsidR="00684F00" w:rsidRPr="009A4AF5" w:rsidRDefault="00684F00" w:rsidP="00684F00">
      <w:pPr>
        <w:autoSpaceDE w:val="0"/>
        <w:autoSpaceDN w:val="0"/>
        <w:adjustRightInd w:val="0"/>
        <w:rPr>
          <w:sz w:val="22"/>
          <w:szCs w:val="22"/>
        </w:rPr>
      </w:pPr>
      <w:r w:rsidRPr="009A4AF5">
        <w:rPr>
          <w:sz w:val="22"/>
          <w:szCs w:val="22"/>
        </w:rPr>
        <w:t>U studiji TAX</w:t>
      </w:r>
      <w:r>
        <w:rPr>
          <w:sz w:val="22"/>
          <w:szCs w:val="22"/>
        </w:rPr>
        <w:t xml:space="preserve"> </w:t>
      </w:r>
      <w:r w:rsidRPr="009A4AF5">
        <w:rPr>
          <w:sz w:val="22"/>
          <w:szCs w:val="22"/>
        </w:rPr>
        <w:t>316, asteniju koja je započela tokom perioda liječenja i koja je bila prisutna u periodu praćenja po završetku hemoterapije imalo je 236 od 744 pacijenta u TAC grupi (31,7%) i 180 od 736 pacijenata u FAC grupi (24,5%). Po završetku perioda praćenja (stvarno srednje vrijeme praćenja od 8 godina), asteniju je još uvijek imalo 29 pacijenata u TAC grupi (3,9%) i 16 pacijenata u FAC grupi (2,2%).</w:t>
      </w:r>
    </w:p>
    <w:p w14:paraId="70084102" w14:textId="77777777" w:rsidR="00684F00" w:rsidRPr="009A4AF5" w:rsidRDefault="00684F00" w:rsidP="00684F00">
      <w:pPr>
        <w:autoSpaceDE w:val="0"/>
        <w:autoSpaceDN w:val="0"/>
        <w:adjustRightInd w:val="0"/>
        <w:rPr>
          <w:sz w:val="22"/>
          <w:szCs w:val="22"/>
        </w:rPr>
      </w:pPr>
    </w:p>
    <w:p w14:paraId="07B2E18A" w14:textId="77777777" w:rsidR="00684F00" w:rsidRDefault="00684F00" w:rsidP="00684F00">
      <w:pPr>
        <w:autoSpaceDE w:val="0"/>
        <w:autoSpaceDN w:val="0"/>
        <w:adjustRightInd w:val="0"/>
        <w:rPr>
          <w:sz w:val="22"/>
          <w:szCs w:val="22"/>
        </w:rPr>
      </w:pPr>
      <w:r w:rsidRPr="009A4AF5">
        <w:rPr>
          <w:sz w:val="22"/>
          <w:szCs w:val="22"/>
        </w:rPr>
        <w:t>U studiji GEICAM 9805, periferni edem koji je započeo tokom perioda liječenja nastavio se u periodu praćenja kod 4 pacijenta (0,8%) u TAC grupi i 2 pacijenta (0,4%) u FAC grupi. Po završetku perioda praćenja (srednje vrijeme praćenja od 10 godina i 5 mjeseci), nijedan pacijent (0%) u TAC grupi nije imao periferni edem, a još uvijek ga je imao 1 pacijent (0,2%) u FAC grupi. Limfoedem koji je započeo tokom perioda liječenja nastavio se u periodu praćenja kod 5 pacijenata (0,9%) u TAC grupi i 2 pacijenta (0,4 %) u FAC grupi. Po završetku perioda praćenja, limfoedem su još uvijek imala 4 pacijenta (0,8%) u TAC grupi i 1 pacijent (0,2%) u FAC grupi.</w:t>
      </w:r>
    </w:p>
    <w:p w14:paraId="74832FB0" w14:textId="77777777" w:rsidR="00684F00" w:rsidRDefault="00684F00" w:rsidP="00684F00">
      <w:pPr>
        <w:autoSpaceDE w:val="0"/>
        <w:autoSpaceDN w:val="0"/>
        <w:adjustRightInd w:val="0"/>
        <w:rPr>
          <w:sz w:val="22"/>
          <w:szCs w:val="22"/>
        </w:rPr>
      </w:pPr>
    </w:p>
    <w:p w14:paraId="67C97ADB" w14:textId="77777777" w:rsidR="00684F00" w:rsidRPr="009A4AF5" w:rsidRDefault="00684F00" w:rsidP="00684F00">
      <w:pPr>
        <w:autoSpaceDE w:val="0"/>
        <w:autoSpaceDN w:val="0"/>
        <w:adjustRightInd w:val="0"/>
        <w:rPr>
          <w:sz w:val="22"/>
          <w:szCs w:val="22"/>
        </w:rPr>
      </w:pPr>
      <w:r w:rsidRPr="009A4AF5">
        <w:rPr>
          <w:sz w:val="22"/>
          <w:szCs w:val="22"/>
        </w:rPr>
        <w:t>Astenija koja je započela tokom perioda liječenja i koja je bila prisutna u periodu praćenja nastavila se kod 12 pacijenata (2,3%) u TAC grupi i 4 pacijenta (0,8%) u FAC grupi. Po završetku perioda praćenja, asteniju su još uvijek imala 2 pacijenta (0,4%) u TAC grupi i 2 pacijenta (0,4%) u FAC grupi.</w:t>
      </w:r>
    </w:p>
    <w:p w14:paraId="377B1095" w14:textId="77777777" w:rsidR="00684F00" w:rsidRPr="009A4AF5" w:rsidRDefault="00684F00" w:rsidP="00684F00">
      <w:pPr>
        <w:autoSpaceDE w:val="0"/>
        <w:autoSpaceDN w:val="0"/>
        <w:adjustRightInd w:val="0"/>
        <w:rPr>
          <w:sz w:val="22"/>
          <w:szCs w:val="22"/>
        </w:rPr>
      </w:pPr>
    </w:p>
    <w:p w14:paraId="0737E29F" w14:textId="77777777" w:rsidR="00684F00" w:rsidRPr="009A4AF5" w:rsidRDefault="00684F00" w:rsidP="00684F00">
      <w:pPr>
        <w:autoSpaceDE w:val="0"/>
        <w:autoSpaceDN w:val="0"/>
        <w:adjustRightInd w:val="0"/>
        <w:rPr>
          <w:i/>
          <w:sz w:val="22"/>
          <w:szCs w:val="22"/>
          <w:u w:val="single"/>
        </w:rPr>
      </w:pPr>
      <w:r w:rsidRPr="009A4AF5">
        <w:rPr>
          <w:i/>
          <w:sz w:val="22"/>
          <w:szCs w:val="22"/>
          <w:u w:val="single"/>
        </w:rPr>
        <w:t>Akutna leukemija/mijelodispastični sindrom</w:t>
      </w:r>
    </w:p>
    <w:p w14:paraId="05FDB3F9" w14:textId="77777777" w:rsidR="00684F00" w:rsidRPr="009A4AF5" w:rsidRDefault="00684F00" w:rsidP="00684F00">
      <w:pPr>
        <w:autoSpaceDE w:val="0"/>
        <w:autoSpaceDN w:val="0"/>
        <w:adjustRightInd w:val="0"/>
        <w:rPr>
          <w:sz w:val="22"/>
          <w:szCs w:val="22"/>
        </w:rPr>
      </w:pPr>
    </w:p>
    <w:p w14:paraId="70EE127F" w14:textId="1C1BE514" w:rsidR="00684F00" w:rsidRPr="009A4AF5" w:rsidRDefault="00684F00" w:rsidP="00684F00">
      <w:pPr>
        <w:autoSpaceDE w:val="0"/>
        <w:autoSpaceDN w:val="0"/>
        <w:adjustRightInd w:val="0"/>
        <w:rPr>
          <w:sz w:val="22"/>
          <w:szCs w:val="22"/>
        </w:rPr>
      </w:pPr>
      <w:r w:rsidRPr="009A4AF5">
        <w:rPr>
          <w:sz w:val="22"/>
          <w:szCs w:val="22"/>
        </w:rPr>
        <w:t>Nakon 10 godina praćenja u studiji TAX</w:t>
      </w:r>
      <w:r>
        <w:rPr>
          <w:sz w:val="22"/>
          <w:szCs w:val="22"/>
        </w:rPr>
        <w:t xml:space="preserve"> </w:t>
      </w:r>
      <w:r w:rsidRPr="009A4AF5">
        <w:rPr>
          <w:sz w:val="22"/>
          <w:szCs w:val="22"/>
        </w:rPr>
        <w:t>316, akutna leukemija je bila uočena kod 4 o</w:t>
      </w:r>
      <w:r>
        <w:rPr>
          <w:sz w:val="22"/>
          <w:szCs w:val="22"/>
        </w:rPr>
        <w:t>d</w:t>
      </w:r>
      <w:r w:rsidRPr="009A4AF5">
        <w:rPr>
          <w:sz w:val="22"/>
          <w:szCs w:val="22"/>
        </w:rPr>
        <w:t xml:space="preserve">744 pacijenta u TAC grupi (0,4%) i kod 1 od 736 pacijenata u FAC grupi. Jedan pacijent iz TAC grupe (0,1%) i 1 pacijent iz FAC grupe (0,1%) </w:t>
      </w:r>
      <w:r w:rsidR="00BD2B3C">
        <w:rPr>
          <w:sz w:val="22"/>
          <w:szCs w:val="22"/>
        </w:rPr>
        <w:t xml:space="preserve">preminuo </w:t>
      </w:r>
      <w:r w:rsidRPr="009A4AF5">
        <w:rPr>
          <w:sz w:val="22"/>
          <w:szCs w:val="22"/>
        </w:rPr>
        <w:t>je od AML-a tokom perioda praćenja (srednje vrijeme praćenja od 8 godina). Mijelodisplastični sindrom je prijavljen kod 2 od 744 pacijenta iz TAC grupe (0,3%) i kod 1 od 736 pacijenata iz FAC grupe (0,1%).</w:t>
      </w:r>
    </w:p>
    <w:p w14:paraId="7848976E" w14:textId="77777777" w:rsidR="00684F00" w:rsidRPr="009A4AF5" w:rsidRDefault="00684F00" w:rsidP="00684F00">
      <w:pPr>
        <w:autoSpaceDE w:val="0"/>
        <w:autoSpaceDN w:val="0"/>
        <w:adjustRightInd w:val="0"/>
        <w:rPr>
          <w:sz w:val="22"/>
          <w:szCs w:val="22"/>
        </w:rPr>
      </w:pPr>
    </w:p>
    <w:p w14:paraId="13E65C90" w14:textId="752FE53D" w:rsidR="00684F00" w:rsidRPr="009A4AF5" w:rsidRDefault="00684F00" w:rsidP="00684F00">
      <w:pPr>
        <w:autoSpaceDE w:val="0"/>
        <w:autoSpaceDN w:val="0"/>
        <w:adjustRightInd w:val="0"/>
        <w:rPr>
          <w:sz w:val="22"/>
          <w:szCs w:val="22"/>
        </w:rPr>
      </w:pPr>
      <w:r w:rsidRPr="009A4AF5">
        <w:rPr>
          <w:sz w:val="22"/>
          <w:szCs w:val="22"/>
        </w:rPr>
        <w:t>Nakon 10-godišnjeg praćenja u studiji GEICAM 9805, akutna leukemija se pojavila kod 1 od 532 (0,2%) pacijenta u TAC grupi. Nijedan slučaj nije prijavljen kod pacijenata u FAC grupi. Ni u jednoj grupi nije bilo slučajeva dijagnostifikovanja mijeloid</w:t>
      </w:r>
      <w:r w:rsidR="00BD2B3C">
        <w:rPr>
          <w:sz w:val="22"/>
          <w:szCs w:val="22"/>
        </w:rPr>
        <w:t>i</w:t>
      </w:r>
      <w:r w:rsidRPr="009A4AF5">
        <w:rPr>
          <w:sz w:val="22"/>
          <w:szCs w:val="22"/>
        </w:rPr>
        <w:t>sp</w:t>
      </w:r>
      <w:r w:rsidR="00BD2B3C">
        <w:rPr>
          <w:sz w:val="22"/>
          <w:szCs w:val="22"/>
        </w:rPr>
        <w:t>l</w:t>
      </w:r>
      <w:r w:rsidRPr="009A4AF5">
        <w:rPr>
          <w:sz w:val="22"/>
          <w:szCs w:val="22"/>
        </w:rPr>
        <w:t>astičnog sindroma.</w:t>
      </w:r>
    </w:p>
    <w:p w14:paraId="0779AEB2" w14:textId="77777777" w:rsidR="00684F00" w:rsidRPr="009A4AF5" w:rsidRDefault="00684F00" w:rsidP="00684F00">
      <w:pPr>
        <w:autoSpaceDE w:val="0"/>
        <w:autoSpaceDN w:val="0"/>
        <w:adjustRightInd w:val="0"/>
        <w:rPr>
          <w:i/>
          <w:iCs/>
          <w:sz w:val="22"/>
          <w:szCs w:val="22"/>
        </w:rPr>
      </w:pPr>
    </w:p>
    <w:p w14:paraId="622FA6D9" w14:textId="77777777" w:rsidR="00684F00" w:rsidRDefault="00684F00" w:rsidP="00684F00">
      <w:pPr>
        <w:keepNext/>
        <w:autoSpaceDE w:val="0"/>
        <w:autoSpaceDN w:val="0"/>
        <w:adjustRightInd w:val="0"/>
        <w:rPr>
          <w:i/>
          <w:iCs/>
          <w:color w:val="000000"/>
          <w:sz w:val="22"/>
          <w:szCs w:val="22"/>
          <w:u w:val="single"/>
        </w:rPr>
      </w:pPr>
      <w:r w:rsidRPr="00B02007">
        <w:rPr>
          <w:i/>
          <w:iCs/>
          <w:color w:val="000000"/>
          <w:sz w:val="22"/>
          <w:szCs w:val="22"/>
          <w:u w:val="single"/>
        </w:rPr>
        <w:t>Neutropenijske komplikacije</w:t>
      </w:r>
    </w:p>
    <w:p w14:paraId="5920B7E9" w14:textId="77777777" w:rsidR="00684F00" w:rsidRPr="005F707A" w:rsidRDefault="00684F00" w:rsidP="00684F00">
      <w:pPr>
        <w:keepNext/>
        <w:autoSpaceDE w:val="0"/>
        <w:autoSpaceDN w:val="0"/>
        <w:adjustRightInd w:val="0"/>
        <w:rPr>
          <w:i/>
          <w:iCs/>
          <w:color w:val="000000"/>
          <w:sz w:val="22"/>
          <w:szCs w:val="22"/>
          <w:u w:val="single"/>
        </w:rPr>
      </w:pPr>
    </w:p>
    <w:p w14:paraId="573C40C2" w14:textId="77777777" w:rsidR="00684F00" w:rsidRPr="00B02007" w:rsidRDefault="00684F00" w:rsidP="00684F00">
      <w:pPr>
        <w:rPr>
          <w:iCs/>
          <w:sz w:val="22"/>
          <w:szCs w:val="22"/>
        </w:rPr>
      </w:pPr>
      <w:r w:rsidRPr="00B02007">
        <w:rPr>
          <w:iCs/>
          <w:sz w:val="22"/>
          <w:szCs w:val="22"/>
        </w:rPr>
        <w:t>U donjoj tabeli prikazano je da je incidenca neutropenije 4. stepena, febrilne neutropenije i neutropenijske infekcije smanjena kod pacijenata koji su primali G</w:t>
      </w:r>
      <w:r w:rsidRPr="00B02007">
        <w:rPr>
          <w:iCs/>
          <w:sz w:val="22"/>
          <w:szCs w:val="22"/>
        </w:rPr>
        <w:noBreakHyphen/>
        <w:t>CSF kao primarnu profilaksu pošto je to postalo obavezno u TAC grupi</w:t>
      </w:r>
      <w:r w:rsidRPr="00B02007">
        <w:rPr>
          <w:sz w:val="22"/>
          <w:szCs w:val="22"/>
        </w:rPr>
        <w:t xml:space="preserve">– </w:t>
      </w:r>
      <w:r w:rsidRPr="00B02007">
        <w:rPr>
          <w:iCs/>
          <w:sz w:val="22"/>
          <w:szCs w:val="22"/>
        </w:rPr>
        <w:t xml:space="preserve">GEICAM studija. </w:t>
      </w:r>
    </w:p>
    <w:p w14:paraId="3D8D2785" w14:textId="77777777" w:rsidR="00684F00" w:rsidRPr="00B02007" w:rsidRDefault="00684F00" w:rsidP="00684F00">
      <w:pPr>
        <w:rPr>
          <w:iCs/>
          <w:sz w:val="22"/>
          <w:szCs w:val="22"/>
        </w:rPr>
      </w:pPr>
    </w:p>
    <w:p w14:paraId="6B31F95F" w14:textId="77777777" w:rsidR="00684F00" w:rsidRPr="00B02007" w:rsidRDefault="00684F00" w:rsidP="00684F00">
      <w:pPr>
        <w:keepNext/>
        <w:rPr>
          <w:bCs/>
          <w:iCs/>
          <w:sz w:val="22"/>
          <w:szCs w:val="22"/>
          <w:u w:val="single"/>
        </w:rPr>
      </w:pPr>
      <w:r w:rsidRPr="00B02007">
        <w:rPr>
          <w:bCs/>
          <w:iCs/>
          <w:sz w:val="22"/>
          <w:szCs w:val="22"/>
          <w:u w:val="single"/>
        </w:rPr>
        <w:t>Neutropenijske komplikacije kod pacijenata koji su primali TAC sa G</w:t>
      </w:r>
      <w:r w:rsidRPr="00B02007">
        <w:rPr>
          <w:bCs/>
          <w:iCs/>
          <w:sz w:val="22"/>
          <w:szCs w:val="22"/>
          <w:u w:val="single"/>
        </w:rPr>
        <w:noBreakHyphen/>
        <w:t>CSF kao primarnom profilaksom ili bez nje (GEICAM 9805)</w:t>
      </w:r>
    </w:p>
    <w:p w14:paraId="22A34305" w14:textId="561675BD" w:rsidR="00684F00" w:rsidRDefault="00684F00" w:rsidP="00A46C9A">
      <w:pPr>
        <w:spacing w:after="200" w:line="276" w:lineRule="auto"/>
        <w:rPr>
          <w:rFonts w:eastAsia="Calibri"/>
          <w:sz w:val="22"/>
          <w:szCs w:val="22"/>
          <w:u w:val="single"/>
          <w:lang w:val="sr-Latn-RS"/>
        </w:rPr>
      </w:pPr>
    </w:p>
    <w:p w14:paraId="0E23E7B7" w14:textId="77777777" w:rsidR="00E47900" w:rsidRPr="00C564F2" w:rsidRDefault="00E47900" w:rsidP="00E47900">
      <w:pPr>
        <w:pStyle w:val="NormalIndent"/>
        <w:spacing w:after="0"/>
        <w:ind w:left="0"/>
        <w:rPr>
          <w:szCs w:val="22"/>
          <w:lang w:val="sr-Latn-ME"/>
        </w:rPr>
      </w:pPr>
    </w:p>
    <w:p w14:paraId="127D1D9E" w14:textId="77777777" w:rsidR="00E47900" w:rsidRPr="00C564F2" w:rsidRDefault="00E47900" w:rsidP="00E47900">
      <w:pPr>
        <w:pStyle w:val="NormalIndent"/>
        <w:spacing w:after="0"/>
        <w:ind w:left="0"/>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2598"/>
        <w:gridCol w:w="2817"/>
      </w:tblGrid>
      <w:tr w:rsidR="00E47900" w:rsidRPr="00B02007" w14:paraId="328A9FC3" w14:textId="77777777" w:rsidTr="002C66FC">
        <w:trPr>
          <w:trHeight w:val="510"/>
        </w:trPr>
        <w:tc>
          <w:tcPr>
            <w:tcW w:w="3351" w:type="dxa"/>
            <w:shd w:val="clear" w:color="auto" w:fill="auto"/>
          </w:tcPr>
          <w:p w14:paraId="64E5EA79" w14:textId="77777777" w:rsidR="00E47900" w:rsidRPr="00C564F2" w:rsidRDefault="00E47900" w:rsidP="002C66FC">
            <w:pPr>
              <w:pStyle w:val="BodyText"/>
              <w:rPr>
                <w:lang w:val="sr-Latn-ME"/>
              </w:rPr>
            </w:pPr>
          </w:p>
        </w:tc>
        <w:tc>
          <w:tcPr>
            <w:tcW w:w="2598" w:type="dxa"/>
            <w:tcBorders>
              <w:top w:val="single" w:sz="4" w:space="0" w:color="auto"/>
            </w:tcBorders>
            <w:shd w:val="clear" w:color="auto" w:fill="auto"/>
          </w:tcPr>
          <w:p w14:paraId="63610703" w14:textId="77777777" w:rsidR="00E47900" w:rsidRPr="00C564F2" w:rsidRDefault="00E47900" w:rsidP="002C66FC">
            <w:pPr>
              <w:pStyle w:val="BodyText"/>
              <w:jc w:val="center"/>
              <w:rPr>
                <w:b/>
                <w:lang w:val="sr-Latn-ME"/>
              </w:rPr>
            </w:pPr>
            <w:r w:rsidRPr="00C564F2">
              <w:rPr>
                <w:b/>
                <w:lang w:val="sr-Latn-ME"/>
              </w:rPr>
              <w:t>Bez G-CSF kao</w:t>
            </w:r>
          </w:p>
          <w:p w14:paraId="1C56DCE0" w14:textId="77777777" w:rsidR="00E47900" w:rsidRPr="00C564F2" w:rsidRDefault="00E47900" w:rsidP="002C66FC">
            <w:pPr>
              <w:pStyle w:val="BodyText"/>
              <w:jc w:val="center"/>
              <w:rPr>
                <w:lang w:val="sr-Latn-ME"/>
              </w:rPr>
            </w:pPr>
            <w:r w:rsidRPr="00C564F2">
              <w:rPr>
                <w:b/>
                <w:lang w:val="sr-Latn-ME"/>
              </w:rPr>
              <w:t xml:space="preserve">primarne profilakse </w:t>
            </w:r>
            <w:r w:rsidRPr="00C564F2">
              <w:rPr>
                <w:lang w:val="sr-Latn-ME"/>
              </w:rPr>
              <w:t>(n = 111)</w:t>
            </w:r>
          </w:p>
          <w:p w14:paraId="4B644E99" w14:textId="77777777" w:rsidR="00E47900" w:rsidRPr="00C564F2" w:rsidRDefault="00E47900" w:rsidP="002C66FC">
            <w:pPr>
              <w:pStyle w:val="BodyText"/>
              <w:jc w:val="center"/>
              <w:rPr>
                <w:lang w:val="sr-Latn-ME"/>
              </w:rPr>
            </w:pPr>
            <w:r w:rsidRPr="00C564F2">
              <w:rPr>
                <w:lang w:val="sr-Latn-ME"/>
              </w:rPr>
              <w:t>n (%)</w:t>
            </w:r>
          </w:p>
          <w:p w14:paraId="62281986" w14:textId="77777777" w:rsidR="00E47900" w:rsidRPr="00C564F2" w:rsidRDefault="00E47900" w:rsidP="002C66FC">
            <w:pPr>
              <w:pStyle w:val="BodyText"/>
              <w:jc w:val="center"/>
              <w:rPr>
                <w:lang w:val="sr-Latn-ME"/>
              </w:rPr>
            </w:pPr>
          </w:p>
        </w:tc>
        <w:tc>
          <w:tcPr>
            <w:tcW w:w="2817" w:type="dxa"/>
            <w:shd w:val="clear" w:color="auto" w:fill="auto"/>
          </w:tcPr>
          <w:p w14:paraId="376810A2" w14:textId="77777777" w:rsidR="00E47900" w:rsidRPr="00C564F2" w:rsidRDefault="00E47900" w:rsidP="002C66FC">
            <w:pPr>
              <w:pStyle w:val="TableHeadCenter"/>
              <w:spacing w:before="0" w:after="0"/>
              <w:rPr>
                <w:rFonts w:ascii="Times New Roman" w:hAnsi="Times New Roman"/>
                <w:bCs/>
                <w:sz w:val="22"/>
                <w:szCs w:val="22"/>
                <w:lang w:val="sr-Latn-ME"/>
              </w:rPr>
            </w:pPr>
            <w:r w:rsidRPr="00C564F2">
              <w:rPr>
                <w:rFonts w:ascii="Times New Roman" w:hAnsi="Times New Roman"/>
                <w:bCs/>
                <w:sz w:val="22"/>
                <w:szCs w:val="22"/>
                <w:lang w:val="sr-Latn-ME"/>
              </w:rPr>
              <w:t xml:space="preserve">Sa G-CSF kao </w:t>
            </w:r>
          </w:p>
          <w:p w14:paraId="2E52E05C" w14:textId="77777777" w:rsidR="00E47900" w:rsidRPr="00C564F2" w:rsidRDefault="00E47900" w:rsidP="002C66FC">
            <w:pPr>
              <w:pStyle w:val="TableHeadCenter"/>
              <w:spacing w:before="0" w:after="0"/>
              <w:rPr>
                <w:rFonts w:ascii="Times New Roman" w:hAnsi="Times New Roman"/>
                <w:bCs/>
                <w:sz w:val="22"/>
                <w:szCs w:val="22"/>
                <w:lang w:val="sr-Latn-ME"/>
              </w:rPr>
            </w:pPr>
            <w:r w:rsidRPr="00C564F2">
              <w:rPr>
                <w:rFonts w:ascii="Times New Roman" w:hAnsi="Times New Roman"/>
                <w:bCs/>
                <w:sz w:val="22"/>
                <w:szCs w:val="22"/>
                <w:lang w:val="sr-Latn-ME"/>
              </w:rPr>
              <w:t>primarnom profilaksom</w:t>
            </w:r>
          </w:p>
          <w:p w14:paraId="3C75E42B" w14:textId="77777777" w:rsidR="00E47900" w:rsidRPr="00C564F2" w:rsidRDefault="00E47900" w:rsidP="002C66FC">
            <w:pPr>
              <w:pStyle w:val="TableHeadCenter"/>
              <w:spacing w:before="0" w:after="0"/>
              <w:rPr>
                <w:rFonts w:ascii="Times New Roman" w:hAnsi="Times New Roman"/>
                <w:b w:val="0"/>
                <w:sz w:val="22"/>
                <w:szCs w:val="22"/>
                <w:lang w:val="sr-Latn-ME"/>
              </w:rPr>
            </w:pPr>
            <w:r w:rsidRPr="00C564F2">
              <w:rPr>
                <w:rFonts w:ascii="Times New Roman" w:hAnsi="Times New Roman"/>
                <w:b w:val="0"/>
                <w:sz w:val="22"/>
                <w:szCs w:val="22"/>
                <w:lang w:val="sr-Latn-ME"/>
              </w:rPr>
              <w:t xml:space="preserve">(n = 421) </w:t>
            </w:r>
          </w:p>
          <w:p w14:paraId="11BF08AF" w14:textId="77777777" w:rsidR="00E47900" w:rsidRPr="00C564F2" w:rsidRDefault="00E47900" w:rsidP="002C66FC">
            <w:pPr>
              <w:pStyle w:val="TableHeadCenter"/>
              <w:spacing w:before="0" w:after="0"/>
              <w:rPr>
                <w:rFonts w:ascii="Times New Roman" w:hAnsi="Times New Roman"/>
                <w:b w:val="0"/>
                <w:sz w:val="22"/>
                <w:szCs w:val="22"/>
                <w:lang w:val="sr-Latn-ME"/>
              </w:rPr>
            </w:pPr>
            <w:r w:rsidRPr="00C564F2">
              <w:rPr>
                <w:rFonts w:ascii="Times New Roman" w:hAnsi="Times New Roman"/>
                <w:b w:val="0"/>
                <w:bCs/>
                <w:sz w:val="22"/>
                <w:szCs w:val="22"/>
                <w:lang w:val="sr-Latn-ME"/>
              </w:rPr>
              <w:t>n (%)</w:t>
            </w:r>
          </w:p>
          <w:p w14:paraId="68BCEADA" w14:textId="77777777" w:rsidR="00E47900" w:rsidRPr="00C564F2" w:rsidDel="00400DE0" w:rsidRDefault="00E47900" w:rsidP="002C66FC">
            <w:pPr>
              <w:pStyle w:val="TableTextCenter"/>
              <w:rPr>
                <w:sz w:val="22"/>
                <w:lang w:val="sr-Latn-ME"/>
              </w:rPr>
            </w:pPr>
          </w:p>
        </w:tc>
      </w:tr>
      <w:tr w:rsidR="00E47900" w:rsidRPr="00B02007" w14:paraId="47B5D376" w14:textId="77777777" w:rsidTr="002C66FC">
        <w:trPr>
          <w:trHeight w:val="510"/>
        </w:trPr>
        <w:tc>
          <w:tcPr>
            <w:tcW w:w="3351" w:type="dxa"/>
            <w:shd w:val="clear" w:color="auto" w:fill="auto"/>
          </w:tcPr>
          <w:p w14:paraId="0B1FCB44" w14:textId="77777777" w:rsidR="00E47900" w:rsidRPr="00C564F2" w:rsidRDefault="00E47900" w:rsidP="002C66FC">
            <w:pPr>
              <w:pStyle w:val="BodyText"/>
              <w:rPr>
                <w:lang w:val="sr-Latn-ME"/>
              </w:rPr>
            </w:pPr>
            <w:r w:rsidRPr="00C564F2">
              <w:rPr>
                <w:lang w:val="sr-Latn-ME"/>
              </w:rPr>
              <w:t xml:space="preserve">Neutropenija (4. stepena) </w:t>
            </w:r>
          </w:p>
        </w:tc>
        <w:tc>
          <w:tcPr>
            <w:tcW w:w="2598" w:type="dxa"/>
            <w:tcBorders>
              <w:top w:val="single" w:sz="4" w:space="0" w:color="auto"/>
            </w:tcBorders>
            <w:shd w:val="clear" w:color="auto" w:fill="auto"/>
          </w:tcPr>
          <w:p w14:paraId="5DC5B7DC" w14:textId="77777777" w:rsidR="00E47900" w:rsidRPr="00C564F2" w:rsidRDefault="00E47900" w:rsidP="002C66FC">
            <w:pPr>
              <w:pStyle w:val="BodyText"/>
              <w:jc w:val="center"/>
              <w:rPr>
                <w:b/>
                <w:lang w:val="sr-Latn-ME"/>
              </w:rPr>
            </w:pPr>
            <w:r w:rsidRPr="00C564F2">
              <w:rPr>
                <w:lang w:val="sr-Latn-ME"/>
              </w:rPr>
              <w:t>104 (93,7)</w:t>
            </w:r>
          </w:p>
        </w:tc>
        <w:tc>
          <w:tcPr>
            <w:tcW w:w="2817" w:type="dxa"/>
            <w:shd w:val="clear" w:color="auto" w:fill="auto"/>
          </w:tcPr>
          <w:p w14:paraId="052B49B1" w14:textId="77777777" w:rsidR="00E47900" w:rsidRPr="00C564F2" w:rsidRDefault="00E47900" w:rsidP="002C66FC">
            <w:pPr>
              <w:pStyle w:val="TableTextCenter"/>
              <w:spacing w:before="0" w:after="0"/>
              <w:rPr>
                <w:rFonts w:ascii="Times New Roman" w:hAnsi="Times New Roman"/>
                <w:sz w:val="22"/>
                <w:szCs w:val="22"/>
                <w:lang w:val="sr-Latn-ME"/>
              </w:rPr>
            </w:pPr>
            <w:r w:rsidRPr="00C564F2">
              <w:rPr>
                <w:rFonts w:ascii="Times New Roman" w:hAnsi="Times New Roman"/>
                <w:sz w:val="22"/>
                <w:szCs w:val="22"/>
                <w:lang w:val="sr-Latn-ME"/>
              </w:rPr>
              <w:t>135 (32,1)</w:t>
            </w:r>
          </w:p>
          <w:p w14:paraId="68B6CBD0" w14:textId="77777777" w:rsidR="00E47900" w:rsidRPr="00C564F2" w:rsidRDefault="00E47900" w:rsidP="002C66FC">
            <w:pPr>
              <w:pStyle w:val="BodyText"/>
              <w:jc w:val="center"/>
              <w:rPr>
                <w:b/>
                <w:lang w:val="sr-Latn-ME"/>
              </w:rPr>
            </w:pPr>
          </w:p>
        </w:tc>
      </w:tr>
      <w:tr w:rsidR="00E47900" w:rsidRPr="00B02007" w14:paraId="3A2DD46D" w14:textId="77777777" w:rsidTr="002C66FC">
        <w:trPr>
          <w:trHeight w:val="510"/>
        </w:trPr>
        <w:tc>
          <w:tcPr>
            <w:tcW w:w="3351" w:type="dxa"/>
            <w:shd w:val="clear" w:color="auto" w:fill="auto"/>
          </w:tcPr>
          <w:p w14:paraId="257E3B19" w14:textId="77777777" w:rsidR="00E47900" w:rsidRPr="00C564F2" w:rsidRDefault="00E47900" w:rsidP="002C66FC">
            <w:pPr>
              <w:pStyle w:val="BodyText"/>
              <w:rPr>
                <w:lang w:val="sr-Latn-ME"/>
              </w:rPr>
            </w:pPr>
            <w:r w:rsidRPr="00C564F2">
              <w:rPr>
                <w:lang w:val="sr-Latn-ME"/>
              </w:rPr>
              <w:t xml:space="preserve">Febrilna neutropenija </w:t>
            </w:r>
          </w:p>
        </w:tc>
        <w:tc>
          <w:tcPr>
            <w:tcW w:w="2598" w:type="dxa"/>
            <w:shd w:val="clear" w:color="auto" w:fill="auto"/>
          </w:tcPr>
          <w:p w14:paraId="76ADF0C4" w14:textId="77777777" w:rsidR="00E47900" w:rsidRPr="00C564F2" w:rsidRDefault="00E47900" w:rsidP="002C66FC">
            <w:pPr>
              <w:pStyle w:val="BodyText"/>
              <w:jc w:val="center"/>
              <w:rPr>
                <w:b/>
                <w:lang w:val="sr-Latn-ME"/>
              </w:rPr>
            </w:pPr>
            <w:r w:rsidRPr="00C564F2">
              <w:rPr>
                <w:lang w:val="sr-Latn-ME"/>
              </w:rPr>
              <w:t>28 (25,2)</w:t>
            </w:r>
          </w:p>
        </w:tc>
        <w:tc>
          <w:tcPr>
            <w:tcW w:w="2817" w:type="dxa"/>
            <w:shd w:val="clear" w:color="auto" w:fill="auto"/>
          </w:tcPr>
          <w:p w14:paraId="09FA825F" w14:textId="77777777" w:rsidR="00E47900" w:rsidRPr="00C564F2" w:rsidRDefault="00E47900" w:rsidP="002C66FC">
            <w:pPr>
              <w:pStyle w:val="TableTextCenter"/>
              <w:spacing w:before="0" w:after="0"/>
              <w:rPr>
                <w:rFonts w:ascii="Times New Roman" w:hAnsi="Times New Roman"/>
                <w:sz w:val="22"/>
                <w:szCs w:val="22"/>
                <w:lang w:val="sr-Latn-ME"/>
              </w:rPr>
            </w:pPr>
            <w:r w:rsidRPr="00C564F2">
              <w:rPr>
                <w:rFonts w:ascii="Times New Roman" w:hAnsi="Times New Roman"/>
                <w:sz w:val="22"/>
                <w:szCs w:val="22"/>
                <w:lang w:val="sr-Latn-ME"/>
              </w:rPr>
              <w:t>23 (5,5)</w:t>
            </w:r>
          </w:p>
          <w:p w14:paraId="6A683107" w14:textId="77777777" w:rsidR="00E47900" w:rsidRPr="00C564F2" w:rsidRDefault="00E47900" w:rsidP="002C66FC">
            <w:pPr>
              <w:pStyle w:val="BodyText"/>
              <w:jc w:val="center"/>
              <w:rPr>
                <w:b/>
                <w:lang w:val="sr-Latn-ME"/>
              </w:rPr>
            </w:pPr>
          </w:p>
        </w:tc>
      </w:tr>
      <w:tr w:rsidR="00E47900" w:rsidRPr="00B02007" w14:paraId="502F2057" w14:textId="77777777" w:rsidTr="002C66FC">
        <w:trPr>
          <w:trHeight w:val="510"/>
        </w:trPr>
        <w:tc>
          <w:tcPr>
            <w:tcW w:w="3351" w:type="dxa"/>
            <w:shd w:val="clear" w:color="auto" w:fill="auto"/>
          </w:tcPr>
          <w:p w14:paraId="0B3B2F3F" w14:textId="77777777" w:rsidR="00E47900" w:rsidRPr="00C564F2" w:rsidRDefault="00E47900" w:rsidP="002C66FC">
            <w:pPr>
              <w:pStyle w:val="BodyText"/>
              <w:rPr>
                <w:lang w:val="sr-Latn-ME"/>
              </w:rPr>
            </w:pPr>
            <w:r w:rsidRPr="00C564F2">
              <w:rPr>
                <w:lang w:val="sr-Latn-ME"/>
              </w:rPr>
              <w:t xml:space="preserve">Neutropenijska infekcija </w:t>
            </w:r>
          </w:p>
        </w:tc>
        <w:tc>
          <w:tcPr>
            <w:tcW w:w="2598" w:type="dxa"/>
            <w:shd w:val="clear" w:color="auto" w:fill="auto"/>
          </w:tcPr>
          <w:p w14:paraId="78902899" w14:textId="77777777" w:rsidR="00E47900" w:rsidRPr="00C564F2" w:rsidRDefault="00E47900" w:rsidP="002C66FC">
            <w:pPr>
              <w:pStyle w:val="BodyText"/>
              <w:jc w:val="center"/>
              <w:rPr>
                <w:b/>
                <w:lang w:val="sr-Latn-ME"/>
              </w:rPr>
            </w:pPr>
            <w:r w:rsidRPr="00C564F2">
              <w:rPr>
                <w:lang w:val="sr-Latn-ME"/>
              </w:rPr>
              <w:t>14 (12,6)</w:t>
            </w:r>
          </w:p>
        </w:tc>
        <w:tc>
          <w:tcPr>
            <w:tcW w:w="2817" w:type="dxa"/>
            <w:shd w:val="clear" w:color="auto" w:fill="auto"/>
          </w:tcPr>
          <w:p w14:paraId="4D7275EF" w14:textId="77777777" w:rsidR="00E47900" w:rsidRPr="00C564F2" w:rsidRDefault="00E47900" w:rsidP="002C66FC">
            <w:pPr>
              <w:pStyle w:val="TableTextCenter"/>
              <w:spacing w:before="0" w:after="0"/>
              <w:rPr>
                <w:rFonts w:ascii="Times New Roman" w:hAnsi="Times New Roman"/>
                <w:sz w:val="22"/>
                <w:szCs w:val="22"/>
                <w:lang w:val="sr-Latn-ME"/>
              </w:rPr>
            </w:pPr>
            <w:r w:rsidRPr="00C564F2">
              <w:rPr>
                <w:rFonts w:ascii="Times New Roman" w:hAnsi="Times New Roman"/>
                <w:sz w:val="22"/>
                <w:szCs w:val="22"/>
                <w:lang w:val="sr-Latn-ME"/>
              </w:rPr>
              <w:t>21 (5,0)</w:t>
            </w:r>
          </w:p>
          <w:p w14:paraId="3B233182" w14:textId="77777777" w:rsidR="00E47900" w:rsidRPr="00C564F2" w:rsidRDefault="00E47900" w:rsidP="002C66FC">
            <w:pPr>
              <w:pStyle w:val="BodyText"/>
              <w:jc w:val="center"/>
              <w:rPr>
                <w:b/>
                <w:lang w:val="sr-Latn-ME"/>
              </w:rPr>
            </w:pPr>
          </w:p>
        </w:tc>
      </w:tr>
      <w:tr w:rsidR="00E47900" w:rsidRPr="00B02007" w14:paraId="57B09C2A" w14:textId="77777777" w:rsidTr="002C66FC">
        <w:trPr>
          <w:trHeight w:val="510"/>
        </w:trPr>
        <w:tc>
          <w:tcPr>
            <w:tcW w:w="3351" w:type="dxa"/>
            <w:shd w:val="clear" w:color="auto" w:fill="auto"/>
          </w:tcPr>
          <w:p w14:paraId="3AF89AD3" w14:textId="77777777" w:rsidR="00E47900" w:rsidRPr="00C564F2" w:rsidRDefault="00E47900" w:rsidP="002C66FC">
            <w:pPr>
              <w:pStyle w:val="BodyText"/>
              <w:rPr>
                <w:lang w:val="sr-Latn-ME"/>
              </w:rPr>
            </w:pPr>
            <w:r w:rsidRPr="00C564F2">
              <w:rPr>
                <w:lang w:val="sr-Latn-ME"/>
              </w:rPr>
              <w:t xml:space="preserve">Neutropenijska infekcija (3-4. stepena) </w:t>
            </w:r>
          </w:p>
        </w:tc>
        <w:tc>
          <w:tcPr>
            <w:tcW w:w="2598" w:type="dxa"/>
            <w:shd w:val="clear" w:color="auto" w:fill="auto"/>
          </w:tcPr>
          <w:p w14:paraId="6E5855BC" w14:textId="77777777" w:rsidR="00E47900" w:rsidRPr="00C564F2" w:rsidRDefault="00E47900" w:rsidP="002C66FC">
            <w:pPr>
              <w:pStyle w:val="BodyText"/>
              <w:jc w:val="center"/>
              <w:rPr>
                <w:b/>
                <w:lang w:val="sr-Latn-ME"/>
              </w:rPr>
            </w:pPr>
            <w:r w:rsidRPr="00C564F2">
              <w:rPr>
                <w:lang w:val="sr-Latn-ME"/>
              </w:rPr>
              <w:t>2 (1,8)</w:t>
            </w:r>
          </w:p>
        </w:tc>
        <w:tc>
          <w:tcPr>
            <w:tcW w:w="2817" w:type="dxa"/>
            <w:shd w:val="clear" w:color="auto" w:fill="auto"/>
          </w:tcPr>
          <w:p w14:paraId="4DDDF945" w14:textId="77777777" w:rsidR="00E47900" w:rsidRPr="00C564F2" w:rsidRDefault="00E47900" w:rsidP="002C66FC">
            <w:pPr>
              <w:pStyle w:val="BodyText"/>
              <w:jc w:val="center"/>
              <w:rPr>
                <w:b/>
                <w:lang w:val="sr-Latn-ME"/>
              </w:rPr>
            </w:pPr>
            <w:r w:rsidRPr="00C564F2">
              <w:rPr>
                <w:lang w:val="sr-Latn-ME"/>
              </w:rPr>
              <w:t>5 (1,2)</w:t>
            </w:r>
          </w:p>
        </w:tc>
      </w:tr>
    </w:tbl>
    <w:p w14:paraId="2D63D7C4" w14:textId="77777777" w:rsidR="00E47900" w:rsidRPr="00C564F2" w:rsidRDefault="00E47900" w:rsidP="00E47900">
      <w:pPr>
        <w:autoSpaceDE w:val="0"/>
        <w:autoSpaceDN w:val="0"/>
        <w:adjustRightInd w:val="0"/>
        <w:rPr>
          <w:i/>
          <w:iCs/>
          <w:sz w:val="22"/>
          <w:szCs w:val="22"/>
        </w:rPr>
      </w:pPr>
    </w:p>
    <w:p w14:paraId="6A59523E" w14:textId="77777777" w:rsidR="00E47900" w:rsidRPr="00C564F2" w:rsidRDefault="00E47900" w:rsidP="00E47900">
      <w:pPr>
        <w:pStyle w:val="Header"/>
        <w:tabs>
          <w:tab w:val="left" w:pos="284"/>
        </w:tabs>
        <w:rPr>
          <w:sz w:val="22"/>
          <w:szCs w:val="22"/>
        </w:rPr>
      </w:pPr>
    </w:p>
    <w:p w14:paraId="7FB4FEC5" w14:textId="77777777" w:rsidR="00E47900" w:rsidRPr="00C564F2" w:rsidRDefault="00E47900" w:rsidP="00E47900">
      <w:pPr>
        <w:keepNext/>
        <w:autoSpaceDE w:val="0"/>
        <w:autoSpaceDN w:val="0"/>
        <w:adjustRightInd w:val="0"/>
        <w:rPr>
          <w:bCs/>
          <w:i/>
          <w:iCs/>
          <w:sz w:val="22"/>
          <w:szCs w:val="22"/>
          <w:u w:val="single"/>
        </w:rPr>
      </w:pPr>
      <w:r w:rsidRPr="00C564F2">
        <w:rPr>
          <w:bCs/>
          <w:iCs/>
          <w:sz w:val="22"/>
          <w:szCs w:val="22"/>
          <w:u w:val="single"/>
        </w:rPr>
        <w:t>Tabelarni prikaz neželjenih reakcija kod adenokarcinoma želuca za</w:t>
      </w:r>
      <w:r w:rsidRPr="00C564F2">
        <w:rPr>
          <w:bCs/>
          <w:i/>
          <w:iCs/>
          <w:sz w:val="22"/>
          <w:szCs w:val="22"/>
          <w:u w:val="single"/>
        </w:rPr>
        <w:t xml:space="preserve"> docetaksel 75 mg/m² u kombinaciji sa cisplatinom i 5-fluorouracilom</w:t>
      </w:r>
    </w:p>
    <w:p w14:paraId="5D9EBB22" w14:textId="77777777" w:rsidR="00E47900" w:rsidRPr="00C564F2" w:rsidRDefault="00E47900" w:rsidP="00E47900">
      <w:pPr>
        <w:pStyle w:val="Header"/>
        <w:keepNext/>
        <w:tabs>
          <w:tab w:val="left" w:pos="284"/>
        </w:tabs>
        <w:rPr>
          <w:sz w:val="22"/>
          <w:szCs w:val="2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3120"/>
        <w:gridCol w:w="3518"/>
      </w:tblGrid>
      <w:tr w:rsidR="00E47900" w:rsidRPr="00B02007" w14:paraId="2CDF0EDD" w14:textId="77777777" w:rsidTr="002C66FC">
        <w:trPr>
          <w:trHeight w:val="763"/>
        </w:trPr>
        <w:tc>
          <w:tcPr>
            <w:tcW w:w="3120" w:type="dxa"/>
          </w:tcPr>
          <w:p w14:paraId="2D7DF306" w14:textId="77777777" w:rsidR="00E47900" w:rsidRPr="00C564F2" w:rsidRDefault="00E47900" w:rsidP="002C66FC">
            <w:pPr>
              <w:autoSpaceDE w:val="0"/>
              <w:autoSpaceDN w:val="0"/>
              <w:adjustRightInd w:val="0"/>
              <w:rPr>
                <w:sz w:val="22"/>
                <w:szCs w:val="22"/>
              </w:rPr>
            </w:pPr>
            <w:r w:rsidRPr="00C564F2">
              <w:rPr>
                <w:b/>
                <w:bCs/>
                <w:sz w:val="22"/>
                <w:szCs w:val="22"/>
              </w:rPr>
              <w:t>Organski sistemi po</w:t>
            </w:r>
          </w:p>
          <w:p w14:paraId="53E107B1" w14:textId="77777777" w:rsidR="00E47900" w:rsidRPr="00C564F2" w:rsidRDefault="00E47900" w:rsidP="002C66FC">
            <w:pPr>
              <w:autoSpaceDE w:val="0"/>
              <w:autoSpaceDN w:val="0"/>
              <w:adjustRightInd w:val="0"/>
              <w:rPr>
                <w:b/>
                <w:bCs/>
                <w:sz w:val="22"/>
                <w:szCs w:val="22"/>
              </w:rPr>
            </w:pPr>
            <w:r w:rsidRPr="00C564F2">
              <w:rPr>
                <w:b/>
                <w:bCs/>
                <w:sz w:val="22"/>
                <w:szCs w:val="22"/>
              </w:rPr>
              <w:t>MedDRA</w:t>
            </w:r>
          </w:p>
          <w:p w14:paraId="7AF0FB52" w14:textId="77777777" w:rsidR="00E47900" w:rsidRPr="00C564F2" w:rsidRDefault="00E47900" w:rsidP="002C66FC">
            <w:pPr>
              <w:autoSpaceDE w:val="0"/>
              <w:autoSpaceDN w:val="0"/>
              <w:adjustRightInd w:val="0"/>
              <w:rPr>
                <w:sz w:val="22"/>
                <w:szCs w:val="22"/>
              </w:rPr>
            </w:pPr>
          </w:p>
        </w:tc>
        <w:tc>
          <w:tcPr>
            <w:tcW w:w="3120" w:type="dxa"/>
          </w:tcPr>
          <w:p w14:paraId="09E679D2" w14:textId="77777777" w:rsidR="00E47900" w:rsidRPr="00C564F2" w:rsidRDefault="00E47900" w:rsidP="002C66FC">
            <w:pPr>
              <w:autoSpaceDE w:val="0"/>
              <w:autoSpaceDN w:val="0"/>
              <w:adjustRightInd w:val="0"/>
              <w:rPr>
                <w:b/>
                <w:bCs/>
                <w:sz w:val="22"/>
                <w:szCs w:val="22"/>
              </w:rPr>
            </w:pPr>
            <w:r w:rsidRPr="00C564F2">
              <w:rPr>
                <w:b/>
                <w:bCs/>
                <w:sz w:val="22"/>
                <w:szCs w:val="22"/>
              </w:rPr>
              <w:t xml:space="preserve">Veoma </w:t>
            </w:r>
            <w:r w:rsidRPr="00C564F2">
              <w:rPr>
                <w:rFonts w:eastAsia="TimesNewRoman,Bold"/>
                <w:b/>
                <w:bCs/>
                <w:sz w:val="22"/>
                <w:szCs w:val="22"/>
              </w:rPr>
              <w:t>č</w:t>
            </w:r>
            <w:r w:rsidRPr="00C564F2">
              <w:rPr>
                <w:b/>
                <w:bCs/>
                <w:sz w:val="22"/>
                <w:szCs w:val="22"/>
              </w:rPr>
              <w:t xml:space="preserve">esta neželjena dejstva </w:t>
            </w:r>
          </w:p>
          <w:p w14:paraId="69DC18AC" w14:textId="77777777" w:rsidR="00E47900" w:rsidRPr="00C564F2" w:rsidRDefault="00E47900" w:rsidP="002C66FC">
            <w:pPr>
              <w:autoSpaceDE w:val="0"/>
              <w:autoSpaceDN w:val="0"/>
              <w:adjustRightInd w:val="0"/>
              <w:rPr>
                <w:sz w:val="22"/>
                <w:szCs w:val="22"/>
              </w:rPr>
            </w:pPr>
          </w:p>
        </w:tc>
        <w:tc>
          <w:tcPr>
            <w:tcW w:w="3518" w:type="dxa"/>
          </w:tcPr>
          <w:p w14:paraId="3BAB5ED8" w14:textId="77777777" w:rsidR="00E47900" w:rsidRPr="00C564F2" w:rsidRDefault="00E47900" w:rsidP="002C66FC">
            <w:pPr>
              <w:autoSpaceDE w:val="0"/>
              <w:autoSpaceDN w:val="0"/>
              <w:adjustRightInd w:val="0"/>
              <w:rPr>
                <w:b/>
                <w:bCs/>
                <w:sz w:val="22"/>
                <w:szCs w:val="22"/>
              </w:rPr>
            </w:pPr>
            <w:r w:rsidRPr="00C564F2">
              <w:rPr>
                <w:rFonts w:eastAsia="TimesNewRoman,Bold"/>
                <w:b/>
                <w:bCs/>
                <w:sz w:val="22"/>
                <w:szCs w:val="22"/>
              </w:rPr>
              <w:t>Č</w:t>
            </w:r>
            <w:r w:rsidRPr="00C564F2">
              <w:rPr>
                <w:b/>
                <w:bCs/>
                <w:sz w:val="22"/>
                <w:szCs w:val="22"/>
              </w:rPr>
              <w:t>esta neželjena dejstva</w:t>
            </w:r>
          </w:p>
          <w:p w14:paraId="38624E93" w14:textId="77777777" w:rsidR="00E47900" w:rsidRPr="00C564F2" w:rsidRDefault="00E47900" w:rsidP="002C66FC">
            <w:pPr>
              <w:autoSpaceDE w:val="0"/>
              <w:autoSpaceDN w:val="0"/>
              <w:adjustRightInd w:val="0"/>
              <w:rPr>
                <w:b/>
                <w:bCs/>
                <w:sz w:val="22"/>
                <w:szCs w:val="22"/>
              </w:rPr>
            </w:pPr>
          </w:p>
          <w:p w14:paraId="2E6D2988" w14:textId="77777777" w:rsidR="00E47900" w:rsidRPr="00C564F2" w:rsidRDefault="00E47900" w:rsidP="002C66FC">
            <w:pPr>
              <w:autoSpaceDE w:val="0"/>
              <w:autoSpaceDN w:val="0"/>
              <w:adjustRightInd w:val="0"/>
              <w:rPr>
                <w:sz w:val="22"/>
                <w:szCs w:val="22"/>
              </w:rPr>
            </w:pPr>
          </w:p>
        </w:tc>
      </w:tr>
      <w:tr w:rsidR="00E47900" w:rsidRPr="00B02007" w14:paraId="10C0710A" w14:textId="77777777" w:rsidTr="002C66FC">
        <w:trPr>
          <w:trHeight w:val="509"/>
        </w:trPr>
        <w:tc>
          <w:tcPr>
            <w:tcW w:w="3120" w:type="dxa"/>
          </w:tcPr>
          <w:p w14:paraId="044A0091" w14:textId="77777777" w:rsidR="00E47900" w:rsidRPr="00C564F2" w:rsidRDefault="00E47900" w:rsidP="002C66FC">
            <w:pPr>
              <w:autoSpaceDE w:val="0"/>
              <w:autoSpaceDN w:val="0"/>
              <w:adjustRightInd w:val="0"/>
              <w:rPr>
                <w:sz w:val="22"/>
                <w:szCs w:val="22"/>
              </w:rPr>
            </w:pPr>
            <w:r w:rsidRPr="00C564F2">
              <w:rPr>
                <w:sz w:val="22"/>
                <w:szCs w:val="22"/>
              </w:rPr>
              <w:t>Infekcije i infestacije</w:t>
            </w:r>
          </w:p>
        </w:tc>
        <w:tc>
          <w:tcPr>
            <w:tcW w:w="3120" w:type="dxa"/>
          </w:tcPr>
          <w:p w14:paraId="26046AB5" w14:textId="77777777" w:rsidR="00E47900" w:rsidRPr="00C564F2" w:rsidRDefault="00E47900" w:rsidP="002C66FC">
            <w:pPr>
              <w:autoSpaceDE w:val="0"/>
              <w:autoSpaceDN w:val="0"/>
              <w:adjustRightInd w:val="0"/>
              <w:rPr>
                <w:sz w:val="22"/>
                <w:szCs w:val="22"/>
              </w:rPr>
            </w:pPr>
            <w:r w:rsidRPr="00C564F2">
              <w:rPr>
                <w:sz w:val="22"/>
                <w:szCs w:val="22"/>
              </w:rPr>
              <w:t>Neutropenijska infekcija;</w:t>
            </w:r>
          </w:p>
          <w:p w14:paraId="127E65CB" w14:textId="77777777" w:rsidR="00E47900" w:rsidRPr="00C564F2" w:rsidRDefault="00E47900" w:rsidP="002C66FC">
            <w:pPr>
              <w:autoSpaceDE w:val="0"/>
              <w:autoSpaceDN w:val="0"/>
              <w:adjustRightInd w:val="0"/>
              <w:rPr>
                <w:sz w:val="22"/>
                <w:szCs w:val="22"/>
              </w:rPr>
            </w:pPr>
            <w:r w:rsidRPr="00C564F2">
              <w:rPr>
                <w:sz w:val="22"/>
                <w:szCs w:val="22"/>
              </w:rPr>
              <w:t>Infekcija (G3/4: 11,7%)</w:t>
            </w:r>
          </w:p>
        </w:tc>
        <w:tc>
          <w:tcPr>
            <w:tcW w:w="3518" w:type="dxa"/>
          </w:tcPr>
          <w:p w14:paraId="1613CD87" w14:textId="77777777" w:rsidR="00E47900" w:rsidRPr="00C564F2" w:rsidRDefault="00E47900" w:rsidP="002C66FC">
            <w:pPr>
              <w:autoSpaceDE w:val="0"/>
              <w:autoSpaceDN w:val="0"/>
              <w:adjustRightInd w:val="0"/>
              <w:rPr>
                <w:sz w:val="22"/>
                <w:szCs w:val="22"/>
              </w:rPr>
            </w:pPr>
          </w:p>
        </w:tc>
      </w:tr>
      <w:tr w:rsidR="00E47900" w:rsidRPr="00B02007" w14:paraId="72A5A95F" w14:textId="77777777" w:rsidTr="002C66FC">
        <w:trPr>
          <w:trHeight w:val="2279"/>
        </w:trPr>
        <w:tc>
          <w:tcPr>
            <w:tcW w:w="3120" w:type="dxa"/>
          </w:tcPr>
          <w:p w14:paraId="41BD3A90" w14:textId="77777777" w:rsidR="00E47900" w:rsidRPr="00C564F2" w:rsidRDefault="00E47900" w:rsidP="002C66FC">
            <w:pPr>
              <w:autoSpaceDE w:val="0"/>
              <w:autoSpaceDN w:val="0"/>
              <w:adjustRightInd w:val="0"/>
              <w:rPr>
                <w:sz w:val="22"/>
                <w:szCs w:val="22"/>
              </w:rPr>
            </w:pPr>
            <w:r w:rsidRPr="00C564F2">
              <w:rPr>
                <w:sz w:val="22"/>
                <w:szCs w:val="22"/>
              </w:rPr>
              <w:t>Poreme</w:t>
            </w:r>
            <w:r w:rsidRPr="00C564F2">
              <w:rPr>
                <w:rFonts w:eastAsia="TimesNewRoman"/>
                <w:sz w:val="22"/>
                <w:szCs w:val="22"/>
              </w:rPr>
              <w:t>ć</w:t>
            </w:r>
            <w:r w:rsidRPr="00C564F2">
              <w:rPr>
                <w:sz w:val="22"/>
                <w:szCs w:val="22"/>
              </w:rPr>
              <w:t>aji krvi i</w:t>
            </w:r>
          </w:p>
          <w:p w14:paraId="137C8D6B" w14:textId="77777777" w:rsidR="00E47900" w:rsidRPr="00C564F2" w:rsidRDefault="00E47900" w:rsidP="002C66FC">
            <w:pPr>
              <w:autoSpaceDE w:val="0"/>
              <w:autoSpaceDN w:val="0"/>
              <w:adjustRightInd w:val="0"/>
              <w:rPr>
                <w:sz w:val="22"/>
                <w:szCs w:val="22"/>
              </w:rPr>
            </w:pPr>
            <w:r w:rsidRPr="00C564F2">
              <w:rPr>
                <w:sz w:val="22"/>
                <w:szCs w:val="22"/>
              </w:rPr>
              <w:t>limfnog sistema</w:t>
            </w:r>
          </w:p>
          <w:p w14:paraId="2C49F2F3" w14:textId="77777777" w:rsidR="00E47900" w:rsidRPr="00C564F2" w:rsidRDefault="00E47900" w:rsidP="002C66FC">
            <w:pPr>
              <w:autoSpaceDE w:val="0"/>
              <w:autoSpaceDN w:val="0"/>
              <w:adjustRightInd w:val="0"/>
              <w:rPr>
                <w:sz w:val="22"/>
                <w:szCs w:val="22"/>
              </w:rPr>
            </w:pPr>
          </w:p>
          <w:p w14:paraId="2BFA2D25" w14:textId="77777777" w:rsidR="00E47900" w:rsidRPr="00C564F2" w:rsidRDefault="00E47900" w:rsidP="002C66FC">
            <w:pPr>
              <w:autoSpaceDE w:val="0"/>
              <w:autoSpaceDN w:val="0"/>
              <w:adjustRightInd w:val="0"/>
              <w:rPr>
                <w:sz w:val="22"/>
                <w:szCs w:val="22"/>
              </w:rPr>
            </w:pPr>
          </w:p>
        </w:tc>
        <w:tc>
          <w:tcPr>
            <w:tcW w:w="3120" w:type="dxa"/>
          </w:tcPr>
          <w:p w14:paraId="37A2A841" w14:textId="77777777" w:rsidR="00E47900" w:rsidRPr="00C564F2" w:rsidRDefault="00E47900" w:rsidP="002C66FC">
            <w:pPr>
              <w:autoSpaceDE w:val="0"/>
              <w:autoSpaceDN w:val="0"/>
              <w:adjustRightInd w:val="0"/>
              <w:rPr>
                <w:sz w:val="22"/>
                <w:szCs w:val="22"/>
              </w:rPr>
            </w:pPr>
            <w:r w:rsidRPr="00C564F2">
              <w:rPr>
                <w:sz w:val="22"/>
                <w:szCs w:val="22"/>
              </w:rPr>
              <w:t>Anemija (G3/4: 20,9%);</w:t>
            </w:r>
          </w:p>
          <w:p w14:paraId="761D87D9" w14:textId="77777777" w:rsidR="00E47900" w:rsidRPr="00C564F2" w:rsidRDefault="00E47900" w:rsidP="002C66FC">
            <w:pPr>
              <w:autoSpaceDE w:val="0"/>
              <w:autoSpaceDN w:val="0"/>
              <w:adjustRightInd w:val="0"/>
              <w:rPr>
                <w:sz w:val="22"/>
                <w:szCs w:val="22"/>
              </w:rPr>
            </w:pPr>
          </w:p>
          <w:p w14:paraId="65F17F8C" w14:textId="77777777" w:rsidR="00E47900" w:rsidRPr="00C564F2" w:rsidRDefault="00E47900" w:rsidP="002C66FC">
            <w:pPr>
              <w:autoSpaceDE w:val="0"/>
              <w:autoSpaceDN w:val="0"/>
              <w:adjustRightInd w:val="0"/>
              <w:rPr>
                <w:sz w:val="22"/>
                <w:szCs w:val="22"/>
              </w:rPr>
            </w:pPr>
            <w:r w:rsidRPr="00C564F2">
              <w:rPr>
                <w:sz w:val="22"/>
                <w:szCs w:val="22"/>
              </w:rPr>
              <w:t>Neutropenija (G3/4: 83,2%);</w:t>
            </w:r>
          </w:p>
          <w:p w14:paraId="7CB71777" w14:textId="77777777" w:rsidR="00E47900" w:rsidRPr="00C564F2" w:rsidRDefault="00E47900" w:rsidP="002C66FC">
            <w:pPr>
              <w:autoSpaceDE w:val="0"/>
              <w:autoSpaceDN w:val="0"/>
              <w:adjustRightInd w:val="0"/>
              <w:rPr>
                <w:sz w:val="22"/>
                <w:szCs w:val="22"/>
              </w:rPr>
            </w:pPr>
          </w:p>
          <w:p w14:paraId="170C28DE" w14:textId="77777777" w:rsidR="00E47900" w:rsidRPr="00C564F2" w:rsidRDefault="00E47900" w:rsidP="002C66FC">
            <w:pPr>
              <w:autoSpaceDE w:val="0"/>
              <w:autoSpaceDN w:val="0"/>
              <w:adjustRightInd w:val="0"/>
              <w:rPr>
                <w:sz w:val="22"/>
                <w:szCs w:val="22"/>
              </w:rPr>
            </w:pPr>
            <w:r w:rsidRPr="00C564F2">
              <w:rPr>
                <w:sz w:val="22"/>
                <w:szCs w:val="22"/>
              </w:rPr>
              <w:t>Trombocitopenija (G3/4:</w:t>
            </w:r>
          </w:p>
          <w:p w14:paraId="48889135" w14:textId="77777777" w:rsidR="00E47900" w:rsidRPr="00C564F2" w:rsidRDefault="00E47900" w:rsidP="002C66FC">
            <w:pPr>
              <w:autoSpaceDE w:val="0"/>
              <w:autoSpaceDN w:val="0"/>
              <w:adjustRightInd w:val="0"/>
              <w:rPr>
                <w:sz w:val="22"/>
                <w:szCs w:val="22"/>
              </w:rPr>
            </w:pPr>
            <w:r w:rsidRPr="00C564F2">
              <w:rPr>
                <w:sz w:val="22"/>
                <w:szCs w:val="22"/>
              </w:rPr>
              <w:t>8,8%);</w:t>
            </w:r>
          </w:p>
          <w:p w14:paraId="3A377FD0" w14:textId="77777777" w:rsidR="00E47900" w:rsidRPr="00C564F2" w:rsidRDefault="00E47900" w:rsidP="002C66FC">
            <w:pPr>
              <w:autoSpaceDE w:val="0"/>
              <w:autoSpaceDN w:val="0"/>
              <w:adjustRightInd w:val="0"/>
              <w:rPr>
                <w:sz w:val="22"/>
                <w:szCs w:val="22"/>
              </w:rPr>
            </w:pPr>
          </w:p>
          <w:p w14:paraId="7E2F1511" w14:textId="77777777" w:rsidR="00E47900" w:rsidRPr="00C564F2" w:rsidRDefault="00E47900" w:rsidP="002C66FC">
            <w:pPr>
              <w:autoSpaceDE w:val="0"/>
              <w:autoSpaceDN w:val="0"/>
              <w:adjustRightInd w:val="0"/>
              <w:rPr>
                <w:sz w:val="22"/>
                <w:szCs w:val="22"/>
              </w:rPr>
            </w:pPr>
            <w:r w:rsidRPr="00C564F2">
              <w:rPr>
                <w:sz w:val="22"/>
                <w:szCs w:val="22"/>
              </w:rPr>
              <w:t>Febrilna neutropenija</w:t>
            </w:r>
          </w:p>
          <w:p w14:paraId="6F482A74" w14:textId="77777777" w:rsidR="00E47900" w:rsidRPr="00C564F2" w:rsidRDefault="00E47900" w:rsidP="002C66FC">
            <w:pPr>
              <w:autoSpaceDE w:val="0"/>
              <w:autoSpaceDN w:val="0"/>
              <w:adjustRightInd w:val="0"/>
              <w:rPr>
                <w:sz w:val="22"/>
                <w:szCs w:val="22"/>
              </w:rPr>
            </w:pPr>
          </w:p>
        </w:tc>
        <w:tc>
          <w:tcPr>
            <w:tcW w:w="3518" w:type="dxa"/>
          </w:tcPr>
          <w:p w14:paraId="3E9198F4" w14:textId="77777777" w:rsidR="00E47900" w:rsidRPr="00C564F2" w:rsidRDefault="00E47900" w:rsidP="002C66FC">
            <w:pPr>
              <w:autoSpaceDE w:val="0"/>
              <w:autoSpaceDN w:val="0"/>
              <w:adjustRightInd w:val="0"/>
              <w:rPr>
                <w:sz w:val="22"/>
                <w:szCs w:val="22"/>
              </w:rPr>
            </w:pPr>
          </w:p>
        </w:tc>
      </w:tr>
      <w:tr w:rsidR="00E47900" w:rsidRPr="00B02007" w14:paraId="3127ABD9" w14:textId="77777777" w:rsidTr="002C66FC">
        <w:trPr>
          <w:trHeight w:val="254"/>
        </w:trPr>
        <w:tc>
          <w:tcPr>
            <w:tcW w:w="3120" w:type="dxa"/>
          </w:tcPr>
          <w:p w14:paraId="585F8E75" w14:textId="77777777" w:rsidR="00E47900" w:rsidRPr="00C564F2" w:rsidRDefault="00E47900" w:rsidP="002C66FC">
            <w:pPr>
              <w:autoSpaceDE w:val="0"/>
              <w:autoSpaceDN w:val="0"/>
              <w:adjustRightInd w:val="0"/>
              <w:rPr>
                <w:sz w:val="22"/>
                <w:szCs w:val="22"/>
              </w:rPr>
            </w:pPr>
            <w:r w:rsidRPr="00C564F2">
              <w:rPr>
                <w:sz w:val="22"/>
                <w:szCs w:val="22"/>
              </w:rPr>
              <w:t>Poremećaji imunog sistema</w:t>
            </w:r>
          </w:p>
        </w:tc>
        <w:tc>
          <w:tcPr>
            <w:tcW w:w="3120" w:type="dxa"/>
          </w:tcPr>
          <w:p w14:paraId="64E8FC89" w14:textId="77777777" w:rsidR="00E47900" w:rsidRPr="00C564F2" w:rsidRDefault="00E47900" w:rsidP="002C66FC">
            <w:pPr>
              <w:autoSpaceDE w:val="0"/>
              <w:autoSpaceDN w:val="0"/>
              <w:adjustRightInd w:val="0"/>
              <w:rPr>
                <w:sz w:val="22"/>
                <w:szCs w:val="22"/>
              </w:rPr>
            </w:pPr>
            <w:r w:rsidRPr="00C564F2">
              <w:rPr>
                <w:sz w:val="22"/>
                <w:szCs w:val="22"/>
              </w:rPr>
              <w:t>Preosjetljivost (G3/4: 1,7%)</w:t>
            </w:r>
          </w:p>
        </w:tc>
        <w:tc>
          <w:tcPr>
            <w:tcW w:w="3518" w:type="dxa"/>
          </w:tcPr>
          <w:p w14:paraId="592D1266" w14:textId="77777777" w:rsidR="00E47900" w:rsidRPr="00C564F2" w:rsidRDefault="00E47900" w:rsidP="002C66FC">
            <w:pPr>
              <w:autoSpaceDE w:val="0"/>
              <w:autoSpaceDN w:val="0"/>
              <w:adjustRightInd w:val="0"/>
              <w:rPr>
                <w:sz w:val="22"/>
                <w:szCs w:val="22"/>
              </w:rPr>
            </w:pPr>
          </w:p>
        </w:tc>
      </w:tr>
      <w:tr w:rsidR="00E47900" w:rsidRPr="00B02007" w14:paraId="629CD17D" w14:textId="77777777" w:rsidTr="002C66FC">
        <w:trPr>
          <w:trHeight w:val="254"/>
        </w:trPr>
        <w:tc>
          <w:tcPr>
            <w:tcW w:w="3120" w:type="dxa"/>
          </w:tcPr>
          <w:p w14:paraId="59F860AC" w14:textId="77777777" w:rsidR="00E47900" w:rsidRPr="00C564F2" w:rsidRDefault="00E47900" w:rsidP="002C66FC">
            <w:pPr>
              <w:autoSpaceDE w:val="0"/>
              <w:autoSpaceDN w:val="0"/>
              <w:adjustRightInd w:val="0"/>
              <w:rPr>
                <w:sz w:val="22"/>
                <w:szCs w:val="22"/>
              </w:rPr>
            </w:pPr>
            <w:r w:rsidRPr="00C564F2">
              <w:rPr>
                <w:sz w:val="22"/>
                <w:szCs w:val="22"/>
              </w:rPr>
              <w:t>Poremećaji metabolizma i ishrane</w:t>
            </w:r>
          </w:p>
        </w:tc>
        <w:tc>
          <w:tcPr>
            <w:tcW w:w="3120" w:type="dxa"/>
          </w:tcPr>
          <w:p w14:paraId="28A19335" w14:textId="77777777" w:rsidR="00E47900" w:rsidRPr="00C564F2" w:rsidRDefault="00E47900" w:rsidP="002C66FC">
            <w:pPr>
              <w:autoSpaceDE w:val="0"/>
              <w:autoSpaceDN w:val="0"/>
              <w:adjustRightInd w:val="0"/>
              <w:rPr>
                <w:sz w:val="22"/>
                <w:szCs w:val="22"/>
              </w:rPr>
            </w:pPr>
            <w:r w:rsidRPr="00C564F2">
              <w:rPr>
                <w:sz w:val="22"/>
                <w:szCs w:val="22"/>
              </w:rPr>
              <w:t>Anoreksija (G3/4: 11,7%)</w:t>
            </w:r>
          </w:p>
        </w:tc>
        <w:tc>
          <w:tcPr>
            <w:tcW w:w="3518" w:type="dxa"/>
          </w:tcPr>
          <w:p w14:paraId="5999213C" w14:textId="77777777" w:rsidR="00E47900" w:rsidRPr="00C564F2" w:rsidRDefault="00E47900" w:rsidP="002C66FC">
            <w:pPr>
              <w:autoSpaceDE w:val="0"/>
              <w:autoSpaceDN w:val="0"/>
              <w:adjustRightInd w:val="0"/>
              <w:rPr>
                <w:sz w:val="22"/>
                <w:szCs w:val="22"/>
              </w:rPr>
            </w:pPr>
          </w:p>
        </w:tc>
      </w:tr>
      <w:tr w:rsidR="00E47900" w:rsidRPr="00B02007" w14:paraId="6975FB43" w14:textId="77777777" w:rsidTr="002C66FC">
        <w:trPr>
          <w:trHeight w:val="806"/>
        </w:trPr>
        <w:tc>
          <w:tcPr>
            <w:tcW w:w="3120" w:type="dxa"/>
          </w:tcPr>
          <w:p w14:paraId="351D8852" w14:textId="77777777" w:rsidR="00E47900" w:rsidRPr="00C564F2" w:rsidRDefault="00E47900" w:rsidP="002C66FC">
            <w:pPr>
              <w:autoSpaceDE w:val="0"/>
              <w:autoSpaceDN w:val="0"/>
              <w:adjustRightInd w:val="0"/>
              <w:rPr>
                <w:sz w:val="22"/>
                <w:szCs w:val="22"/>
              </w:rPr>
            </w:pPr>
            <w:r w:rsidRPr="00C564F2">
              <w:rPr>
                <w:sz w:val="22"/>
                <w:szCs w:val="22"/>
              </w:rPr>
              <w:t>Poreme</w:t>
            </w:r>
            <w:r w:rsidRPr="00C564F2">
              <w:rPr>
                <w:rFonts w:eastAsia="TimesNewRoman"/>
                <w:sz w:val="22"/>
                <w:szCs w:val="22"/>
              </w:rPr>
              <w:t>ć</w:t>
            </w:r>
            <w:r w:rsidRPr="00C564F2">
              <w:rPr>
                <w:sz w:val="22"/>
                <w:szCs w:val="22"/>
              </w:rPr>
              <w:t>aji nervnog</w:t>
            </w:r>
          </w:p>
          <w:p w14:paraId="49037872" w14:textId="77777777" w:rsidR="00E47900" w:rsidRPr="00C564F2" w:rsidRDefault="00E47900" w:rsidP="002C66FC">
            <w:pPr>
              <w:autoSpaceDE w:val="0"/>
              <w:autoSpaceDN w:val="0"/>
              <w:adjustRightInd w:val="0"/>
              <w:rPr>
                <w:sz w:val="22"/>
                <w:szCs w:val="22"/>
              </w:rPr>
            </w:pPr>
            <w:r w:rsidRPr="00C564F2">
              <w:rPr>
                <w:sz w:val="22"/>
                <w:szCs w:val="22"/>
              </w:rPr>
              <w:t>sistema</w:t>
            </w:r>
          </w:p>
          <w:p w14:paraId="25309245" w14:textId="77777777" w:rsidR="00E47900" w:rsidRPr="00C564F2" w:rsidRDefault="00E47900" w:rsidP="002C66FC">
            <w:pPr>
              <w:autoSpaceDE w:val="0"/>
              <w:autoSpaceDN w:val="0"/>
              <w:adjustRightInd w:val="0"/>
              <w:rPr>
                <w:sz w:val="22"/>
                <w:szCs w:val="22"/>
              </w:rPr>
            </w:pPr>
          </w:p>
        </w:tc>
        <w:tc>
          <w:tcPr>
            <w:tcW w:w="3120" w:type="dxa"/>
            <w:shd w:val="clear" w:color="auto" w:fill="auto"/>
          </w:tcPr>
          <w:p w14:paraId="53682746" w14:textId="77777777" w:rsidR="00E47900" w:rsidRPr="00C564F2" w:rsidRDefault="00E47900" w:rsidP="002C66FC">
            <w:pPr>
              <w:autoSpaceDE w:val="0"/>
              <w:autoSpaceDN w:val="0"/>
              <w:adjustRightInd w:val="0"/>
              <w:rPr>
                <w:sz w:val="22"/>
                <w:szCs w:val="22"/>
              </w:rPr>
            </w:pPr>
            <w:r w:rsidRPr="00C564F2">
              <w:rPr>
                <w:sz w:val="22"/>
                <w:szCs w:val="22"/>
              </w:rPr>
              <w:t>Periferna senzorna neuropatija (G3/4: 8,7%)</w:t>
            </w:r>
          </w:p>
          <w:p w14:paraId="5DB789D6" w14:textId="77777777" w:rsidR="00E47900" w:rsidRPr="00C564F2" w:rsidRDefault="00E47900" w:rsidP="002C66FC">
            <w:pPr>
              <w:autoSpaceDE w:val="0"/>
              <w:autoSpaceDN w:val="0"/>
              <w:adjustRightInd w:val="0"/>
              <w:rPr>
                <w:sz w:val="22"/>
                <w:szCs w:val="22"/>
              </w:rPr>
            </w:pPr>
          </w:p>
        </w:tc>
        <w:tc>
          <w:tcPr>
            <w:tcW w:w="3518" w:type="dxa"/>
            <w:shd w:val="clear" w:color="auto" w:fill="auto"/>
          </w:tcPr>
          <w:p w14:paraId="652FB5AD" w14:textId="77777777" w:rsidR="00E47900" w:rsidRPr="00C564F2" w:rsidRDefault="00E47900" w:rsidP="002C66FC">
            <w:pPr>
              <w:autoSpaceDE w:val="0"/>
              <w:autoSpaceDN w:val="0"/>
              <w:adjustRightInd w:val="0"/>
              <w:rPr>
                <w:sz w:val="22"/>
                <w:szCs w:val="22"/>
              </w:rPr>
            </w:pPr>
            <w:r w:rsidRPr="00C564F2">
              <w:rPr>
                <w:sz w:val="22"/>
                <w:szCs w:val="22"/>
              </w:rPr>
              <w:t>Vrtoglavica (G3/4: 2,3%);</w:t>
            </w:r>
          </w:p>
          <w:p w14:paraId="72598D01" w14:textId="77777777" w:rsidR="00E47900" w:rsidRPr="00C564F2" w:rsidRDefault="00E47900" w:rsidP="002C66FC">
            <w:pPr>
              <w:autoSpaceDE w:val="0"/>
              <w:autoSpaceDN w:val="0"/>
              <w:adjustRightInd w:val="0"/>
              <w:rPr>
                <w:sz w:val="22"/>
                <w:szCs w:val="22"/>
              </w:rPr>
            </w:pPr>
          </w:p>
          <w:p w14:paraId="7083536D" w14:textId="77777777" w:rsidR="00E47900" w:rsidRPr="00C564F2" w:rsidRDefault="00E47900" w:rsidP="002C66FC">
            <w:pPr>
              <w:autoSpaceDE w:val="0"/>
              <w:autoSpaceDN w:val="0"/>
              <w:adjustRightInd w:val="0"/>
              <w:rPr>
                <w:sz w:val="22"/>
                <w:szCs w:val="22"/>
              </w:rPr>
            </w:pPr>
            <w:r w:rsidRPr="00C564F2">
              <w:rPr>
                <w:sz w:val="22"/>
                <w:szCs w:val="22"/>
              </w:rPr>
              <w:t>Periferna motorna neuropatija</w:t>
            </w:r>
          </w:p>
          <w:p w14:paraId="7924645F" w14:textId="77777777" w:rsidR="00E47900" w:rsidRPr="00C564F2" w:rsidRDefault="00E47900" w:rsidP="002C66FC">
            <w:pPr>
              <w:autoSpaceDE w:val="0"/>
              <w:autoSpaceDN w:val="0"/>
              <w:adjustRightInd w:val="0"/>
              <w:rPr>
                <w:sz w:val="22"/>
                <w:szCs w:val="22"/>
              </w:rPr>
            </w:pPr>
            <w:r w:rsidRPr="00C564F2">
              <w:rPr>
                <w:sz w:val="22"/>
                <w:szCs w:val="22"/>
              </w:rPr>
              <w:t>(G3/4: 1,3%)</w:t>
            </w:r>
          </w:p>
          <w:p w14:paraId="042B8062" w14:textId="77777777" w:rsidR="00E47900" w:rsidRPr="00C564F2" w:rsidRDefault="00E47900" w:rsidP="002C66FC">
            <w:pPr>
              <w:autoSpaceDE w:val="0"/>
              <w:autoSpaceDN w:val="0"/>
              <w:adjustRightInd w:val="0"/>
              <w:rPr>
                <w:sz w:val="22"/>
                <w:szCs w:val="22"/>
              </w:rPr>
            </w:pPr>
          </w:p>
          <w:p w14:paraId="13E8EA6C" w14:textId="77777777" w:rsidR="00E47900" w:rsidRPr="00C564F2" w:rsidRDefault="00E47900" w:rsidP="002C66FC">
            <w:pPr>
              <w:autoSpaceDE w:val="0"/>
              <w:autoSpaceDN w:val="0"/>
              <w:adjustRightInd w:val="0"/>
              <w:rPr>
                <w:sz w:val="22"/>
                <w:szCs w:val="22"/>
              </w:rPr>
            </w:pPr>
          </w:p>
        </w:tc>
      </w:tr>
      <w:tr w:rsidR="00E47900" w:rsidRPr="00B02007" w14:paraId="757C3B17" w14:textId="77777777" w:rsidTr="002C66FC">
        <w:trPr>
          <w:trHeight w:val="399"/>
        </w:trPr>
        <w:tc>
          <w:tcPr>
            <w:tcW w:w="3120" w:type="dxa"/>
          </w:tcPr>
          <w:p w14:paraId="6E3524DC" w14:textId="77777777" w:rsidR="00E47900" w:rsidRPr="00C564F2" w:rsidRDefault="00E47900" w:rsidP="002C66FC">
            <w:pPr>
              <w:autoSpaceDE w:val="0"/>
              <w:autoSpaceDN w:val="0"/>
              <w:adjustRightInd w:val="0"/>
              <w:rPr>
                <w:sz w:val="22"/>
                <w:szCs w:val="22"/>
              </w:rPr>
            </w:pPr>
            <w:r w:rsidRPr="00C564F2">
              <w:rPr>
                <w:sz w:val="22"/>
                <w:szCs w:val="22"/>
              </w:rPr>
              <w:t>Poremećaji oka</w:t>
            </w:r>
          </w:p>
        </w:tc>
        <w:tc>
          <w:tcPr>
            <w:tcW w:w="3120" w:type="dxa"/>
            <w:shd w:val="clear" w:color="auto" w:fill="auto"/>
          </w:tcPr>
          <w:p w14:paraId="07D3FEDE" w14:textId="77777777" w:rsidR="00E47900" w:rsidRPr="00C564F2" w:rsidRDefault="00E47900" w:rsidP="002C66FC">
            <w:pPr>
              <w:autoSpaceDE w:val="0"/>
              <w:autoSpaceDN w:val="0"/>
              <w:adjustRightInd w:val="0"/>
              <w:rPr>
                <w:sz w:val="22"/>
                <w:szCs w:val="22"/>
              </w:rPr>
            </w:pPr>
          </w:p>
        </w:tc>
        <w:tc>
          <w:tcPr>
            <w:tcW w:w="3518" w:type="dxa"/>
            <w:shd w:val="clear" w:color="auto" w:fill="auto"/>
          </w:tcPr>
          <w:p w14:paraId="6AE53056" w14:textId="77777777" w:rsidR="00E47900" w:rsidRPr="00C564F2" w:rsidRDefault="00E47900" w:rsidP="002C66FC">
            <w:pPr>
              <w:autoSpaceDE w:val="0"/>
              <w:autoSpaceDN w:val="0"/>
              <w:adjustRightInd w:val="0"/>
              <w:rPr>
                <w:sz w:val="22"/>
                <w:szCs w:val="22"/>
              </w:rPr>
            </w:pPr>
            <w:r w:rsidRPr="00C564F2">
              <w:rPr>
                <w:sz w:val="22"/>
                <w:szCs w:val="22"/>
              </w:rPr>
              <w:t>Pojačano suzenje (G3/4: 0%)</w:t>
            </w:r>
          </w:p>
        </w:tc>
      </w:tr>
      <w:tr w:rsidR="00E47900" w:rsidRPr="00B02007" w14:paraId="3EF3FBE4" w14:textId="77777777" w:rsidTr="002C66FC">
        <w:trPr>
          <w:trHeight w:val="398"/>
        </w:trPr>
        <w:tc>
          <w:tcPr>
            <w:tcW w:w="3120" w:type="dxa"/>
          </w:tcPr>
          <w:p w14:paraId="39F3D844" w14:textId="77777777" w:rsidR="00E47900" w:rsidRPr="00C564F2" w:rsidRDefault="00E47900" w:rsidP="002C66FC">
            <w:pPr>
              <w:autoSpaceDE w:val="0"/>
              <w:autoSpaceDN w:val="0"/>
              <w:adjustRightInd w:val="0"/>
              <w:rPr>
                <w:sz w:val="22"/>
                <w:szCs w:val="22"/>
              </w:rPr>
            </w:pPr>
            <w:r w:rsidRPr="00C564F2">
              <w:rPr>
                <w:sz w:val="22"/>
                <w:szCs w:val="22"/>
              </w:rPr>
              <w:t>Poreme</w:t>
            </w:r>
            <w:r w:rsidRPr="00C564F2">
              <w:rPr>
                <w:rFonts w:eastAsia="TimesNewRoman"/>
                <w:sz w:val="22"/>
                <w:szCs w:val="22"/>
              </w:rPr>
              <w:t>ć</w:t>
            </w:r>
            <w:r w:rsidRPr="00C564F2">
              <w:rPr>
                <w:sz w:val="22"/>
                <w:szCs w:val="22"/>
              </w:rPr>
              <w:t xml:space="preserve">aji uha i lavirinta </w:t>
            </w:r>
          </w:p>
          <w:p w14:paraId="5ABC8CBB" w14:textId="77777777" w:rsidR="00E47900" w:rsidRPr="00C564F2" w:rsidRDefault="00E47900" w:rsidP="002C66FC">
            <w:pPr>
              <w:autoSpaceDE w:val="0"/>
              <w:autoSpaceDN w:val="0"/>
              <w:adjustRightInd w:val="0"/>
              <w:rPr>
                <w:sz w:val="22"/>
                <w:szCs w:val="22"/>
              </w:rPr>
            </w:pPr>
          </w:p>
        </w:tc>
        <w:tc>
          <w:tcPr>
            <w:tcW w:w="3120" w:type="dxa"/>
            <w:shd w:val="clear" w:color="auto" w:fill="auto"/>
          </w:tcPr>
          <w:p w14:paraId="0E6FCE95" w14:textId="77777777" w:rsidR="00E47900" w:rsidRPr="00C564F2" w:rsidRDefault="00E47900" w:rsidP="002C66FC">
            <w:pPr>
              <w:autoSpaceDE w:val="0"/>
              <w:autoSpaceDN w:val="0"/>
              <w:adjustRightInd w:val="0"/>
              <w:rPr>
                <w:sz w:val="22"/>
                <w:szCs w:val="22"/>
              </w:rPr>
            </w:pPr>
          </w:p>
        </w:tc>
        <w:tc>
          <w:tcPr>
            <w:tcW w:w="3518" w:type="dxa"/>
            <w:shd w:val="clear" w:color="auto" w:fill="auto"/>
          </w:tcPr>
          <w:p w14:paraId="7254EC23" w14:textId="77777777" w:rsidR="00E47900" w:rsidRPr="00C564F2" w:rsidRDefault="00E47900" w:rsidP="002C66FC">
            <w:pPr>
              <w:autoSpaceDE w:val="0"/>
              <w:autoSpaceDN w:val="0"/>
              <w:adjustRightInd w:val="0"/>
              <w:ind w:right="-537"/>
              <w:rPr>
                <w:sz w:val="22"/>
                <w:szCs w:val="22"/>
              </w:rPr>
            </w:pPr>
            <w:r w:rsidRPr="00C564F2">
              <w:rPr>
                <w:sz w:val="22"/>
                <w:szCs w:val="22"/>
              </w:rPr>
              <w:t>Oslabljen sluh (G3/4: 0%)</w:t>
            </w:r>
          </w:p>
        </w:tc>
      </w:tr>
      <w:tr w:rsidR="00E47900" w:rsidRPr="00B02007" w14:paraId="6083A559" w14:textId="77777777" w:rsidTr="002C66FC">
        <w:trPr>
          <w:trHeight w:val="398"/>
        </w:trPr>
        <w:tc>
          <w:tcPr>
            <w:tcW w:w="3120" w:type="dxa"/>
          </w:tcPr>
          <w:p w14:paraId="3113395D" w14:textId="77777777" w:rsidR="00E47900" w:rsidRPr="00C564F2" w:rsidRDefault="00E47900" w:rsidP="002C66FC">
            <w:pPr>
              <w:autoSpaceDE w:val="0"/>
              <w:autoSpaceDN w:val="0"/>
              <w:adjustRightInd w:val="0"/>
              <w:rPr>
                <w:sz w:val="22"/>
                <w:szCs w:val="22"/>
              </w:rPr>
            </w:pPr>
            <w:r w:rsidRPr="00C564F2">
              <w:rPr>
                <w:sz w:val="22"/>
                <w:szCs w:val="22"/>
              </w:rPr>
              <w:t>Srčani poremećaji</w:t>
            </w:r>
          </w:p>
        </w:tc>
        <w:tc>
          <w:tcPr>
            <w:tcW w:w="3120" w:type="dxa"/>
            <w:shd w:val="clear" w:color="auto" w:fill="auto"/>
          </w:tcPr>
          <w:p w14:paraId="498C6EF7" w14:textId="77777777" w:rsidR="00E47900" w:rsidRPr="00C564F2" w:rsidRDefault="00E47900" w:rsidP="002C66FC">
            <w:pPr>
              <w:autoSpaceDE w:val="0"/>
              <w:autoSpaceDN w:val="0"/>
              <w:adjustRightInd w:val="0"/>
              <w:rPr>
                <w:sz w:val="22"/>
                <w:szCs w:val="22"/>
              </w:rPr>
            </w:pPr>
          </w:p>
        </w:tc>
        <w:tc>
          <w:tcPr>
            <w:tcW w:w="3518" w:type="dxa"/>
            <w:shd w:val="clear" w:color="auto" w:fill="auto"/>
          </w:tcPr>
          <w:p w14:paraId="2B89CCD4" w14:textId="77777777" w:rsidR="00E47900" w:rsidRPr="00C564F2" w:rsidRDefault="00E47900" w:rsidP="002C66FC">
            <w:pPr>
              <w:autoSpaceDE w:val="0"/>
              <w:autoSpaceDN w:val="0"/>
              <w:adjustRightInd w:val="0"/>
              <w:rPr>
                <w:sz w:val="22"/>
                <w:szCs w:val="22"/>
              </w:rPr>
            </w:pPr>
            <w:r w:rsidRPr="00C564F2">
              <w:rPr>
                <w:sz w:val="22"/>
                <w:szCs w:val="22"/>
              </w:rPr>
              <w:t>Aritmija (G3/4: 1,0%)</w:t>
            </w:r>
          </w:p>
        </w:tc>
      </w:tr>
      <w:tr w:rsidR="00E47900" w:rsidRPr="00B02007" w14:paraId="0C8CF552" w14:textId="77777777" w:rsidTr="002C66FC">
        <w:trPr>
          <w:trHeight w:val="2279"/>
        </w:trPr>
        <w:tc>
          <w:tcPr>
            <w:tcW w:w="3120" w:type="dxa"/>
          </w:tcPr>
          <w:p w14:paraId="356B3A59" w14:textId="77777777" w:rsidR="00E47900" w:rsidRPr="00C564F2" w:rsidRDefault="00E47900" w:rsidP="002C66FC">
            <w:pPr>
              <w:autoSpaceDE w:val="0"/>
              <w:autoSpaceDN w:val="0"/>
              <w:adjustRightInd w:val="0"/>
              <w:rPr>
                <w:sz w:val="22"/>
                <w:szCs w:val="22"/>
              </w:rPr>
            </w:pPr>
            <w:r w:rsidRPr="00C564F2">
              <w:rPr>
                <w:sz w:val="22"/>
                <w:szCs w:val="22"/>
              </w:rPr>
              <w:t>Gastrointestinalni</w:t>
            </w:r>
          </w:p>
          <w:p w14:paraId="6DAA3B33" w14:textId="77777777" w:rsidR="00E47900" w:rsidRPr="00C564F2" w:rsidRDefault="00E47900" w:rsidP="002C66FC">
            <w:pPr>
              <w:autoSpaceDE w:val="0"/>
              <w:autoSpaceDN w:val="0"/>
              <w:adjustRightInd w:val="0"/>
              <w:rPr>
                <w:sz w:val="22"/>
                <w:szCs w:val="22"/>
              </w:rPr>
            </w:pPr>
            <w:r w:rsidRPr="00C564F2">
              <w:rPr>
                <w:sz w:val="22"/>
                <w:szCs w:val="22"/>
              </w:rPr>
              <w:t>poreme</w:t>
            </w:r>
            <w:r w:rsidRPr="00C564F2">
              <w:rPr>
                <w:rFonts w:eastAsia="TimesNewRoman"/>
                <w:sz w:val="22"/>
                <w:szCs w:val="22"/>
              </w:rPr>
              <w:t>ć</w:t>
            </w:r>
            <w:r w:rsidRPr="00C564F2">
              <w:rPr>
                <w:sz w:val="22"/>
                <w:szCs w:val="22"/>
              </w:rPr>
              <w:t>aji</w:t>
            </w:r>
          </w:p>
          <w:p w14:paraId="36AE0FAF" w14:textId="77777777" w:rsidR="00E47900" w:rsidRPr="00C564F2" w:rsidRDefault="00E47900" w:rsidP="002C66FC">
            <w:pPr>
              <w:autoSpaceDE w:val="0"/>
              <w:autoSpaceDN w:val="0"/>
              <w:adjustRightInd w:val="0"/>
              <w:rPr>
                <w:sz w:val="22"/>
                <w:szCs w:val="22"/>
              </w:rPr>
            </w:pPr>
          </w:p>
        </w:tc>
        <w:tc>
          <w:tcPr>
            <w:tcW w:w="3120" w:type="dxa"/>
          </w:tcPr>
          <w:p w14:paraId="4E9C85AA" w14:textId="77777777" w:rsidR="00E47900" w:rsidRPr="00C564F2" w:rsidRDefault="00E47900" w:rsidP="002C66FC">
            <w:pPr>
              <w:autoSpaceDE w:val="0"/>
              <w:autoSpaceDN w:val="0"/>
              <w:adjustRightInd w:val="0"/>
              <w:rPr>
                <w:sz w:val="22"/>
                <w:szCs w:val="22"/>
              </w:rPr>
            </w:pPr>
          </w:p>
          <w:p w14:paraId="65C0A379" w14:textId="77777777" w:rsidR="00E47900" w:rsidRPr="00C564F2" w:rsidRDefault="00E47900" w:rsidP="002C66FC">
            <w:pPr>
              <w:autoSpaceDE w:val="0"/>
              <w:autoSpaceDN w:val="0"/>
              <w:adjustRightInd w:val="0"/>
              <w:rPr>
                <w:sz w:val="22"/>
                <w:szCs w:val="22"/>
              </w:rPr>
            </w:pPr>
            <w:r w:rsidRPr="00C564F2">
              <w:rPr>
                <w:sz w:val="22"/>
                <w:szCs w:val="22"/>
              </w:rPr>
              <w:t>Dijareja (G3/4: 19,7%);</w:t>
            </w:r>
          </w:p>
          <w:p w14:paraId="2A4C3532" w14:textId="77777777" w:rsidR="00E47900" w:rsidRPr="00C564F2" w:rsidRDefault="00E47900" w:rsidP="002C66FC">
            <w:pPr>
              <w:autoSpaceDE w:val="0"/>
              <w:autoSpaceDN w:val="0"/>
              <w:adjustRightInd w:val="0"/>
              <w:rPr>
                <w:sz w:val="22"/>
                <w:szCs w:val="22"/>
              </w:rPr>
            </w:pPr>
          </w:p>
          <w:p w14:paraId="48A189A5" w14:textId="77777777" w:rsidR="00E47900" w:rsidRPr="00C564F2" w:rsidRDefault="00E47900" w:rsidP="002C66FC">
            <w:pPr>
              <w:autoSpaceDE w:val="0"/>
              <w:autoSpaceDN w:val="0"/>
              <w:adjustRightInd w:val="0"/>
              <w:rPr>
                <w:sz w:val="22"/>
                <w:szCs w:val="22"/>
              </w:rPr>
            </w:pPr>
            <w:r w:rsidRPr="00C564F2">
              <w:rPr>
                <w:sz w:val="22"/>
                <w:szCs w:val="22"/>
              </w:rPr>
              <w:t>Mu</w:t>
            </w:r>
            <w:r w:rsidRPr="00C564F2">
              <w:rPr>
                <w:rFonts w:eastAsia="TimesNewRoman"/>
                <w:sz w:val="22"/>
                <w:szCs w:val="22"/>
              </w:rPr>
              <w:t>č</w:t>
            </w:r>
            <w:r w:rsidRPr="00C564F2">
              <w:rPr>
                <w:sz w:val="22"/>
                <w:szCs w:val="22"/>
              </w:rPr>
              <w:t>nina (G3/4: 16%);</w:t>
            </w:r>
          </w:p>
          <w:p w14:paraId="782A478B" w14:textId="77777777" w:rsidR="00E47900" w:rsidRPr="00C564F2" w:rsidRDefault="00E47900" w:rsidP="002C66FC">
            <w:pPr>
              <w:autoSpaceDE w:val="0"/>
              <w:autoSpaceDN w:val="0"/>
              <w:adjustRightInd w:val="0"/>
              <w:rPr>
                <w:sz w:val="22"/>
                <w:szCs w:val="22"/>
              </w:rPr>
            </w:pPr>
          </w:p>
          <w:p w14:paraId="0907A014" w14:textId="77777777" w:rsidR="00E47900" w:rsidRPr="00C564F2" w:rsidRDefault="00E47900" w:rsidP="002C66FC">
            <w:pPr>
              <w:autoSpaceDE w:val="0"/>
              <w:autoSpaceDN w:val="0"/>
              <w:adjustRightInd w:val="0"/>
              <w:rPr>
                <w:sz w:val="22"/>
                <w:szCs w:val="22"/>
              </w:rPr>
            </w:pPr>
            <w:r w:rsidRPr="00C564F2">
              <w:rPr>
                <w:sz w:val="22"/>
                <w:szCs w:val="22"/>
              </w:rPr>
              <w:t>Stomatitis (G3/4: 23,7%);</w:t>
            </w:r>
          </w:p>
          <w:p w14:paraId="0494C70E" w14:textId="77777777" w:rsidR="00E47900" w:rsidRPr="00C564F2" w:rsidRDefault="00E47900" w:rsidP="002C66FC">
            <w:pPr>
              <w:autoSpaceDE w:val="0"/>
              <w:autoSpaceDN w:val="0"/>
              <w:adjustRightInd w:val="0"/>
              <w:rPr>
                <w:sz w:val="22"/>
                <w:szCs w:val="22"/>
              </w:rPr>
            </w:pPr>
          </w:p>
          <w:p w14:paraId="5AA528DE" w14:textId="77777777" w:rsidR="00E47900" w:rsidRPr="00C564F2" w:rsidRDefault="00E47900" w:rsidP="002C66FC">
            <w:pPr>
              <w:autoSpaceDE w:val="0"/>
              <w:autoSpaceDN w:val="0"/>
              <w:adjustRightInd w:val="0"/>
              <w:rPr>
                <w:sz w:val="22"/>
                <w:szCs w:val="22"/>
              </w:rPr>
            </w:pPr>
            <w:r w:rsidRPr="00C564F2">
              <w:rPr>
                <w:sz w:val="22"/>
                <w:szCs w:val="22"/>
              </w:rPr>
              <w:t>Povraćanje (G3/4: 14,3%)</w:t>
            </w:r>
          </w:p>
          <w:p w14:paraId="0D1DC31D" w14:textId="77777777" w:rsidR="00E47900" w:rsidRPr="00C564F2" w:rsidRDefault="00E47900" w:rsidP="002C66FC">
            <w:pPr>
              <w:autoSpaceDE w:val="0"/>
              <w:autoSpaceDN w:val="0"/>
              <w:adjustRightInd w:val="0"/>
              <w:rPr>
                <w:sz w:val="22"/>
                <w:szCs w:val="22"/>
              </w:rPr>
            </w:pPr>
          </w:p>
        </w:tc>
        <w:tc>
          <w:tcPr>
            <w:tcW w:w="3518" w:type="dxa"/>
          </w:tcPr>
          <w:p w14:paraId="49D2E9AE" w14:textId="77777777" w:rsidR="00E47900" w:rsidRPr="00C564F2" w:rsidRDefault="00E47900" w:rsidP="002C66FC">
            <w:pPr>
              <w:autoSpaceDE w:val="0"/>
              <w:autoSpaceDN w:val="0"/>
              <w:adjustRightInd w:val="0"/>
              <w:rPr>
                <w:sz w:val="22"/>
                <w:szCs w:val="22"/>
              </w:rPr>
            </w:pPr>
            <w:r w:rsidRPr="00C564F2">
              <w:rPr>
                <w:sz w:val="22"/>
                <w:szCs w:val="22"/>
              </w:rPr>
              <w:t>Opstipacija (G3/4: 1,0%);</w:t>
            </w:r>
          </w:p>
          <w:p w14:paraId="3B5B9041" w14:textId="77777777" w:rsidR="00E47900" w:rsidRPr="00C564F2" w:rsidRDefault="00E47900" w:rsidP="002C66FC">
            <w:pPr>
              <w:autoSpaceDE w:val="0"/>
              <w:autoSpaceDN w:val="0"/>
              <w:adjustRightInd w:val="0"/>
              <w:rPr>
                <w:sz w:val="22"/>
                <w:szCs w:val="22"/>
              </w:rPr>
            </w:pPr>
          </w:p>
          <w:p w14:paraId="42B9D180" w14:textId="77777777" w:rsidR="00E47900" w:rsidRPr="00C564F2" w:rsidRDefault="00E47900" w:rsidP="002C66FC">
            <w:pPr>
              <w:autoSpaceDE w:val="0"/>
              <w:autoSpaceDN w:val="0"/>
              <w:adjustRightInd w:val="0"/>
              <w:rPr>
                <w:sz w:val="22"/>
                <w:szCs w:val="22"/>
              </w:rPr>
            </w:pPr>
            <w:r w:rsidRPr="00C564F2">
              <w:rPr>
                <w:sz w:val="22"/>
                <w:szCs w:val="22"/>
              </w:rPr>
              <w:t>Gastrointestinalni bol (G3/4:</w:t>
            </w:r>
          </w:p>
          <w:p w14:paraId="6DA6E4B4" w14:textId="77777777" w:rsidR="00E47900" w:rsidRPr="00C564F2" w:rsidRDefault="00E47900" w:rsidP="002C66FC">
            <w:pPr>
              <w:autoSpaceDE w:val="0"/>
              <w:autoSpaceDN w:val="0"/>
              <w:adjustRightInd w:val="0"/>
              <w:rPr>
                <w:sz w:val="22"/>
                <w:szCs w:val="22"/>
              </w:rPr>
            </w:pPr>
            <w:r w:rsidRPr="00C564F2">
              <w:rPr>
                <w:sz w:val="22"/>
                <w:szCs w:val="22"/>
              </w:rPr>
              <w:t>1,0%);</w:t>
            </w:r>
          </w:p>
          <w:p w14:paraId="36A0B8FD" w14:textId="77777777" w:rsidR="00E47900" w:rsidRPr="00C564F2" w:rsidRDefault="00E47900" w:rsidP="002C66FC">
            <w:pPr>
              <w:autoSpaceDE w:val="0"/>
              <w:autoSpaceDN w:val="0"/>
              <w:adjustRightInd w:val="0"/>
              <w:rPr>
                <w:sz w:val="22"/>
                <w:szCs w:val="22"/>
              </w:rPr>
            </w:pPr>
          </w:p>
          <w:p w14:paraId="4EE59574" w14:textId="77777777" w:rsidR="00E47900" w:rsidRPr="00C564F2" w:rsidRDefault="00E47900" w:rsidP="002C66FC">
            <w:pPr>
              <w:autoSpaceDE w:val="0"/>
              <w:autoSpaceDN w:val="0"/>
              <w:adjustRightInd w:val="0"/>
              <w:rPr>
                <w:sz w:val="22"/>
                <w:szCs w:val="22"/>
              </w:rPr>
            </w:pPr>
            <w:r w:rsidRPr="00C564F2">
              <w:rPr>
                <w:sz w:val="22"/>
                <w:szCs w:val="22"/>
              </w:rPr>
              <w:t>Ezofagitis/disfagija/bol pri</w:t>
            </w:r>
          </w:p>
          <w:p w14:paraId="58A37149" w14:textId="77777777" w:rsidR="00E47900" w:rsidRPr="00C564F2" w:rsidRDefault="00E47900" w:rsidP="002C66FC">
            <w:pPr>
              <w:autoSpaceDE w:val="0"/>
              <w:autoSpaceDN w:val="0"/>
              <w:adjustRightInd w:val="0"/>
              <w:rPr>
                <w:sz w:val="22"/>
                <w:szCs w:val="22"/>
              </w:rPr>
            </w:pPr>
            <w:r w:rsidRPr="00C564F2">
              <w:rPr>
                <w:sz w:val="22"/>
                <w:szCs w:val="22"/>
              </w:rPr>
              <w:t>gutanju (G3/4: 0,7%)</w:t>
            </w:r>
          </w:p>
          <w:p w14:paraId="113DD7D0" w14:textId="77777777" w:rsidR="00E47900" w:rsidRPr="00C564F2" w:rsidRDefault="00E47900" w:rsidP="002C66FC">
            <w:pPr>
              <w:autoSpaceDE w:val="0"/>
              <w:autoSpaceDN w:val="0"/>
              <w:adjustRightInd w:val="0"/>
              <w:rPr>
                <w:sz w:val="22"/>
                <w:szCs w:val="22"/>
              </w:rPr>
            </w:pPr>
          </w:p>
        </w:tc>
      </w:tr>
      <w:tr w:rsidR="00E47900" w:rsidRPr="00B02007" w14:paraId="7ACA55F7" w14:textId="77777777" w:rsidTr="002C66FC">
        <w:trPr>
          <w:trHeight w:val="1781"/>
        </w:trPr>
        <w:tc>
          <w:tcPr>
            <w:tcW w:w="3120" w:type="dxa"/>
          </w:tcPr>
          <w:p w14:paraId="16AC0B74" w14:textId="77777777" w:rsidR="00E47900" w:rsidRPr="00C564F2" w:rsidRDefault="00E47900" w:rsidP="002C66FC">
            <w:pPr>
              <w:autoSpaceDE w:val="0"/>
              <w:autoSpaceDN w:val="0"/>
              <w:adjustRightInd w:val="0"/>
              <w:rPr>
                <w:sz w:val="22"/>
                <w:szCs w:val="22"/>
              </w:rPr>
            </w:pPr>
            <w:r w:rsidRPr="00C564F2">
              <w:rPr>
                <w:sz w:val="22"/>
                <w:szCs w:val="22"/>
              </w:rPr>
              <w:lastRenderedPageBreak/>
              <w:t>Poreme</w:t>
            </w:r>
            <w:r w:rsidRPr="00C564F2">
              <w:rPr>
                <w:rFonts w:eastAsia="TimesNewRoman"/>
                <w:sz w:val="22"/>
                <w:szCs w:val="22"/>
              </w:rPr>
              <w:t>ć</w:t>
            </w:r>
            <w:r w:rsidRPr="00C564F2">
              <w:rPr>
                <w:sz w:val="22"/>
                <w:szCs w:val="22"/>
              </w:rPr>
              <w:t>aji kože i</w:t>
            </w:r>
          </w:p>
          <w:p w14:paraId="6140319D" w14:textId="77777777" w:rsidR="00E47900" w:rsidRPr="00C564F2" w:rsidRDefault="00E47900" w:rsidP="002C66FC">
            <w:pPr>
              <w:autoSpaceDE w:val="0"/>
              <w:autoSpaceDN w:val="0"/>
              <w:adjustRightInd w:val="0"/>
              <w:rPr>
                <w:sz w:val="22"/>
                <w:szCs w:val="22"/>
              </w:rPr>
            </w:pPr>
            <w:r w:rsidRPr="00C564F2">
              <w:rPr>
                <w:sz w:val="22"/>
                <w:szCs w:val="22"/>
              </w:rPr>
              <w:t xml:space="preserve">potkožnog tkiva </w:t>
            </w:r>
          </w:p>
          <w:p w14:paraId="76BC3105" w14:textId="77777777" w:rsidR="00E47900" w:rsidRPr="00C564F2" w:rsidRDefault="00E47900" w:rsidP="002C66FC">
            <w:pPr>
              <w:autoSpaceDE w:val="0"/>
              <w:autoSpaceDN w:val="0"/>
              <w:adjustRightInd w:val="0"/>
              <w:rPr>
                <w:sz w:val="22"/>
                <w:szCs w:val="22"/>
              </w:rPr>
            </w:pPr>
          </w:p>
        </w:tc>
        <w:tc>
          <w:tcPr>
            <w:tcW w:w="3120" w:type="dxa"/>
          </w:tcPr>
          <w:p w14:paraId="2CB1769E" w14:textId="77777777" w:rsidR="00E47900" w:rsidRPr="00C564F2" w:rsidRDefault="00E47900" w:rsidP="002C66FC">
            <w:pPr>
              <w:autoSpaceDE w:val="0"/>
              <w:autoSpaceDN w:val="0"/>
              <w:adjustRightInd w:val="0"/>
              <w:rPr>
                <w:sz w:val="22"/>
                <w:szCs w:val="22"/>
              </w:rPr>
            </w:pPr>
            <w:r w:rsidRPr="00C564F2">
              <w:rPr>
                <w:sz w:val="22"/>
                <w:szCs w:val="22"/>
              </w:rPr>
              <w:t>Alopecija (G3/4: 4,0%)</w:t>
            </w:r>
          </w:p>
          <w:p w14:paraId="2F205128" w14:textId="77777777" w:rsidR="00E47900" w:rsidRPr="00C564F2" w:rsidRDefault="00E47900" w:rsidP="002C66FC">
            <w:pPr>
              <w:autoSpaceDE w:val="0"/>
              <w:autoSpaceDN w:val="0"/>
              <w:adjustRightInd w:val="0"/>
              <w:rPr>
                <w:sz w:val="22"/>
                <w:szCs w:val="22"/>
              </w:rPr>
            </w:pPr>
          </w:p>
        </w:tc>
        <w:tc>
          <w:tcPr>
            <w:tcW w:w="3518" w:type="dxa"/>
          </w:tcPr>
          <w:p w14:paraId="05D6497F" w14:textId="77777777" w:rsidR="00E47900" w:rsidRPr="00F84A8F" w:rsidRDefault="00E47900" w:rsidP="002C66FC">
            <w:pPr>
              <w:autoSpaceDE w:val="0"/>
              <w:autoSpaceDN w:val="0"/>
              <w:adjustRightInd w:val="0"/>
              <w:rPr>
                <w:sz w:val="22"/>
                <w:szCs w:val="22"/>
                <w:lang w:val="de-DE"/>
              </w:rPr>
            </w:pPr>
            <w:r w:rsidRPr="00F84A8F">
              <w:rPr>
                <w:sz w:val="22"/>
                <w:szCs w:val="22"/>
                <w:lang w:val="de-DE"/>
              </w:rPr>
              <w:t>Pruriti</w:t>
            </w:r>
            <w:r w:rsidRPr="00F84A8F">
              <w:rPr>
                <w:rFonts w:eastAsia="TimesNewRoman"/>
                <w:sz w:val="22"/>
                <w:szCs w:val="22"/>
                <w:lang w:val="de-DE"/>
              </w:rPr>
              <w:t>č</w:t>
            </w:r>
            <w:r w:rsidRPr="00F84A8F">
              <w:rPr>
                <w:sz w:val="22"/>
                <w:szCs w:val="22"/>
                <w:lang w:val="de-DE"/>
              </w:rPr>
              <w:t>na ospa (G3/4: 0,7%);</w:t>
            </w:r>
          </w:p>
          <w:p w14:paraId="08CE3813" w14:textId="77777777" w:rsidR="00E47900" w:rsidRPr="00F84A8F" w:rsidRDefault="00E47900" w:rsidP="002C66FC">
            <w:pPr>
              <w:autoSpaceDE w:val="0"/>
              <w:autoSpaceDN w:val="0"/>
              <w:adjustRightInd w:val="0"/>
              <w:rPr>
                <w:sz w:val="22"/>
                <w:szCs w:val="22"/>
                <w:lang w:val="de-DE"/>
              </w:rPr>
            </w:pPr>
          </w:p>
          <w:p w14:paraId="6A49E773" w14:textId="77777777" w:rsidR="00E47900" w:rsidRPr="00F84A8F" w:rsidRDefault="00E47900" w:rsidP="002C66FC">
            <w:pPr>
              <w:autoSpaceDE w:val="0"/>
              <w:autoSpaceDN w:val="0"/>
              <w:adjustRightInd w:val="0"/>
              <w:rPr>
                <w:sz w:val="22"/>
                <w:szCs w:val="22"/>
                <w:lang w:val="de-DE"/>
              </w:rPr>
            </w:pPr>
            <w:r w:rsidRPr="00F84A8F">
              <w:rPr>
                <w:sz w:val="22"/>
                <w:szCs w:val="22"/>
                <w:lang w:val="de-DE"/>
              </w:rPr>
              <w:t>Promjene na noktima (G3/4:</w:t>
            </w:r>
          </w:p>
          <w:p w14:paraId="3041099C" w14:textId="77777777" w:rsidR="00E47900" w:rsidRPr="00C564F2" w:rsidRDefault="00E47900" w:rsidP="002C66FC">
            <w:pPr>
              <w:autoSpaceDE w:val="0"/>
              <w:autoSpaceDN w:val="0"/>
              <w:adjustRightInd w:val="0"/>
              <w:rPr>
                <w:sz w:val="22"/>
                <w:szCs w:val="22"/>
              </w:rPr>
            </w:pPr>
            <w:r w:rsidRPr="00C564F2">
              <w:rPr>
                <w:sz w:val="22"/>
                <w:szCs w:val="22"/>
              </w:rPr>
              <w:t>0,7%);</w:t>
            </w:r>
          </w:p>
          <w:p w14:paraId="4A1A6F8D" w14:textId="77777777" w:rsidR="00E47900" w:rsidRPr="00C564F2" w:rsidRDefault="00E47900" w:rsidP="002C66FC">
            <w:pPr>
              <w:autoSpaceDE w:val="0"/>
              <w:autoSpaceDN w:val="0"/>
              <w:adjustRightInd w:val="0"/>
              <w:rPr>
                <w:sz w:val="22"/>
                <w:szCs w:val="22"/>
              </w:rPr>
            </w:pPr>
          </w:p>
          <w:p w14:paraId="733651CE" w14:textId="77777777" w:rsidR="00E47900" w:rsidRPr="00C564F2" w:rsidRDefault="00E47900" w:rsidP="002C66FC">
            <w:pPr>
              <w:autoSpaceDE w:val="0"/>
              <w:autoSpaceDN w:val="0"/>
              <w:adjustRightInd w:val="0"/>
              <w:rPr>
                <w:sz w:val="22"/>
                <w:szCs w:val="22"/>
              </w:rPr>
            </w:pPr>
            <w:r w:rsidRPr="00C564F2">
              <w:rPr>
                <w:sz w:val="22"/>
                <w:szCs w:val="22"/>
              </w:rPr>
              <w:t>Eksfolijacija kože (G3/4: 0%)</w:t>
            </w:r>
          </w:p>
          <w:p w14:paraId="05ED4706" w14:textId="77777777" w:rsidR="00E47900" w:rsidRPr="00C564F2" w:rsidRDefault="00E47900" w:rsidP="002C66FC">
            <w:pPr>
              <w:autoSpaceDE w:val="0"/>
              <w:autoSpaceDN w:val="0"/>
              <w:adjustRightInd w:val="0"/>
              <w:rPr>
                <w:sz w:val="22"/>
                <w:szCs w:val="22"/>
              </w:rPr>
            </w:pPr>
          </w:p>
        </w:tc>
      </w:tr>
      <w:tr w:rsidR="00E47900" w:rsidRPr="00B02007" w14:paraId="3B54F85E" w14:textId="77777777" w:rsidTr="002C66FC">
        <w:trPr>
          <w:trHeight w:val="934"/>
        </w:trPr>
        <w:tc>
          <w:tcPr>
            <w:tcW w:w="3120" w:type="dxa"/>
          </w:tcPr>
          <w:p w14:paraId="3F50EC0D" w14:textId="77777777" w:rsidR="00E47900" w:rsidRPr="00C564F2" w:rsidRDefault="00E47900" w:rsidP="002C66FC">
            <w:pPr>
              <w:autoSpaceDE w:val="0"/>
              <w:autoSpaceDN w:val="0"/>
              <w:adjustRightInd w:val="0"/>
              <w:rPr>
                <w:sz w:val="22"/>
                <w:szCs w:val="22"/>
              </w:rPr>
            </w:pPr>
            <w:r w:rsidRPr="00C564F2">
              <w:rPr>
                <w:sz w:val="22"/>
                <w:szCs w:val="22"/>
              </w:rPr>
              <w:t>Opšti poreme</w:t>
            </w:r>
            <w:r w:rsidRPr="00C564F2">
              <w:rPr>
                <w:rFonts w:eastAsia="TimesNewRoman"/>
                <w:sz w:val="22"/>
                <w:szCs w:val="22"/>
              </w:rPr>
              <w:t>ć</w:t>
            </w:r>
            <w:r w:rsidRPr="00C564F2">
              <w:rPr>
                <w:sz w:val="22"/>
                <w:szCs w:val="22"/>
              </w:rPr>
              <w:t>aji i</w:t>
            </w:r>
          </w:p>
          <w:p w14:paraId="1E7C8A5D" w14:textId="77777777" w:rsidR="00E47900" w:rsidRPr="00C564F2" w:rsidRDefault="00E47900" w:rsidP="002C66FC">
            <w:pPr>
              <w:autoSpaceDE w:val="0"/>
              <w:autoSpaceDN w:val="0"/>
              <w:adjustRightInd w:val="0"/>
              <w:rPr>
                <w:sz w:val="22"/>
                <w:szCs w:val="22"/>
              </w:rPr>
            </w:pPr>
            <w:r w:rsidRPr="00C564F2">
              <w:rPr>
                <w:sz w:val="22"/>
                <w:szCs w:val="22"/>
              </w:rPr>
              <w:t>promjene na mjestu</w:t>
            </w:r>
          </w:p>
          <w:p w14:paraId="2AD4CAE2" w14:textId="77777777" w:rsidR="00E47900" w:rsidRPr="00C564F2" w:rsidRDefault="00E47900" w:rsidP="002C66FC">
            <w:pPr>
              <w:autoSpaceDE w:val="0"/>
              <w:autoSpaceDN w:val="0"/>
              <w:adjustRightInd w:val="0"/>
              <w:rPr>
                <w:sz w:val="22"/>
                <w:szCs w:val="22"/>
              </w:rPr>
            </w:pPr>
            <w:r w:rsidRPr="00C564F2">
              <w:rPr>
                <w:sz w:val="22"/>
                <w:szCs w:val="22"/>
              </w:rPr>
              <w:t>primjene</w:t>
            </w:r>
          </w:p>
          <w:p w14:paraId="40780350" w14:textId="77777777" w:rsidR="00E47900" w:rsidRPr="00C564F2" w:rsidRDefault="00E47900" w:rsidP="002C66FC">
            <w:pPr>
              <w:autoSpaceDE w:val="0"/>
              <w:autoSpaceDN w:val="0"/>
              <w:adjustRightInd w:val="0"/>
              <w:rPr>
                <w:sz w:val="22"/>
                <w:szCs w:val="22"/>
              </w:rPr>
            </w:pPr>
          </w:p>
        </w:tc>
        <w:tc>
          <w:tcPr>
            <w:tcW w:w="3120" w:type="dxa"/>
            <w:shd w:val="clear" w:color="auto" w:fill="auto"/>
          </w:tcPr>
          <w:p w14:paraId="5723EB47" w14:textId="77777777" w:rsidR="00E47900" w:rsidRPr="00C564F2" w:rsidRDefault="00E47900" w:rsidP="002C66FC">
            <w:pPr>
              <w:autoSpaceDE w:val="0"/>
              <w:autoSpaceDN w:val="0"/>
              <w:adjustRightInd w:val="0"/>
              <w:rPr>
                <w:sz w:val="22"/>
                <w:szCs w:val="22"/>
              </w:rPr>
            </w:pPr>
            <w:r w:rsidRPr="00C564F2">
              <w:rPr>
                <w:sz w:val="22"/>
                <w:szCs w:val="22"/>
              </w:rPr>
              <w:t>Letargija (G3/4: 19,0%);</w:t>
            </w:r>
          </w:p>
          <w:p w14:paraId="1805ED1E" w14:textId="77777777" w:rsidR="00E47900" w:rsidRPr="00C564F2" w:rsidRDefault="00E47900" w:rsidP="002C66FC">
            <w:pPr>
              <w:autoSpaceDE w:val="0"/>
              <w:autoSpaceDN w:val="0"/>
              <w:adjustRightInd w:val="0"/>
              <w:rPr>
                <w:sz w:val="22"/>
                <w:szCs w:val="22"/>
              </w:rPr>
            </w:pPr>
          </w:p>
          <w:p w14:paraId="36666813" w14:textId="77777777" w:rsidR="00E47900" w:rsidRPr="00C564F2" w:rsidRDefault="00E47900" w:rsidP="002C66FC">
            <w:pPr>
              <w:autoSpaceDE w:val="0"/>
              <w:autoSpaceDN w:val="0"/>
              <w:adjustRightInd w:val="0"/>
              <w:rPr>
                <w:sz w:val="22"/>
                <w:szCs w:val="22"/>
              </w:rPr>
            </w:pPr>
            <w:r w:rsidRPr="00C564F2">
              <w:rPr>
                <w:sz w:val="22"/>
                <w:szCs w:val="22"/>
              </w:rPr>
              <w:t>Povišena tjelesna temperatura</w:t>
            </w:r>
          </w:p>
          <w:p w14:paraId="11B36205" w14:textId="77777777" w:rsidR="00E47900" w:rsidRPr="00C564F2" w:rsidRDefault="00E47900" w:rsidP="002C66FC">
            <w:pPr>
              <w:autoSpaceDE w:val="0"/>
              <w:autoSpaceDN w:val="0"/>
              <w:adjustRightInd w:val="0"/>
              <w:rPr>
                <w:sz w:val="22"/>
                <w:szCs w:val="22"/>
              </w:rPr>
            </w:pPr>
            <w:r w:rsidRPr="00C564F2">
              <w:rPr>
                <w:sz w:val="22"/>
                <w:szCs w:val="22"/>
              </w:rPr>
              <w:t xml:space="preserve"> (G3/4: 2,3%);</w:t>
            </w:r>
          </w:p>
          <w:p w14:paraId="29C40760" w14:textId="77777777" w:rsidR="00E47900" w:rsidRPr="00C564F2" w:rsidRDefault="00E47900" w:rsidP="002C66FC">
            <w:pPr>
              <w:autoSpaceDE w:val="0"/>
              <w:autoSpaceDN w:val="0"/>
              <w:adjustRightInd w:val="0"/>
              <w:rPr>
                <w:sz w:val="22"/>
                <w:szCs w:val="22"/>
              </w:rPr>
            </w:pPr>
          </w:p>
          <w:p w14:paraId="605BB222" w14:textId="77777777" w:rsidR="00E47900" w:rsidRPr="00C564F2" w:rsidRDefault="00E47900" w:rsidP="002C66FC">
            <w:pPr>
              <w:autoSpaceDE w:val="0"/>
              <w:autoSpaceDN w:val="0"/>
              <w:adjustRightInd w:val="0"/>
              <w:rPr>
                <w:sz w:val="22"/>
                <w:szCs w:val="22"/>
              </w:rPr>
            </w:pPr>
            <w:r w:rsidRPr="00C564F2">
              <w:rPr>
                <w:sz w:val="22"/>
                <w:szCs w:val="22"/>
              </w:rPr>
              <w:t>Retencija te</w:t>
            </w:r>
            <w:r w:rsidRPr="00C564F2">
              <w:rPr>
                <w:rFonts w:eastAsia="TimesNewRoman"/>
                <w:sz w:val="22"/>
                <w:szCs w:val="22"/>
              </w:rPr>
              <w:t>č</w:t>
            </w:r>
            <w:r w:rsidRPr="00C564F2">
              <w:rPr>
                <w:sz w:val="22"/>
                <w:szCs w:val="22"/>
              </w:rPr>
              <w:t>nosti (teška/opasna</w:t>
            </w:r>
          </w:p>
          <w:p w14:paraId="38CDAE66" w14:textId="77777777" w:rsidR="00E47900" w:rsidRPr="00C564F2" w:rsidRDefault="00E47900" w:rsidP="002C66FC">
            <w:pPr>
              <w:autoSpaceDE w:val="0"/>
              <w:autoSpaceDN w:val="0"/>
              <w:adjustRightInd w:val="0"/>
              <w:rPr>
                <w:sz w:val="22"/>
                <w:szCs w:val="22"/>
              </w:rPr>
            </w:pPr>
            <w:r w:rsidRPr="00C564F2">
              <w:rPr>
                <w:sz w:val="22"/>
                <w:szCs w:val="22"/>
              </w:rPr>
              <w:t>po život: 1%)</w:t>
            </w:r>
          </w:p>
          <w:p w14:paraId="45A8560C" w14:textId="77777777" w:rsidR="00E47900" w:rsidRPr="00C564F2" w:rsidRDefault="00E47900" w:rsidP="002C66FC">
            <w:pPr>
              <w:autoSpaceDE w:val="0"/>
              <w:autoSpaceDN w:val="0"/>
              <w:adjustRightInd w:val="0"/>
              <w:rPr>
                <w:sz w:val="22"/>
                <w:szCs w:val="22"/>
              </w:rPr>
            </w:pPr>
          </w:p>
        </w:tc>
        <w:tc>
          <w:tcPr>
            <w:tcW w:w="3518" w:type="dxa"/>
            <w:shd w:val="clear" w:color="auto" w:fill="auto"/>
          </w:tcPr>
          <w:p w14:paraId="65F9DFC7" w14:textId="77777777" w:rsidR="00E47900" w:rsidRPr="00C564F2" w:rsidRDefault="00E47900" w:rsidP="002C66FC">
            <w:pPr>
              <w:autoSpaceDE w:val="0"/>
              <w:autoSpaceDN w:val="0"/>
              <w:adjustRightInd w:val="0"/>
              <w:rPr>
                <w:sz w:val="22"/>
                <w:szCs w:val="22"/>
              </w:rPr>
            </w:pPr>
          </w:p>
          <w:p w14:paraId="3E0AB1D4" w14:textId="77777777" w:rsidR="00E47900" w:rsidRPr="00C564F2" w:rsidRDefault="00E47900" w:rsidP="002C66FC">
            <w:pPr>
              <w:autoSpaceDE w:val="0"/>
              <w:autoSpaceDN w:val="0"/>
              <w:adjustRightInd w:val="0"/>
              <w:rPr>
                <w:sz w:val="22"/>
                <w:szCs w:val="22"/>
              </w:rPr>
            </w:pPr>
          </w:p>
        </w:tc>
      </w:tr>
    </w:tbl>
    <w:p w14:paraId="45C90CA2" w14:textId="77777777" w:rsidR="00E47900" w:rsidRPr="00C564F2" w:rsidRDefault="00E47900" w:rsidP="00E47900">
      <w:pPr>
        <w:pStyle w:val="Header"/>
        <w:tabs>
          <w:tab w:val="left" w:pos="284"/>
        </w:tabs>
        <w:rPr>
          <w:sz w:val="22"/>
          <w:szCs w:val="22"/>
        </w:rPr>
      </w:pPr>
    </w:p>
    <w:p w14:paraId="4CF67E90" w14:textId="77777777" w:rsidR="00E47900" w:rsidRPr="00C564F2" w:rsidRDefault="00E47900" w:rsidP="00E47900">
      <w:pPr>
        <w:pStyle w:val="Header"/>
        <w:tabs>
          <w:tab w:val="left" w:pos="284"/>
        </w:tabs>
        <w:rPr>
          <w:sz w:val="22"/>
          <w:szCs w:val="22"/>
        </w:rPr>
      </w:pPr>
      <w:r w:rsidRPr="00B02007">
        <w:rPr>
          <w:iCs/>
          <w:sz w:val="22"/>
          <w:szCs w:val="22"/>
          <w:u w:val="single"/>
        </w:rPr>
        <w:t>Opis izabranih neželjenih reakcija kod adenokarcinoma želuca za docetaksel 75 mg/m</w:t>
      </w:r>
      <w:r w:rsidRPr="005F707A">
        <w:rPr>
          <w:iCs/>
          <w:sz w:val="22"/>
          <w:szCs w:val="22"/>
          <w:u w:val="single"/>
          <w:vertAlign w:val="superscript"/>
        </w:rPr>
        <w:t>2</w:t>
      </w:r>
      <w:r w:rsidRPr="005F707A">
        <w:rPr>
          <w:iCs/>
          <w:sz w:val="22"/>
          <w:szCs w:val="22"/>
          <w:u w:val="single"/>
        </w:rPr>
        <w:t xml:space="preserve"> u kombinaci</w:t>
      </w:r>
      <w:r w:rsidRPr="001D73FB">
        <w:rPr>
          <w:iCs/>
          <w:sz w:val="22"/>
          <w:szCs w:val="22"/>
          <w:u w:val="single"/>
        </w:rPr>
        <w:t>ji sa cisplatinom i 5</w:t>
      </w:r>
      <w:r w:rsidRPr="001D73FB">
        <w:rPr>
          <w:iCs/>
          <w:sz w:val="22"/>
          <w:szCs w:val="22"/>
          <w:u w:val="single"/>
        </w:rPr>
        <w:noBreakHyphen/>
        <w:t>fluorouracilom</w:t>
      </w:r>
    </w:p>
    <w:p w14:paraId="276240BE" w14:textId="77777777" w:rsidR="00E47900" w:rsidRPr="00C564F2" w:rsidRDefault="00E47900" w:rsidP="00E47900">
      <w:pPr>
        <w:pStyle w:val="Header"/>
        <w:tabs>
          <w:tab w:val="left" w:pos="284"/>
        </w:tabs>
        <w:rPr>
          <w:sz w:val="22"/>
          <w:szCs w:val="22"/>
        </w:rPr>
      </w:pPr>
    </w:p>
    <w:p w14:paraId="7F5A781C" w14:textId="77777777" w:rsidR="00E47900" w:rsidRPr="00C564F2" w:rsidRDefault="00E47900" w:rsidP="00E47900">
      <w:pPr>
        <w:autoSpaceDE w:val="0"/>
        <w:autoSpaceDN w:val="0"/>
        <w:adjustRightInd w:val="0"/>
        <w:rPr>
          <w:i/>
          <w:iCs/>
          <w:sz w:val="22"/>
          <w:szCs w:val="22"/>
          <w:u w:val="single"/>
        </w:rPr>
      </w:pPr>
      <w:r w:rsidRPr="00C564F2">
        <w:rPr>
          <w:i/>
          <w:iCs/>
          <w:sz w:val="22"/>
          <w:szCs w:val="22"/>
          <w:u w:val="single"/>
        </w:rPr>
        <w:t>Poremećaji krvi i limfnog sistema:</w:t>
      </w:r>
    </w:p>
    <w:p w14:paraId="36AFB79E" w14:textId="7E42CD42" w:rsidR="00E47900" w:rsidRDefault="00E47900" w:rsidP="00A46C9A">
      <w:pPr>
        <w:spacing w:after="200" w:line="276" w:lineRule="auto"/>
        <w:rPr>
          <w:rFonts w:eastAsia="Calibri"/>
          <w:sz w:val="22"/>
          <w:szCs w:val="22"/>
          <w:u w:val="single"/>
          <w:lang w:val="sr-Latn-RS"/>
        </w:rPr>
      </w:pPr>
    </w:p>
    <w:p w14:paraId="5AB60085" w14:textId="5F119B24" w:rsidR="00F84A8F" w:rsidRPr="00F84A8F" w:rsidRDefault="00F84A8F" w:rsidP="00F84A8F">
      <w:pPr>
        <w:autoSpaceDE w:val="0"/>
        <w:autoSpaceDN w:val="0"/>
        <w:adjustRightInd w:val="0"/>
        <w:rPr>
          <w:sz w:val="22"/>
          <w:szCs w:val="22"/>
          <w:lang w:val="de-DE"/>
        </w:rPr>
      </w:pPr>
      <w:r w:rsidRPr="00F84A8F">
        <w:rPr>
          <w:sz w:val="22"/>
          <w:szCs w:val="22"/>
          <w:lang w:val="sr-Latn-RS"/>
        </w:rPr>
        <w:t xml:space="preserve">Febrilna neutropenija i neutropenijske infekcije su se javile kod 17,2%, odnosno 13,5% pacijenata, nezavisno od primjene G-CSF. </w:t>
      </w:r>
      <w:r w:rsidRPr="00F84A8F">
        <w:rPr>
          <w:sz w:val="22"/>
          <w:szCs w:val="22"/>
          <w:lang w:val="de-DE"/>
        </w:rPr>
        <w:t>G-CSF je koriš</w:t>
      </w:r>
      <w:r w:rsidRPr="00F84A8F">
        <w:rPr>
          <w:rFonts w:eastAsia="TimesNewRoman"/>
          <w:sz w:val="22"/>
          <w:szCs w:val="22"/>
          <w:lang w:val="de-DE"/>
        </w:rPr>
        <w:t>ć</w:t>
      </w:r>
      <w:r w:rsidRPr="00F84A8F">
        <w:rPr>
          <w:sz w:val="22"/>
          <w:szCs w:val="22"/>
          <w:lang w:val="de-DE"/>
        </w:rPr>
        <w:t>en kao sekundarna profilaksa kod 19,3% pacijenata (10,7% ciklusa). Febrilna neutropenija i neutropenijske infekcije su se javljale kod 12,1%, odnosno 3,4% pacijenata koji su profilakti</w:t>
      </w:r>
      <w:r w:rsidRPr="00F84A8F">
        <w:rPr>
          <w:rFonts w:eastAsia="TimesNewRoman"/>
          <w:sz w:val="22"/>
          <w:szCs w:val="22"/>
          <w:lang w:val="de-DE"/>
        </w:rPr>
        <w:t>č</w:t>
      </w:r>
      <w:r w:rsidRPr="00F84A8F">
        <w:rPr>
          <w:sz w:val="22"/>
          <w:szCs w:val="22"/>
          <w:lang w:val="de-DE"/>
        </w:rPr>
        <w:t xml:space="preserve">ki primali G-CSF, i kod 15,6%, odnosno 12,9% pacijenata koji nijesu dobijali G-CSF kao profilaksu (vidjeti </w:t>
      </w:r>
      <w:r w:rsidR="006A399E">
        <w:rPr>
          <w:sz w:val="22"/>
          <w:szCs w:val="22"/>
          <w:lang w:val="de-DE"/>
        </w:rPr>
        <w:t>dio</w:t>
      </w:r>
      <w:r w:rsidRPr="00F84A8F">
        <w:rPr>
          <w:sz w:val="22"/>
          <w:szCs w:val="22"/>
          <w:lang w:val="de-DE"/>
        </w:rPr>
        <w:t xml:space="preserve"> 4.2).</w:t>
      </w:r>
    </w:p>
    <w:p w14:paraId="133EDFE9" w14:textId="77777777" w:rsidR="00F84A8F" w:rsidRPr="00F84A8F" w:rsidRDefault="00F84A8F" w:rsidP="00F84A8F">
      <w:pPr>
        <w:pStyle w:val="Header"/>
        <w:tabs>
          <w:tab w:val="left" w:pos="284"/>
        </w:tabs>
        <w:rPr>
          <w:sz w:val="22"/>
          <w:szCs w:val="22"/>
          <w:lang w:val="de-DE"/>
        </w:rPr>
      </w:pPr>
    </w:p>
    <w:p w14:paraId="6E20AF34" w14:textId="77777777" w:rsidR="00F84A8F" w:rsidRPr="00F84A8F" w:rsidRDefault="00F84A8F" w:rsidP="00F84A8F">
      <w:pPr>
        <w:pStyle w:val="Header"/>
        <w:tabs>
          <w:tab w:val="left" w:pos="284"/>
        </w:tabs>
        <w:rPr>
          <w:sz w:val="22"/>
          <w:szCs w:val="22"/>
          <w:lang w:val="de-DE"/>
        </w:rPr>
      </w:pPr>
    </w:p>
    <w:p w14:paraId="76EE5B9E" w14:textId="77777777" w:rsidR="00F84A8F" w:rsidRPr="00F84A8F" w:rsidRDefault="00F84A8F" w:rsidP="00F84A8F">
      <w:pPr>
        <w:autoSpaceDE w:val="0"/>
        <w:autoSpaceDN w:val="0"/>
        <w:adjustRightInd w:val="0"/>
        <w:rPr>
          <w:bCs/>
          <w:i/>
          <w:iCs/>
          <w:sz w:val="22"/>
          <w:szCs w:val="22"/>
          <w:u w:val="single"/>
          <w:lang w:val="de-DE"/>
        </w:rPr>
      </w:pPr>
      <w:r w:rsidRPr="00F84A8F">
        <w:rPr>
          <w:bCs/>
          <w:iCs/>
          <w:sz w:val="22"/>
          <w:szCs w:val="22"/>
          <w:u w:val="single"/>
          <w:lang w:val="de-DE"/>
        </w:rPr>
        <w:t>Tabelarni prikaz neželjenih reakcija kod karcinoma glave i vrata za</w:t>
      </w:r>
      <w:r w:rsidRPr="00F84A8F">
        <w:rPr>
          <w:bCs/>
          <w:i/>
          <w:iCs/>
          <w:sz w:val="22"/>
          <w:szCs w:val="22"/>
          <w:u w:val="single"/>
          <w:lang w:val="de-DE"/>
        </w:rPr>
        <w:t xml:space="preserve"> docetaksel 75 mg/m² u kombinaciji sa cisplatinom i 5-fluorouracilom</w:t>
      </w:r>
    </w:p>
    <w:p w14:paraId="313DB4CF" w14:textId="77777777" w:rsidR="00F84A8F" w:rsidRPr="00F84A8F" w:rsidRDefault="00F84A8F" w:rsidP="00F84A8F">
      <w:pPr>
        <w:autoSpaceDE w:val="0"/>
        <w:autoSpaceDN w:val="0"/>
        <w:adjustRightInd w:val="0"/>
        <w:rPr>
          <w:b/>
          <w:bCs/>
          <w:i/>
          <w:iCs/>
          <w:sz w:val="22"/>
          <w:szCs w:val="22"/>
          <w:lang w:val="de-DE"/>
        </w:rPr>
      </w:pPr>
    </w:p>
    <w:p w14:paraId="274E3F25" w14:textId="77777777" w:rsidR="00F84A8F" w:rsidRPr="00230F6B" w:rsidRDefault="00F84A8F" w:rsidP="00F84A8F">
      <w:pPr>
        <w:autoSpaceDE w:val="0"/>
        <w:autoSpaceDN w:val="0"/>
        <w:adjustRightInd w:val="0"/>
        <w:rPr>
          <w:i/>
          <w:sz w:val="22"/>
          <w:szCs w:val="22"/>
          <w:u w:val="single"/>
        </w:rPr>
      </w:pPr>
      <w:r w:rsidRPr="00230F6B">
        <w:rPr>
          <w:i/>
          <w:sz w:val="22"/>
          <w:szCs w:val="22"/>
          <w:u w:val="single"/>
        </w:rPr>
        <w:t>Indukciona hemoterapija poslije koje je slijedila radioterapija (TAX 323)</w:t>
      </w:r>
    </w:p>
    <w:p w14:paraId="7FD92F07" w14:textId="77777777" w:rsidR="00F84A8F" w:rsidRPr="00230F6B" w:rsidRDefault="00F84A8F" w:rsidP="00F84A8F">
      <w:pPr>
        <w:pStyle w:val="Header"/>
        <w:tabs>
          <w:tab w:val="left" w:pos="284"/>
        </w:tabs>
        <w:rPr>
          <w:sz w:val="22"/>
          <w:szCs w:val="2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2445"/>
        <w:gridCol w:w="2445"/>
        <w:gridCol w:w="2446"/>
      </w:tblGrid>
      <w:tr w:rsidR="00F84A8F" w:rsidRPr="00B02007" w14:paraId="4A991503" w14:textId="77777777" w:rsidTr="002C66FC">
        <w:trPr>
          <w:trHeight w:val="1017"/>
        </w:trPr>
        <w:tc>
          <w:tcPr>
            <w:tcW w:w="2445" w:type="dxa"/>
          </w:tcPr>
          <w:p w14:paraId="49EE0F69" w14:textId="77777777" w:rsidR="00F84A8F" w:rsidRPr="00230F6B" w:rsidRDefault="00F84A8F" w:rsidP="002C66FC">
            <w:pPr>
              <w:autoSpaceDE w:val="0"/>
              <w:autoSpaceDN w:val="0"/>
              <w:adjustRightInd w:val="0"/>
              <w:rPr>
                <w:sz w:val="22"/>
                <w:szCs w:val="22"/>
              </w:rPr>
            </w:pPr>
            <w:r w:rsidRPr="00230F6B">
              <w:rPr>
                <w:b/>
                <w:bCs/>
                <w:sz w:val="22"/>
                <w:szCs w:val="22"/>
              </w:rPr>
              <w:t>Organski sistemi po</w:t>
            </w:r>
          </w:p>
          <w:p w14:paraId="4CD21053" w14:textId="77777777" w:rsidR="00F84A8F" w:rsidRPr="00230F6B" w:rsidRDefault="00F84A8F" w:rsidP="002C66FC">
            <w:pPr>
              <w:autoSpaceDE w:val="0"/>
              <w:autoSpaceDN w:val="0"/>
              <w:adjustRightInd w:val="0"/>
              <w:rPr>
                <w:b/>
                <w:bCs/>
                <w:sz w:val="22"/>
                <w:szCs w:val="22"/>
              </w:rPr>
            </w:pPr>
            <w:r w:rsidRPr="00230F6B">
              <w:rPr>
                <w:b/>
                <w:bCs/>
                <w:sz w:val="22"/>
                <w:szCs w:val="22"/>
              </w:rPr>
              <w:t>MedDRA</w:t>
            </w:r>
          </w:p>
          <w:p w14:paraId="31C9308C" w14:textId="77777777" w:rsidR="00F84A8F" w:rsidRPr="00230F6B" w:rsidRDefault="00F84A8F" w:rsidP="002C66FC">
            <w:pPr>
              <w:autoSpaceDE w:val="0"/>
              <w:autoSpaceDN w:val="0"/>
              <w:adjustRightInd w:val="0"/>
              <w:rPr>
                <w:sz w:val="22"/>
                <w:szCs w:val="22"/>
              </w:rPr>
            </w:pPr>
          </w:p>
        </w:tc>
        <w:tc>
          <w:tcPr>
            <w:tcW w:w="2445" w:type="dxa"/>
          </w:tcPr>
          <w:p w14:paraId="0E583006" w14:textId="77777777" w:rsidR="00F84A8F" w:rsidRPr="00230F6B" w:rsidRDefault="00F84A8F" w:rsidP="002C66FC">
            <w:pPr>
              <w:autoSpaceDE w:val="0"/>
              <w:autoSpaceDN w:val="0"/>
              <w:adjustRightInd w:val="0"/>
              <w:rPr>
                <w:b/>
                <w:bCs/>
                <w:sz w:val="22"/>
                <w:szCs w:val="22"/>
              </w:rPr>
            </w:pPr>
            <w:r w:rsidRPr="00230F6B">
              <w:rPr>
                <w:b/>
                <w:bCs/>
                <w:sz w:val="22"/>
                <w:szCs w:val="22"/>
              </w:rPr>
              <w:t xml:space="preserve">Veoma </w:t>
            </w:r>
            <w:r w:rsidRPr="00230F6B">
              <w:rPr>
                <w:rFonts w:eastAsia="TimesNewRoman,Bold"/>
                <w:b/>
                <w:bCs/>
                <w:sz w:val="22"/>
                <w:szCs w:val="22"/>
              </w:rPr>
              <w:t>č</w:t>
            </w:r>
            <w:r w:rsidRPr="00230F6B">
              <w:rPr>
                <w:b/>
                <w:bCs/>
                <w:sz w:val="22"/>
                <w:szCs w:val="22"/>
              </w:rPr>
              <w:t xml:space="preserve">esta neželjena dejstva </w:t>
            </w:r>
          </w:p>
          <w:p w14:paraId="6836FC64" w14:textId="77777777" w:rsidR="00F84A8F" w:rsidRPr="00230F6B" w:rsidRDefault="00F84A8F" w:rsidP="002C66FC">
            <w:pPr>
              <w:autoSpaceDE w:val="0"/>
              <w:autoSpaceDN w:val="0"/>
              <w:adjustRightInd w:val="0"/>
              <w:rPr>
                <w:sz w:val="22"/>
                <w:szCs w:val="22"/>
              </w:rPr>
            </w:pPr>
          </w:p>
        </w:tc>
        <w:tc>
          <w:tcPr>
            <w:tcW w:w="2445" w:type="dxa"/>
          </w:tcPr>
          <w:p w14:paraId="207D7A99" w14:textId="77777777" w:rsidR="00F84A8F" w:rsidRPr="00230F6B" w:rsidRDefault="00F84A8F" w:rsidP="002C66FC">
            <w:pPr>
              <w:autoSpaceDE w:val="0"/>
              <w:autoSpaceDN w:val="0"/>
              <w:adjustRightInd w:val="0"/>
              <w:rPr>
                <w:b/>
                <w:bCs/>
                <w:sz w:val="22"/>
                <w:szCs w:val="22"/>
              </w:rPr>
            </w:pPr>
            <w:r w:rsidRPr="00230F6B">
              <w:rPr>
                <w:rFonts w:eastAsia="TimesNewRoman,Bold"/>
                <w:b/>
                <w:bCs/>
                <w:sz w:val="22"/>
                <w:szCs w:val="22"/>
              </w:rPr>
              <w:t>Č</w:t>
            </w:r>
            <w:r w:rsidRPr="00230F6B">
              <w:rPr>
                <w:b/>
                <w:bCs/>
                <w:sz w:val="22"/>
                <w:szCs w:val="22"/>
              </w:rPr>
              <w:t>esta neželjena dejstva</w:t>
            </w:r>
          </w:p>
          <w:p w14:paraId="08D4F323" w14:textId="77777777" w:rsidR="00F84A8F" w:rsidRPr="00230F6B" w:rsidRDefault="00F84A8F" w:rsidP="002C66FC">
            <w:pPr>
              <w:autoSpaceDE w:val="0"/>
              <w:autoSpaceDN w:val="0"/>
              <w:adjustRightInd w:val="0"/>
              <w:rPr>
                <w:b/>
                <w:bCs/>
                <w:sz w:val="22"/>
                <w:szCs w:val="22"/>
              </w:rPr>
            </w:pPr>
          </w:p>
          <w:p w14:paraId="6C8037FD" w14:textId="77777777" w:rsidR="00F84A8F" w:rsidRPr="00230F6B" w:rsidRDefault="00F84A8F" w:rsidP="002C66FC">
            <w:pPr>
              <w:autoSpaceDE w:val="0"/>
              <w:autoSpaceDN w:val="0"/>
              <w:adjustRightInd w:val="0"/>
              <w:rPr>
                <w:sz w:val="22"/>
                <w:szCs w:val="22"/>
              </w:rPr>
            </w:pPr>
          </w:p>
        </w:tc>
        <w:tc>
          <w:tcPr>
            <w:tcW w:w="2446" w:type="dxa"/>
          </w:tcPr>
          <w:p w14:paraId="0DF0E08C" w14:textId="77777777" w:rsidR="00F84A8F" w:rsidRPr="00230F6B" w:rsidRDefault="00F84A8F" w:rsidP="002C66FC">
            <w:pPr>
              <w:autoSpaceDE w:val="0"/>
              <w:autoSpaceDN w:val="0"/>
              <w:adjustRightInd w:val="0"/>
              <w:rPr>
                <w:b/>
                <w:bCs/>
                <w:sz w:val="22"/>
                <w:szCs w:val="22"/>
              </w:rPr>
            </w:pPr>
            <w:r w:rsidRPr="00230F6B">
              <w:rPr>
                <w:b/>
                <w:bCs/>
                <w:sz w:val="22"/>
                <w:szCs w:val="22"/>
              </w:rPr>
              <w:t>Povremena neželjena</w:t>
            </w:r>
          </w:p>
          <w:p w14:paraId="6CE3033E" w14:textId="77777777" w:rsidR="00F84A8F" w:rsidRPr="00230F6B" w:rsidDel="006A2257" w:rsidRDefault="00F84A8F" w:rsidP="002C66FC">
            <w:pPr>
              <w:autoSpaceDE w:val="0"/>
              <w:autoSpaceDN w:val="0"/>
              <w:adjustRightInd w:val="0"/>
              <w:rPr>
                <w:rFonts w:eastAsia="TimesNewRoman,Bold"/>
                <w:b/>
                <w:bCs/>
                <w:sz w:val="22"/>
                <w:szCs w:val="22"/>
              </w:rPr>
            </w:pPr>
            <w:r w:rsidRPr="00230F6B">
              <w:rPr>
                <w:b/>
                <w:bCs/>
                <w:sz w:val="22"/>
                <w:szCs w:val="22"/>
              </w:rPr>
              <w:t xml:space="preserve">dejstva </w:t>
            </w:r>
          </w:p>
          <w:p w14:paraId="5C005E0E" w14:textId="77777777" w:rsidR="00F84A8F" w:rsidRPr="00230F6B" w:rsidRDefault="00F84A8F" w:rsidP="002C66FC">
            <w:pPr>
              <w:autoSpaceDE w:val="0"/>
              <w:autoSpaceDN w:val="0"/>
              <w:adjustRightInd w:val="0"/>
              <w:rPr>
                <w:b/>
                <w:bCs/>
                <w:sz w:val="22"/>
                <w:szCs w:val="22"/>
              </w:rPr>
            </w:pPr>
          </w:p>
          <w:p w14:paraId="152514BB" w14:textId="77777777" w:rsidR="00F84A8F" w:rsidRPr="00230F6B" w:rsidRDefault="00F84A8F" w:rsidP="002C66FC">
            <w:pPr>
              <w:autoSpaceDE w:val="0"/>
              <w:autoSpaceDN w:val="0"/>
              <w:adjustRightInd w:val="0"/>
              <w:rPr>
                <w:sz w:val="22"/>
                <w:szCs w:val="22"/>
              </w:rPr>
            </w:pPr>
          </w:p>
        </w:tc>
      </w:tr>
      <w:tr w:rsidR="00F84A8F" w:rsidRPr="00B02007" w14:paraId="107D04AC" w14:textId="77777777" w:rsidTr="002C66FC">
        <w:trPr>
          <w:trHeight w:val="751"/>
        </w:trPr>
        <w:tc>
          <w:tcPr>
            <w:tcW w:w="2445" w:type="dxa"/>
          </w:tcPr>
          <w:p w14:paraId="6DC7EE14" w14:textId="77777777" w:rsidR="00F84A8F" w:rsidRPr="00230F6B" w:rsidRDefault="00F84A8F" w:rsidP="002C66FC">
            <w:pPr>
              <w:autoSpaceDE w:val="0"/>
              <w:autoSpaceDN w:val="0"/>
              <w:adjustRightInd w:val="0"/>
              <w:rPr>
                <w:sz w:val="22"/>
                <w:szCs w:val="22"/>
              </w:rPr>
            </w:pPr>
            <w:r w:rsidRPr="00230F6B">
              <w:rPr>
                <w:sz w:val="22"/>
                <w:szCs w:val="22"/>
              </w:rPr>
              <w:t>Infekcije i infestacije</w:t>
            </w:r>
          </w:p>
        </w:tc>
        <w:tc>
          <w:tcPr>
            <w:tcW w:w="2445" w:type="dxa"/>
          </w:tcPr>
          <w:p w14:paraId="2A0554E0" w14:textId="77777777" w:rsidR="00F84A8F" w:rsidRPr="00230F6B" w:rsidRDefault="00F84A8F" w:rsidP="002C66FC">
            <w:pPr>
              <w:autoSpaceDE w:val="0"/>
              <w:autoSpaceDN w:val="0"/>
              <w:adjustRightInd w:val="0"/>
              <w:rPr>
                <w:sz w:val="22"/>
                <w:szCs w:val="22"/>
              </w:rPr>
            </w:pPr>
            <w:r w:rsidRPr="00230F6B">
              <w:rPr>
                <w:sz w:val="22"/>
                <w:szCs w:val="22"/>
              </w:rPr>
              <w:t>Infekcije (G3/4: 6,3%);</w:t>
            </w:r>
          </w:p>
          <w:p w14:paraId="2995E686" w14:textId="77777777" w:rsidR="00F84A8F" w:rsidRPr="00230F6B" w:rsidRDefault="00F84A8F" w:rsidP="002C66FC">
            <w:pPr>
              <w:autoSpaceDE w:val="0"/>
              <w:autoSpaceDN w:val="0"/>
              <w:adjustRightInd w:val="0"/>
              <w:rPr>
                <w:sz w:val="22"/>
                <w:szCs w:val="22"/>
              </w:rPr>
            </w:pPr>
          </w:p>
          <w:p w14:paraId="76B971A7" w14:textId="77777777" w:rsidR="00F84A8F" w:rsidRPr="00230F6B" w:rsidRDefault="00F84A8F" w:rsidP="002C66FC">
            <w:pPr>
              <w:autoSpaceDE w:val="0"/>
              <w:autoSpaceDN w:val="0"/>
              <w:adjustRightInd w:val="0"/>
              <w:rPr>
                <w:sz w:val="22"/>
                <w:szCs w:val="22"/>
              </w:rPr>
            </w:pPr>
            <w:r w:rsidRPr="00230F6B">
              <w:rPr>
                <w:sz w:val="22"/>
                <w:szCs w:val="22"/>
              </w:rPr>
              <w:t>Neutropenijske infekcije</w:t>
            </w:r>
          </w:p>
        </w:tc>
        <w:tc>
          <w:tcPr>
            <w:tcW w:w="2445" w:type="dxa"/>
          </w:tcPr>
          <w:p w14:paraId="4349FEBE" w14:textId="77777777" w:rsidR="00F84A8F" w:rsidRPr="00230F6B" w:rsidRDefault="00F84A8F" w:rsidP="002C66FC">
            <w:pPr>
              <w:autoSpaceDE w:val="0"/>
              <w:autoSpaceDN w:val="0"/>
              <w:adjustRightInd w:val="0"/>
              <w:rPr>
                <w:sz w:val="22"/>
                <w:szCs w:val="22"/>
              </w:rPr>
            </w:pPr>
          </w:p>
        </w:tc>
        <w:tc>
          <w:tcPr>
            <w:tcW w:w="2446" w:type="dxa"/>
          </w:tcPr>
          <w:p w14:paraId="08BE883B" w14:textId="77777777" w:rsidR="00F84A8F" w:rsidRPr="00230F6B" w:rsidRDefault="00F84A8F" w:rsidP="002C66FC">
            <w:pPr>
              <w:autoSpaceDE w:val="0"/>
              <w:autoSpaceDN w:val="0"/>
              <w:adjustRightInd w:val="0"/>
              <w:rPr>
                <w:sz w:val="22"/>
                <w:szCs w:val="22"/>
              </w:rPr>
            </w:pPr>
          </w:p>
        </w:tc>
      </w:tr>
      <w:tr w:rsidR="00F84A8F" w:rsidRPr="00B02007" w14:paraId="4E577DEF" w14:textId="77777777" w:rsidTr="002C66FC">
        <w:trPr>
          <w:trHeight w:val="1270"/>
        </w:trPr>
        <w:tc>
          <w:tcPr>
            <w:tcW w:w="2445" w:type="dxa"/>
          </w:tcPr>
          <w:p w14:paraId="2728E7AB" w14:textId="77777777" w:rsidR="00F84A8F" w:rsidRPr="00230F6B" w:rsidRDefault="00F84A8F" w:rsidP="002C66FC">
            <w:pPr>
              <w:autoSpaceDE w:val="0"/>
              <w:autoSpaceDN w:val="0"/>
              <w:adjustRightInd w:val="0"/>
              <w:rPr>
                <w:sz w:val="22"/>
                <w:szCs w:val="22"/>
              </w:rPr>
            </w:pPr>
            <w:r w:rsidRPr="00230F6B">
              <w:rPr>
                <w:sz w:val="22"/>
                <w:szCs w:val="22"/>
              </w:rPr>
              <w:t>Benigne, maligne i</w:t>
            </w:r>
          </w:p>
          <w:p w14:paraId="674C52E6" w14:textId="77777777" w:rsidR="00F84A8F" w:rsidRPr="00230F6B" w:rsidRDefault="00F84A8F" w:rsidP="002C66FC">
            <w:pPr>
              <w:autoSpaceDE w:val="0"/>
              <w:autoSpaceDN w:val="0"/>
              <w:adjustRightInd w:val="0"/>
              <w:rPr>
                <w:sz w:val="22"/>
                <w:szCs w:val="22"/>
              </w:rPr>
            </w:pPr>
            <w:r w:rsidRPr="00230F6B">
              <w:rPr>
                <w:sz w:val="22"/>
                <w:szCs w:val="22"/>
              </w:rPr>
              <w:t>nespecifikovane</w:t>
            </w:r>
          </w:p>
          <w:p w14:paraId="76154234" w14:textId="77777777" w:rsidR="00F84A8F" w:rsidRPr="00230F6B" w:rsidRDefault="00F84A8F" w:rsidP="002C66FC">
            <w:pPr>
              <w:autoSpaceDE w:val="0"/>
              <w:autoSpaceDN w:val="0"/>
              <w:adjustRightInd w:val="0"/>
              <w:rPr>
                <w:sz w:val="22"/>
                <w:szCs w:val="22"/>
              </w:rPr>
            </w:pPr>
            <w:r w:rsidRPr="00230F6B">
              <w:rPr>
                <w:sz w:val="22"/>
                <w:szCs w:val="22"/>
              </w:rPr>
              <w:t>neoplazme (uklju</w:t>
            </w:r>
            <w:r w:rsidRPr="00230F6B">
              <w:rPr>
                <w:rFonts w:eastAsia="TimesNewRoman"/>
                <w:sz w:val="22"/>
                <w:szCs w:val="22"/>
              </w:rPr>
              <w:t>č</w:t>
            </w:r>
            <w:r w:rsidRPr="00230F6B">
              <w:rPr>
                <w:sz w:val="22"/>
                <w:szCs w:val="22"/>
              </w:rPr>
              <w:t>uju</w:t>
            </w:r>
            <w:r w:rsidRPr="00230F6B">
              <w:rPr>
                <w:rFonts w:eastAsia="TimesNewRoman"/>
                <w:sz w:val="22"/>
                <w:szCs w:val="22"/>
              </w:rPr>
              <w:t>ć</w:t>
            </w:r>
            <w:r w:rsidRPr="00230F6B">
              <w:rPr>
                <w:sz w:val="22"/>
                <w:szCs w:val="22"/>
              </w:rPr>
              <w:t>i</w:t>
            </w:r>
          </w:p>
          <w:p w14:paraId="2899C060" w14:textId="77777777" w:rsidR="00F84A8F" w:rsidRPr="00230F6B" w:rsidRDefault="00F84A8F" w:rsidP="002C66FC">
            <w:pPr>
              <w:autoSpaceDE w:val="0"/>
              <w:autoSpaceDN w:val="0"/>
              <w:adjustRightInd w:val="0"/>
              <w:rPr>
                <w:sz w:val="22"/>
                <w:szCs w:val="22"/>
              </w:rPr>
            </w:pPr>
            <w:r w:rsidRPr="00230F6B">
              <w:rPr>
                <w:sz w:val="22"/>
                <w:szCs w:val="22"/>
              </w:rPr>
              <w:t>ciste i polipe)</w:t>
            </w:r>
          </w:p>
          <w:p w14:paraId="2D75E38A" w14:textId="77777777" w:rsidR="00F84A8F" w:rsidRPr="00230F6B" w:rsidRDefault="00F84A8F" w:rsidP="002C66FC">
            <w:pPr>
              <w:autoSpaceDE w:val="0"/>
              <w:autoSpaceDN w:val="0"/>
              <w:adjustRightInd w:val="0"/>
              <w:rPr>
                <w:sz w:val="22"/>
                <w:szCs w:val="22"/>
              </w:rPr>
            </w:pPr>
          </w:p>
        </w:tc>
        <w:tc>
          <w:tcPr>
            <w:tcW w:w="2445" w:type="dxa"/>
          </w:tcPr>
          <w:p w14:paraId="1EA6F59C" w14:textId="77777777" w:rsidR="00F84A8F" w:rsidRPr="00230F6B" w:rsidRDefault="00F84A8F" w:rsidP="002C66FC">
            <w:pPr>
              <w:autoSpaceDE w:val="0"/>
              <w:autoSpaceDN w:val="0"/>
              <w:adjustRightInd w:val="0"/>
              <w:rPr>
                <w:sz w:val="22"/>
                <w:szCs w:val="22"/>
              </w:rPr>
            </w:pPr>
          </w:p>
        </w:tc>
        <w:tc>
          <w:tcPr>
            <w:tcW w:w="2445" w:type="dxa"/>
          </w:tcPr>
          <w:p w14:paraId="0629184C" w14:textId="77777777" w:rsidR="00F84A8F" w:rsidRPr="00230F6B" w:rsidRDefault="00F84A8F" w:rsidP="002C66FC">
            <w:pPr>
              <w:autoSpaceDE w:val="0"/>
              <w:autoSpaceDN w:val="0"/>
              <w:adjustRightInd w:val="0"/>
              <w:rPr>
                <w:sz w:val="22"/>
                <w:szCs w:val="22"/>
              </w:rPr>
            </w:pPr>
            <w:r w:rsidRPr="00230F6B">
              <w:rPr>
                <w:sz w:val="22"/>
                <w:szCs w:val="22"/>
              </w:rPr>
              <w:t>Kancerski bol (G3/4: 0,6%)</w:t>
            </w:r>
          </w:p>
          <w:p w14:paraId="7195DF0B" w14:textId="77777777" w:rsidR="00F84A8F" w:rsidRPr="00230F6B" w:rsidRDefault="00F84A8F" w:rsidP="002C66FC">
            <w:pPr>
              <w:autoSpaceDE w:val="0"/>
              <w:autoSpaceDN w:val="0"/>
              <w:adjustRightInd w:val="0"/>
              <w:rPr>
                <w:sz w:val="22"/>
                <w:szCs w:val="22"/>
              </w:rPr>
            </w:pPr>
          </w:p>
        </w:tc>
        <w:tc>
          <w:tcPr>
            <w:tcW w:w="2446" w:type="dxa"/>
          </w:tcPr>
          <w:p w14:paraId="1D9A951F" w14:textId="77777777" w:rsidR="00F84A8F" w:rsidRPr="00230F6B" w:rsidRDefault="00F84A8F" w:rsidP="002C66FC">
            <w:pPr>
              <w:autoSpaceDE w:val="0"/>
              <w:autoSpaceDN w:val="0"/>
              <w:adjustRightInd w:val="0"/>
              <w:rPr>
                <w:sz w:val="22"/>
                <w:szCs w:val="22"/>
              </w:rPr>
            </w:pPr>
          </w:p>
        </w:tc>
      </w:tr>
      <w:tr w:rsidR="00F84A8F" w:rsidRPr="00B02007" w14:paraId="3EDEC414" w14:textId="77777777" w:rsidTr="002C66FC">
        <w:trPr>
          <w:trHeight w:val="2541"/>
        </w:trPr>
        <w:tc>
          <w:tcPr>
            <w:tcW w:w="2445" w:type="dxa"/>
          </w:tcPr>
          <w:p w14:paraId="0D871218"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 krvi i</w:t>
            </w:r>
          </w:p>
          <w:p w14:paraId="11CDD526" w14:textId="77777777" w:rsidR="00F84A8F" w:rsidRPr="00230F6B" w:rsidRDefault="00F84A8F" w:rsidP="002C66FC">
            <w:pPr>
              <w:autoSpaceDE w:val="0"/>
              <w:autoSpaceDN w:val="0"/>
              <w:adjustRightInd w:val="0"/>
              <w:rPr>
                <w:sz w:val="22"/>
                <w:szCs w:val="22"/>
              </w:rPr>
            </w:pPr>
            <w:r w:rsidRPr="00230F6B">
              <w:rPr>
                <w:sz w:val="22"/>
                <w:szCs w:val="22"/>
              </w:rPr>
              <w:t>limfnog sistema</w:t>
            </w:r>
          </w:p>
          <w:p w14:paraId="2076CFA6" w14:textId="77777777" w:rsidR="00F84A8F" w:rsidRPr="00230F6B" w:rsidRDefault="00F84A8F" w:rsidP="002C66FC">
            <w:pPr>
              <w:autoSpaceDE w:val="0"/>
              <w:autoSpaceDN w:val="0"/>
              <w:adjustRightInd w:val="0"/>
              <w:rPr>
                <w:sz w:val="22"/>
                <w:szCs w:val="22"/>
              </w:rPr>
            </w:pPr>
          </w:p>
        </w:tc>
        <w:tc>
          <w:tcPr>
            <w:tcW w:w="2445" w:type="dxa"/>
          </w:tcPr>
          <w:p w14:paraId="0908D9AB" w14:textId="77777777" w:rsidR="00F84A8F" w:rsidRPr="00230F6B" w:rsidRDefault="00F84A8F" w:rsidP="002C66FC">
            <w:pPr>
              <w:autoSpaceDE w:val="0"/>
              <w:autoSpaceDN w:val="0"/>
              <w:adjustRightInd w:val="0"/>
              <w:rPr>
                <w:sz w:val="22"/>
                <w:szCs w:val="22"/>
              </w:rPr>
            </w:pPr>
            <w:r w:rsidRPr="00230F6B">
              <w:rPr>
                <w:sz w:val="22"/>
                <w:szCs w:val="22"/>
              </w:rPr>
              <w:t>Neutropenija (G4; 76,3%);</w:t>
            </w:r>
          </w:p>
          <w:p w14:paraId="339317BD" w14:textId="77777777" w:rsidR="00F84A8F" w:rsidRPr="00230F6B" w:rsidRDefault="00F84A8F" w:rsidP="002C66FC">
            <w:pPr>
              <w:autoSpaceDE w:val="0"/>
              <w:autoSpaceDN w:val="0"/>
              <w:adjustRightInd w:val="0"/>
              <w:rPr>
                <w:sz w:val="22"/>
                <w:szCs w:val="22"/>
              </w:rPr>
            </w:pPr>
          </w:p>
          <w:p w14:paraId="2D02845B" w14:textId="77777777" w:rsidR="00F84A8F" w:rsidRPr="00230F6B" w:rsidRDefault="00F84A8F" w:rsidP="002C66FC">
            <w:pPr>
              <w:autoSpaceDE w:val="0"/>
              <w:autoSpaceDN w:val="0"/>
              <w:adjustRightInd w:val="0"/>
              <w:rPr>
                <w:sz w:val="22"/>
                <w:szCs w:val="22"/>
              </w:rPr>
            </w:pPr>
            <w:r w:rsidRPr="00230F6B">
              <w:rPr>
                <w:sz w:val="22"/>
                <w:szCs w:val="22"/>
              </w:rPr>
              <w:t>Anemija (G3/4: 8,2%);</w:t>
            </w:r>
          </w:p>
          <w:p w14:paraId="549C509A" w14:textId="77777777" w:rsidR="00F84A8F" w:rsidRPr="00230F6B" w:rsidRDefault="00F84A8F" w:rsidP="002C66FC">
            <w:pPr>
              <w:autoSpaceDE w:val="0"/>
              <w:autoSpaceDN w:val="0"/>
              <w:adjustRightInd w:val="0"/>
              <w:rPr>
                <w:sz w:val="22"/>
                <w:szCs w:val="22"/>
              </w:rPr>
            </w:pPr>
          </w:p>
          <w:p w14:paraId="0BCD10F8" w14:textId="77777777" w:rsidR="00F84A8F" w:rsidRPr="00230F6B" w:rsidRDefault="00F84A8F" w:rsidP="002C66FC">
            <w:pPr>
              <w:autoSpaceDE w:val="0"/>
              <w:autoSpaceDN w:val="0"/>
              <w:adjustRightInd w:val="0"/>
              <w:rPr>
                <w:sz w:val="22"/>
                <w:szCs w:val="22"/>
              </w:rPr>
            </w:pPr>
            <w:r w:rsidRPr="00230F6B">
              <w:rPr>
                <w:sz w:val="22"/>
                <w:szCs w:val="22"/>
              </w:rPr>
              <w:t>Trombocitopenija (G3/4:</w:t>
            </w:r>
          </w:p>
          <w:p w14:paraId="5510B895" w14:textId="77777777" w:rsidR="00F84A8F" w:rsidRPr="00230F6B" w:rsidRDefault="00F84A8F" w:rsidP="002C66FC">
            <w:pPr>
              <w:autoSpaceDE w:val="0"/>
              <w:autoSpaceDN w:val="0"/>
              <w:adjustRightInd w:val="0"/>
              <w:rPr>
                <w:sz w:val="22"/>
                <w:szCs w:val="22"/>
              </w:rPr>
            </w:pPr>
            <w:r w:rsidRPr="00230F6B">
              <w:rPr>
                <w:sz w:val="22"/>
                <w:szCs w:val="22"/>
              </w:rPr>
              <w:t>5,2%)</w:t>
            </w:r>
          </w:p>
          <w:p w14:paraId="7D8618B2" w14:textId="77777777" w:rsidR="00F84A8F" w:rsidRPr="00230F6B" w:rsidRDefault="00F84A8F" w:rsidP="002C66FC">
            <w:pPr>
              <w:autoSpaceDE w:val="0"/>
              <w:autoSpaceDN w:val="0"/>
              <w:adjustRightInd w:val="0"/>
              <w:rPr>
                <w:sz w:val="22"/>
                <w:szCs w:val="22"/>
              </w:rPr>
            </w:pPr>
          </w:p>
          <w:p w14:paraId="1C6E6C70" w14:textId="77777777" w:rsidR="00F84A8F" w:rsidRPr="00230F6B" w:rsidRDefault="00F84A8F" w:rsidP="002C66FC">
            <w:pPr>
              <w:autoSpaceDE w:val="0"/>
              <w:autoSpaceDN w:val="0"/>
              <w:adjustRightInd w:val="0"/>
              <w:rPr>
                <w:sz w:val="22"/>
                <w:szCs w:val="22"/>
              </w:rPr>
            </w:pPr>
          </w:p>
          <w:p w14:paraId="5342BD42" w14:textId="77777777" w:rsidR="00F84A8F" w:rsidRPr="00230F6B" w:rsidRDefault="00F84A8F" w:rsidP="002C66FC">
            <w:pPr>
              <w:autoSpaceDE w:val="0"/>
              <w:autoSpaceDN w:val="0"/>
              <w:adjustRightInd w:val="0"/>
              <w:rPr>
                <w:sz w:val="22"/>
                <w:szCs w:val="22"/>
              </w:rPr>
            </w:pPr>
          </w:p>
        </w:tc>
        <w:tc>
          <w:tcPr>
            <w:tcW w:w="2445" w:type="dxa"/>
          </w:tcPr>
          <w:p w14:paraId="42636C23" w14:textId="77777777" w:rsidR="00F84A8F" w:rsidRPr="00230F6B" w:rsidRDefault="00F84A8F" w:rsidP="002C66FC">
            <w:pPr>
              <w:autoSpaceDE w:val="0"/>
              <w:autoSpaceDN w:val="0"/>
              <w:adjustRightInd w:val="0"/>
              <w:rPr>
                <w:sz w:val="22"/>
                <w:szCs w:val="22"/>
              </w:rPr>
            </w:pPr>
            <w:r w:rsidRPr="00230F6B">
              <w:rPr>
                <w:sz w:val="22"/>
                <w:szCs w:val="22"/>
              </w:rPr>
              <w:t>Febrilna neutropenija</w:t>
            </w:r>
          </w:p>
          <w:p w14:paraId="7B38486A" w14:textId="77777777" w:rsidR="00F84A8F" w:rsidRPr="00230F6B" w:rsidRDefault="00F84A8F" w:rsidP="002C66FC">
            <w:pPr>
              <w:autoSpaceDE w:val="0"/>
              <w:autoSpaceDN w:val="0"/>
              <w:adjustRightInd w:val="0"/>
              <w:rPr>
                <w:sz w:val="22"/>
                <w:szCs w:val="22"/>
              </w:rPr>
            </w:pPr>
          </w:p>
        </w:tc>
        <w:tc>
          <w:tcPr>
            <w:tcW w:w="2446" w:type="dxa"/>
          </w:tcPr>
          <w:p w14:paraId="393EF236" w14:textId="77777777" w:rsidR="00F84A8F" w:rsidRPr="00230F6B" w:rsidRDefault="00F84A8F" w:rsidP="002C66FC">
            <w:pPr>
              <w:autoSpaceDE w:val="0"/>
              <w:autoSpaceDN w:val="0"/>
              <w:adjustRightInd w:val="0"/>
              <w:rPr>
                <w:sz w:val="22"/>
                <w:szCs w:val="22"/>
              </w:rPr>
            </w:pPr>
          </w:p>
        </w:tc>
      </w:tr>
      <w:tr w:rsidR="00F84A8F" w:rsidRPr="00B02007" w14:paraId="39B4B65E" w14:textId="77777777" w:rsidTr="002C66FC">
        <w:trPr>
          <w:trHeight w:val="751"/>
        </w:trPr>
        <w:tc>
          <w:tcPr>
            <w:tcW w:w="2445" w:type="dxa"/>
          </w:tcPr>
          <w:p w14:paraId="03151188" w14:textId="77777777" w:rsidR="00F84A8F" w:rsidRPr="00230F6B" w:rsidRDefault="00F84A8F" w:rsidP="002C66FC">
            <w:pPr>
              <w:autoSpaceDE w:val="0"/>
              <w:autoSpaceDN w:val="0"/>
              <w:adjustRightInd w:val="0"/>
              <w:rPr>
                <w:sz w:val="22"/>
                <w:szCs w:val="22"/>
              </w:rPr>
            </w:pPr>
            <w:r w:rsidRPr="00230F6B">
              <w:rPr>
                <w:sz w:val="22"/>
                <w:szCs w:val="22"/>
              </w:rPr>
              <w:lastRenderedPageBreak/>
              <w:t>Poreme</w:t>
            </w:r>
            <w:r w:rsidRPr="00230F6B">
              <w:rPr>
                <w:rFonts w:eastAsia="TimesNewRoman"/>
                <w:sz w:val="22"/>
                <w:szCs w:val="22"/>
              </w:rPr>
              <w:t>ć</w:t>
            </w:r>
            <w:r w:rsidRPr="00230F6B">
              <w:rPr>
                <w:sz w:val="22"/>
                <w:szCs w:val="22"/>
              </w:rPr>
              <w:t>aji imunog</w:t>
            </w:r>
          </w:p>
          <w:p w14:paraId="5A4E2ED9" w14:textId="77777777" w:rsidR="00F84A8F" w:rsidRPr="00230F6B" w:rsidRDefault="00F84A8F" w:rsidP="002C66FC">
            <w:pPr>
              <w:autoSpaceDE w:val="0"/>
              <w:autoSpaceDN w:val="0"/>
              <w:adjustRightInd w:val="0"/>
              <w:rPr>
                <w:sz w:val="22"/>
                <w:szCs w:val="22"/>
              </w:rPr>
            </w:pPr>
            <w:r w:rsidRPr="00230F6B">
              <w:rPr>
                <w:sz w:val="22"/>
                <w:szCs w:val="22"/>
              </w:rPr>
              <w:t>sistema</w:t>
            </w:r>
          </w:p>
          <w:p w14:paraId="04682DA1" w14:textId="77777777" w:rsidR="00F84A8F" w:rsidRPr="00230F6B" w:rsidRDefault="00F84A8F" w:rsidP="002C66FC">
            <w:pPr>
              <w:autoSpaceDE w:val="0"/>
              <w:autoSpaceDN w:val="0"/>
              <w:adjustRightInd w:val="0"/>
              <w:rPr>
                <w:sz w:val="22"/>
                <w:szCs w:val="22"/>
              </w:rPr>
            </w:pPr>
          </w:p>
        </w:tc>
        <w:tc>
          <w:tcPr>
            <w:tcW w:w="2445" w:type="dxa"/>
          </w:tcPr>
          <w:p w14:paraId="2BAB2818" w14:textId="77777777" w:rsidR="00F84A8F" w:rsidRPr="00230F6B" w:rsidRDefault="00F84A8F" w:rsidP="002C66FC">
            <w:pPr>
              <w:autoSpaceDE w:val="0"/>
              <w:autoSpaceDN w:val="0"/>
              <w:adjustRightInd w:val="0"/>
              <w:rPr>
                <w:sz w:val="22"/>
                <w:szCs w:val="22"/>
              </w:rPr>
            </w:pPr>
          </w:p>
        </w:tc>
        <w:tc>
          <w:tcPr>
            <w:tcW w:w="2445" w:type="dxa"/>
          </w:tcPr>
          <w:p w14:paraId="602DF9CF" w14:textId="77777777" w:rsidR="00F84A8F" w:rsidRPr="00230F6B" w:rsidRDefault="00F84A8F" w:rsidP="002C66FC">
            <w:pPr>
              <w:autoSpaceDE w:val="0"/>
              <w:autoSpaceDN w:val="0"/>
              <w:adjustRightInd w:val="0"/>
              <w:rPr>
                <w:sz w:val="22"/>
                <w:szCs w:val="22"/>
              </w:rPr>
            </w:pPr>
            <w:r w:rsidRPr="00230F6B">
              <w:rPr>
                <w:sz w:val="22"/>
                <w:szCs w:val="22"/>
              </w:rPr>
              <w:t>Preosjetljivost (nije teška)</w:t>
            </w:r>
          </w:p>
          <w:p w14:paraId="5ED552EA" w14:textId="77777777" w:rsidR="00F84A8F" w:rsidRPr="00230F6B" w:rsidRDefault="00F84A8F" w:rsidP="002C66FC">
            <w:pPr>
              <w:autoSpaceDE w:val="0"/>
              <w:autoSpaceDN w:val="0"/>
              <w:adjustRightInd w:val="0"/>
              <w:rPr>
                <w:sz w:val="22"/>
                <w:szCs w:val="22"/>
              </w:rPr>
            </w:pPr>
          </w:p>
        </w:tc>
        <w:tc>
          <w:tcPr>
            <w:tcW w:w="2446" w:type="dxa"/>
          </w:tcPr>
          <w:p w14:paraId="38DAB73F" w14:textId="77777777" w:rsidR="00F84A8F" w:rsidRPr="00230F6B" w:rsidRDefault="00F84A8F" w:rsidP="002C66FC">
            <w:pPr>
              <w:autoSpaceDE w:val="0"/>
              <w:autoSpaceDN w:val="0"/>
              <w:adjustRightInd w:val="0"/>
              <w:rPr>
                <w:sz w:val="22"/>
                <w:szCs w:val="22"/>
              </w:rPr>
            </w:pPr>
          </w:p>
        </w:tc>
      </w:tr>
      <w:tr w:rsidR="00F84A8F" w:rsidRPr="00B02007" w14:paraId="6D87A2A1" w14:textId="77777777" w:rsidTr="002C66FC">
        <w:trPr>
          <w:trHeight w:val="762"/>
        </w:trPr>
        <w:tc>
          <w:tcPr>
            <w:tcW w:w="2445" w:type="dxa"/>
          </w:tcPr>
          <w:p w14:paraId="64C4FCC1"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 xml:space="preserve">aji </w:t>
            </w:r>
          </w:p>
          <w:p w14:paraId="74215253" w14:textId="77777777" w:rsidR="00F84A8F" w:rsidRPr="00230F6B" w:rsidRDefault="00F84A8F" w:rsidP="002C66FC">
            <w:pPr>
              <w:autoSpaceDE w:val="0"/>
              <w:autoSpaceDN w:val="0"/>
              <w:adjustRightInd w:val="0"/>
              <w:rPr>
                <w:sz w:val="22"/>
                <w:szCs w:val="22"/>
              </w:rPr>
            </w:pPr>
            <w:r w:rsidRPr="00230F6B">
              <w:rPr>
                <w:sz w:val="22"/>
                <w:szCs w:val="22"/>
              </w:rPr>
              <w:t>metabolizma i ishrane</w:t>
            </w:r>
          </w:p>
          <w:p w14:paraId="3D602EAB" w14:textId="77777777" w:rsidR="00F84A8F" w:rsidRPr="00230F6B" w:rsidRDefault="00F84A8F" w:rsidP="002C66FC">
            <w:pPr>
              <w:autoSpaceDE w:val="0"/>
              <w:autoSpaceDN w:val="0"/>
              <w:adjustRightInd w:val="0"/>
              <w:rPr>
                <w:sz w:val="22"/>
                <w:szCs w:val="22"/>
              </w:rPr>
            </w:pPr>
          </w:p>
        </w:tc>
        <w:tc>
          <w:tcPr>
            <w:tcW w:w="2445" w:type="dxa"/>
          </w:tcPr>
          <w:p w14:paraId="2DEB1AFB" w14:textId="77777777" w:rsidR="00F84A8F" w:rsidRPr="00230F6B" w:rsidRDefault="00F84A8F" w:rsidP="002C66FC">
            <w:pPr>
              <w:autoSpaceDE w:val="0"/>
              <w:autoSpaceDN w:val="0"/>
              <w:adjustRightInd w:val="0"/>
              <w:rPr>
                <w:sz w:val="22"/>
                <w:szCs w:val="22"/>
              </w:rPr>
            </w:pPr>
            <w:r w:rsidRPr="00230F6B">
              <w:rPr>
                <w:sz w:val="22"/>
                <w:szCs w:val="22"/>
              </w:rPr>
              <w:t>Anoreksija (G3/4: 0,6%)</w:t>
            </w:r>
          </w:p>
        </w:tc>
        <w:tc>
          <w:tcPr>
            <w:tcW w:w="2445" w:type="dxa"/>
          </w:tcPr>
          <w:p w14:paraId="2F76E640" w14:textId="77777777" w:rsidR="00F84A8F" w:rsidRPr="00230F6B" w:rsidRDefault="00F84A8F" w:rsidP="002C66FC">
            <w:pPr>
              <w:autoSpaceDE w:val="0"/>
              <w:autoSpaceDN w:val="0"/>
              <w:adjustRightInd w:val="0"/>
              <w:rPr>
                <w:sz w:val="22"/>
                <w:szCs w:val="22"/>
              </w:rPr>
            </w:pPr>
          </w:p>
        </w:tc>
        <w:tc>
          <w:tcPr>
            <w:tcW w:w="2446" w:type="dxa"/>
          </w:tcPr>
          <w:p w14:paraId="7F6C01A2" w14:textId="77777777" w:rsidR="00F84A8F" w:rsidRPr="00230F6B" w:rsidRDefault="00F84A8F" w:rsidP="002C66FC">
            <w:pPr>
              <w:autoSpaceDE w:val="0"/>
              <w:autoSpaceDN w:val="0"/>
              <w:adjustRightInd w:val="0"/>
              <w:rPr>
                <w:sz w:val="22"/>
                <w:szCs w:val="22"/>
              </w:rPr>
            </w:pPr>
          </w:p>
        </w:tc>
      </w:tr>
      <w:tr w:rsidR="00F84A8F" w:rsidRPr="00B02007" w14:paraId="1A05A992" w14:textId="77777777" w:rsidTr="002C66FC">
        <w:trPr>
          <w:trHeight w:val="1017"/>
        </w:trPr>
        <w:tc>
          <w:tcPr>
            <w:tcW w:w="2445" w:type="dxa"/>
          </w:tcPr>
          <w:p w14:paraId="0776E138"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 nervnog</w:t>
            </w:r>
          </w:p>
          <w:p w14:paraId="76AAD604" w14:textId="77777777" w:rsidR="00F84A8F" w:rsidRPr="00230F6B" w:rsidRDefault="00F84A8F" w:rsidP="002C66FC">
            <w:pPr>
              <w:autoSpaceDE w:val="0"/>
              <w:autoSpaceDN w:val="0"/>
              <w:adjustRightInd w:val="0"/>
              <w:rPr>
                <w:sz w:val="22"/>
                <w:szCs w:val="22"/>
              </w:rPr>
            </w:pPr>
            <w:r w:rsidRPr="00230F6B">
              <w:rPr>
                <w:sz w:val="22"/>
                <w:szCs w:val="22"/>
              </w:rPr>
              <w:t>sistema</w:t>
            </w:r>
          </w:p>
          <w:p w14:paraId="12E14BE5" w14:textId="77777777" w:rsidR="00F84A8F" w:rsidRPr="00230F6B" w:rsidRDefault="00F84A8F" w:rsidP="002C66FC">
            <w:pPr>
              <w:autoSpaceDE w:val="0"/>
              <w:autoSpaceDN w:val="0"/>
              <w:adjustRightInd w:val="0"/>
              <w:rPr>
                <w:sz w:val="22"/>
                <w:szCs w:val="22"/>
              </w:rPr>
            </w:pPr>
          </w:p>
        </w:tc>
        <w:tc>
          <w:tcPr>
            <w:tcW w:w="2445" w:type="dxa"/>
          </w:tcPr>
          <w:p w14:paraId="68294E28" w14:textId="77777777" w:rsidR="00F84A8F" w:rsidRPr="00230F6B" w:rsidRDefault="00F84A8F" w:rsidP="002C66FC">
            <w:pPr>
              <w:autoSpaceDE w:val="0"/>
              <w:autoSpaceDN w:val="0"/>
              <w:adjustRightInd w:val="0"/>
              <w:rPr>
                <w:sz w:val="22"/>
                <w:szCs w:val="22"/>
              </w:rPr>
            </w:pPr>
            <w:r w:rsidRPr="00230F6B">
              <w:rPr>
                <w:sz w:val="22"/>
                <w:szCs w:val="22"/>
              </w:rPr>
              <w:t xml:space="preserve">Disgeuzija/parosmija; </w:t>
            </w:r>
          </w:p>
          <w:p w14:paraId="13A836B1" w14:textId="77777777" w:rsidR="00F84A8F" w:rsidRPr="00230F6B" w:rsidRDefault="00F84A8F" w:rsidP="002C66FC">
            <w:pPr>
              <w:autoSpaceDE w:val="0"/>
              <w:autoSpaceDN w:val="0"/>
              <w:adjustRightInd w:val="0"/>
              <w:rPr>
                <w:sz w:val="22"/>
                <w:szCs w:val="22"/>
              </w:rPr>
            </w:pPr>
          </w:p>
          <w:p w14:paraId="3746D5D4" w14:textId="77777777" w:rsidR="00F84A8F" w:rsidRPr="00230F6B" w:rsidRDefault="00F84A8F" w:rsidP="002C66FC">
            <w:pPr>
              <w:autoSpaceDE w:val="0"/>
              <w:autoSpaceDN w:val="0"/>
              <w:adjustRightInd w:val="0"/>
              <w:rPr>
                <w:sz w:val="22"/>
                <w:szCs w:val="22"/>
              </w:rPr>
            </w:pPr>
            <w:r w:rsidRPr="00230F6B">
              <w:rPr>
                <w:sz w:val="22"/>
                <w:szCs w:val="22"/>
              </w:rPr>
              <w:t>Periferna senzorna</w:t>
            </w:r>
          </w:p>
          <w:p w14:paraId="33860254" w14:textId="77777777" w:rsidR="00F84A8F" w:rsidRPr="00230F6B" w:rsidRDefault="00F84A8F" w:rsidP="002C66FC">
            <w:pPr>
              <w:autoSpaceDE w:val="0"/>
              <w:autoSpaceDN w:val="0"/>
              <w:adjustRightInd w:val="0"/>
              <w:rPr>
                <w:sz w:val="22"/>
                <w:szCs w:val="22"/>
              </w:rPr>
            </w:pPr>
            <w:r w:rsidRPr="00230F6B">
              <w:rPr>
                <w:sz w:val="22"/>
                <w:szCs w:val="22"/>
              </w:rPr>
              <w:t>neuropatija (G3/4: 0,6%)</w:t>
            </w:r>
          </w:p>
        </w:tc>
        <w:tc>
          <w:tcPr>
            <w:tcW w:w="2445" w:type="dxa"/>
          </w:tcPr>
          <w:p w14:paraId="371421F7" w14:textId="77777777" w:rsidR="00F84A8F" w:rsidRPr="00230F6B" w:rsidRDefault="00F84A8F" w:rsidP="002C66FC">
            <w:pPr>
              <w:autoSpaceDE w:val="0"/>
              <w:autoSpaceDN w:val="0"/>
              <w:adjustRightInd w:val="0"/>
              <w:rPr>
                <w:sz w:val="22"/>
                <w:szCs w:val="22"/>
              </w:rPr>
            </w:pPr>
            <w:r w:rsidRPr="00230F6B">
              <w:rPr>
                <w:sz w:val="22"/>
                <w:szCs w:val="22"/>
              </w:rPr>
              <w:t>Vrtoglavica</w:t>
            </w:r>
          </w:p>
        </w:tc>
        <w:tc>
          <w:tcPr>
            <w:tcW w:w="2446" w:type="dxa"/>
          </w:tcPr>
          <w:p w14:paraId="1A67C538" w14:textId="77777777" w:rsidR="00F84A8F" w:rsidRPr="00230F6B" w:rsidRDefault="00F84A8F" w:rsidP="002C66FC">
            <w:pPr>
              <w:autoSpaceDE w:val="0"/>
              <w:autoSpaceDN w:val="0"/>
              <w:adjustRightInd w:val="0"/>
              <w:rPr>
                <w:sz w:val="22"/>
                <w:szCs w:val="22"/>
              </w:rPr>
            </w:pPr>
          </w:p>
        </w:tc>
      </w:tr>
      <w:tr w:rsidR="00F84A8F" w:rsidRPr="00B02007" w14:paraId="24AE25FA" w14:textId="77777777" w:rsidTr="002C66FC">
        <w:trPr>
          <w:trHeight w:val="762"/>
        </w:trPr>
        <w:tc>
          <w:tcPr>
            <w:tcW w:w="2445" w:type="dxa"/>
          </w:tcPr>
          <w:p w14:paraId="664710AA"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 xml:space="preserve">aji oka </w:t>
            </w:r>
          </w:p>
          <w:p w14:paraId="4F5746AA" w14:textId="77777777" w:rsidR="00F84A8F" w:rsidRPr="00230F6B" w:rsidRDefault="00F84A8F" w:rsidP="002C66FC">
            <w:pPr>
              <w:autoSpaceDE w:val="0"/>
              <w:autoSpaceDN w:val="0"/>
              <w:adjustRightInd w:val="0"/>
              <w:rPr>
                <w:sz w:val="22"/>
                <w:szCs w:val="22"/>
              </w:rPr>
            </w:pPr>
          </w:p>
        </w:tc>
        <w:tc>
          <w:tcPr>
            <w:tcW w:w="2445" w:type="dxa"/>
          </w:tcPr>
          <w:p w14:paraId="623EB9BA" w14:textId="77777777" w:rsidR="00F84A8F" w:rsidRPr="00230F6B" w:rsidRDefault="00F84A8F" w:rsidP="002C66FC">
            <w:pPr>
              <w:autoSpaceDE w:val="0"/>
              <w:autoSpaceDN w:val="0"/>
              <w:adjustRightInd w:val="0"/>
              <w:rPr>
                <w:sz w:val="22"/>
                <w:szCs w:val="22"/>
              </w:rPr>
            </w:pPr>
          </w:p>
        </w:tc>
        <w:tc>
          <w:tcPr>
            <w:tcW w:w="2445" w:type="dxa"/>
          </w:tcPr>
          <w:p w14:paraId="1B6809D6" w14:textId="77777777" w:rsidR="00F84A8F" w:rsidRPr="00230F6B" w:rsidRDefault="00F84A8F" w:rsidP="002C66FC">
            <w:pPr>
              <w:autoSpaceDE w:val="0"/>
              <w:autoSpaceDN w:val="0"/>
              <w:adjustRightInd w:val="0"/>
              <w:rPr>
                <w:sz w:val="22"/>
                <w:szCs w:val="22"/>
              </w:rPr>
            </w:pPr>
            <w:r w:rsidRPr="00230F6B">
              <w:rPr>
                <w:sz w:val="22"/>
                <w:szCs w:val="22"/>
              </w:rPr>
              <w:t>Pojačano suzenje</w:t>
            </w:r>
          </w:p>
          <w:p w14:paraId="014E147D" w14:textId="77777777" w:rsidR="00F84A8F" w:rsidRPr="00230F6B" w:rsidRDefault="00F84A8F" w:rsidP="002C66FC">
            <w:pPr>
              <w:autoSpaceDE w:val="0"/>
              <w:autoSpaceDN w:val="0"/>
              <w:adjustRightInd w:val="0"/>
              <w:rPr>
                <w:sz w:val="22"/>
                <w:szCs w:val="22"/>
              </w:rPr>
            </w:pPr>
          </w:p>
          <w:p w14:paraId="2B74A64D" w14:textId="77777777" w:rsidR="00F84A8F" w:rsidRPr="00230F6B" w:rsidRDefault="00F84A8F" w:rsidP="002C66FC">
            <w:pPr>
              <w:autoSpaceDE w:val="0"/>
              <w:autoSpaceDN w:val="0"/>
              <w:adjustRightInd w:val="0"/>
              <w:rPr>
                <w:sz w:val="22"/>
                <w:szCs w:val="22"/>
              </w:rPr>
            </w:pPr>
            <w:r w:rsidRPr="00230F6B">
              <w:rPr>
                <w:sz w:val="22"/>
                <w:szCs w:val="22"/>
              </w:rPr>
              <w:t xml:space="preserve">Konjunktivitis </w:t>
            </w:r>
          </w:p>
        </w:tc>
        <w:tc>
          <w:tcPr>
            <w:tcW w:w="2446" w:type="dxa"/>
          </w:tcPr>
          <w:p w14:paraId="351C95DE" w14:textId="77777777" w:rsidR="00F84A8F" w:rsidRPr="00230F6B" w:rsidRDefault="00F84A8F" w:rsidP="002C66FC">
            <w:pPr>
              <w:autoSpaceDE w:val="0"/>
              <w:autoSpaceDN w:val="0"/>
              <w:adjustRightInd w:val="0"/>
              <w:rPr>
                <w:sz w:val="22"/>
                <w:szCs w:val="22"/>
              </w:rPr>
            </w:pPr>
          </w:p>
        </w:tc>
      </w:tr>
      <w:tr w:rsidR="00F84A8F" w:rsidRPr="00B02007" w14:paraId="774AA57A" w14:textId="77777777" w:rsidTr="002C66FC">
        <w:trPr>
          <w:trHeight w:val="751"/>
        </w:trPr>
        <w:tc>
          <w:tcPr>
            <w:tcW w:w="2445" w:type="dxa"/>
          </w:tcPr>
          <w:p w14:paraId="47F3AC1E"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 uha i</w:t>
            </w:r>
          </w:p>
          <w:p w14:paraId="6A1ED73F" w14:textId="77777777" w:rsidR="00F84A8F" w:rsidRPr="00230F6B" w:rsidRDefault="00F84A8F" w:rsidP="002C66FC">
            <w:pPr>
              <w:autoSpaceDE w:val="0"/>
              <w:autoSpaceDN w:val="0"/>
              <w:adjustRightInd w:val="0"/>
              <w:rPr>
                <w:sz w:val="22"/>
                <w:szCs w:val="22"/>
              </w:rPr>
            </w:pPr>
            <w:r w:rsidRPr="00230F6B">
              <w:rPr>
                <w:sz w:val="22"/>
                <w:szCs w:val="22"/>
              </w:rPr>
              <w:t>lavirinta</w:t>
            </w:r>
          </w:p>
          <w:p w14:paraId="3C34740A" w14:textId="77777777" w:rsidR="00F84A8F" w:rsidRPr="00230F6B" w:rsidRDefault="00F84A8F" w:rsidP="002C66FC">
            <w:pPr>
              <w:autoSpaceDE w:val="0"/>
              <w:autoSpaceDN w:val="0"/>
              <w:adjustRightInd w:val="0"/>
              <w:rPr>
                <w:sz w:val="22"/>
                <w:szCs w:val="22"/>
              </w:rPr>
            </w:pPr>
          </w:p>
        </w:tc>
        <w:tc>
          <w:tcPr>
            <w:tcW w:w="2445" w:type="dxa"/>
          </w:tcPr>
          <w:p w14:paraId="4354698B" w14:textId="77777777" w:rsidR="00F84A8F" w:rsidRPr="00230F6B" w:rsidRDefault="00F84A8F" w:rsidP="002C66FC">
            <w:pPr>
              <w:autoSpaceDE w:val="0"/>
              <w:autoSpaceDN w:val="0"/>
              <w:adjustRightInd w:val="0"/>
              <w:rPr>
                <w:sz w:val="22"/>
                <w:szCs w:val="22"/>
              </w:rPr>
            </w:pPr>
          </w:p>
        </w:tc>
        <w:tc>
          <w:tcPr>
            <w:tcW w:w="2445" w:type="dxa"/>
          </w:tcPr>
          <w:p w14:paraId="1861BF08" w14:textId="77777777" w:rsidR="00F84A8F" w:rsidRPr="00230F6B" w:rsidRDefault="00F84A8F" w:rsidP="002C66FC">
            <w:pPr>
              <w:autoSpaceDE w:val="0"/>
              <w:autoSpaceDN w:val="0"/>
              <w:adjustRightInd w:val="0"/>
              <w:rPr>
                <w:sz w:val="22"/>
                <w:szCs w:val="22"/>
              </w:rPr>
            </w:pPr>
            <w:r w:rsidRPr="00230F6B">
              <w:rPr>
                <w:sz w:val="22"/>
                <w:szCs w:val="22"/>
              </w:rPr>
              <w:t>Oslabljen sluh</w:t>
            </w:r>
          </w:p>
          <w:p w14:paraId="78EA5EF5" w14:textId="77777777" w:rsidR="00F84A8F" w:rsidRPr="00230F6B" w:rsidRDefault="00F84A8F" w:rsidP="002C66FC">
            <w:pPr>
              <w:autoSpaceDE w:val="0"/>
              <w:autoSpaceDN w:val="0"/>
              <w:adjustRightInd w:val="0"/>
              <w:rPr>
                <w:sz w:val="22"/>
                <w:szCs w:val="22"/>
              </w:rPr>
            </w:pPr>
          </w:p>
        </w:tc>
        <w:tc>
          <w:tcPr>
            <w:tcW w:w="2446" w:type="dxa"/>
          </w:tcPr>
          <w:p w14:paraId="5249E107" w14:textId="77777777" w:rsidR="00F84A8F" w:rsidRPr="00230F6B" w:rsidRDefault="00F84A8F" w:rsidP="002C66FC">
            <w:pPr>
              <w:autoSpaceDE w:val="0"/>
              <w:autoSpaceDN w:val="0"/>
              <w:adjustRightInd w:val="0"/>
              <w:rPr>
                <w:sz w:val="22"/>
                <w:szCs w:val="22"/>
              </w:rPr>
            </w:pPr>
          </w:p>
        </w:tc>
      </w:tr>
      <w:tr w:rsidR="00F84A8F" w:rsidRPr="00B02007" w14:paraId="230C3A19" w14:textId="77777777" w:rsidTr="002C66FC">
        <w:trPr>
          <w:trHeight w:val="253"/>
        </w:trPr>
        <w:tc>
          <w:tcPr>
            <w:tcW w:w="2445" w:type="dxa"/>
          </w:tcPr>
          <w:p w14:paraId="05BB34A8" w14:textId="77777777" w:rsidR="00F84A8F" w:rsidRPr="00230F6B" w:rsidRDefault="00F84A8F" w:rsidP="002C66FC">
            <w:pPr>
              <w:autoSpaceDE w:val="0"/>
              <w:autoSpaceDN w:val="0"/>
              <w:adjustRightInd w:val="0"/>
              <w:rPr>
                <w:sz w:val="22"/>
                <w:szCs w:val="22"/>
              </w:rPr>
            </w:pPr>
            <w:r w:rsidRPr="00230F6B">
              <w:rPr>
                <w:sz w:val="22"/>
                <w:szCs w:val="22"/>
              </w:rPr>
              <w:t>Sr</w:t>
            </w:r>
            <w:r w:rsidRPr="00230F6B">
              <w:rPr>
                <w:rFonts w:eastAsia="TimesNewRoman"/>
                <w:sz w:val="22"/>
                <w:szCs w:val="22"/>
              </w:rPr>
              <w:t>č</w:t>
            </w:r>
            <w:r w:rsidRPr="00230F6B">
              <w:rPr>
                <w:sz w:val="22"/>
                <w:szCs w:val="22"/>
              </w:rPr>
              <w:t>ani poreme</w:t>
            </w:r>
            <w:r w:rsidRPr="00230F6B">
              <w:rPr>
                <w:rFonts w:eastAsia="TimesNewRoman"/>
                <w:sz w:val="22"/>
                <w:szCs w:val="22"/>
              </w:rPr>
              <w:t>ć</w:t>
            </w:r>
            <w:r w:rsidRPr="00230F6B">
              <w:rPr>
                <w:sz w:val="22"/>
                <w:szCs w:val="22"/>
              </w:rPr>
              <w:t>aji</w:t>
            </w:r>
          </w:p>
        </w:tc>
        <w:tc>
          <w:tcPr>
            <w:tcW w:w="2445" w:type="dxa"/>
          </w:tcPr>
          <w:p w14:paraId="79DFC3E8" w14:textId="77777777" w:rsidR="00F84A8F" w:rsidRPr="00230F6B" w:rsidRDefault="00F84A8F" w:rsidP="002C66FC">
            <w:pPr>
              <w:autoSpaceDE w:val="0"/>
              <w:autoSpaceDN w:val="0"/>
              <w:adjustRightInd w:val="0"/>
              <w:rPr>
                <w:sz w:val="22"/>
                <w:szCs w:val="22"/>
              </w:rPr>
            </w:pPr>
          </w:p>
        </w:tc>
        <w:tc>
          <w:tcPr>
            <w:tcW w:w="2445" w:type="dxa"/>
          </w:tcPr>
          <w:p w14:paraId="186B81F0" w14:textId="77777777" w:rsidR="00F84A8F" w:rsidRPr="00230F6B" w:rsidRDefault="00F84A8F" w:rsidP="002C66FC">
            <w:pPr>
              <w:autoSpaceDE w:val="0"/>
              <w:autoSpaceDN w:val="0"/>
              <w:adjustRightInd w:val="0"/>
              <w:rPr>
                <w:sz w:val="22"/>
                <w:szCs w:val="22"/>
              </w:rPr>
            </w:pPr>
            <w:r w:rsidRPr="00230F6B">
              <w:rPr>
                <w:sz w:val="22"/>
                <w:szCs w:val="22"/>
              </w:rPr>
              <w:t>Ishemija miokarda</w:t>
            </w:r>
          </w:p>
          <w:p w14:paraId="6F6481F7" w14:textId="77777777" w:rsidR="00F84A8F" w:rsidRPr="00230F6B" w:rsidRDefault="00F84A8F" w:rsidP="002C66FC">
            <w:pPr>
              <w:autoSpaceDE w:val="0"/>
              <w:autoSpaceDN w:val="0"/>
              <w:adjustRightInd w:val="0"/>
              <w:rPr>
                <w:sz w:val="22"/>
                <w:szCs w:val="22"/>
              </w:rPr>
            </w:pPr>
            <w:r w:rsidRPr="00230F6B">
              <w:rPr>
                <w:sz w:val="22"/>
                <w:szCs w:val="22"/>
              </w:rPr>
              <w:t>(G3/4: 1,7%)</w:t>
            </w:r>
          </w:p>
          <w:p w14:paraId="7DDAE041" w14:textId="77777777" w:rsidR="00F84A8F" w:rsidRPr="00230F6B" w:rsidRDefault="00F84A8F" w:rsidP="002C66FC">
            <w:pPr>
              <w:autoSpaceDE w:val="0"/>
              <w:autoSpaceDN w:val="0"/>
              <w:adjustRightInd w:val="0"/>
              <w:rPr>
                <w:sz w:val="22"/>
                <w:szCs w:val="22"/>
              </w:rPr>
            </w:pPr>
          </w:p>
        </w:tc>
        <w:tc>
          <w:tcPr>
            <w:tcW w:w="2446" w:type="dxa"/>
          </w:tcPr>
          <w:p w14:paraId="50DA23CF" w14:textId="77777777" w:rsidR="00F84A8F" w:rsidRPr="00230F6B" w:rsidRDefault="00F84A8F" w:rsidP="002C66FC">
            <w:pPr>
              <w:autoSpaceDE w:val="0"/>
              <w:autoSpaceDN w:val="0"/>
              <w:adjustRightInd w:val="0"/>
              <w:rPr>
                <w:sz w:val="22"/>
                <w:szCs w:val="22"/>
              </w:rPr>
            </w:pPr>
            <w:r w:rsidRPr="00230F6B">
              <w:rPr>
                <w:sz w:val="22"/>
                <w:szCs w:val="22"/>
              </w:rPr>
              <w:t>Aritmija (G3/4: 0,6%)</w:t>
            </w:r>
          </w:p>
          <w:p w14:paraId="5B9CA253" w14:textId="77777777" w:rsidR="00F84A8F" w:rsidRPr="00230F6B" w:rsidRDefault="00F84A8F" w:rsidP="002C66FC">
            <w:pPr>
              <w:autoSpaceDE w:val="0"/>
              <w:autoSpaceDN w:val="0"/>
              <w:adjustRightInd w:val="0"/>
              <w:rPr>
                <w:sz w:val="22"/>
                <w:szCs w:val="22"/>
              </w:rPr>
            </w:pPr>
          </w:p>
        </w:tc>
      </w:tr>
      <w:tr w:rsidR="00F84A8F" w:rsidRPr="00B02007" w14:paraId="6520599D" w14:textId="77777777" w:rsidTr="002C66FC">
        <w:trPr>
          <w:trHeight w:val="508"/>
        </w:trPr>
        <w:tc>
          <w:tcPr>
            <w:tcW w:w="2445" w:type="dxa"/>
          </w:tcPr>
          <w:p w14:paraId="271D92CC" w14:textId="77777777" w:rsidR="00F84A8F" w:rsidRPr="00230F6B" w:rsidRDefault="00F84A8F" w:rsidP="002C66FC">
            <w:pPr>
              <w:autoSpaceDE w:val="0"/>
              <w:autoSpaceDN w:val="0"/>
              <w:adjustRightInd w:val="0"/>
              <w:rPr>
                <w:sz w:val="22"/>
                <w:szCs w:val="22"/>
              </w:rPr>
            </w:pPr>
            <w:r w:rsidRPr="00230F6B">
              <w:rPr>
                <w:sz w:val="22"/>
                <w:szCs w:val="22"/>
              </w:rPr>
              <w:t>Vaskularni poreme</w:t>
            </w:r>
            <w:r w:rsidRPr="00230F6B">
              <w:rPr>
                <w:rFonts w:eastAsia="TimesNewRoman"/>
                <w:sz w:val="22"/>
                <w:szCs w:val="22"/>
              </w:rPr>
              <w:t>ć</w:t>
            </w:r>
            <w:r w:rsidRPr="00230F6B">
              <w:rPr>
                <w:sz w:val="22"/>
                <w:szCs w:val="22"/>
              </w:rPr>
              <w:t>aji</w:t>
            </w:r>
          </w:p>
        </w:tc>
        <w:tc>
          <w:tcPr>
            <w:tcW w:w="2445" w:type="dxa"/>
          </w:tcPr>
          <w:p w14:paraId="34955B0D" w14:textId="77777777" w:rsidR="00F84A8F" w:rsidRPr="00230F6B" w:rsidRDefault="00F84A8F" w:rsidP="002C66FC">
            <w:pPr>
              <w:autoSpaceDE w:val="0"/>
              <w:autoSpaceDN w:val="0"/>
              <w:adjustRightInd w:val="0"/>
              <w:rPr>
                <w:sz w:val="22"/>
                <w:szCs w:val="22"/>
              </w:rPr>
            </w:pPr>
          </w:p>
        </w:tc>
        <w:tc>
          <w:tcPr>
            <w:tcW w:w="2445" w:type="dxa"/>
          </w:tcPr>
          <w:p w14:paraId="60D2CB60" w14:textId="77777777" w:rsidR="00F84A8F" w:rsidRPr="00230F6B" w:rsidRDefault="00F84A8F" w:rsidP="002C66FC">
            <w:pPr>
              <w:autoSpaceDE w:val="0"/>
              <w:autoSpaceDN w:val="0"/>
              <w:adjustRightInd w:val="0"/>
              <w:rPr>
                <w:sz w:val="22"/>
                <w:szCs w:val="22"/>
              </w:rPr>
            </w:pPr>
            <w:r w:rsidRPr="00230F6B">
              <w:rPr>
                <w:sz w:val="22"/>
                <w:szCs w:val="22"/>
              </w:rPr>
              <w:t>Venski poreme</w:t>
            </w:r>
            <w:r w:rsidRPr="00230F6B">
              <w:rPr>
                <w:rFonts w:eastAsia="TimesNewRoman"/>
                <w:sz w:val="22"/>
                <w:szCs w:val="22"/>
              </w:rPr>
              <w:t>ć</w:t>
            </w:r>
            <w:r w:rsidRPr="00230F6B">
              <w:rPr>
                <w:sz w:val="22"/>
                <w:szCs w:val="22"/>
              </w:rPr>
              <w:t>aji</w:t>
            </w:r>
          </w:p>
          <w:p w14:paraId="11D110EC" w14:textId="77777777" w:rsidR="00F84A8F" w:rsidRPr="00230F6B" w:rsidRDefault="00F84A8F" w:rsidP="002C66FC">
            <w:pPr>
              <w:autoSpaceDE w:val="0"/>
              <w:autoSpaceDN w:val="0"/>
              <w:adjustRightInd w:val="0"/>
              <w:rPr>
                <w:sz w:val="22"/>
                <w:szCs w:val="22"/>
              </w:rPr>
            </w:pPr>
            <w:r w:rsidRPr="00230F6B">
              <w:rPr>
                <w:sz w:val="22"/>
                <w:szCs w:val="22"/>
              </w:rPr>
              <w:t>(G3/4: 0,6%)</w:t>
            </w:r>
          </w:p>
        </w:tc>
        <w:tc>
          <w:tcPr>
            <w:tcW w:w="2446" w:type="dxa"/>
          </w:tcPr>
          <w:p w14:paraId="1C82E88E" w14:textId="77777777" w:rsidR="00F84A8F" w:rsidRPr="00230F6B" w:rsidRDefault="00F84A8F" w:rsidP="002C66FC">
            <w:pPr>
              <w:autoSpaceDE w:val="0"/>
              <w:autoSpaceDN w:val="0"/>
              <w:adjustRightInd w:val="0"/>
              <w:rPr>
                <w:sz w:val="22"/>
                <w:szCs w:val="22"/>
              </w:rPr>
            </w:pPr>
          </w:p>
        </w:tc>
      </w:tr>
      <w:tr w:rsidR="00F84A8F" w:rsidRPr="00B02007" w14:paraId="7CAFF5EC" w14:textId="77777777" w:rsidTr="002C66FC">
        <w:trPr>
          <w:trHeight w:val="3292"/>
        </w:trPr>
        <w:tc>
          <w:tcPr>
            <w:tcW w:w="2445" w:type="dxa"/>
          </w:tcPr>
          <w:p w14:paraId="251AC78F" w14:textId="77777777" w:rsidR="00F84A8F" w:rsidRPr="00230F6B" w:rsidRDefault="00F84A8F" w:rsidP="002C66FC">
            <w:pPr>
              <w:autoSpaceDE w:val="0"/>
              <w:autoSpaceDN w:val="0"/>
              <w:adjustRightInd w:val="0"/>
              <w:rPr>
                <w:sz w:val="22"/>
                <w:szCs w:val="22"/>
              </w:rPr>
            </w:pPr>
            <w:r w:rsidRPr="00230F6B">
              <w:rPr>
                <w:sz w:val="22"/>
                <w:szCs w:val="22"/>
              </w:rPr>
              <w:t>Gastrointestinalni</w:t>
            </w:r>
          </w:p>
          <w:p w14:paraId="0F668587"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w:t>
            </w:r>
          </w:p>
          <w:p w14:paraId="6B1D57F1" w14:textId="77777777" w:rsidR="00F84A8F" w:rsidRPr="00230F6B" w:rsidRDefault="00F84A8F" w:rsidP="002C66FC">
            <w:pPr>
              <w:autoSpaceDE w:val="0"/>
              <w:autoSpaceDN w:val="0"/>
              <w:adjustRightInd w:val="0"/>
              <w:rPr>
                <w:sz w:val="22"/>
                <w:szCs w:val="22"/>
              </w:rPr>
            </w:pPr>
          </w:p>
        </w:tc>
        <w:tc>
          <w:tcPr>
            <w:tcW w:w="2445" w:type="dxa"/>
          </w:tcPr>
          <w:p w14:paraId="5FC3B8D4" w14:textId="77777777" w:rsidR="00F84A8F" w:rsidRPr="00230F6B" w:rsidRDefault="00F84A8F" w:rsidP="002C66FC">
            <w:pPr>
              <w:autoSpaceDE w:val="0"/>
              <w:autoSpaceDN w:val="0"/>
              <w:adjustRightInd w:val="0"/>
              <w:rPr>
                <w:sz w:val="22"/>
                <w:szCs w:val="22"/>
              </w:rPr>
            </w:pPr>
            <w:r w:rsidRPr="00230F6B">
              <w:rPr>
                <w:sz w:val="22"/>
                <w:szCs w:val="22"/>
              </w:rPr>
              <w:t>Mu</w:t>
            </w:r>
            <w:r w:rsidRPr="00230F6B">
              <w:rPr>
                <w:rFonts w:eastAsia="TimesNewRoman"/>
                <w:sz w:val="22"/>
                <w:szCs w:val="22"/>
              </w:rPr>
              <w:t>č</w:t>
            </w:r>
            <w:r w:rsidRPr="00230F6B">
              <w:rPr>
                <w:sz w:val="22"/>
                <w:szCs w:val="22"/>
              </w:rPr>
              <w:t>nina (G3/4: 0,6%);</w:t>
            </w:r>
          </w:p>
          <w:p w14:paraId="729675A7" w14:textId="77777777" w:rsidR="00F84A8F" w:rsidRPr="00230F6B" w:rsidRDefault="00F84A8F" w:rsidP="002C66FC">
            <w:pPr>
              <w:autoSpaceDE w:val="0"/>
              <w:autoSpaceDN w:val="0"/>
              <w:adjustRightInd w:val="0"/>
              <w:rPr>
                <w:sz w:val="22"/>
                <w:szCs w:val="22"/>
              </w:rPr>
            </w:pPr>
          </w:p>
          <w:p w14:paraId="112C834E" w14:textId="77777777" w:rsidR="00F84A8F" w:rsidRPr="00230F6B" w:rsidRDefault="00F84A8F" w:rsidP="002C66FC">
            <w:pPr>
              <w:autoSpaceDE w:val="0"/>
              <w:autoSpaceDN w:val="0"/>
              <w:adjustRightInd w:val="0"/>
              <w:rPr>
                <w:sz w:val="22"/>
                <w:szCs w:val="22"/>
              </w:rPr>
            </w:pPr>
            <w:r w:rsidRPr="00230F6B">
              <w:rPr>
                <w:sz w:val="22"/>
                <w:szCs w:val="22"/>
              </w:rPr>
              <w:t>Stomatitis (G3/4: 4,0%);</w:t>
            </w:r>
          </w:p>
          <w:p w14:paraId="73B5EFB8" w14:textId="77777777" w:rsidR="00F84A8F" w:rsidRPr="00230F6B" w:rsidRDefault="00F84A8F" w:rsidP="002C66FC">
            <w:pPr>
              <w:autoSpaceDE w:val="0"/>
              <w:autoSpaceDN w:val="0"/>
              <w:adjustRightInd w:val="0"/>
              <w:rPr>
                <w:sz w:val="22"/>
                <w:szCs w:val="22"/>
              </w:rPr>
            </w:pPr>
          </w:p>
          <w:p w14:paraId="25BA6260" w14:textId="77777777" w:rsidR="00F84A8F" w:rsidRPr="00230F6B" w:rsidRDefault="00F84A8F" w:rsidP="002C66FC">
            <w:pPr>
              <w:autoSpaceDE w:val="0"/>
              <w:autoSpaceDN w:val="0"/>
              <w:adjustRightInd w:val="0"/>
              <w:rPr>
                <w:sz w:val="22"/>
                <w:szCs w:val="22"/>
              </w:rPr>
            </w:pPr>
            <w:r w:rsidRPr="00230F6B">
              <w:rPr>
                <w:sz w:val="22"/>
                <w:szCs w:val="22"/>
              </w:rPr>
              <w:t>Dijareja (G3/4: 2,9%);</w:t>
            </w:r>
          </w:p>
          <w:p w14:paraId="7A5CD284" w14:textId="77777777" w:rsidR="00F84A8F" w:rsidRPr="00230F6B" w:rsidRDefault="00F84A8F" w:rsidP="002C66FC">
            <w:pPr>
              <w:autoSpaceDE w:val="0"/>
              <w:autoSpaceDN w:val="0"/>
              <w:adjustRightInd w:val="0"/>
              <w:rPr>
                <w:sz w:val="22"/>
                <w:szCs w:val="22"/>
              </w:rPr>
            </w:pPr>
          </w:p>
          <w:p w14:paraId="56050365" w14:textId="77777777" w:rsidR="00F84A8F" w:rsidRPr="00230F6B" w:rsidRDefault="00F84A8F" w:rsidP="002C66FC">
            <w:pPr>
              <w:autoSpaceDE w:val="0"/>
              <w:autoSpaceDN w:val="0"/>
              <w:adjustRightInd w:val="0"/>
              <w:rPr>
                <w:sz w:val="22"/>
                <w:szCs w:val="22"/>
              </w:rPr>
            </w:pPr>
            <w:r w:rsidRPr="00230F6B">
              <w:rPr>
                <w:sz w:val="22"/>
                <w:szCs w:val="22"/>
              </w:rPr>
              <w:t>Povraćanje (G3/4: 0,6%)</w:t>
            </w:r>
          </w:p>
          <w:p w14:paraId="196013D5" w14:textId="77777777" w:rsidR="00F84A8F" w:rsidRPr="00230F6B" w:rsidRDefault="00F84A8F" w:rsidP="002C66FC">
            <w:pPr>
              <w:autoSpaceDE w:val="0"/>
              <w:autoSpaceDN w:val="0"/>
              <w:adjustRightInd w:val="0"/>
              <w:rPr>
                <w:sz w:val="22"/>
                <w:szCs w:val="22"/>
              </w:rPr>
            </w:pPr>
          </w:p>
          <w:p w14:paraId="15E59990" w14:textId="77777777" w:rsidR="00F84A8F" w:rsidRPr="00230F6B" w:rsidRDefault="00F84A8F" w:rsidP="002C66FC">
            <w:pPr>
              <w:autoSpaceDE w:val="0"/>
              <w:autoSpaceDN w:val="0"/>
              <w:adjustRightInd w:val="0"/>
              <w:rPr>
                <w:sz w:val="22"/>
                <w:szCs w:val="22"/>
              </w:rPr>
            </w:pPr>
          </w:p>
          <w:p w14:paraId="2440F238" w14:textId="77777777" w:rsidR="00F84A8F" w:rsidRPr="00230F6B" w:rsidRDefault="00F84A8F" w:rsidP="002C66FC">
            <w:pPr>
              <w:autoSpaceDE w:val="0"/>
              <w:autoSpaceDN w:val="0"/>
              <w:adjustRightInd w:val="0"/>
              <w:rPr>
                <w:sz w:val="22"/>
                <w:szCs w:val="22"/>
              </w:rPr>
            </w:pPr>
          </w:p>
        </w:tc>
        <w:tc>
          <w:tcPr>
            <w:tcW w:w="2445" w:type="dxa"/>
          </w:tcPr>
          <w:p w14:paraId="6A991E11" w14:textId="77777777" w:rsidR="00F84A8F" w:rsidRPr="00230F6B" w:rsidRDefault="00F84A8F" w:rsidP="002C66FC">
            <w:pPr>
              <w:autoSpaceDE w:val="0"/>
              <w:autoSpaceDN w:val="0"/>
              <w:adjustRightInd w:val="0"/>
              <w:rPr>
                <w:sz w:val="22"/>
                <w:szCs w:val="22"/>
              </w:rPr>
            </w:pPr>
            <w:r w:rsidRPr="00230F6B">
              <w:rPr>
                <w:sz w:val="22"/>
                <w:szCs w:val="22"/>
              </w:rPr>
              <w:t xml:space="preserve">Opstipacija; </w:t>
            </w:r>
          </w:p>
          <w:p w14:paraId="0F235635" w14:textId="77777777" w:rsidR="00F84A8F" w:rsidRPr="00230F6B" w:rsidRDefault="00F84A8F" w:rsidP="002C66FC">
            <w:pPr>
              <w:autoSpaceDE w:val="0"/>
              <w:autoSpaceDN w:val="0"/>
              <w:adjustRightInd w:val="0"/>
              <w:rPr>
                <w:sz w:val="22"/>
                <w:szCs w:val="22"/>
              </w:rPr>
            </w:pPr>
          </w:p>
          <w:p w14:paraId="59AEF589" w14:textId="77777777" w:rsidR="00F84A8F" w:rsidRPr="00230F6B" w:rsidRDefault="00F84A8F" w:rsidP="002C66FC">
            <w:pPr>
              <w:autoSpaceDE w:val="0"/>
              <w:autoSpaceDN w:val="0"/>
              <w:adjustRightInd w:val="0"/>
              <w:rPr>
                <w:sz w:val="22"/>
                <w:szCs w:val="22"/>
              </w:rPr>
            </w:pPr>
            <w:r w:rsidRPr="00230F6B">
              <w:rPr>
                <w:sz w:val="22"/>
                <w:szCs w:val="22"/>
              </w:rPr>
              <w:t>Ezofagitis/disfagija/bol</w:t>
            </w:r>
          </w:p>
          <w:p w14:paraId="280E7125" w14:textId="77777777" w:rsidR="00F84A8F" w:rsidRPr="00230F6B" w:rsidRDefault="00F84A8F" w:rsidP="002C66FC">
            <w:pPr>
              <w:autoSpaceDE w:val="0"/>
              <w:autoSpaceDN w:val="0"/>
              <w:adjustRightInd w:val="0"/>
              <w:rPr>
                <w:sz w:val="22"/>
                <w:szCs w:val="22"/>
              </w:rPr>
            </w:pPr>
            <w:r w:rsidRPr="00230F6B">
              <w:rPr>
                <w:sz w:val="22"/>
                <w:szCs w:val="22"/>
              </w:rPr>
              <w:t>pri gutanju (G3/4: 0,6%);</w:t>
            </w:r>
          </w:p>
          <w:p w14:paraId="4D177341" w14:textId="77777777" w:rsidR="00F84A8F" w:rsidRPr="00230F6B" w:rsidRDefault="00F84A8F" w:rsidP="002C66FC">
            <w:pPr>
              <w:autoSpaceDE w:val="0"/>
              <w:autoSpaceDN w:val="0"/>
              <w:adjustRightInd w:val="0"/>
              <w:rPr>
                <w:sz w:val="22"/>
                <w:szCs w:val="22"/>
              </w:rPr>
            </w:pPr>
          </w:p>
          <w:p w14:paraId="17AD6426" w14:textId="77777777" w:rsidR="00F84A8F" w:rsidRPr="00230F6B" w:rsidRDefault="00F84A8F" w:rsidP="002C66FC">
            <w:pPr>
              <w:autoSpaceDE w:val="0"/>
              <w:autoSpaceDN w:val="0"/>
              <w:adjustRightInd w:val="0"/>
              <w:rPr>
                <w:sz w:val="22"/>
                <w:szCs w:val="22"/>
              </w:rPr>
            </w:pPr>
            <w:r w:rsidRPr="00230F6B">
              <w:rPr>
                <w:sz w:val="22"/>
                <w:szCs w:val="22"/>
              </w:rPr>
              <w:t>Bol u abdomenu ;</w:t>
            </w:r>
          </w:p>
          <w:p w14:paraId="71E7CFFB" w14:textId="77777777" w:rsidR="00F84A8F" w:rsidRPr="00230F6B" w:rsidRDefault="00F84A8F" w:rsidP="002C66FC">
            <w:pPr>
              <w:autoSpaceDE w:val="0"/>
              <w:autoSpaceDN w:val="0"/>
              <w:adjustRightInd w:val="0"/>
              <w:rPr>
                <w:sz w:val="22"/>
                <w:szCs w:val="22"/>
              </w:rPr>
            </w:pPr>
          </w:p>
          <w:p w14:paraId="6522C9A4" w14:textId="77777777" w:rsidR="00F84A8F" w:rsidRPr="00230F6B" w:rsidRDefault="00F84A8F" w:rsidP="002C66FC">
            <w:pPr>
              <w:autoSpaceDE w:val="0"/>
              <w:autoSpaceDN w:val="0"/>
              <w:adjustRightInd w:val="0"/>
              <w:rPr>
                <w:sz w:val="22"/>
                <w:szCs w:val="22"/>
              </w:rPr>
            </w:pPr>
            <w:r w:rsidRPr="00230F6B">
              <w:rPr>
                <w:sz w:val="22"/>
                <w:szCs w:val="22"/>
              </w:rPr>
              <w:t>Dispepsija;</w:t>
            </w:r>
          </w:p>
          <w:p w14:paraId="029E835B" w14:textId="77777777" w:rsidR="00F84A8F" w:rsidRPr="00230F6B" w:rsidRDefault="00F84A8F" w:rsidP="002C66FC">
            <w:pPr>
              <w:autoSpaceDE w:val="0"/>
              <w:autoSpaceDN w:val="0"/>
              <w:adjustRightInd w:val="0"/>
              <w:rPr>
                <w:sz w:val="22"/>
                <w:szCs w:val="22"/>
              </w:rPr>
            </w:pPr>
          </w:p>
          <w:p w14:paraId="1621E751" w14:textId="77777777" w:rsidR="00F84A8F" w:rsidRPr="00230F6B" w:rsidRDefault="00F84A8F" w:rsidP="002C66FC">
            <w:pPr>
              <w:autoSpaceDE w:val="0"/>
              <w:autoSpaceDN w:val="0"/>
              <w:adjustRightInd w:val="0"/>
              <w:rPr>
                <w:sz w:val="22"/>
                <w:szCs w:val="22"/>
              </w:rPr>
            </w:pPr>
            <w:r w:rsidRPr="00230F6B">
              <w:rPr>
                <w:sz w:val="22"/>
                <w:szCs w:val="22"/>
              </w:rPr>
              <w:t>Gastrointestinalno</w:t>
            </w:r>
          </w:p>
          <w:p w14:paraId="2DB3DD2E" w14:textId="77777777" w:rsidR="00F84A8F" w:rsidRPr="00230F6B" w:rsidRDefault="00F84A8F" w:rsidP="002C66FC">
            <w:pPr>
              <w:autoSpaceDE w:val="0"/>
              <w:autoSpaceDN w:val="0"/>
              <w:adjustRightInd w:val="0"/>
              <w:rPr>
                <w:sz w:val="22"/>
                <w:szCs w:val="22"/>
              </w:rPr>
            </w:pPr>
            <w:r w:rsidRPr="00230F6B">
              <w:rPr>
                <w:sz w:val="22"/>
                <w:szCs w:val="22"/>
              </w:rPr>
              <w:t>krvarenje (G3/4: 0,6%)</w:t>
            </w:r>
          </w:p>
          <w:p w14:paraId="6838F484" w14:textId="77777777" w:rsidR="00F84A8F" w:rsidRPr="00230F6B" w:rsidRDefault="00F84A8F" w:rsidP="002C66FC">
            <w:pPr>
              <w:autoSpaceDE w:val="0"/>
              <w:autoSpaceDN w:val="0"/>
              <w:adjustRightInd w:val="0"/>
              <w:rPr>
                <w:sz w:val="22"/>
                <w:szCs w:val="22"/>
              </w:rPr>
            </w:pPr>
          </w:p>
          <w:p w14:paraId="6C095EBE" w14:textId="77777777" w:rsidR="00F84A8F" w:rsidRPr="00230F6B" w:rsidRDefault="00F84A8F" w:rsidP="002C66FC">
            <w:pPr>
              <w:autoSpaceDE w:val="0"/>
              <w:autoSpaceDN w:val="0"/>
              <w:adjustRightInd w:val="0"/>
              <w:rPr>
                <w:sz w:val="22"/>
                <w:szCs w:val="22"/>
              </w:rPr>
            </w:pPr>
          </w:p>
        </w:tc>
        <w:tc>
          <w:tcPr>
            <w:tcW w:w="2446" w:type="dxa"/>
          </w:tcPr>
          <w:p w14:paraId="3E84835A" w14:textId="77777777" w:rsidR="00F84A8F" w:rsidRPr="00230F6B" w:rsidRDefault="00F84A8F" w:rsidP="002C66FC">
            <w:pPr>
              <w:autoSpaceDE w:val="0"/>
              <w:autoSpaceDN w:val="0"/>
              <w:adjustRightInd w:val="0"/>
              <w:rPr>
                <w:sz w:val="22"/>
                <w:szCs w:val="22"/>
              </w:rPr>
            </w:pPr>
          </w:p>
        </w:tc>
      </w:tr>
      <w:tr w:rsidR="00F84A8F" w:rsidRPr="00B02007" w14:paraId="133A121F" w14:textId="77777777" w:rsidTr="002C66FC">
        <w:trPr>
          <w:trHeight w:val="982"/>
        </w:trPr>
        <w:tc>
          <w:tcPr>
            <w:tcW w:w="2445" w:type="dxa"/>
          </w:tcPr>
          <w:p w14:paraId="057A63F6"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 kože i</w:t>
            </w:r>
          </w:p>
          <w:p w14:paraId="43598658" w14:textId="77777777" w:rsidR="00F84A8F" w:rsidRPr="00230F6B" w:rsidRDefault="00F84A8F" w:rsidP="002C66FC">
            <w:pPr>
              <w:autoSpaceDE w:val="0"/>
              <w:autoSpaceDN w:val="0"/>
              <w:adjustRightInd w:val="0"/>
              <w:rPr>
                <w:sz w:val="22"/>
                <w:szCs w:val="22"/>
              </w:rPr>
            </w:pPr>
            <w:r w:rsidRPr="00230F6B">
              <w:rPr>
                <w:sz w:val="22"/>
                <w:szCs w:val="22"/>
              </w:rPr>
              <w:t xml:space="preserve">potkožnog tkiva </w:t>
            </w:r>
          </w:p>
          <w:p w14:paraId="5C83BDBA"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451267A8" w14:textId="77777777" w:rsidR="00F84A8F" w:rsidRPr="00230F6B" w:rsidRDefault="00F84A8F" w:rsidP="002C66FC">
            <w:pPr>
              <w:autoSpaceDE w:val="0"/>
              <w:autoSpaceDN w:val="0"/>
              <w:adjustRightInd w:val="0"/>
              <w:rPr>
                <w:sz w:val="22"/>
                <w:szCs w:val="22"/>
              </w:rPr>
            </w:pPr>
            <w:r w:rsidRPr="00230F6B">
              <w:rPr>
                <w:sz w:val="22"/>
                <w:szCs w:val="22"/>
              </w:rPr>
              <w:t>Alopecija (G3/4: 10,9%)</w:t>
            </w:r>
          </w:p>
          <w:p w14:paraId="6E1F5EC3" w14:textId="77777777" w:rsidR="00F84A8F" w:rsidRPr="00230F6B" w:rsidRDefault="00F84A8F" w:rsidP="002C66FC">
            <w:pPr>
              <w:autoSpaceDE w:val="0"/>
              <w:autoSpaceDN w:val="0"/>
              <w:adjustRightInd w:val="0"/>
              <w:rPr>
                <w:sz w:val="22"/>
                <w:szCs w:val="22"/>
              </w:rPr>
            </w:pPr>
          </w:p>
          <w:p w14:paraId="44834AA9"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7BD41DEB" w14:textId="77777777" w:rsidR="00F84A8F" w:rsidRPr="00230F6B" w:rsidRDefault="00F84A8F" w:rsidP="002C66FC">
            <w:pPr>
              <w:autoSpaceDE w:val="0"/>
              <w:autoSpaceDN w:val="0"/>
              <w:adjustRightInd w:val="0"/>
              <w:rPr>
                <w:sz w:val="22"/>
                <w:szCs w:val="22"/>
              </w:rPr>
            </w:pPr>
            <w:r w:rsidRPr="00230F6B">
              <w:rPr>
                <w:sz w:val="22"/>
                <w:szCs w:val="22"/>
              </w:rPr>
              <w:t>Pruriti</w:t>
            </w:r>
            <w:r w:rsidRPr="00230F6B">
              <w:rPr>
                <w:rFonts w:eastAsia="TimesNewRoman"/>
                <w:sz w:val="22"/>
                <w:szCs w:val="22"/>
              </w:rPr>
              <w:t>č</w:t>
            </w:r>
            <w:r w:rsidRPr="00230F6B">
              <w:rPr>
                <w:sz w:val="22"/>
                <w:szCs w:val="22"/>
              </w:rPr>
              <w:t>ni osip;</w:t>
            </w:r>
          </w:p>
          <w:p w14:paraId="138CA920" w14:textId="77777777" w:rsidR="00F84A8F" w:rsidRPr="00230F6B" w:rsidRDefault="00F84A8F" w:rsidP="002C66FC">
            <w:pPr>
              <w:autoSpaceDE w:val="0"/>
              <w:autoSpaceDN w:val="0"/>
              <w:adjustRightInd w:val="0"/>
              <w:rPr>
                <w:sz w:val="22"/>
                <w:szCs w:val="22"/>
              </w:rPr>
            </w:pPr>
          </w:p>
          <w:p w14:paraId="1640E1B5" w14:textId="77777777" w:rsidR="00F84A8F" w:rsidRPr="00230F6B" w:rsidRDefault="00F84A8F" w:rsidP="002C66FC">
            <w:pPr>
              <w:autoSpaceDE w:val="0"/>
              <w:autoSpaceDN w:val="0"/>
              <w:adjustRightInd w:val="0"/>
              <w:rPr>
                <w:sz w:val="22"/>
                <w:szCs w:val="22"/>
              </w:rPr>
            </w:pPr>
            <w:r w:rsidRPr="00230F6B">
              <w:rPr>
                <w:sz w:val="22"/>
                <w:szCs w:val="22"/>
              </w:rPr>
              <w:t>Suva koža;</w:t>
            </w:r>
          </w:p>
          <w:p w14:paraId="521F8F41" w14:textId="77777777" w:rsidR="00F84A8F" w:rsidRPr="00230F6B" w:rsidRDefault="00F84A8F" w:rsidP="002C66FC">
            <w:pPr>
              <w:autoSpaceDE w:val="0"/>
              <w:autoSpaceDN w:val="0"/>
              <w:adjustRightInd w:val="0"/>
              <w:rPr>
                <w:sz w:val="22"/>
                <w:szCs w:val="22"/>
              </w:rPr>
            </w:pPr>
          </w:p>
          <w:p w14:paraId="1FC79ACA" w14:textId="77777777" w:rsidR="00F84A8F" w:rsidRPr="00230F6B" w:rsidRDefault="00F84A8F" w:rsidP="002C66FC">
            <w:pPr>
              <w:autoSpaceDE w:val="0"/>
              <w:autoSpaceDN w:val="0"/>
              <w:adjustRightInd w:val="0"/>
              <w:rPr>
                <w:sz w:val="22"/>
                <w:szCs w:val="22"/>
              </w:rPr>
            </w:pPr>
            <w:r w:rsidRPr="00230F6B">
              <w:rPr>
                <w:sz w:val="22"/>
                <w:szCs w:val="22"/>
              </w:rPr>
              <w:t>Eksfolijacija kože (G3/4: 0,6%)</w:t>
            </w:r>
          </w:p>
        </w:tc>
        <w:tc>
          <w:tcPr>
            <w:tcW w:w="2446" w:type="dxa"/>
            <w:shd w:val="clear" w:color="auto" w:fill="auto"/>
          </w:tcPr>
          <w:p w14:paraId="4789F99F" w14:textId="77777777" w:rsidR="00F84A8F" w:rsidRPr="00230F6B" w:rsidRDefault="00F84A8F" w:rsidP="002C66FC">
            <w:pPr>
              <w:autoSpaceDE w:val="0"/>
              <w:autoSpaceDN w:val="0"/>
              <w:adjustRightInd w:val="0"/>
              <w:rPr>
                <w:sz w:val="22"/>
                <w:szCs w:val="22"/>
              </w:rPr>
            </w:pPr>
          </w:p>
        </w:tc>
      </w:tr>
      <w:tr w:rsidR="00F84A8F" w:rsidRPr="00B02007" w14:paraId="7F46F147" w14:textId="77777777" w:rsidTr="002C66FC">
        <w:trPr>
          <w:trHeight w:val="489"/>
        </w:trPr>
        <w:tc>
          <w:tcPr>
            <w:tcW w:w="2445" w:type="dxa"/>
          </w:tcPr>
          <w:p w14:paraId="35D5DC12"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w:t>
            </w:r>
          </w:p>
          <w:p w14:paraId="686869D7" w14:textId="77777777" w:rsidR="00F84A8F" w:rsidRPr="00230F6B" w:rsidRDefault="00F84A8F" w:rsidP="002C66FC">
            <w:pPr>
              <w:autoSpaceDE w:val="0"/>
              <w:autoSpaceDN w:val="0"/>
              <w:adjustRightInd w:val="0"/>
              <w:rPr>
                <w:sz w:val="22"/>
                <w:szCs w:val="22"/>
              </w:rPr>
            </w:pPr>
            <w:r w:rsidRPr="00230F6B">
              <w:rPr>
                <w:sz w:val="22"/>
                <w:szCs w:val="22"/>
              </w:rPr>
              <w:t>miši</w:t>
            </w:r>
            <w:r w:rsidRPr="00230F6B">
              <w:rPr>
                <w:rFonts w:eastAsia="TimesNewRoman"/>
                <w:sz w:val="22"/>
                <w:szCs w:val="22"/>
              </w:rPr>
              <w:t>ć</w:t>
            </w:r>
            <w:r w:rsidRPr="00230F6B">
              <w:rPr>
                <w:sz w:val="22"/>
                <w:szCs w:val="22"/>
              </w:rPr>
              <w:t>noskeletnog</w:t>
            </w:r>
          </w:p>
          <w:p w14:paraId="08B14C01" w14:textId="77777777" w:rsidR="00F84A8F" w:rsidRPr="00230F6B" w:rsidRDefault="00F84A8F" w:rsidP="002C66FC">
            <w:pPr>
              <w:autoSpaceDE w:val="0"/>
              <w:autoSpaceDN w:val="0"/>
              <w:adjustRightInd w:val="0"/>
              <w:rPr>
                <w:sz w:val="22"/>
                <w:szCs w:val="22"/>
              </w:rPr>
            </w:pPr>
            <w:r w:rsidRPr="00230F6B">
              <w:rPr>
                <w:sz w:val="22"/>
                <w:szCs w:val="22"/>
              </w:rPr>
              <w:t>sistema i vezivnog tkiva</w:t>
            </w:r>
          </w:p>
          <w:p w14:paraId="14BD6F40"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42619628" w14:textId="77777777" w:rsidR="00F84A8F" w:rsidRPr="00230F6B" w:rsidRDefault="00F84A8F" w:rsidP="002C66FC">
            <w:pPr>
              <w:autoSpaceDE w:val="0"/>
              <w:autoSpaceDN w:val="0"/>
              <w:adjustRightInd w:val="0"/>
              <w:rPr>
                <w:sz w:val="22"/>
                <w:szCs w:val="22"/>
              </w:rPr>
            </w:pPr>
          </w:p>
          <w:p w14:paraId="34CA674E"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53E9EEF4" w14:textId="77777777" w:rsidR="00F84A8F" w:rsidRPr="00230F6B" w:rsidRDefault="00F84A8F" w:rsidP="002C66FC">
            <w:pPr>
              <w:autoSpaceDE w:val="0"/>
              <w:autoSpaceDN w:val="0"/>
              <w:adjustRightInd w:val="0"/>
              <w:rPr>
                <w:sz w:val="22"/>
                <w:szCs w:val="22"/>
              </w:rPr>
            </w:pPr>
            <w:r w:rsidRPr="00230F6B">
              <w:rPr>
                <w:sz w:val="22"/>
                <w:szCs w:val="22"/>
              </w:rPr>
              <w:t>Mialgija (G3/4: 0,6%)</w:t>
            </w:r>
          </w:p>
        </w:tc>
        <w:tc>
          <w:tcPr>
            <w:tcW w:w="2446" w:type="dxa"/>
            <w:shd w:val="clear" w:color="auto" w:fill="auto"/>
          </w:tcPr>
          <w:p w14:paraId="5080FBC1" w14:textId="77777777" w:rsidR="00F84A8F" w:rsidRPr="00230F6B" w:rsidRDefault="00F84A8F" w:rsidP="002C66FC">
            <w:pPr>
              <w:autoSpaceDE w:val="0"/>
              <w:autoSpaceDN w:val="0"/>
              <w:adjustRightInd w:val="0"/>
              <w:rPr>
                <w:sz w:val="22"/>
                <w:szCs w:val="22"/>
              </w:rPr>
            </w:pPr>
          </w:p>
        </w:tc>
      </w:tr>
      <w:tr w:rsidR="00F84A8F" w:rsidRPr="00B02007" w14:paraId="12BA19D1" w14:textId="77777777" w:rsidTr="002C66FC">
        <w:trPr>
          <w:trHeight w:val="488"/>
        </w:trPr>
        <w:tc>
          <w:tcPr>
            <w:tcW w:w="2445" w:type="dxa"/>
          </w:tcPr>
          <w:p w14:paraId="5FA32CA6" w14:textId="77777777" w:rsidR="00F84A8F" w:rsidRPr="00230F6B" w:rsidRDefault="00F84A8F" w:rsidP="002C66FC">
            <w:pPr>
              <w:autoSpaceDE w:val="0"/>
              <w:autoSpaceDN w:val="0"/>
              <w:adjustRightInd w:val="0"/>
              <w:rPr>
                <w:sz w:val="22"/>
                <w:szCs w:val="22"/>
              </w:rPr>
            </w:pPr>
            <w:r w:rsidRPr="00230F6B">
              <w:rPr>
                <w:sz w:val="22"/>
                <w:szCs w:val="22"/>
              </w:rPr>
              <w:t>Opšti poreme</w:t>
            </w:r>
            <w:r w:rsidRPr="00230F6B">
              <w:rPr>
                <w:rFonts w:eastAsia="TimesNewRoman"/>
                <w:sz w:val="22"/>
                <w:szCs w:val="22"/>
              </w:rPr>
              <w:t>ć</w:t>
            </w:r>
            <w:r w:rsidRPr="00230F6B">
              <w:rPr>
                <w:sz w:val="22"/>
                <w:szCs w:val="22"/>
              </w:rPr>
              <w:t>aji i</w:t>
            </w:r>
          </w:p>
          <w:p w14:paraId="11F4BFE3" w14:textId="77777777" w:rsidR="00F84A8F" w:rsidRPr="00230F6B" w:rsidRDefault="00F84A8F" w:rsidP="002C66FC">
            <w:pPr>
              <w:autoSpaceDE w:val="0"/>
              <w:autoSpaceDN w:val="0"/>
              <w:adjustRightInd w:val="0"/>
              <w:rPr>
                <w:sz w:val="22"/>
                <w:szCs w:val="22"/>
              </w:rPr>
            </w:pPr>
            <w:r w:rsidRPr="00230F6B">
              <w:rPr>
                <w:sz w:val="22"/>
                <w:szCs w:val="22"/>
              </w:rPr>
              <w:t>promjene na mjestu</w:t>
            </w:r>
          </w:p>
          <w:p w14:paraId="75722A4C" w14:textId="77777777" w:rsidR="00F84A8F" w:rsidRPr="00230F6B" w:rsidRDefault="00F84A8F" w:rsidP="002C66FC">
            <w:pPr>
              <w:autoSpaceDE w:val="0"/>
              <w:autoSpaceDN w:val="0"/>
              <w:adjustRightInd w:val="0"/>
              <w:rPr>
                <w:sz w:val="22"/>
                <w:szCs w:val="22"/>
              </w:rPr>
            </w:pPr>
            <w:r w:rsidRPr="00230F6B">
              <w:rPr>
                <w:sz w:val="22"/>
                <w:szCs w:val="22"/>
              </w:rPr>
              <w:t>primjene</w:t>
            </w:r>
          </w:p>
          <w:p w14:paraId="37CDA6B6"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67816CC1" w14:textId="77777777" w:rsidR="00F84A8F" w:rsidRPr="00230F6B" w:rsidRDefault="00F84A8F" w:rsidP="002C66FC">
            <w:pPr>
              <w:autoSpaceDE w:val="0"/>
              <w:autoSpaceDN w:val="0"/>
              <w:adjustRightInd w:val="0"/>
              <w:rPr>
                <w:sz w:val="22"/>
                <w:szCs w:val="22"/>
              </w:rPr>
            </w:pPr>
            <w:r w:rsidRPr="00230F6B">
              <w:rPr>
                <w:sz w:val="22"/>
                <w:szCs w:val="22"/>
              </w:rPr>
              <w:t>Letargija (G3/4: 3,4%);</w:t>
            </w:r>
          </w:p>
          <w:p w14:paraId="6B3623BE" w14:textId="77777777" w:rsidR="00F84A8F" w:rsidRPr="00230F6B" w:rsidRDefault="00F84A8F" w:rsidP="002C66FC">
            <w:pPr>
              <w:autoSpaceDE w:val="0"/>
              <w:autoSpaceDN w:val="0"/>
              <w:adjustRightInd w:val="0"/>
              <w:rPr>
                <w:sz w:val="22"/>
                <w:szCs w:val="22"/>
              </w:rPr>
            </w:pPr>
          </w:p>
          <w:p w14:paraId="170624FD" w14:textId="77777777" w:rsidR="00F84A8F" w:rsidRPr="00230F6B" w:rsidRDefault="00F84A8F" w:rsidP="002C66FC">
            <w:pPr>
              <w:autoSpaceDE w:val="0"/>
              <w:autoSpaceDN w:val="0"/>
              <w:adjustRightInd w:val="0"/>
              <w:rPr>
                <w:sz w:val="22"/>
                <w:szCs w:val="22"/>
              </w:rPr>
            </w:pPr>
            <w:r w:rsidRPr="00230F6B">
              <w:rPr>
                <w:sz w:val="22"/>
                <w:szCs w:val="22"/>
              </w:rPr>
              <w:t>Povišena tjelesna</w:t>
            </w:r>
          </w:p>
          <w:p w14:paraId="61C5C637" w14:textId="77777777" w:rsidR="00F84A8F" w:rsidRPr="00230F6B" w:rsidRDefault="00F84A8F" w:rsidP="002C66FC">
            <w:pPr>
              <w:autoSpaceDE w:val="0"/>
              <w:autoSpaceDN w:val="0"/>
              <w:adjustRightInd w:val="0"/>
              <w:rPr>
                <w:sz w:val="22"/>
                <w:szCs w:val="22"/>
              </w:rPr>
            </w:pPr>
            <w:r w:rsidRPr="00230F6B">
              <w:rPr>
                <w:sz w:val="22"/>
                <w:szCs w:val="22"/>
              </w:rPr>
              <w:t>temperatura (G3/4:</w:t>
            </w:r>
          </w:p>
          <w:p w14:paraId="7B5210AE" w14:textId="77777777" w:rsidR="00F84A8F" w:rsidRPr="00230F6B" w:rsidRDefault="00F84A8F" w:rsidP="002C66FC">
            <w:pPr>
              <w:autoSpaceDE w:val="0"/>
              <w:autoSpaceDN w:val="0"/>
              <w:adjustRightInd w:val="0"/>
              <w:rPr>
                <w:sz w:val="22"/>
                <w:szCs w:val="22"/>
              </w:rPr>
            </w:pPr>
            <w:r w:rsidRPr="00230F6B">
              <w:rPr>
                <w:sz w:val="22"/>
                <w:szCs w:val="22"/>
              </w:rPr>
              <w:t>0,6%);</w:t>
            </w:r>
          </w:p>
          <w:p w14:paraId="1656E836" w14:textId="77777777" w:rsidR="00F84A8F" w:rsidRPr="00230F6B" w:rsidRDefault="00F84A8F" w:rsidP="002C66FC">
            <w:pPr>
              <w:autoSpaceDE w:val="0"/>
              <w:autoSpaceDN w:val="0"/>
              <w:adjustRightInd w:val="0"/>
              <w:rPr>
                <w:sz w:val="22"/>
                <w:szCs w:val="22"/>
              </w:rPr>
            </w:pPr>
          </w:p>
          <w:p w14:paraId="1F1722FB" w14:textId="77777777" w:rsidR="00F84A8F" w:rsidRPr="00230F6B" w:rsidRDefault="00F84A8F" w:rsidP="002C66FC">
            <w:pPr>
              <w:autoSpaceDE w:val="0"/>
              <w:autoSpaceDN w:val="0"/>
              <w:adjustRightInd w:val="0"/>
              <w:rPr>
                <w:sz w:val="22"/>
                <w:szCs w:val="22"/>
              </w:rPr>
            </w:pPr>
            <w:r w:rsidRPr="00230F6B">
              <w:rPr>
                <w:sz w:val="22"/>
                <w:szCs w:val="22"/>
              </w:rPr>
              <w:t>Retencija te</w:t>
            </w:r>
            <w:r w:rsidRPr="00230F6B">
              <w:rPr>
                <w:rFonts w:eastAsia="TimesNewRoman"/>
                <w:sz w:val="22"/>
                <w:szCs w:val="22"/>
              </w:rPr>
              <w:t>č</w:t>
            </w:r>
            <w:r w:rsidRPr="00230F6B">
              <w:rPr>
                <w:sz w:val="22"/>
                <w:szCs w:val="22"/>
              </w:rPr>
              <w:t>nosti;</w:t>
            </w:r>
          </w:p>
          <w:p w14:paraId="55A5B5F9" w14:textId="77777777" w:rsidR="00F84A8F" w:rsidRPr="00230F6B" w:rsidRDefault="00F84A8F" w:rsidP="002C66FC">
            <w:pPr>
              <w:autoSpaceDE w:val="0"/>
              <w:autoSpaceDN w:val="0"/>
              <w:adjustRightInd w:val="0"/>
              <w:rPr>
                <w:sz w:val="22"/>
                <w:szCs w:val="22"/>
              </w:rPr>
            </w:pPr>
          </w:p>
          <w:p w14:paraId="5142F38A" w14:textId="77777777" w:rsidR="00F84A8F" w:rsidRPr="00230F6B" w:rsidRDefault="00F84A8F" w:rsidP="002C66FC">
            <w:pPr>
              <w:autoSpaceDE w:val="0"/>
              <w:autoSpaceDN w:val="0"/>
              <w:adjustRightInd w:val="0"/>
              <w:rPr>
                <w:sz w:val="22"/>
                <w:szCs w:val="22"/>
              </w:rPr>
            </w:pPr>
            <w:r w:rsidRPr="00230F6B">
              <w:rPr>
                <w:sz w:val="22"/>
                <w:szCs w:val="22"/>
              </w:rPr>
              <w:t>Edem</w:t>
            </w:r>
          </w:p>
          <w:p w14:paraId="1085C60F" w14:textId="77777777" w:rsidR="00F84A8F" w:rsidRPr="00230F6B" w:rsidRDefault="00F84A8F" w:rsidP="002C66FC">
            <w:pPr>
              <w:autoSpaceDE w:val="0"/>
              <w:autoSpaceDN w:val="0"/>
              <w:adjustRightInd w:val="0"/>
              <w:rPr>
                <w:sz w:val="22"/>
                <w:szCs w:val="22"/>
              </w:rPr>
            </w:pPr>
          </w:p>
        </w:tc>
        <w:tc>
          <w:tcPr>
            <w:tcW w:w="2445" w:type="dxa"/>
            <w:shd w:val="clear" w:color="auto" w:fill="auto"/>
          </w:tcPr>
          <w:p w14:paraId="770BE784" w14:textId="77777777" w:rsidR="00F84A8F" w:rsidRPr="00230F6B" w:rsidRDefault="00F84A8F" w:rsidP="002C66FC">
            <w:pPr>
              <w:autoSpaceDE w:val="0"/>
              <w:autoSpaceDN w:val="0"/>
              <w:adjustRightInd w:val="0"/>
              <w:rPr>
                <w:sz w:val="22"/>
                <w:szCs w:val="22"/>
              </w:rPr>
            </w:pPr>
          </w:p>
          <w:p w14:paraId="1EBDAA64" w14:textId="77777777" w:rsidR="00F84A8F" w:rsidRPr="00230F6B" w:rsidRDefault="00F84A8F" w:rsidP="002C66FC">
            <w:pPr>
              <w:autoSpaceDE w:val="0"/>
              <w:autoSpaceDN w:val="0"/>
              <w:adjustRightInd w:val="0"/>
              <w:rPr>
                <w:sz w:val="22"/>
                <w:szCs w:val="22"/>
              </w:rPr>
            </w:pPr>
          </w:p>
        </w:tc>
        <w:tc>
          <w:tcPr>
            <w:tcW w:w="2446" w:type="dxa"/>
            <w:shd w:val="clear" w:color="auto" w:fill="auto"/>
          </w:tcPr>
          <w:p w14:paraId="6D3E867B" w14:textId="77777777" w:rsidR="00F84A8F" w:rsidRPr="00230F6B" w:rsidRDefault="00F84A8F" w:rsidP="002C66FC">
            <w:pPr>
              <w:autoSpaceDE w:val="0"/>
              <w:autoSpaceDN w:val="0"/>
              <w:adjustRightInd w:val="0"/>
              <w:rPr>
                <w:sz w:val="22"/>
                <w:szCs w:val="22"/>
              </w:rPr>
            </w:pPr>
          </w:p>
        </w:tc>
      </w:tr>
      <w:tr w:rsidR="00F84A8F" w:rsidRPr="00B02007" w14:paraId="77E109E4" w14:textId="77777777" w:rsidTr="002C66FC">
        <w:trPr>
          <w:trHeight w:val="496"/>
        </w:trPr>
        <w:tc>
          <w:tcPr>
            <w:tcW w:w="2445" w:type="dxa"/>
          </w:tcPr>
          <w:p w14:paraId="087D2798" w14:textId="77777777" w:rsidR="00F84A8F" w:rsidRPr="00230F6B" w:rsidRDefault="00F84A8F" w:rsidP="002C66FC">
            <w:pPr>
              <w:autoSpaceDE w:val="0"/>
              <w:autoSpaceDN w:val="0"/>
              <w:adjustRightInd w:val="0"/>
              <w:rPr>
                <w:sz w:val="22"/>
                <w:szCs w:val="22"/>
              </w:rPr>
            </w:pPr>
            <w:r w:rsidRPr="00230F6B">
              <w:rPr>
                <w:sz w:val="22"/>
                <w:szCs w:val="22"/>
              </w:rPr>
              <w:t>Ispitivanja</w:t>
            </w:r>
          </w:p>
        </w:tc>
        <w:tc>
          <w:tcPr>
            <w:tcW w:w="2445" w:type="dxa"/>
          </w:tcPr>
          <w:p w14:paraId="44649C54" w14:textId="77777777" w:rsidR="00F84A8F" w:rsidRPr="00230F6B" w:rsidRDefault="00F84A8F" w:rsidP="002C66FC">
            <w:pPr>
              <w:autoSpaceDE w:val="0"/>
              <w:autoSpaceDN w:val="0"/>
              <w:adjustRightInd w:val="0"/>
              <w:rPr>
                <w:sz w:val="22"/>
                <w:szCs w:val="22"/>
              </w:rPr>
            </w:pPr>
          </w:p>
        </w:tc>
        <w:tc>
          <w:tcPr>
            <w:tcW w:w="2445" w:type="dxa"/>
          </w:tcPr>
          <w:p w14:paraId="62CE1F80" w14:textId="77777777" w:rsidR="00F84A8F" w:rsidRPr="00230F6B" w:rsidRDefault="00F84A8F" w:rsidP="002C66FC">
            <w:pPr>
              <w:autoSpaceDE w:val="0"/>
              <w:autoSpaceDN w:val="0"/>
              <w:adjustRightInd w:val="0"/>
              <w:rPr>
                <w:sz w:val="22"/>
                <w:szCs w:val="22"/>
              </w:rPr>
            </w:pPr>
            <w:r w:rsidRPr="00230F6B">
              <w:rPr>
                <w:sz w:val="22"/>
                <w:szCs w:val="22"/>
              </w:rPr>
              <w:t>Pove</w:t>
            </w:r>
            <w:r w:rsidRPr="00230F6B">
              <w:rPr>
                <w:rFonts w:eastAsia="TimesNewRoman"/>
                <w:sz w:val="22"/>
                <w:szCs w:val="22"/>
              </w:rPr>
              <w:t>ć</w:t>
            </w:r>
            <w:r w:rsidRPr="00230F6B">
              <w:rPr>
                <w:sz w:val="22"/>
                <w:szCs w:val="22"/>
              </w:rPr>
              <w:t xml:space="preserve">anje tjelesne mase </w:t>
            </w:r>
          </w:p>
          <w:p w14:paraId="189B5B4D" w14:textId="77777777" w:rsidR="00F84A8F" w:rsidRPr="00230F6B" w:rsidRDefault="00F84A8F" w:rsidP="002C66FC">
            <w:pPr>
              <w:autoSpaceDE w:val="0"/>
              <w:autoSpaceDN w:val="0"/>
              <w:adjustRightInd w:val="0"/>
              <w:rPr>
                <w:sz w:val="22"/>
                <w:szCs w:val="22"/>
              </w:rPr>
            </w:pPr>
          </w:p>
        </w:tc>
        <w:tc>
          <w:tcPr>
            <w:tcW w:w="2446" w:type="dxa"/>
          </w:tcPr>
          <w:p w14:paraId="1B0A5EBC" w14:textId="77777777" w:rsidR="00F84A8F" w:rsidRPr="00230F6B" w:rsidRDefault="00F84A8F" w:rsidP="002C66FC">
            <w:pPr>
              <w:autoSpaceDE w:val="0"/>
              <w:autoSpaceDN w:val="0"/>
              <w:adjustRightInd w:val="0"/>
              <w:rPr>
                <w:sz w:val="22"/>
                <w:szCs w:val="22"/>
              </w:rPr>
            </w:pPr>
          </w:p>
        </w:tc>
      </w:tr>
    </w:tbl>
    <w:p w14:paraId="0F45677E" w14:textId="77777777" w:rsidR="00F84A8F" w:rsidRPr="00230F6B" w:rsidRDefault="00F84A8F" w:rsidP="00F84A8F">
      <w:pPr>
        <w:pStyle w:val="Header"/>
        <w:tabs>
          <w:tab w:val="left" w:pos="284"/>
        </w:tabs>
        <w:rPr>
          <w:sz w:val="22"/>
          <w:szCs w:val="22"/>
        </w:rPr>
      </w:pPr>
    </w:p>
    <w:p w14:paraId="74A00365" w14:textId="77777777" w:rsidR="00F84A8F" w:rsidRPr="00230F6B" w:rsidRDefault="00F84A8F" w:rsidP="00F84A8F">
      <w:pPr>
        <w:pStyle w:val="Header"/>
        <w:tabs>
          <w:tab w:val="left" w:pos="284"/>
        </w:tabs>
        <w:rPr>
          <w:sz w:val="22"/>
          <w:szCs w:val="22"/>
        </w:rPr>
      </w:pPr>
    </w:p>
    <w:p w14:paraId="7F451F7C" w14:textId="77777777" w:rsidR="00F84A8F" w:rsidRPr="00230F6B" w:rsidRDefault="00F84A8F" w:rsidP="00F84A8F">
      <w:pPr>
        <w:pStyle w:val="Header"/>
        <w:tabs>
          <w:tab w:val="left" w:pos="284"/>
        </w:tabs>
        <w:rPr>
          <w:sz w:val="22"/>
          <w:szCs w:val="22"/>
          <w:u w:val="single"/>
        </w:rPr>
      </w:pPr>
      <w:r w:rsidRPr="00230F6B">
        <w:rPr>
          <w:sz w:val="22"/>
          <w:szCs w:val="22"/>
          <w:u w:val="single"/>
        </w:rPr>
        <w:t>Indukciona hemoterapija poslije koje je slijedila hemioradioterapija (TAX 324)</w:t>
      </w:r>
    </w:p>
    <w:p w14:paraId="19D5D58E" w14:textId="77777777" w:rsidR="00F84A8F" w:rsidRPr="00230F6B" w:rsidRDefault="00F84A8F" w:rsidP="00F84A8F">
      <w:pPr>
        <w:pStyle w:val="Header"/>
        <w:tabs>
          <w:tab w:val="left" w:pos="284"/>
        </w:tabs>
        <w:rPr>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2519"/>
        <w:gridCol w:w="2437"/>
        <w:gridCol w:w="2438"/>
      </w:tblGrid>
      <w:tr w:rsidR="00F84A8F" w:rsidRPr="00B02007" w14:paraId="751FD72A" w14:textId="77777777" w:rsidTr="002C66FC">
        <w:trPr>
          <w:trHeight w:val="1015"/>
        </w:trPr>
        <w:tc>
          <w:tcPr>
            <w:tcW w:w="2354" w:type="dxa"/>
          </w:tcPr>
          <w:p w14:paraId="3B6E65A7" w14:textId="77777777" w:rsidR="00F84A8F" w:rsidRPr="00230F6B" w:rsidRDefault="00F84A8F" w:rsidP="002C66FC">
            <w:pPr>
              <w:autoSpaceDE w:val="0"/>
              <w:autoSpaceDN w:val="0"/>
              <w:adjustRightInd w:val="0"/>
              <w:rPr>
                <w:sz w:val="22"/>
                <w:szCs w:val="22"/>
              </w:rPr>
            </w:pPr>
            <w:r w:rsidRPr="00230F6B">
              <w:rPr>
                <w:b/>
                <w:bCs/>
                <w:sz w:val="22"/>
                <w:szCs w:val="22"/>
              </w:rPr>
              <w:t>Organski sistemi po</w:t>
            </w:r>
          </w:p>
          <w:p w14:paraId="153E92EF" w14:textId="77777777" w:rsidR="00F84A8F" w:rsidRPr="00230F6B" w:rsidRDefault="00F84A8F" w:rsidP="002C66FC">
            <w:pPr>
              <w:autoSpaceDE w:val="0"/>
              <w:autoSpaceDN w:val="0"/>
              <w:adjustRightInd w:val="0"/>
              <w:rPr>
                <w:b/>
                <w:bCs/>
                <w:sz w:val="22"/>
                <w:szCs w:val="22"/>
              </w:rPr>
            </w:pPr>
            <w:r w:rsidRPr="00230F6B">
              <w:rPr>
                <w:b/>
                <w:bCs/>
                <w:sz w:val="22"/>
                <w:szCs w:val="22"/>
              </w:rPr>
              <w:t>MedDRA</w:t>
            </w:r>
          </w:p>
          <w:p w14:paraId="1C979772" w14:textId="77777777" w:rsidR="00F84A8F" w:rsidRPr="00230F6B" w:rsidRDefault="00F84A8F" w:rsidP="002C66FC">
            <w:pPr>
              <w:autoSpaceDE w:val="0"/>
              <w:autoSpaceDN w:val="0"/>
              <w:adjustRightInd w:val="0"/>
              <w:rPr>
                <w:sz w:val="22"/>
                <w:szCs w:val="22"/>
              </w:rPr>
            </w:pPr>
          </w:p>
        </w:tc>
        <w:tc>
          <w:tcPr>
            <w:tcW w:w="2519" w:type="dxa"/>
          </w:tcPr>
          <w:p w14:paraId="7E99A1DD" w14:textId="77777777" w:rsidR="00F84A8F" w:rsidRPr="00230F6B" w:rsidRDefault="00F84A8F" w:rsidP="002C66FC">
            <w:pPr>
              <w:autoSpaceDE w:val="0"/>
              <w:autoSpaceDN w:val="0"/>
              <w:adjustRightInd w:val="0"/>
              <w:rPr>
                <w:b/>
                <w:bCs/>
                <w:sz w:val="22"/>
                <w:szCs w:val="22"/>
              </w:rPr>
            </w:pPr>
            <w:r w:rsidRPr="00230F6B">
              <w:rPr>
                <w:b/>
                <w:bCs/>
                <w:sz w:val="22"/>
                <w:szCs w:val="22"/>
              </w:rPr>
              <w:t xml:space="preserve">Veoma </w:t>
            </w:r>
            <w:r w:rsidRPr="00230F6B">
              <w:rPr>
                <w:rFonts w:eastAsia="TimesNewRoman,Bold"/>
                <w:b/>
                <w:bCs/>
                <w:sz w:val="22"/>
                <w:szCs w:val="22"/>
              </w:rPr>
              <w:t>č</w:t>
            </w:r>
            <w:r w:rsidRPr="00230F6B">
              <w:rPr>
                <w:b/>
                <w:bCs/>
                <w:sz w:val="22"/>
                <w:szCs w:val="22"/>
              </w:rPr>
              <w:t>esta neželjena dejstva</w:t>
            </w:r>
          </w:p>
          <w:p w14:paraId="66E396FD" w14:textId="77777777" w:rsidR="00F84A8F" w:rsidRPr="00230F6B" w:rsidRDefault="00F84A8F" w:rsidP="002C66FC">
            <w:pPr>
              <w:autoSpaceDE w:val="0"/>
              <w:autoSpaceDN w:val="0"/>
              <w:adjustRightInd w:val="0"/>
              <w:rPr>
                <w:sz w:val="22"/>
                <w:szCs w:val="22"/>
              </w:rPr>
            </w:pPr>
          </w:p>
        </w:tc>
        <w:tc>
          <w:tcPr>
            <w:tcW w:w="2437" w:type="dxa"/>
          </w:tcPr>
          <w:p w14:paraId="442463EB" w14:textId="77777777" w:rsidR="00F84A8F" w:rsidRPr="00230F6B" w:rsidRDefault="00F84A8F" w:rsidP="002C66FC">
            <w:pPr>
              <w:autoSpaceDE w:val="0"/>
              <w:autoSpaceDN w:val="0"/>
              <w:adjustRightInd w:val="0"/>
              <w:rPr>
                <w:b/>
                <w:bCs/>
                <w:sz w:val="22"/>
                <w:szCs w:val="22"/>
              </w:rPr>
            </w:pPr>
            <w:r w:rsidRPr="00230F6B">
              <w:rPr>
                <w:rFonts w:eastAsia="TimesNewRoman,Bold"/>
                <w:b/>
                <w:bCs/>
                <w:sz w:val="22"/>
                <w:szCs w:val="22"/>
              </w:rPr>
              <w:t>Č</w:t>
            </w:r>
            <w:r w:rsidRPr="00230F6B">
              <w:rPr>
                <w:b/>
                <w:bCs/>
                <w:sz w:val="22"/>
                <w:szCs w:val="22"/>
              </w:rPr>
              <w:t>esta neželjena dejstva</w:t>
            </w:r>
          </w:p>
          <w:p w14:paraId="4319F973" w14:textId="77777777" w:rsidR="00F84A8F" w:rsidRPr="00230F6B" w:rsidRDefault="00F84A8F" w:rsidP="002C66FC">
            <w:pPr>
              <w:autoSpaceDE w:val="0"/>
              <w:autoSpaceDN w:val="0"/>
              <w:adjustRightInd w:val="0"/>
              <w:rPr>
                <w:b/>
                <w:bCs/>
                <w:sz w:val="22"/>
                <w:szCs w:val="22"/>
              </w:rPr>
            </w:pPr>
          </w:p>
          <w:p w14:paraId="56838AC4" w14:textId="77777777" w:rsidR="00F84A8F" w:rsidRPr="00230F6B" w:rsidRDefault="00F84A8F" w:rsidP="002C66FC">
            <w:pPr>
              <w:autoSpaceDE w:val="0"/>
              <w:autoSpaceDN w:val="0"/>
              <w:adjustRightInd w:val="0"/>
              <w:rPr>
                <w:sz w:val="22"/>
                <w:szCs w:val="22"/>
              </w:rPr>
            </w:pPr>
          </w:p>
        </w:tc>
        <w:tc>
          <w:tcPr>
            <w:tcW w:w="2438" w:type="dxa"/>
          </w:tcPr>
          <w:p w14:paraId="0F6F60D1" w14:textId="77777777" w:rsidR="00F84A8F" w:rsidRPr="00230F6B" w:rsidRDefault="00F84A8F" w:rsidP="002C66FC">
            <w:pPr>
              <w:autoSpaceDE w:val="0"/>
              <w:autoSpaceDN w:val="0"/>
              <w:adjustRightInd w:val="0"/>
              <w:rPr>
                <w:b/>
                <w:bCs/>
                <w:sz w:val="22"/>
                <w:szCs w:val="22"/>
              </w:rPr>
            </w:pPr>
            <w:r w:rsidRPr="00230F6B">
              <w:rPr>
                <w:b/>
                <w:bCs/>
                <w:sz w:val="22"/>
                <w:szCs w:val="22"/>
              </w:rPr>
              <w:t>Povremena neželjena</w:t>
            </w:r>
          </w:p>
          <w:p w14:paraId="3EE1DCB6" w14:textId="77777777" w:rsidR="00F84A8F" w:rsidRPr="00230F6B" w:rsidRDefault="00F84A8F" w:rsidP="002C66FC">
            <w:pPr>
              <w:autoSpaceDE w:val="0"/>
              <w:autoSpaceDN w:val="0"/>
              <w:adjustRightInd w:val="0"/>
              <w:rPr>
                <w:b/>
                <w:bCs/>
                <w:sz w:val="22"/>
                <w:szCs w:val="22"/>
              </w:rPr>
            </w:pPr>
            <w:r w:rsidRPr="00230F6B">
              <w:rPr>
                <w:b/>
                <w:bCs/>
                <w:sz w:val="22"/>
                <w:szCs w:val="22"/>
              </w:rPr>
              <w:t>dejstva</w:t>
            </w:r>
          </w:p>
          <w:p w14:paraId="79DD0117" w14:textId="77777777" w:rsidR="00F84A8F" w:rsidRPr="00230F6B" w:rsidRDefault="00F84A8F" w:rsidP="002C66FC">
            <w:pPr>
              <w:autoSpaceDE w:val="0"/>
              <w:autoSpaceDN w:val="0"/>
              <w:adjustRightInd w:val="0"/>
              <w:rPr>
                <w:b/>
                <w:bCs/>
                <w:sz w:val="22"/>
                <w:szCs w:val="22"/>
              </w:rPr>
            </w:pPr>
            <w:r w:rsidRPr="00230F6B">
              <w:rPr>
                <w:b/>
                <w:bCs/>
                <w:sz w:val="22"/>
                <w:szCs w:val="22"/>
              </w:rPr>
              <w:t xml:space="preserve"> </w:t>
            </w:r>
          </w:p>
          <w:p w14:paraId="2E7FBA6E" w14:textId="77777777" w:rsidR="00F84A8F" w:rsidRPr="00230F6B" w:rsidRDefault="00F84A8F" w:rsidP="002C66FC">
            <w:pPr>
              <w:autoSpaceDE w:val="0"/>
              <w:autoSpaceDN w:val="0"/>
              <w:adjustRightInd w:val="0"/>
              <w:rPr>
                <w:sz w:val="22"/>
                <w:szCs w:val="22"/>
              </w:rPr>
            </w:pPr>
          </w:p>
        </w:tc>
      </w:tr>
      <w:tr w:rsidR="00F84A8F" w:rsidRPr="00B02007" w14:paraId="4B663D3B" w14:textId="77777777" w:rsidTr="002C66FC">
        <w:trPr>
          <w:trHeight w:val="750"/>
        </w:trPr>
        <w:tc>
          <w:tcPr>
            <w:tcW w:w="2354" w:type="dxa"/>
          </w:tcPr>
          <w:p w14:paraId="618E51DA" w14:textId="77777777" w:rsidR="00F84A8F" w:rsidRPr="00230F6B" w:rsidRDefault="00F84A8F" w:rsidP="002C66FC">
            <w:pPr>
              <w:autoSpaceDE w:val="0"/>
              <w:autoSpaceDN w:val="0"/>
              <w:adjustRightInd w:val="0"/>
              <w:rPr>
                <w:sz w:val="22"/>
                <w:szCs w:val="22"/>
              </w:rPr>
            </w:pPr>
            <w:r w:rsidRPr="00230F6B">
              <w:rPr>
                <w:sz w:val="22"/>
                <w:szCs w:val="22"/>
              </w:rPr>
              <w:t>Infekcije i infestacije</w:t>
            </w:r>
          </w:p>
        </w:tc>
        <w:tc>
          <w:tcPr>
            <w:tcW w:w="2519" w:type="dxa"/>
          </w:tcPr>
          <w:p w14:paraId="2BE7121B" w14:textId="77777777" w:rsidR="00F84A8F" w:rsidRPr="00230F6B" w:rsidRDefault="00F84A8F" w:rsidP="002C66FC">
            <w:pPr>
              <w:autoSpaceDE w:val="0"/>
              <w:autoSpaceDN w:val="0"/>
              <w:adjustRightInd w:val="0"/>
              <w:rPr>
                <w:sz w:val="22"/>
                <w:szCs w:val="22"/>
              </w:rPr>
            </w:pPr>
            <w:r w:rsidRPr="00230F6B">
              <w:rPr>
                <w:sz w:val="22"/>
                <w:szCs w:val="22"/>
              </w:rPr>
              <w:t>Infekcije (G3/4: 3,6%)</w:t>
            </w:r>
          </w:p>
          <w:p w14:paraId="5AAE5D97" w14:textId="77777777" w:rsidR="00F84A8F" w:rsidRPr="00230F6B" w:rsidRDefault="00F84A8F" w:rsidP="002C66FC">
            <w:pPr>
              <w:autoSpaceDE w:val="0"/>
              <w:autoSpaceDN w:val="0"/>
              <w:adjustRightInd w:val="0"/>
              <w:rPr>
                <w:sz w:val="22"/>
                <w:szCs w:val="22"/>
              </w:rPr>
            </w:pPr>
          </w:p>
          <w:p w14:paraId="6E494424" w14:textId="77777777" w:rsidR="00F84A8F" w:rsidRPr="00230F6B" w:rsidRDefault="00F84A8F" w:rsidP="002C66FC">
            <w:pPr>
              <w:autoSpaceDE w:val="0"/>
              <w:autoSpaceDN w:val="0"/>
              <w:adjustRightInd w:val="0"/>
              <w:rPr>
                <w:sz w:val="22"/>
                <w:szCs w:val="22"/>
              </w:rPr>
            </w:pPr>
          </w:p>
        </w:tc>
        <w:tc>
          <w:tcPr>
            <w:tcW w:w="2437" w:type="dxa"/>
          </w:tcPr>
          <w:p w14:paraId="0BC81490" w14:textId="77777777" w:rsidR="00F84A8F" w:rsidRPr="00230F6B" w:rsidRDefault="00F84A8F" w:rsidP="002C66FC">
            <w:pPr>
              <w:autoSpaceDE w:val="0"/>
              <w:autoSpaceDN w:val="0"/>
              <w:adjustRightInd w:val="0"/>
              <w:rPr>
                <w:sz w:val="22"/>
                <w:szCs w:val="22"/>
              </w:rPr>
            </w:pPr>
            <w:r w:rsidRPr="00230F6B">
              <w:rPr>
                <w:sz w:val="22"/>
                <w:szCs w:val="22"/>
              </w:rPr>
              <w:t>Neutropenijske infekcije</w:t>
            </w:r>
          </w:p>
          <w:p w14:paraId="15C998FB" w14:textId="77777777" w:rsidR="00F84A8F" w:rsidRPr="00230F6B" w:rsidRDefault="00F84A8F" w:rsidP="002C66FC">
            <w:pPr>
              <w:autoSpaceDE w:val="0"/>
              <w:autoSpaceDN w:val="0"/>
              <w:adjustRightInd w:val="0"/>
              <w:rPr>
                <w:sz w:val="22"/>
                <w:szCs w:val="22"/>
              </w:rPr>
            </w:pPr>
          </w:p>
        </w:tc>
        <w:tc>
          <w:tcPr>
            <w:tcW w:w="2438" w:type="dxa"/>
          </w:tcPr>
          <w:p w14:paraId="71FE7F4A" w14:textId="77777777" w:rsidR="00F84A8F" w:rsidRPr="00230F6B" w:rsidRDefault="00F84A8F" w:rsidP="002C66FC">
            <w:pPr>
              <w:autoSpaceDE w:val="0"/>
              <w:autoSpaceDN w:val="0"/>
              <w:adjustRightInd w:val="0"/>
              <w:rPr>
                <w:sz w:val="22"/>
                <w:szCs w:val="22"/>
              </w:rPr>
            </w:pPr>
          </w:p>
        </w:tc>
      </w:tr>
      <w:tr w:rsidR="00F84A8F" w:rsidRPr="00B02007" w14:paraId="7F557EA4" w14:textId="77777777" w:rsidTr="002C66FC">
        <w:trPr>
          <w:trHeight w:val="507"/>
        </w:trPr>
        <w:tc>
          <w:tcPr>
            <w:tcW w:w="2354" w:type="dxa"/>
          </w:tcPr>
          <w:p w14:paraId="2C47EA4F" w14:textId="77777777" w:rsidR="00F84A8F" w:rsidRPr="00230F6B" w:rsidRDefault="00F84A8F" w:rsidP="002C66FC">
            <w:pPr>
              <w:autoSpaceDE w:val="0"/>
              <w:autoSpaceDN w:val="0"/>
              <w:adjustRightInd w:val="0"/>
              <w:rPr>
                <w:sz w:val="22"/>
                <w:szCs w:val="22"/>
              </w:rPr>
            </w:pPr>
            <w:r w:rsidRPr="00230F6B">
              <w:rPr>
                <w:sz w:val="22"/>
                <w:szCs w:val="22"/>
              </w:rPr>
              <w:t>Benigne, maligne i</w:t>
            </w:r>
          </w:p>
          <w:p w14:paraId="5DF4A56D" w14:textId="77777777" w:rsidR="00F84A8F" w:rsidRPr="00230F6B" w:rsidRDefault="00F84A8F" w:rsidP="002C66FC">
            <w:pPr>
              <w:autoSpaceDE w:val="0"/>
              <w:autoSpaceDN w:val="0"/>
              <w:adjustRightInd w:val="0"/>
              <w:rPr>
                <w:sz w:val="22"/>
                <w:szCs w:val="22"/>
              </w:rPr>
            </w:pPr>
            <w:r w:rsidRPr="00230F6B">
              <w:rPr>
                <w:sz w:val="22"/>
                <w:szCs w:val="22"/>
              </w:rPr>
              <w:t>nespecifikovane</w:t>
            </w:r>
          </w:p>
          <w:p w14:paraId="0D7B2071" w14:textId="77777777" w:rsidR="00F84A8F" w:rsidRPr="00230F6B" w:rsidRDefault="00F84A8F" w:rsidP="002C66FC">
            <w:pPr>
              <w:autoSpaceDE w:val="0"/>
              <w:autoSpaceDN w:val="0"/>
              <w:adjustRightInd w:val="0"/>
              <w:rPr>
                <w:sz w:val="22"/>
                <w:szCs w:val="22"/>
              </w:rPr>
            </w:pPr>
            <w:r w:rsidRPr="00230F6B">
              <w:rPr>
                <w:sz w:val="22"/>
                <w:szCs w:val="22"/>
              </w:rPr>
              <w:t>neoplazme (uklju</w:t>
            </w:r>
            <w:r w:rsidRPr="00230F6B">
              <w:rPr>
                <w:rFonts w:eastAsia="TimesNewRoman"/>
                <w:sz w:val="22"/>
                <w:szCs w:val="22"/>
              </w:rPr>
              <w:t>č</w:t>
            </w:r>
            <w:r w:rsidRPr="00230F6B">
              <w:rPr>
                <w:sz w:val="22"/>
                <w:szCs w:val="22"/>
              </w:rPr>
              <w:t>uju</w:t>
            </w:r>
            <w:r w:rsidRPr="00230F6B">
              <w:rPr>
                <w:rFonts w:eastAsia="TimesNewRoman"/>
                <w:sz w:val="22"/>
                <w:szCs w:val="22"/>
              </w:rPr>
              <w:t>ć</w:t>
            </w:r>
            <w:r w:rsidRPr="00230F6B">
              <w:rPr>
                <w:sz w:val="22"/>
                <w:szCs w:val="22"/>
              </w:rPr>
              <w:t>i</w:t>
            </w:r>
          </w:p>
          <w:p w14:paraId="47983A5C" w14:textId="77777777" w:rsidR="00F84A8F" w:rsidRPr="00230F6B" w:rsidRDefault="00F84A8F" w:rsidP="002C66FC">
            <w:pPr>
              <w:autoSpaceDE w:val="0"/>
              <w:autoSpaceDN w:val="0"/>
              <w:adjustRightInd w:val="0"/>
              <w:rPr>
                <w:sz w:val="22"/>
                <w:szCs w:val="22"/>
              </w:rPr>
            </w:pPr>
            <w:r w:rsidRPr="00230F6B">
              <w:rPr>
                <w:sz w:val="22"/>
                <w:szCs w:val="22"/>
              </w:rPr>
              <w:t>ciste i polipe)</w:t>
            </w:r>
          </w:p>
          <w:p w14:paraId="3603B4D0" w14:textId="77777777" w:rsidR="00F84A8F" w:rsidRPr="00230F6B" w:rsidRDefault="00F84A8F" w:rsidP="002C66FC">
            <w:pPr>
              <w:autoSpaceDE w:val="0"/>
              <w:autoSpaceDN w:val="0"/>
              <w:adjustRightInd w:val="0"/>
              <w:rPr>
                <w:sz w:val="22"/>
                <w:szCs w:val="22"/>
              </w:rPr>
            </w:pPr>
          </w:p>
        </w:tc>
        <w:tc>
          <w:tcPr>
            <w:tcW w:w="2519" w:type="dxa"/>
          </w:tcPr>
          <w:p w14:paraId="473C5DCA" w14:textId="77777777" w:rsidR="00F84A8F" w:rsidRPr="00230F6B" w:rsidRDefault="00F84A8F" w:rsidP="002C66FC">
            <w:pPr>
              <w:autoSpaceDE w:val="0"/>
              <w:autoSpaceDN w:val="0"/>
              <w:adjustRightInd w:val="0"/>
              <w:rPr>
                <w:sz w:val="22"/>
                <w:szCs w:val="22"/>
              </w:rPr>
            </w:pPr>
          </w:p>
        </w:tc>
        <w:tc>
          <w:tcPr>
            <w:tcW w:w="2437" w:type="dxa"/>
          </w:tcPr>
          <w:p w14:paraId="71E6DA22" w14:textId="77777777" w:rsidR="00F84A8F" w:rsidRPr="00230F6B" w:rsidRDefault="00F84A8F" w:rsidP="002C66FC">
            <w:pPr>
              <w:autoSpaceDE w:val="0"/>
              <w:autoSpaceDN w:val="0"/>
              <w:adjustRightInd w:val="0"/>
              <w:rPr>
                <w:sz w:val="22"/>
                <w:szCs w:val="22"/>
              </w:rPr>
            </w:pPr>
            <w:r w:rsidRPr="00230F6B">
              <w:rPr>
                <w:sz w:val="22"/>
                <w:szCs w:val="22"/>
              </w:rPr>
              <w:t>Kancerski bol (G3/4:</w:t>
            </w:r>
          </w:p>
          <w:p w14:paraId="404B3CB1" w14:textId="77777777" w:rsidR="00F84A8F" w:rsidRPr="00230F6B" w:rsidRDefault="00F84A8F" w:rsidP="002C66FC">
            <w:pPr>
              <w:autoSpaceDE w:val="0"/>
              <w:autoSpaceDN w:val="0"/>
              <w:adjustRightInd w:val="0"/>
              <w:rPr>
                <w:sz w:val="22"/>
                <w:szCs w:val="22"/>
              </w:rPr>
            </w:pPr>
            <w:r w:rsidRPr="00230F6B">
              <w:rPr>
                <w:sz w:val="22"/>
                <w:szCs w:val="22"/>
              </w:rPr>
              <w:t>1,2%)</w:t>
            </w:r>
          </w:p>
          <w:p w14:paraId="21643356" w14:textId="77777777" w:rsidR="00F84A8F" w:rsidRPr="00230F6B" w:rsidRDefault="00F84A8F" w:rsidP="002C66FC">
            <w:pPr>
              <w:autoSpaceDE w:val="0"/>
              <w:autoSpaceDN w:val="0"/>
              <w:adjustRightInd w:val="0"/>
              <w:rPr>
                <w:sz w:val="22"/>
                <w:szCs w:val="22"/>
              </w:rPr>
            </w:pPr>
          </w:p>
        </w:tc>
        <w:tc>
          <w:tcPr>
            <w:tcW w:w="2438" w:type="dxa"/>
          </w:tcPr>
          <w:p w14:paraId="1C122656" w14:textId="77777777" w:rsidR="00F84A8F" w:rsidRPr="00230F6B" w:rsidDel="009516CB" w:rsidRDefault="00F84A8F" w:rsidP="002C66FC">
            <w:pPr>
              <w:autoSpaceDE w:val="0"/>
              <w:autoSpaceDN w:val="0"/>
              <w:adjustRightInd w:val="0"/>
              <w:rPr>
                <w:sz w:val="22"/>
                <w:szCs w:val="22"/>
              </w:rPr>
            </w:pPr>
          </w:p>
        </w:tc>
      </w:tr>
      <w:tr w:rsidR="00F84A8F" w:rsidRPr="00B02007" w14:paraId="4F0E5B40" w14:textId="77777777" w:rsidTr="002C66FC">
        <w:trPr>
          <w:trHeight w:val="2273"/>
        </w:trPr>
        <w:tc>
          <w:tcPr>
            <w:tcW w:w="2354" w:type="dxa"/>
          </w:tcPr>
          <w:p w14:paraId="0DE84BC6" w14:textId="77777777" w:rsidR="00F84A8F" w:rsidRPr="00230F6B" w:rsidRDefault="00F84A8F" w:rsidP="002C66FC">
            <w:pPr>
              <w:autoSpaceDE w:val="0"/>
              <w:autoSpaceDN w:val="0"/>
              <w:adjustRightInd w:val="0"/>
              <w:rPr>
                <w:sz w:val="22"/>
                <w:szCs w:val="22"/>
              </w:rPr>
            </w:pPr>
            <w:r w:rsidRPr="00230F6B">
              <w:rPr>
                <w:sz w:val="22"/>
                <w:szCs w:val="22"/>
              </w:rPr>
              <w:t>Poreme</w:t>
            </w:r>
            <w:r w:rsidRPr="00230F6B">
              <w:rPr>
                <w:rFonts w:eastAsia="TimesNewRoman"/>
                <w:sz w:val="22"/>
                <w:szCs w:val="22"/>
              </w:rPr>
              <w:t>ć</w:t>
            </w:r>
            <w:r w:rsidRPr="00230F6B">
              <w:rPr>
                <w:sz w:val="22"/>
                <w:szCs w:val="22"/>
              </w:rPr>
              <w:t>aji krvi i</w:t>
            </w:r>
          </w:p>
          <w:p w14:paraId="23AF9784" w14:textId="77777777" w:rsidR="00F84A8F" w:rsidRPr="00230F6B" w:rsidRDefault="00F84A8F" w:rsidP="002C66FC">
            <w:pPr>
              <w:autoSpaceDE w:val="0"/>
              <w:autoSpaceDN w:val="0"/>
              <w:adjustRightInd w:val="0"/>
              <w:rPr>
                <w:sz w:val="22"/>
                <w:szCs w:val="22"/>
              </w:rPr>
            </w:pPr>
            <w:r w:rsidRPr="00230F6B">
              <w:rPr>
                <w:sz w:val="22"/>
                <w:szCs w:val="22"/>
              </w:rPr>
              <w:t>limfnog sistema</w:t>
            </w:r>
          </w:p>
          <w:p w14:paraId="2254595A" w14:textId="77777777" w:rsidR="00F84A8F" w:rsidRPr="00230F6B" w:rsidRDefault="00F84A8F" w:rsidP="002C66FC">
            <w:pPr>
              <w:autoSpaceDE w:val="0"/>
              <w:autoSpaceDN w:val="0"/>
              <w:adjustRightInd w:val="0"/>
              <w:rPr>
                <w:sz w:val="22"/>
                <w:szCs w:val="22"/>
              </w:rPr>
            </w:pPr>
          </w:p>
        </w:tc>
        <w:tc>
          <w:tcPr>
            <w:tcW w:w="2519" w:type="dxa"/>
          </w:tcPr>
          <w:p w14:paraId="18F4A697" w14:textId="77777777" w:rsidR="00F84A8F" w:rsidRPr="00230F6B" w:rsidRDefault="00F84A8F" w:rsidP="002C66FC">
            <w:pPr>
              <w:autoSpaceDE w:val="0"/>
              <w:autoSpaceDN w:val="0"/>
              <w:adjustRightInd w:val="0"/>
              <w:rPr>
                <w:sz w:val="22"/>
                <w:szCs w:val="22"/>
              </w:rPr>
            </w:pPr>
            <w:r w:rsidRPr="00230F6B">
              <w:rPr>
                <w:sz w:val="22"/>
                <w:szCs w:val="22"/>
              </w:rPr>
              <w:t>Neutropenija (G4; 83,5%);</w:t>
            </w:r>
          </w:p>
          <w:p w14:paraId="7CA7C0F9" w14:textId="77777777" w:rsidR="00F84A8F" w:rsidRPr="00230F6B" w:rsidRDefault="00F84A8F" w:rsidP="002C66FC">
            <w:pPr>
              <w:autoSpaceDE w:val="0"/>
              <w:autoSpaceDN w:val="0"/>
              <w:adjustRightInd w:val="0"/>
              <w:rPr>
                <w:sz w:val="22"/>
                <w:szCs w:val="22"/>
              </w:rPr>
            </w:pPr>
          </w:p>
          <w:p w14:paraId="4AA313A8" w14:textId="77777777" w:rsidR="00F84A8F" w:rsidRPr="00230F6B" w:rsidRDefault="00F84A8F" w:rsidP="002C66FC">
            <w:pPr>
              <w:autoSpaceDE w:val="0"/>
              <w:autoSpaceDN w:val="0"/>
              <w:adjustRightInd w:val="0"/>
              <w:rPr>
                <w:sz w:val="22"/>
                <w:szCs w:val="22"/>
              </w:rPr>
            </w:pPr>
            <w:r w:rsidRPr="00230F6B">
              <w:rPr>
                <w:sz w:val="22"/>
                <w:szCs w:val="22"/>
              </w:rPr>
              <w:t>Anemija (G3/4: 12,4%);</w:t>
            </w:r>
          </w:p>
          <w:p w14:paraId="6D35EFF7" w14:textId="77777777" w:rsidR="00F84A8F" w:rsidRPr="00230F6B" w:rsidRDefault="00F84A8F" w:rsidP="002C66FC">
            <w:pPr>
              <w:autoSpaceDE w:val="0"/>
              <w:autoSpaceDN w:val="0"/>
              <w:adjustRightInd w:val="0"/>
              <w:rPr>
                <w:sz w:val="22"/>
                <w:szCs w:val="22"/>
              </w:rPr>
            </w:pPr>
          </w:p>
          <w:p w14:paraId="4943D210" w14:textId="77777777" w:rsidR="00F84A8F" w:rsidRPr="00230F6B" w:rsidRDefault="00F84A8F" w:rsidP="002C66FC">
            <w:pPr>
              <w:autoSpaceDE w:val="0"/>
              <w:autoSpaceDN w:val="0"/>
              <w:adjustRightInd w:val="0"/>
              <w:rPr>
                <w:sz w:val="22"/>
                <w:szCs w:val="22"/>
              </w:rPr>
            </w:pPr>
            <w:r w:rsidRPr="00230F6B">
              <w:rPr>
                <w:sz w:val="22"/>
                <w:szCs w:val="22"/>
              </w:rPr>
              <w:t>Trombocitopenija (G3/4:</w:t>
            </w:r>
          </w:p>
          <w:p w14:paraId="49DE890D" w14:textId="77777777" w:rsidR="00F84A8F" w:rsidRPr="00230F6B" w:rsidRDefault="00F84A8F" w:rsidP="002C66FC">
            <w:pPr>
              <w:autoSpaceDE w:val="0"/>
              <w:autoSpaceDN w:val="0"/>
              <w:adjustRightInd w:val="0"/>
              <w:rPr>
                <w:sz w:val="22"/>
                <w:szCs w:val="22"/>
              </w:rPr>
            </w:pPr>
            <w:r w:rsidRPr="00230F6B">
              <w:rPr>
                <w:sz w:val="22"/>
                <w:szCs w:val="22"/>
              </w:rPr>
              <w:t>4,0%);</w:t>
            </w:r>
          </w:p>
          <w:p w14:paraId="793C9E5F" w14:textId="77777777" w:rsidR="00F84A8F" w:rsidRPr="00230F6B" w:rsidRDefault="00F84A8F" w:rsidP="002C66FC">
            <w:pPr>
              <w:autoSpaceDE w:val="0"/>
              <w:autoSpaceDN w:val="0"/>
              <w:adjustRightInd w:val="0"/>
              <w:rPr>
                <w:sz w:val="22"/>
                <w:szCs w:val="22"/>
              </w:rPr>
            </w:pPr>
          </w:p>
          <w:p w14:paraId="25949CDF" w14:textId="77777777" w:rsidR="00F84A8F" w:rsidRPr="00230F6B" w:rsidRDefault="00F84A8F" w:rsidP="002C66FC">
            <w:pPr>
              <w:autoSpaceDE w:val="0"/>
              <w:autoSpaceDN w:val="0"/>
              <w:adjustRightInd w:val="0"/>
              <w:rPr>
                <w:sz w:val="22"/>
                <w:szCs w:val="22"/>
              </w:rPr>
            </w:pPr>
            <w:r w:rsidRPr="00230F6B">
              <w:rPr>
                <w:sz w:val="22"/>
                <w:szCs w:val="22"/>
              </w:rPr>
              <w:t>Febrilna neutropenija</w:t>
            </w:r>
          </w:p>
        </w:tc>
        <w:tc>
          <w:tcPr>
            <w:tcW w:w="2437" w:type="dxa"/>
          </w:tcPr>
          <w:p w14:paraId="5152E250" w14:textId="77777777" w:rsidR="00F84A8F" w:rsidRPr="00230F6B" w:rsidRDefault="00F84A8F" w:rsidP="002C66FC">
            <w:pPr>
              <w:autoSpaceDE w:val="0"/>
              <w:autoSpaceDN w:val="0"/>
              <w:adjustRightInd w:val="0"/>
              <w:rPr>
                <w:sz w:val="22"/>
                <w:szCs w:val="22"/>
              </w:rPr>
            </w:pPr>
          </w:p>
        </w:tc>
        <w:tc>
          <w:tcPr>
            <w:tcW w:w="2438" w:type="dxa"/>
          </w:tcPr>
          <w:p w14:paraId="73C105F4" w14:textId="77777777" w:rsidR="00F84A8F" w:rsidRPr="00230F6B" w:rsidRDefault="00F84A8F" w:rsidP="002C66FC">
            <w:pPr>
              <w:autoSpaceDE w:val="0"/>
              <w:autoSpaceDN w:val="0"/>
              <w:adjustRightInd w:val="0"/>
              <w:rPr>
                <w:sz w:val="22"/>
                <w:szCs w:val="22"/>
              </w:rPr>
            </w:pPr>
          </w:p>
        </w:tc>
      </w:tr>
      <w:tr w:rsidR="00F84A8F" w:rsidRPr="00B02007" w14:paraId="0542D9CA" w14:textId="77777777" w:rsidTr="002C66FC">
        <w:trPr>
          <w:trHeight w:val="761"/>
        </w:trPr>
        <w:tc>
          <w:tcPr>
            <w:tcW w:w="2354" w:type="dxa"/>
          </w:tcPr>
          <w:p w14:paraId="74CF7898"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 imunog</w:t>
            </w:r>
          </w:p>
          <w:p w14:paraId="565250F5" w14:textId="77777777" w:rsidR="00F84A8F" w:rsidRPr="00181341" w:rsidRDefault="00F84A8F" w:rsidP="002C66FC">
            <w:pPr>
              <w:autoSpaceDE w:val="0"/>
              <w:autoSpaceDN w:val="0"/>
              <w:adjustRightInd w:val="0"/>
              <w:rPr>
                <w:sz w:val="22"/>
                <w:szCs w:val="22"/>
              </w:rPr>
            </w:pPr>
            <w:r w:rsidRPr="00181341">
              <w:rPr>
                <w:sz w:val="22"/>
                <w:szCs w:val="22"/>
              </w:rPr>
              <w:t>sistema</w:t>
            </w:r>
          </w:p>
          <w:p w14:paraId="2EF8BD04" w14:textId="77777777" w:rsidR="00F84A8F" w:rsidRPr="00181341" w:rsidRDefault="00F84A8F" w:rsidP="002C66FC">
            <w:pPr>
              <w:autoSpaceDE w:val="0"/>
              <w:autoSpaceDN w:val="0"/>
              <w:adjustRightInd w:val="0"/>
              <w:rPr>
                <w:sz w:val="22"/>
                <w:szCs w:val="22"/>
              </w:rPr>
            </w:pPr>
          </w:p>
        </w:tc>
        <w:tc>
          <w:tcPr>
            <w:tcW w:w="2519" w:type="dxa"/>
          </w:tcPr>
          <w:p w14:paraId="17781F84" w14:textId="77777777" w:rsidR="00F84A8F" w:rsidRPr="00181341" w:rsidRDefault="00F84A8F" w:rsidP="002C66FC">
            <w:pPr>
              <w:autoSpaceDE w:val="0"/>
              <w:autoSpaceDN w:val="0"/>
              <w:adjustRightInd w:val="0"/>
              <w:rPr>
                <w:sz w:val="22"/>
                <w:szCs w:val="22"/>
              </w:rPr>
            </w:pPr>
          </w:p>
        </w:tc>
        <w:tc>
          <w:tcPr>
            <w:tcW w:w="2437" w:type="dxa"/>
          </w:tcPr>
          <w:p w14:paraId="765DD55B" w14:textId="77777777" w:rsidR="00F84A8F" w:rsidRPr="00181341" w:rsidRDefault="00F84A8F" w:rsidP="002C66FC">
            <w:pPr>
              <w:autoSpaceDE w:val="0"/>
              <w:autoSpaceDN w:val="0"/>
              <w:adjustRightInd w:val="0"/>
              <w:rPr>
                <w:sz w:val="22"/>
                <w:szCs w:val="22"/>
              </w:rPr>
            </w:pPr>
          </w:p>
        </w:tc>
        <w:tc>
          <w:tcPr>
            <w:tcW w:w="2438" w:type="dxa"/>
          </w:tcPr>
          <w:p w14:paraId="08CEEC10" w14:textId="77777777" w:rsidR="00F84A8F" w:rsidRPr="00181341" w:rsidRDefault="00F84A8F" w:rsidP="002C66FC">
            <w:pPr>
              <w:autoSpaceDE w:val="0"/>
              <w:autoSpaceDN w:val="0"/>
              <w:adjustRightInd w:val="0"/>
              <w:rPr>
                <w:sz w:val="22"/>
                <w:szCs w:val="22"/>
              </w:rPr>
            </w:pPr>
            <w:r w:rsidRPr="00181341">
              <w:rPr>
                <w:sz w:val="22"/>
                <w:szCs w:val="22"/>
              </w:rPr>
              <w:t>Preosjetljivost</w:t>
            </w:r>
          </w:p>
        </w:tc>
      </w:tr>
      <w:tr w:rsidR="00F84A8F" w:rsidRPr="00B02007" w14:paraId="058AE163" w14:textId="77777777" w:rsidTr="002C66FC">
        <w:trPr>
          <w:trHeight w:val="761"/>
        </w:trPr>
        <w:tc>
          <w:tcPr>
            <w:tcW w:w="2354" w:type="dxa"/>
          </w:tcPr>
          <w:p w14:paraId="70A9C1CB"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 xml:space="preserve">aji </w:t>
            </w:r>
          </w:p>
          <w:p w14:paraId="3B7C776A" w14:textId="77777777" w:rsidR="00F84A8F" w:rsidRPr="00181341" w:rsidRDefault="00F84A8F" w:rsidP="002C66FC">
            <w:pPr>
              <w:autoSpaceDE w:val="0"/>
              <w:autoSpaceDN w:val="0"/>
              <w:adjustRightInd w:val="0"/>
              <w:rPr>
                <w:sz w:val="22"/>
                <w:szCs w:val="22"/>
              </w:rPr>
            </w:pPr>
            <w:r w:rsidRPr="00181341">
              <w:rPr>
                <w:sz w:val="22"/>
                <w:szCs w:val="22"/>
              </w:rPr>
              <w:t>metabolizma i ishrane</w:t>
            </w:r>
          </w:p>
          <w:p w14:paraId="30FE024A" w14:textId="77777777" w:rsidR="00F84A8F" w:rsidRPr="00181341" w:rsidRDefault="00F84A8F" w:rsidP="002C66FC">
            <w:pPr>
              <w:autoSpaceDE w:val="0"/>
              <w:autoSpaceDN w:val="0"/>
              <w:adjustRightInd w:val="0"/>
              <w:rPr>
                <w:sz w:val="22"/>
                <w:szCs w:val="22"/>
              </w:rPr>
            </w:pPr>
          </w:p>
        </w:tc>
        <w:tc>
          <w:tcPr>
            <w:tcW w:w="2519" w:type="dxa"/>
          </w:tcPr>
          <w:p w14:paraId="1BAA9020" w14:textId="77777777" w:rsidR="00F84A8F" w:rsidRPr="00181341" w:rsidRDefault="00F84A8F" w:rsidP="002C66FC">
            <w:pPr>
              <w:autoSpaceDE w:val="0"/>
              <w:autoSpaceDN w:val="0"/>
              <w:adjustRightInd w:val="0"/>
              <w:rPr>
                <w:sz w:val="22"/>
                <w:szCs w:val="22"/>
              </w:rPr>
            </w:pPr>
            <w:r w:rsidRPr="00181341">
              <w:rPr>
                <w:sz w:val="22"/>
                <w:szCs w:val="22"/>
              </w:rPr>
              <w:t>Anoreksija (G3/4:12,0%)</w:t>
            </w:r>
          </w:p>
        </w:tc>
        <w:tc>
          <w:tcPr>
            <w:tcW w:w="2437" w:type="dxa"/>
          </w:tcPr>
          <w:p w14:paraId="7967DAC9" w14:textId="77777777" w:rsidR="00F84A8F" w:rsidRPr="00181341" w:rsidRDefault="00F84A8F" w:rsidP="002C66FC">
            <w:pPr>
              <w:autoSpaceDE w:val="0"/>
              <w:autoSpaceDN w:val="0"/>
              <w:adjustRightInd w:val="0"/>
              <w:rPr>
                <w:sz w:val="22"/>
                <w:szCs w:val="22"/>
              </w:rPr>
            </w:pPr>
          </w:p>
        </w:tc>
        <w:tc>
          <w:tcPr>
            <w:tcW w:w="2438" w:type="dxa"/>
          </w:tcPr>
          <w:p w14:paraId="204155F2" w14:textId="77777777" w:rsidR="00F84A8F" w:rsidRPr="00181341" w:rsidRDefault="00F84A8F" w:rsidP="002C66FC">
            <w:pPr>
              <w:autoSpaceDE w:val="0"/>
              <w:autoSpaceDN w:val="0"/>
              <w:adjustRightInd w:val="0"/>
              <w:rPr>
                <w:sz w:val="22"/>
                <w:szCs w:val="22"/>
              </w:rPr>
            </w:pPr>
          </w:p>
        </w:tc>
      </w:tr>
      <w:tr w:rsidR="00F84A8F" w:rsidRPr="00B02007" w14:paraId="309AD619" w14:textId="77777777" w:rsidTr="002C66FC">
        <w:trPr>
          <w:trHeight w:val="1511"/>
        </w:trPr>
        <w:tc>
          <w:tcPr>
            <w:tcW w:w="2354" w:type="dxa"/>
          </w:tcPr>
          <w:p w14:paraId="3BF5367B"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 nervnog</w:t>
            </w:r>
          </w:p>
          <w:p w14:paraId="4937EA45" w14:textId="77777777" w:rsidR="00F84A8F" w:rsidRPr="00181341" w:rsidRDefault="00F84A8F" w:rsidP="002C66FC">
            <w:pPr>
              <w:autoSpaceDE w:val="0"/>
              <w:autoSpaceDN w:val="0"/>
              <w:adjustRightInd w:val="0"/>
              <w:rPr>
                <w:sz w:val="22"/>
                <w:szCs w:val="22"/>
              </w:rPr>
            </w:pPr>
            <w:r w:rsidRPr="00181341">
              <w:rPr>
                <w:sz w:val="22"/>
                <w:szCs w:val="22"/>
              </w:rPr>
              <w:t>sistema</w:t>
            </w:r>
          </w:p>
          <w:p w14:paraId="01232DE4" w14:textId="77777777" w:rsidR="00F84A8F" w:rsidRPr="00181341" w:rsidRDefault="00F84A8F" w:rsidP="002C66FC">
            <w:pPr>
              <w:autoSpaceDE w:val="0"/>
              <w:autoSpaceDN w:val="0"/>
              <w:adjustRightInd w:val="0"/>
              <w:rPr>
                <w:sz w:val="22"/>
                <w:szCs w:val="22"/>
              </w:rPr>
            </w:pPr>
          </w:p>
        </w:tc>
        <w:tc>
          <w:tcPr>
            <w:tcW w:w="2519" w:type="dxa"/>
          </w:tcPr>
          <w:p w14:paraId="3DA4289E" w14:textId="77777777" w:rsidR="00F84A8F" w:rsidRPr="00181341" w:rsidRDefault="00F84A8F" w:rsidP="002C66FC">
            <w:pPr>
              <w:autoSpaceDE w:val="0"/>
              <w:autoSpaceDN w:val="0"/>
              <w:adjustRightInd w:val="0"/>
              <w:rPr>
                <w:sz w:val="22"/>
                <w:szCs w:val="22"/>
              </w:rPr>
            </w:pPr>
            <w:r w:rsidRPr="00181341">
              <w:rPr>
                <w:sz w:val="22"/>
                <w:szCs w:val="22"/>
              </w:rPr>
              <w:t>Disgeuzija/parosmija (G3/4: 0,4%);</w:t>
            </w:r>
          </w:p>
          <w:p w14:paraId="5DB7165B" w14:textId="77777777" w:rsidR="00F84A8F" w:rsidRPr="00181341" w:rsidRDefault="00F84A8F" w:rsidP="002C66FC">
            <w:pPr>
              <w:autoSpaceDE w:val="0"/>
              <w:autoSpaceDN w:val="0"/>
              <w:adjustRightInd w:val="0"/>
              <w:rPr>
                <w:sz w:val="22"/>
                <w:szCs w:val="22"/>
              </w:rPr>
            </w:pPr>
          </w:p>
          <w:p w14:paraId="53E18802" w14:textId="77777777" w:rsidR="00F84A8F" w:rsidRPr="00181341" w:rsidRDefault="00F84A8F" w:rsidP="002C66FC">
            <w:pPr>
              <w:autoSpaceDE w:val="0"/>
              <w:autoSpaceDN w:val="0"/>
              <w:adjustRightInd w:val="0"/>
              <w:rPr>
                <w:sz w:val="22"/>
                <w:szCs w:val="22"/>
              </w:rPr>
            </w:pPr>
            <w:r w:rsidRPr="00181341">
              <w:rPr>
                <w:sz w:val="22"/>
                <w:szCs w:val="22"/>
              </w:rPr>
              <w:t>Periferna senzorna</w:t>
            </w:r>
          </w:p>
          <w:p w14:paraId="0E2BA499" w14:textId="77777777" w:rsidR="00F84A8F" w:rsidRPr="00181341" w:rsidRDefault="00F84A8F" w:rsidP="002C66FC">
            <w:pPr>
              <w:autoSpaceDE w:val="0"/>
              <w:autoSpaceDN w:val="0"/>
              <w:adjustRightInd w:val="0"/>
              <w:rPr>
                <w:sz w:val="22"/>
                <w:szCs w:val="22"/>
              </w:rPr>
            </w:pPr>
            <w:r w:rsidRPr="00181341">
              <w:rPr>
                <w:sz w:val="22"/>
                <w:szCs w:val="22"/>
              </w:rPr>
              <w:t>neuropatija (G3/4: 1,2%)</w:t>
            </w:r>
          </w:p>
          <w:p w14:paraId="3B563C54" w14:textId="77777777" w:rsidR="00F84A8F" w:rsidRPr="00181341" w:rsidRDefault="00F84A8F" w:rsidP="002C66FC">
            <w:pPr>
              <w:autoSpaceDE w:val="0"/>
              <w:autoSpaceDN w:val="0"/>
              <w:adjustRightInd w:val="0"/>
              <w:rPr>
                <w:sz w:val="22"/>
                <w:szCs w:val="22"/>
              </w:rPr>
            </w:pPr>
          </w:p>
        </w:tc>
        <w:tc>
          <w:tcPr>
            <w:tcW w:w="2437" w:type="dxa"/>
          </w:tcPr>
          <w:p w14:paraId="76552593" w14:textId="77777777" w:rsidR="00F84A8F" w:rsidRPr="00181341" w:rsidRDefault="00F84A8F" w:rsidP="002C66FC">
            <w:pPr>
              <w:autoSpaceDE w:val="0"/>
              <w:autoSpaceDN w:val="0"/>
              <w:adjustRightInd w:val="0"/>
              <w:rPr>
                <w:sz w:val="22"/>
                <w:szCs w:val="22"/>
              </w:rPr>
            </w:pPr>
            <w:r w:rsidRPr="00181341">
              <w:rPr>
                <w:sz w:val="22"/>
                <w:szCs w:val="22"/>
              </w:rPr>
              <w:t>Vrtoglavica (G3/4: 2,0%);</w:t>
            </w:r>
          </w:p>
          <w:p w14:paraId="3B8F680C" w14:textId="77777777" w:rsidR="00F84A8F" w:rsidRPr="00181341" w:rsidRDefault="00F84A8F" w:rsidP="002C66FC">
            <w:pPr>
              <w:autoSpaceDE w:val="0"/>
              <w:autoSpaceDN w:val="0"/>
              <w:adjustRightInd w:val="0"/>
              <w:rPr>
                <w:sz w:val="22"/>
                <w:szCs w:val="22"/>
              </w:rPr>
            </w:pPr>
          </w:p>
          <w:p w14:paraId="079760B7" w14:textId="77777777" w:rsidR="00F84A8F" w:rsidRPr="00181341" w:rsidRDefault="00F84A8F" w:rsidP="002C66FC">
            <w:pPr>
              <w:autoSpaceDE w:val="0"/>
              <w:autoSpaceDN w:val="0"/>
              <w:adjustRightInd w:val="0"/>
              <w:rPr>
                <w:sz w:val="22"/>
                <w:szCs w:val="22"/>
              </w:rPr>
            </w:pPr>
            <w:r w:rsidRPr="00181341">
              <w:rPr>
                <w:sz w:val="22"/>
                <w:szCs w:val="22"/>
              </w:rPr>
              <w:t>Periferna motorna neuropatije (G3/4: 0,4%)</w:t>
            </w:r>
          </w:p>
          <w:p w14:paraId="5566037A" w14:textId="77777777" w:rsidR="00F84A8F" w:rsidRPr="00181341" w:rsidRDefault="00F84A8F" w:rsidP="002C66FC">
            <w:pPr>
              <w:autoSpaceDE w:val="0"/>
              <w:autoSpaceDN w:val="0"/>
              <w:adjustRightInd w:val="0"/>
              <w:rPr>
                <w:sz w:val="22"/>
                <w:szCs w:val="22"/>
              </w:rPr>
            </w:pPr>
          </w:p>
        </w:tc>
        <w:tc>
          <w:tcPr>
            <w:tcW w:w="2438" w:type="dxa"/>
          </w:tcPr>
          <w:p w14:paraId="45A04599" w14:textId="77777777" w:rsidR="00F84A8F" w:rsidRPr="00181341" w:rsidRDefault="00F84A8F" w:rsidP="002C66FC">
            <w:pPr>
              <w:autoSpaceDE w:val="0"/>
              <w:autoSpaceDN w:val="0"/>
              <w:adjustRightInd w:val="0"/>
              <w:rPr>
                <w:sz w:val="22"/>
                <w:szCs w:val="22"/>
              </w:rPr>
            </w:pPr>
          </w:p>
        </w:tc>
      </w:tr>
      <w:tr w:rsidR="00F84A8F" w:rsidRPr="00B02007" w14:paraId="0A8751A7" w14:textId="77777777" w:rsidTr="002C66FC">
        <w:trPr>
          <w:trHeight w:val="507"/>
        </w:trPr>
        <w:tc>
          <w:tcPr>
            <w:tcW w:w="2354" w:type="dxa"/>
          </w:tcPr>
          <w:p w14:paraId="3F145CEA"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 xml:space="preserve">aji oka </w:t>
            </w:r>
          </w:p>
          <w:p w14:paraId="0B3D6310" w14:textId="77777777" w:rsidR="00F84A8F" w:rsidRPr="00181341" w:rsidRDefault="00F84A8F" w:rsidP="002C66FC">
            <w:pPr>
              <w:autoSpaceDE w:val="0"/>
              <w:autoSpaceDN w:val="0"/>
              <w:adjustRightInd w:val="0"/>
              <w:rPr>
                <w:sz w:val="22"/>
                <w:szCs w:val="22"/>
              </w:rPr>
            </w:pPr>
          </w:p>
        </w:tc>
        <w:tc>
          <w:tcPr>
            <w:tcW w:w="2519" w:type="dxa"/>
          </w:tcPr>
          <w:p w14:paraId="4D0E1F6C" w14:textId="77777777" w:rsidR="00F84A8F" w:rsidRPr="00181341" w:rsidRDefault="00F84A8F" w:rsidP="002C66FC">
            <w:pPr>
              <w:autoSpaceDE w:val="0"/>
              <w:autoSpaceDN w:val="0"/>
              <w:adjustRightInd w:val="0"/>
              <w:rPr>
                <w:sz w:val="22"/>
                <w:szCs w:val="22"/>
              </w:rPr>
            </w:pPr>
          </w:p>
        </w:tc>
        <w:tc>
          <w:tcPr>
            <w:tcW w:w="2437" w:type="dxa"/>
          </w:tcPr>
          <w:p w14:paraId="31D85E6F" w14:textId="77777777" w:rsidR="00F84A8F" w:rsidRPr="00181341" w:rsidRDefault="00F84A8F" w:rsidP="002C66FC">
            <w:pPr>
              <w:autoSpaceDE w:val="0"/>
              <w:autoSpaceDN w:val="0"/>
              <w:adjustRightInd w:val="0"/>
              <w:rPr>
                <w:sz w:val="22"/>
                <w:szCs w:val="22"/>
              </w:rPr>
            </w:pPr>
            <w:r w:rsidRPr="00181341">
              <w:rPr>
                <w:sz w:val="22"/>
                <w:szCs w:val="22"/>
              </w:rPr>
              <w:t>Pojačano suzenje</w:t>
            </w:r>
          </w:p>
          <w:p w14:paraId="54AB86E3" w14:textId="77777777" w:rsidR="00F84A8F" w:rsidRPr="00181341" w:rsidRDefault="00F84A8F" w:rsidP="002C66FC">
            <w:pPr>
              <w:autoSpaceDE w:val="0"/>
              <w:autoSpaceDN w:val="0"/>
              <w:adjustRightInd w:val="0"/>
              <w:rPr>
                <w:sz w:val="22"/>
                <w:szCs w:val="22"/>
              </w:rPr>
            </w:pPr>
            <w:r w:rsidRPr="00181341">
              <w:rPr>
                <w:sz w:val="22"/>
                <w:szCs w:val="22"/>
              </w:rPr>
              <w:t xml:space="preserve"> </w:t>
            </w:r>
          </w:p>
        </w:tc>
        <w:tc>
          <w:tcPr>
            <w:tcW w:w="2438" w:type="dxa"/>
          </w:tcPr>
          <w:p w14:paraId="5362A601" w14:textId="77777777" w:rsidR="00F84A8F" w:rsidRPr="00181341" w:rsidRDefault="00F84A8F" w:rsidP="002C66FC">
            <w:pPr>
              <w:autoSpaceDE w:val="0"/>
              <w:autoSpaceDN w:val="0"/>
              <w:adjustRightInd w:val="0"/>
              <w:rPr>
                <w:sz w:val="22"/>
                <w:szCs w:val="22"/>
              </w:rPr>
            </w:pPr>
            <w:r w:rsidRPr="00181341">
              <w:rPr>
                <w:sz w:val="22"/>
                <w:szCs w:val="22"/>
              </w:rPr>
              <w:t>Konjunktivitis</w:t>
            </w:r>
          </w:p>
        </w:tc>
      </w:tr>
      <w:tr w:rsidR="00F84A8F" w:rsidRPr="00B02007" w14:paraId="13E41DD5" w14:textId="77777777" w:rsidTr="002C66FC">
        <w:trPr>
          <w:trHeight w:val="761"/>
        </w:trPr>
        <w:tc>
          <w:tcPr>
            <w:tcW w:w="2354" w:type="dxa"/>
          </w:tcPr>
          <w:p w14:paraId="04542C9E"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 sluha i</w:t>
            </w:r>
          </w:p>
          <w:p w14:paraId="2C405EAD" w14:textId="77777777" w:rsidR="00F84A8F" w:rsidRPr="00181341" w:rsidRDefault="00F84A8F" w:rsidP="002C66FC">
            <w:pPr>
              <w:autoSpaceDE w:val="0"/>
              <w:autoSpaceDN w:val="0"/>
              <w:adjustRightInd w:val="0"/>
              <w:rPr>
                <w:sz w:val="22"/>
                <w:szCs w:val="22"/>
              </w:rPr>
            </w:pPr>
            <w:r w:rsidRPr="00181341">
              <w:rPr>
                <w:sz w:val="22"/>
                <w:szCs w:val="22"/>
              </w:rPr>
              <w:t>lavirinta</w:t>
            </w:r>
          </w:p>
          <w:p w14:paraId="3C7CCBF2" w14:textId="77777777" w:rsidR="00F84A8F" w:rsidRPr="00181341" w:rsidRDefault="00F84A8F" w:rsidP="002C66FC">
            <w:pPr>
              <w:autoSpaceDE w:val="0"/>
              <w:autoSpaceDN w:val="0"/>
              <w:adjustRightInd w:val="0"/>
              <w:rPr>
                <w:sz w:val="22"/>
                <w:szCs w:val="22"/>
              </w:rPr>
            </w:pPr>
          </w:p>
        </w:tc>
        <w:tc>
          <w:tcPr>
            <w:tcW w:w="2519" w:type="dxa"/>
          </w:tcPr>
          <w:p w14:paraId="1AA8C621" w14:textId="77777777" w:rsidR="00F84A8F" w:rsidRPr="00181341" w:rsidRDefault="00F84A8F" w:rsidP="002C66FC">
            <w:pPr>
              <w:autoSpaceDE w:val="0"/>
              <w:autoSpaceDN w:val="0"/>
              <w:adjustRightInd w:val="0"/>
              <w:rPr>
                <w:sz w:val="22"/>
                <w:szCs w:val="22"/>
              </w:rPr>
            </w:pPr>
            <w:r w:rsidRPr="00181341">
              <w:rPr>
                <w:sz w:val="22"/>
                <w:szCs w:val="22"/>
              </w:rPr>
              <w:t>Oslabljen sluh (G3/4: 1,2%)</w:t>
            </w:r>
          </w:p>
          <w:p w14:paraId="57C590D7" w14:textId="77777777" w:rsidR="00F84A8F" w:rsidRPr="00181341" w:rsidRDefault="00F84A8F" w:rsidP="002C66FC">
            <w:pPr>
              <w:autoSpaceDE w:val="0"/>
              <w:autoSpaceDN w:val="0"/>
              <w:adjustRightInd w:val="0"/>
              <w:rPr>
                <w:sz w:val="22"/>
                <w:szCs w:val="22"/>
              </w:rPr>
            </w:pPr>
          </w:p>
        </w:tc>
        <w:tc>
          <w:tcPr>
            <w:tcW w:w="2437" w:type="dxa"/>
          </w:tcPr>
          <w:p w14:paraId="5152726E" w14:textId="77777777" w:rsidR="00F84A8F" w:rsidRPr="00181341" w:rsidRDefault="00F84A8F" w:rsidP="002C66FC">
            <w:pPr>
              <w:autoSpaceDE w:val="0"/>
              <w:autoSpaceDN w:val="0"/>
              <w:adjustRightInd w:val="0"/>
              <w:rPr>
                <w:sz w:val="22"/>
                <w:szCs w:val="22"/>
              </w:rPr>
            </w:pPr>
          </w:p>
        </w:tc>
        <w:tc>
          <w:tcPr>
            <w:tcW w:w="2438" w:type="dxa"/>
          </w:tcPr>
          <w:p w14:paraId="62FCB622" w14:textId="77777777" w:rsidR="00F84A8F" w:rsidRPr="00181341" w:rsidRDefault="00F84A8F" w:rsidP="002C66FC">
            <w:pPr>
              <w:autoSpaceDE w:val="0"/>
              <w:autoSpaceDN w:val="0"/>
              <w:adjustRightInd w:val="0"/>
              <w:rPr>
                <w:sz w:val="22"/>
                <w:szCs w:val="22"/>
              </w:rPr>
            </w:pPr>
          </w:p>
        </w:tc>
      </w:tr>
      <w:tr w:rsidR="00F84A8F" w:rsidRPr="00B02007" w14:paraId="4036AA72" w14:textId="77777777" w:rsidTr="002C66FC">
        <w:trPr>
          <w:trHeight w:val="761"/>
        </w:trPr>
        <w:tc>
          <w:tcPr>
            <w:tcW w:w="2354" w:type="dxa"/>
          </w:tcPr>
          <w:p w14:paraId="315921F0" w14:textId="77777777" w:rsidR="00F84A8F" w:rsidRPr="00181341" w:rsidRDefault="00F84A8F" w:rsidP="002C66FC">
            <w:pPr>
              <w:autoSpaceDE w:val="0"/>
              <w:autoSpaceDN w:val="0"/>
              <w:adjustRightInd w:val="0"/>
              <w:rPr>
                <w:sz w:val="22"/>
                <w:szCs w:val="22"/>
              </w:rPr>
            </w:pPr>
            <w:r w:rsidRPr="00181341">
              <w:rPr>
                <w:sz w:val="22"/>
                <w:szCs w:val="22"/>
              </w:rPr>
              <w:t>Srčani poremećaj</w:t>
            </w:r>
          </w:p>
        </w:tc>
        <w:tc>
          <w:tcPr>
            <w:tcW w:w="2519" w:type="dxa"/>
          </w:tcPr>
          <w:p w14:paraId="4377B873" w14:textId="77777777" w:rsidR="00F84A8F" w:rsidRPr="00181341" w:rsidRDefault="00F84A8F" w:rsidP="002C66FC">
            <w:pPr>
              <w:autoSpaceDE w:val="0"/>
              <w:autoSpaceDN w:val="0"/>
              <w:adjustRightInd w:val="0"/>
              <w:rPr>
                <w:sz w:val="22"/>
                <w:szCs w:val="22"/>
              </w:rPr>
            </w:pPr>
          </w:p>
        </w:tc>
        <w:tc>
          <w:tcPr>
            <w:tcW w:w="2437" w:type="dxa"/>
          </w:tcPr>
          <w:p w14:paraId="62EBD975" w14:textId="77777777" w:rsidR="00F84A8F" w:rsidRPr="00181341" w:rsidRDefault="00F84A8F" w:rsidP="002C66FC">
            <w:pPr>
              <w:autoSpaceDE w:val="0"/>
              <w:autoSpaceDN w:val="0"/>
              <w:adjustRightInd w:val="0"/>
              <w:rPr>
                <w:sz w:val="22"/>
                <w:szCs w:val="22"/>
              </w:rPr>
            </w:pPr>
            <w:r w:rsidRPr="00181341">
              <w:rPr>
                <w:sz w:val="22"/>
                <w:szCs w:val="22"/>
              </w:rPr>
              <w:t>Aritmija (G3/4: 2,0%)</w:t>
            </w:r>
          </w:p>
          <w:p w14:paraId="0D025ADD" w14:textId="77777777" w:rsidR="00F84A8F" w:rsidRPr="00181341" w:rsidRDefault="00F84A8F" w:rsidP="002C66FC">
            <w:pPr>
              <w:autoSpaceDE w:val="0"/>
              <w:autoSpaceDN w:val="0"/>
              <w:adjustRightInd w:val="0"/>
              <w:rPr>
                <w:sz w:val="22"/>
                <w:szCs w:val="22"/>
              </w:rPr>
            </w:pPr>
          </w:p>
          <w:p w14:paraId="2E647F57" w14:textId="77777777" w:rsidR="00F84A8F" w:rsidRPr="00181341" w:rsidRDefault="00F84A8F" w:rsidP="002C66FC">
            <w:pPr>
              <w:autoSpaceDE w:val="0"/>
              <w:autoSpaceDN w:val="0"/>
              <w:adjustRightInd w:val="0"/>
              <w:rPr>
                <w:sz w:val="22"/>
                <w:szCs w:val="22"/>
              </w:rPr>
            </w:pPr>
          </w:p>
        </w:tc>
        <w:tc>
          <w:tcPr>
            <w:tcW w:w="2438" w:type="dxa"/>
          </w:tcPr>
          <w:p w14:paraId="60760924" w14:textId="77777777" w:rsidR="00F84A8F" w:rsidRPr="00181341" w:rsidRDefault="00F84A8F" w:rsidP="002C66FC">
            <w:pPr>
              <w:autoSpaceDE w:val="0"/>
              <w:autoSpaceDN w:val="0"/>
              <w:adjustRightInd w:val="0"/>
              <w:rPr>
                <w:sz w:val="22"/>
                <w:szCs w:val="22"/>
              </w:rPr>
            </w:pPr>
            <w:r w:rsidRPr="00181341">
              <w:rPr>
                <w:sz w:val="22"/>
                <w:szCs w:val="22"/>
              </w:rPr>
              <w:t>Ishemija miokarda</w:t>
            </w:r>
          </w:p>
          <w:p w14:paraId="2B49906F" w14:textId="77777777" w:rsidR="00F84A8F" w:rsidRPr="00181341" w:rsidRDefault="00F84A8F" w:rsidP="002C66FC">
            <w:pPr>
              <w:autoSpaceDE w:val="0"/>
              <w:autoSpaceDN w:val="0"/>
              <w:adjustRightInd w:val="0"/>
              <w:rPr>
                <w:sz w:val="22"/>
                <w:szCs w:val="22"/>
              </w:rPr>
            </w:pPr>
          </w:p>
        </w:tc>
      </w:tr>
      <w:tr w:rsidR="00F84A8F" w:rsidRPr="00B02007" w14:paraId="29D9CB37" w14:textId="77777777" w:rsidTr="002C66FC">
        <w:trPr>
          <w:trHeight w:val="486"/>
        </w:trPr>
        <w:tc>
          <w:tcPr>
            <w:tcW w:w="2354" w:type="dxa"/>
          </w:tcPr>
          <w:p w14:paraId="0C35B321" w14:textId="77777777" w:rsidR="00F84A8F" w:rsidRPr="00181341" w:rsidRDefault="00F84A8F" w:rsidP="002C66FC">
            <w:pPr>
              <w:autoSpaceDE w:val="0"/>
              <w:autoSpaceDN w:val="0"/>
              <w:adjustRightInd w:val="0"/>
              <w:rPr>
                <w:sz w:val="22"/>
                <w:szCs w:val="22"/>
              </w:rPr>
            </w:pPr>
            <w:r w:rsidRPr="00181341">
              <w:rPr>
                <w:sz w:val="22"/>
                <w:szCs w:val="22"/>
              </w:rPr>
              <w:t>Vaskularni poreme</w:t>
            </w:r>
            <w:r w:rsidRPr="00181341">
              <w:rPr>
                <w:rFonts w:eastAsia="TimesNewRoman"/>
                <w:sz w:val="22"/>
                <w:szCs w:val="22"/>
              </w:rPr>
              <w:t>ć</w:t>
            </w:r>
            <w:r w:rsidRPr="00181341">
              <w:rPr>
                <w:sz w:val="22"/>
                <w:szCs w:val="22"/>
              </w:rPr>
              <w:t>aji</w:t>
            </w:r>
          </w:p>
        </w:tc>
        <w:tc>
          <w:tcPr>
            <w:tcW w:w="2519" w:type="dxa"/>
            <w:shd w:val="clear" w:color="auto" w:fill="auto"/>
          </w:tcPr>
          <w:p w14:paraId="0325B90E" w14:textId="77777777" w:rsidR="00F84A8F" w:rsidRPr="00181341" w:rsidRDefault="00F84A8F" w:rsidP="002C66FC">
            <w:pPr>
              <w:autoSpaceDE w:val="0"/>
              <w:autoSpaceDN w:val="0"/>
              <w:adjustRightInd w:val="0"/>
              <w:rPr>
                <w:sz w:val="22"/>
                <w:szCs w:val="22"/>
              </w:rPr>
            </w:pPr>
          </w:p>
        </w:tc>
        <w:tc>
          <w:tcPr>
            <w:tcW w:w="2437" w:type="dxa"/>
            <w:shd w:val="clear" w:color="auto" w:fill="auto"/>
          </w:tcPr>
          <w:p w14:paraId="59390D2D" w14:textId="77777777" w:rsidR="00F84A8F" w:rsidRPr="00181341" w:rsidRDefault="00F84A8F" w:rsidP="002C66FC">
            <w:pPr>
              <w:autoSpaceDE w:val="0"/>
              <w:autoSpaceDN w:val="0"/>
              <w:adjustRightInd w:val="0"/>
              <w:rPr>
                <w:sz w:val="22"/>
                <w:szCs w:val="22"/>
              </w:rPr>
            </w:pPr>
            <w:r w:rsidRPr="00181341">
              <w:rPr>
                <w:sz w:val="22"/>
                <w:szCs w:val="22"/>
              </w:rPr>
              <w:t xml:space="preserve"> </w:t>
            </w:r>
          </w:p>
        </w:tc>
        <w:tc>
          <w:tcPr>
            <w:tcW w:w="2438" w:type="dxa"/>
            <w:shd w:val="clear" w:color="auto" w:fill="auto"/>
          </w:tcPr>
          <w:p w14:paraId="7CBB4EF0" w14:textId="77777777" w:rsidR="00F84A8F" w:rsidRPr="00181341" w:rsidRDefault="00F84A8F" w:rsidP="002C66FC">
            <w:pPr>
              <w:autoSpaceDE w:val="0"/>
              <w:autoSpaceDN w:val="0"/>
              <w:adjustRightInd w:val="0"/>
              <w:rPr>
                <w:sz w:val="22"/>
                <w:szCs w:val="22"/>
              </w:rPr>
            </w:pPr>
            <w:r w:rsidRPr="00181341">
              <w:rPr>
                <w:sz w:val="22"/>
                <w:szCs w:val="22"/>
              </w:rPr>
              <w:t>Venski poreme</w:t>
            </w:r>
            <w:r w:rsidRPr="00181341">
              <w:rPr>
                <w:rFonts w:eastAsia="TimesNewRoman"/>
                <w:sz w:val="22"/>
                <w:szCs w:val="22"/>
              </w:rPr>
              <w:t>ć</w:t>
            </w:r>
            <w:r w:rsidRPr="00181341">
              <w:rPr>
                <w:sz w:val="22"/>
                <w:szCs w:val="22"/>
              </w:rPr>
              <w:t>aji</w:t>
            </w:r>
          </w:p>
          <w:p w14:paraId="38D04AFE" w14:textId="77777777" w:rsidR="00F84A8F" w:rsidRPr="00181341" w:rsidRDefault="00F84A8F" w:rsidP="002C66FC">
            <w:pPr>
              <w:autoSpaceDE w:val="0"/>
              <w:autoSpaceDN w:val="0"/>
              <w:adjustRightInd w:val="0"/>
              <w:rPr>
                <w:sz w:val="22"/>
                <w:szCs w:val="22"/>
              </w:rPr>
            </w:pPr>
          </w:p>
        </w:tc>
      </w:tr>
      <w:tr w:rsidR="00F84A8F" w:rsidRPr="00B02007" w14:paraId="56BE7507" w14:textId="77777777" w:rsidTr="002C66FC">
        <w:trPr>
          <w:trHeight w:val="488"/>
        </w:trPr>
        <w:tc>
          <w:tcPr>
            <w:tcW w:w="2354" w:type="dxa"/>
          </w:tcPr>
          <w:p w14:paraId="2355C7C3" w14:textId="77777777" w:rsidR="00F84A8F" w:rsidRPr="00181341" w:rsidRDefault="00F84A8F" w:rsidP="002C66FC">
            <w:pPr>
              <w:autoSpaceDE w:val="0"/>
              <w:autoSpaceDN w:val="0"/>
              <w:adjustRightInd w:val="0"/>
              <w:rPr>
                <w:sz w:val="22"/>
                <w:szCs w:val="22"/>
              </w:rPr>
            </w:pPr>
            <w:r w:rsidRPr="00181341">
              <w:rPr>
                <w:sz w:val="22"/>
                <w:szCs w:val="22"/>
              </w:rPr>
              <w:t>Gastrointestinalni</w:t>
            </w:r>
          </w:p>
          <w:p w14:paraId="2CDD41F5"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w:t>
            </w:r>
          </w:p>
          <w:p w14:paraId="3F381DBC" w14:textId="77777777" w:rsidR="00F84A8F" w:rsidRPr="00181341" w:rsidRDefault="00F84A8F" w:rsidP="002C66FC">
            <w:pPr>
              <w:autoSpaceDE w:val="0"/>
              <w:autoSpaceDN w:val="0"/>
              <w:adjustRightInd w:val="0"/>
              <w:rPr>
                <w:sz w:val="22"/>
                <w:szCs w:val="22"/>
              </w:rPr>
            </w:pPr>
          </w:p>
        </w:tc>
        <w:tc>
          <w:tcPr>
            <w:tcW w:w="2519" w:type="dxa"/>
            <w:shd w:val="clear" w:color="auto" w:fill="auto"/>
          </w:tcPr>
          <w:p w14:paraId="66D984F2" w14:textId="77777777" w:rsidR="00F84A8F" w:rsidRPr="00181341" w:rsidRDefault="00F84A8F" w:rsidP="002C66FC">
            <w:pPr>
              <w:autoSpaceDE w:val="0"/>
              <w:autoSpaceDN w:val="0"/>
              <w:adjustRightInd w:val="0"/>
              <w:rPr>
                <w:sz w:val="22"/>
                <w:szCs w:val="22"/>
              </w:rPr>
            </w:pPr>
            <w:r w:rsidRPr="00181341">
              <w:rPr>
                <w:sz w:val="22"/>
                <w:szCs w:val="22"/>
              </w:rPr>
              <w:t>Mu</w:t>
            </w:r>
            <w:r w:rsidRPr="00181341">
              <w:rPr>
                <w:rFonts w:eastAsia="TimesNewRoman"/>
                <w:sz w:val="22"/>
                <w:szCs w:val="22"/>
              </w:rPr>
              <w:t>č</w:t>
            </w:r>
            <w:r w:rsidRPr="00181341">
              <w:rPr>
                <w:sz w:val="22"/>
                <w:szCs w:val="22"/>
              </w:rPr>
              <w:t>nina (G3/4: 13,9%);</w:t>
            </w:r>
          </w:p>
          <w:p w14:paraId="41CE14FA" w14:textId="77777777" w:rsidR="00F84A8F" w:rsidRPr="00181341" w:rsidRDefault="00F84A8F" w:rsidP="002C66FC">
            <w:pPr>
              <w:autoSpaceDE w:val="0"/>
              <w:autoSpaceDN w:val="0"/>
              <w:adjustRightInd w:val="0"/>
              <w:rPr>
                <w:sz w:val="22"/>
                <w:szCs w:val="22"/>
              </w:rPr>
            </w:pPr>
          </w:p>
          <w:p w14:paraId="1A07853A" w14:textId="77777777" w:rsidR="00F84A8F" w:rsidRPr="00181341" w:rsidRDefault="00F84A8F" w:rsidP="002C66FC">
            <w:pPr>
              <w:autoSpaceDE w:val="0"/>
              <w:autoSpaceDN w:val="0"/>
              <w:adjustRightInd w:val="0"/>
              <w:rPr>
                <w:sz w:val="22"/>
                <w:szCs w:val="22"/>
              </w:rPr>
            </w:pPr>
            <w:r w:rsidRPr="00181341">
              <w:rPr>
                <w:sz w:val="22"/>
                <w:szCs w:val="22"/>
              </w:rPr>
              <w:t>Stomatitis (G3/4: 20,7%);</w:t>
            </w:r>
          </w:p>
          <w:p w14:paraId="2D8EC3B5" w14:textId="77777777" w:rsidR="00F84A8F" w:rsidRPr="00181341" w:rsidRDefault="00F84A8F" w:rsidP="002C66FC">
            <w:pPr>
              <w:autoSpaceDE w:val="0"/>
              <w:autoSpaceDN w:val="0"/>
              <w:adjustRightInd w:val="0"/>
              <w:rPr>
                <w:sz w:val="22"/>
                <w:szCs w:val="22"/>
              </w:rPr>
            </w:pPr>
          </w:p>
          <w:p w14:paraId="58F6D516" w14:textId="77777777" w:rsidR="00F84A8F" w:rsidRPr="00181341" w:rsidRDefault="00F84A8F" w:rsidP="002C66FC">
            <w:pPr>
              <w:autoSpaceDE w:val="0"/>
              <w:autoSpaceDN w:val="0"/>
              <w:adjustRightInd w:val="0"/>
              <w:rPr>
                <w:sz w:val="22"/>
                <w:szCs w:val="22"/>
              </w:rPr>
            </w:pPr>
            <w:r w:rsidRPr="00181341">
              <w:rPr>
                <w:sz w:val="22"/>
                <w:szCs w:val="22"/>
              </w:rPr>
              <w:t>Povraćanje (G3/4: 8,4%);</w:t>
            </w:r>
          </w:p>
          <w:p w14:paraId="1059A122" w14:textId="77777777" w:rsidR="00F84A8F" w:rsidRPr="00181341" w:rsidRDefault="00F84A8F" w:rsidP="002C66FC">
            <w:pPr>
              <w:autoSpaceDE w:val="0"/>
              <w:autoSpaceDN w:val="0"/>
              <w:adjustRightInd w:val="0"/>
              <w:rPr>
                <w:sz w:val="22"/>
                <w:szCs w:val="22"/>
              </w:rPr>
            </w:pPr>
          </w:p>
          <w:p w14:paraId="59875DA8" w14:textId="77777777" w:rsidR="00F84A8F" w:rsidRPr="00181341" w:rsidRDefault="00F84A8F" w:rsidP="002C66FC">
            <w:pPr>
              <w:autoSpaceDE w:val="0"/>
              <w:autoSpaceDN w:val="0"/>
              <w:adjustRightInd w:val="0"/>
              <w:rPr>
                <w:sz w:val="22"/>
                <w:szCs w:val="22"/>
              </w:rPr>
            </w:pPr>
            <w:r w:rsidRPr="00181341">
              <w:rPr>
                <w:sz w:val="22"/>
                <w:szCs w:val="22"/>
              </w:rPr>
              <w:t>Dijareja (G3/4: 6,8%);</w:t>
            </w:r>
          </w:p>
          <w:p w14:paraId="3920DABC" w14:textId="77777777" w:rsidR="00F84A8F" w:rsidRPr="00181341" w:rsidRDefault="00F84A8F" w:rsidP="002C66FC">
            <w:pPr>
              <w:autoSpaceDE w:val="0"/>
              <w:autoSpaceDN w:val="0"/>
              <w:adjustRightInd w:val="0"/>
              <w:rPr>
                <w:sz w:val="22"/>
                <w:szCs w:val="22"/>
              </w:rPr>
            </w:pPr>
          </w:p>
          <w:p w14:paraId="3C743CEF" w14:textId="77777777" w:rsidR="00F84A8F" w:rsidRPr="00181341" w:rsidRDefault="00F84A8F" w:rsidP="002C66FC">
            <w:pPr>
              <w:autoSpaceDE w:val="0"/>
              <w:autoSpaceDN w:val="0"/>
              <w:adjustRightInd w:val="0"/>
              <w:rPr>
                <w:sz w:val="22"/>
                <w:szCs w:val="22"/>
              </w:rPr>
            </w:pPr>
            <w:r w:rsidRPr="00181341">
              <w:rPr>
                <w:sz w:val="22"/>
                <w:szCs w:val="22"/>
              </w:rPr>
              <w:t>Ezofagitis/disfagija/bol</w:t>
            </w:r>
          </w:p>
          <w:p w14:paraId="5252601C" w14:textId="77777777" w:rsidR="00F84A8F" w:rsidRPr="00181341" w:rsidRDefault="00F84A8F" w:rsidP="002C66FC">
            <w:pPr>
              <w:autoSpaceDE w:val="0"/>
              <w:autoSpaceDN w:val="0"/>
              <w:adjustRightInd w:val="0"/>
              <w:rPr>
                <w:sz w:val="22"/>
                <w:szCs w:val="22"/>
              </w:rPr>
            </w:pPr>
            <w:r w:rsidRPr="00181341">
              <w:rPr>
                <w:sz w:val="22"/>
                <w:szCs w:val="22"/>
              </w:rPr>
              <w:lastRenderedPageBreak/>
              <w:t>pri gutanju (G3/4: 12,0%);</w:t>
            </w:r>
          </w:p>
          <w:p w14:paraId="3D3DF05B" w14:textId="77777777" w:rsidR="00F84A8F" w:rsidRPr="00181341" w:rsidRDefault="00F84A8F" w:rsidP="002C66FC">
            <w:pPr>
              <w:autoSpaceDE w:val="0"/>
              <w:autoSpaceDN w:val="0"/>
              <w:adjustRightInd w:val="0"/>
              <w:rPr>
                <w:sz w:val="22"/>
                <w:szCs w:val="22"/>
              </w:rPr>
            </w:pPr>
          </w:p>
          <w:p w14:paraId="0C3AB944" w14:textId="77777777" w:rsidR="00F84A8F" w:rsidRPr="00181341" w:rsidRDefault="00F84A8F" w:rsidP="002C66FC">
            <w:pPr>
              <w:autoSpaceDE w:val="0"/>
              <w:autoSpaceDN w:val="0"/>
              <w:adjustRightInd w:val="0"/>
              <w:rPr>
                <w:sz w:val="22"/>
                <w:szCs w:val="22"/>
              </w:rPr>
            </w:pPr>
          </w:p>
          <w:p w14:paraId="43E20FE3" w14:textId="77777777" w:rsidR="00F84A8F" w:rsidRPr="00181341" w:rsidRDefault="00F84A8F" w:rsidP="002C66FC">
            <w:pPr>
              <w:autoSpaceDE w:val="0"/>
              <w:autoSpaceDN w:val="0"/>
              <w:adjustRightInd w:val="0"/>
              <w:rPr>
                <w:sz w:val="22"/>
                <w:szCs w:val="22"/>
              </w:rPr>
            </w:pPr>
            <w:r w:rsidRPr="00181341">
              <w:rPr>
                <w:sz w:val="22"/>
                <w:szCs w:val="22"/>
              </w:rPr>
              <w:t>Opstipacija (G3/4: 0,4%)</w:t>
            </w:r>
          </w:p>
          <w:p w14:paraId="52885B6B" w14:textId="77777777" w:rsidR="00F84A8F" w:rsidRPr="00181341" w:rsidRDefault="00F84A8F" w:rsidP="002C66FC">
            <w:pPr>
              <w:autoSpaceDE w:val="0"/>
              <w:autoSpaceDN w:val="0"/>
              <w:adjustRightInd w:val="0"/>
              <w:rPr>
                <w:sz w:val="22"/>
                <w:szCs w:val="22"/>
              </w:rPr>
            </w:pPr>
          </w:p>
        </w:tc>
        <w:tc>
          <w:tcPr>
            <w:tcW w:w="2437" w:type="dxa"/>
            <w:shd w:val="clear" w:color="auto" w:fill="auto"/>
          </w:tcPr>
          <w:p w14:paraId="5427FD8C" w14:textId="77777777" w:rsidR="00F84A8F" w:rsidRPr="00181341" w:rsidRDefault="00F84A8F" w:rsidP="002C66FC">
            <w:pPr>
              <w:autoSpaceDE w:val="0"/>
              <w:autoSpaceDN w:val="0"/>
              <w:adjustRightInd w:val="0"/>
              <w:rPr>
                <w:sz w:val="22"/>
                <w:szCs w:val="22"/>
              </w:rPr>
            </w:pPr>
            <w:r w:rsidRPr="00181341">
              <w:rPr>
                <w:sz w:val="22"/>
                <w:szCs w:val="22"/>
              </w:rPr>
              <w:lastRenderedPageBreak/>
              <w:t>Dispepsija (G3/4: 0,8%);</w:t>
            </w:r>
          </w:p>
          <w:p w14:paraId="1D36D05C" w14:textId="77777777" w:rsidR="00F84A8F" w:rsidRPr="00181341" w:rsidRDefault="00F84A8F" w:rsidP="002C66FC">
            <w:pPr>
              <w:autoSpaceDE w:val="0"/>
              <w:autoSpaceDN w:val="0"/>
              <w:adjustRightInd w:val="0"/>
              <w:rPr>
                <w:sz w:val="22"/>
                <w:szCs w:val="22"/>
              </w:rPr>
            </w:pPr>
          </w:p>
          <w:p w14:paraId="5AE40D7F" w14:textId="77777777" w:rsidR="00F84A8F" w:rsidRPr="00181341" w:rsidRDefault="00F84A8F" w:rsidP="002C66FC">
            <w:pPr>
              <w:autoSpaceDE w:val="0"/>
              <w:autoSpaceDN w:val="0"/>
              <w:adjustRightInd w:val="0"/>
              <w:rPr>
                <w:sz w:val="22"/>
                <w:szCs w:val="22"/>
              </w:rPr>
            </w:pPr>
            <w:r w:rsidRPr="00181341">
              <w:rPr>
                <w:sz w:val="22"/>
                <w:szCs w:val="22"/>
              </w:rPr>
              <w:t>Gastrointestinalni bol</w:t>
            </w:r>
          </w:p>
          <w:p w14:paraId="79E6A430" w14:textId="77777777" w:rsidR="00F84A8F" w:rsidRPr="00181341" w:rsidRDefault="00F84A8F" w:rsidP="002C66FC">
            <w:pPr>
              <w:autoSpaceDE w:val="0"/>
              <w:autoSpaceDN w:val="0"/>
              <w:adjustRightInd w:val="0"/>
              <w:rPr>
                <w:sz w:val="22"/>
                <w:szCs w:val="22"/>
              </w:rPr>
            </w:pPr>
            <w:r w:rsidRPr="00181341">
              <w:rPr>
                <w:sz w:val="22"/>
                <w:szCs w:val="22"/>
              </w:rPr>
              <w:t>(G3/4: 1,2%);</w:t>
            </w:r>
          </w:p>
          <w:p w14:paraId="2035CA96" w14:textId="77777777" w:rsidR="00F84A8F" w:rsidRPr="00181341" w:rsidRDefault="00F84A8F" w:rsidP="002C66FC">
            <w:pPr>
              <w:autoSpaceDE w:val="0"/>
              <w:autoSpaceDN w:val="0"/>
              <w:adjustRightInd w:val="0"/>
              <w:rPr>
                <w:sz w:val="22"/>
                <w:szCs w:val="22"/>
              </w:rPr>
            </w:pPr>
          </w:p>
          <w:p w14:paraId="4AA9ADCA" w14:textId="77777777" w:rsidR="00F84A8F" w:rsidRPr="00181341" w:rsidRDefault="00F84A8F" w:rsidP="002C66FC">
            <w:pPr>
              <w:autoSpaceDE w:val="0"/>
              <w:autoSpaceDN w:val="0"/>
              <w:adjustRightInd w:val="0"/>
              <w:rPr>
                <w:sz w:val="22"/>
                <w:szCs w:val="22"/>
              </w:rPr>
            </w:pPr>
            <w:r w:rsidRPr="00181341">
              <w:rPr>
                <w:sz w:val="22"/>
                <w:szCs w:val="22"/>
              </w:rPr>
              <w:t>Gastrointestinalno</w:t>
            </w:r>
          </w:p>
          <w:p w14:paraId="6A7CFB4B" w14:textId="77777777" w:rsidR="00F84A8F" w:rsidRPr="00181341" w:rsidRDefault="00F84A8F" w:rsidP="002C66FC">
            <w:pPr>
              <w:autoSpaceDE w:val="0"/>
              <w:autoSpaceDN w:val="0"/>
              <w:adjustRightInd w:val="0"/>
              <w:rPr>
                <w:sz w:val="22"/>
                <w:szCs w:val="22"/>
              </w:rPr>
            </w:pPr>
            <w:r w:rsidRPr="00181341">
              <w:rPr>
                <w:sz w:val="22"/>
                <w:szCs w:val="22"/>
              </w:rPr>
              <w:t>krvarenje (G3/4: 0,4%)</w:t>
            </w:r>
          </w:p>
          <w:p w14:paraId="57C14F13" w14:textId="77777777" w:rsidR="00F84A8F" w:rsidRPr="00181341" w:rsidRDefault="00F84A8F" w:rsidP="002C66FC">
            <w:pPr>
              <w:autoSpaceDE w:val="0"/>
              <w:autoSpaceDN w:val="0"/>
              <w:adjustRightInd w:val="0"/>
              <w:rPr>
                <w:sz w:val="22"/>
                <w:szCs w:val="22"/>
              </w:rPr>
            </w:pPr>
          </w:p>
        </w:tc>
        <w:tc>
          <w:tcPr>
            <w:tcW w:w="2438" w:type="dxa"/>
            <w:shd w:val="clear" w:color="auto" w:fill="auto"/>
          </w:tcPr>
          <w:p w14:paraId="2E037C25" w14:textId="77777777" w:rsidR="00F84A8F" w:rsidRPr="00181341" w:rsidRDefault="00F84A8F" w:rsidP="002C66FC">
            <w:pPr>
              <w:autoSpaceDE w:val="0"/>
              <w:autoSpaceDN w:val="0"/>
              <w:adjustRightInd w:val="0"/>
              <w:rPr>
                <w:sz w:val="22"/>
                <w:szCs w:val="22"/>
              </w:rPr>
            </w:pPr>
          </w:p>
        </w:tc>
      </w:tr>
      <w:tr w:rsidR="00F84A8F" w:rsidRPr="00B02007" w14:paraId="71C4D17B" w14:textId="77777777" w:rsidTr="002C66FC">
        <w:trPr>
          <w:trHeight w:val="487"/>
        </w:trPr>
        <w:tc>
          <w:tcPr>
            <w:tcW w:w="2354" w:type="dxa"/>
          </w:tcPr>
          <w:p w14:paraId="639C625C" w14:textId="77777777" w:rsidR="00F84A8F" w:rsidRPr="00181341" w:rsidRDefault="00F84A8F" w:rsidP="002C66FC">
            <w:pPr>
              <w:autoSpaceDE w:val="0"/>
              <w:autoSpaceDN w:val="0"/>
              <w:adjustRightInd w:val="0"/>
              <w:rPr>
                <w:sz w:val="22"/>
                <w:szCs w:val="22"/>
              </w:rPr>
            </w:pPr>
          </w:p>
        </w:tc>
        <w:tc>
          <w:tcPr>
            <w:tcW w:w="2519" w:type="dxa"/>
            <w:shd w:val="clear" w:color="auto" w:fill="auto"/>
          </w:tcPr>
          <w:p w14:paraId="017654F1" w14:textId="77777777" w:rsidR="00F84A8F" w:rsidRPr="00181341" w:rsidRDefault="00F84A8F" w:rsidP="002C66FC">
            <w:pPr>
              <w:autoSpaceDE w:val="0"/>
              <w:autoSpaceDN w:val="0"/>
              <w:adjustRightInd w:val="0"/>
              <w:rPr>
                <w:sz w:val="22"/>
                <w:szCs w:val="22"/>
              </w:rPr>
            </w:pPr>
          </w:p>
        </w:tc>
        <w:tc>
          <w:tcPr>
            <w:tcW w:w="2437" w:type="dxa"/>
            <w:shd w:val="clear" w:color="auto" w:fill="auto"/>
          </w:tcPr>
          <w:p w14:paraId="33A55C25" w14:textId="77777777" w:rsidR="00F84A8F" w:rsidRPr="00181341" w:rsidRDefault="00F84A8F" w:rsidP="002C66FC">
            <w:pPr>
              <w:autoSpaceDE w:val="0"/>
              <w:autoSpaceDN w:val="0"/>
              <w:adjustRightInd w:val="0"/>
              <w:rPr>
                <w:sz w:val="22"/>
                <w:szCs w:val="22"/>
              </w:rPr>
            </w:pPr>
          </w:p>
        </w:tc>
        <w:tc>
          <w:tcPr>
            <w:tcW w:w="2438" w:type="dxa"/>
            <w:shd w:val="clear" w:color="auto" w:fill="auto"/>
          </w:tcPr>
          <w:p w14:paraId="69CCD2EE" w14:textId="77777777" w:rsidR="00F84A8F" w:rsidRPr="00181341" w:rsidRDefault="00F84A8F" w:rsidP="002C66FC">
            <w:pPr>
              <w:autoSpaceDE w:val="0"/>
              <w:autoSpaceDN w:val="0"/>
              <w:adjustRightInd w:val="0"/>
              <w:rPr>
                <w:sz w:val="22"/>
                <w:szCs w:val="22"/>
              </w:rPr>
            </w:pPr>
          </w:p>
        </w:tc>
      </w:tr>
      <w:tr w:rsidR="00F84A8F" w:rsidRPr="00B02007" w14:paraId="43967A54" w14:textId="77777777" w:rsidTr="002C66FC">
        <w:trPr>
          <w:trHeight w:val="1015"/>
        </w:trPr>
        <w:tc>
          <w:tcPr>
            <w:tcW w:w="2354" w:type="dxa"/>
          </w:tcPr>
          <w:p w14:paraId="26A55C1D"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 kože i</w:t>
            </w:r>
          </w:p>
          <w:p w14:paraId="30CB84E6" w14:textId="77777777" w:rsidR="00F84A8F" w:rsidRPr="00181341" w:rsidRDefault="00F84A8F" w:rsidP="002C66FC">
            <w:pPr>
              <w:autoSpaceDE w:val="0"/>
              <w:autoSpaceDN w:val="0"/>
              <w:adjustRightInd w:val="0"/>
              <w:rPr>
                <w:sz w:val="22"/>
                <w:szCs w:val="22"/>
              </w:rPr>
            </w:pPr>
            <w:r w:rsidRPr="00181341">
              <w:rPr>
                <w:sz w:val="22"/>
                <w:szCs w:val="22"/>
              </w:rPr>
              <w:t xml:space="preserve">potkožnog tkiva </w:t>
            </w:r>
          </w:p>
          <w:p w14:paraId="0AB64685" w14:textId="77777777" w:rsidR="00F84A8F" w:rsidRPr="00181341" w:rsidRDefault="00F84A8F" w:rsidP="002C66FC">
            <w:pPr>
              <w:autoSpaceDE w:val="0"/>
              <w:autoSpaceDN w:val="0"/>
              <w:adjustRightInd w:val="0"/>
              <w:rPr>
                <w:sz w:val="22"/>
                <w:szCs w:val="22"/>
              </w:rPr>
            </w:pPr>
          </w:p>
        </w:tc>
        <w:tc>
          <w:tcPr>
            <w:tcW w:w="2519" w:type="dxa"/>
          </w:tcPr>
          <w:p w14:paraId="0DBC236D" w14:textId="77777777" w:rsidR="00F84A8F" w:rsidRPr="00181341" w:rsidRDefault="00F84A8F" w:rsidP="002C66FC">
            <w:pPr>
              <w:autoSpaceDE w:val="0"/>
              <w:autoSpaceDN w:val="0"/>
              <w:adjustRightInd w:val="0"/>
              <w:rPr>
                <w:sz w:val="22"/>
                <w:szCs w:val="22"/>
              </w:rPr>
            </w:pPr>
            <w:r w:rsidRPr="00181341">
              <w:rPr>
                <w:sz w:val="22"/>
                <w:szCs w:val="22"/>
              </w:rPr>
              <w:t>Alopecija (G3/4: 4,0%);</w:t>
            </w:r>
          </w:p>
          <w:p w14:paraId="05A7CE8A" w14:textId="77777777" w:rsidR="00F84A8F" w:rsidRPr="00181341" w:rsidRDefault="00F84A8F" w:rsidP="002C66FC">
            <w:pPr>
              <w:autoSpaceDE w:val="0"/>
              <w:autoSpaceDN w:val="0"/>
              <w:adjustRightInd w:val="0"/>
              <w:rPr>
                <w:sz w:val="22"/>
                <w:szCs w:val="22"/>
              </w:rPr>
            </w:pPr>
          </w:p>
          <w:p w14:paraId="11AB319E" w14:textId="77777777" w:rsidR="00F84A8F" w:rsidRPr="00181341" w:rsidRDefault="00F84A8F" w:rsidP="002C66FC">
            <w:pPr>
              <w:autoSpaceDE w:val="0"/>
              <w:autoSpaceDN w:val="0"/>
              <w:adjustRightInd w:val="0"/>
              <w:rPr>
                <w:sz w:val="22"/>
                <w:szCs w:val="22"/>
              </w:rPr>
            </w:pPr>
            <w:r w:rsidRPr="00181341">
              <w:rPr>
                <w:sz w:val="22"/>
                <w:szCs w:val="22"/>
              </w:rPr>
              <w:t>Pruriti</w:t>
            </w:r>
            <w:r w:rsidRPr="00181341">
              <w:rPr>
                <w:rFonts w:eastAsia="TimesNewRoman"/>
                <w:sz w:val="22"/>
                <w:szCs w:val="22"/>
              </w:rPr>
              <w:t>č</w:t>
            </w:r>
            <w:r w:rsidRPr="00181341">
              <w:rPr>
                <w:sz w:val="22"/>
                <w:szCs w:val="22"/>
              </w:rPr>
              <w:t>ni osip</w:t>
            </w:r>
          </w:p>
          <w:p w14:paraId="6F9B37B0" w14:textId="77777777" w:rsidR="00F84A8F" w:rsidRPr="00181341" w:rsidRDefault="00F84A8F" w:rsidP="002C66FC">
            <w:pPr>
              <w:autoSpaceDE w:val="0"/>
              <w:autoSpaceDN w:val="0"/>
              <w:adjustRightInd w:val="0"/>
              <w:rPr>
                <w:sz w:val="22"/>
                <w:szCs w:val="22"/>
              </w:rPr>
            </w:pPr>
          </w:p>
        </w:tc>
        <w:tc>
          <w:tcPr>
            <w:tcW w:w="2437" w:type="dxa"/>
          </w:tcPr>
          <w:p w14:paraId="30B44B1B" w14:textId="77777777" w:rsidR="00F84A8F" w:rsidRPr="00181341" w:rsidRDefault="00F84A8F" w:rsidP="002C66FC">
            <w:pPr>
              <w:autoSpaceDE w:val="0"/>
              <w:autoSpaceDN w:val="0"/>
              <w:adjustRightInd w:val="0"/>
              <w:rPr>
                <w:sz w:val="22"/>
                <w:szCs w:val="22"/>
              </w:rPr>
            </w:pPr>
            <w:r w:rsidRPr="00181341">
              <w:rPr>
                <w:sz w:val="22"/>
                <w:szCs w:val="22"/>
              </w:rPr>
              <w:t>Suva koža;</w:t>
            </w:r>
          </w:p>
          <w:p w14:paraId="0FB22181" w14:textId="77777777" w:rsidR="00F84A8F" w:rsidRPr="00181341" w:rsidRDefault="00F84A8F" w:rsidP="002C66FC">
            <w:pPr>
              <w:autoSpaceDE w:val="0"/>
              <w:autoSpaceDN w:val="0"/>
              <w:adjustRightInd w:val="0"/>
              <w:rPr>
                <w:sz w:val="22"/>
                <w:szCs w:val="22"/>
              </w:rPr>
            </w:pPr>
          </w:p>
          <w:p w14:paraId="3FBC0B69" w14:textId="77777777" w:rsidR="00F84A8F" w:rsidRPr="00181341" w:rsidRDefault="00F84A8F" w:rsidP="002C66FC">
            <w:pPr>
              <w:autoSpaceDE w:val="0"/>
              <w:autoSpaceDN w:val="0"/>
              <w:adjustRightInd w:val="0"/>
              <w:rPr>
                <w:sz w:val="22"/>
                <w:szCs w:val="22"/>
              </w:rPr>
            </w:pPr>
            <w:r w:rsidRPr="00181341">
              <w:rPr>
                <w:sz w:val="22"/>
                <w:szCs w:val="22"/>
              </w:rPr>
              <w:t>Deskvamacija kože</w:t>
            </w:r>
          </w:p>
        </w:tc>
        <w:tc>
          <w:tcPr>
            <w:tcW w:w="2438" w:type="dxa"/>
          </w:tcPr>
          <w:p w14:paraId="2C0E81CE" w14:textId="77777777" w:rsidR="00F84A8F" w:rsidRPr="00181341" w:rsidRDefault="00F84A8F" w:rsidP="002C66FC">
            <w:pPr>
              <w:autoSpaceDE w:val="0"/>
              <w:autoSpaceDN w:val="0"/>
              <w:adjustRightInd w:val="0"/>
              <w:rPr>
                <w:sz w:val="22"/>
                <w:szCs w:val="22"/>
              </w:rPr>
            </w:pPr>
          </w:p>
        </w:tc>
      </w:tr>
      <w:tr w:rsidR="00F84A8F" w:rsidRPr="00B02007" w14:paraId="2C5098A0" w14:textId="77777777" w:rsidTr="002C66FC">
        <w:trPr>
          <w:trHeight w:val="495"/>
        </w:trPr>
        <w:tc>
          <w:tcPr>
            <w:tcW w:w="2354" w:type="dxa"/>
          </w:tcPr>
          <w:p w14:paraId="7EDFAEB8" w14:textId="77777777" w:rsidR="00F84A8F" w:rsidRPr="00181341" w:rsidRDefault="00F84A8F" w:rsidP="002C66FC">
            <w:pPr>
              <w:autoSpaceDE w:val="0"/>
              <w:autoSpaceDN w:val="0"/>
              <w:adjustRightInd w:val="0"/>
              <w:rPr>
                <w:sz w:val="22"/>
                <w:szCs w:val="22"/>
              </w:rPr>
            </w:pPr>
            <w:r w:rsidRPr="00181341">
              <w:rPr>
                <w:sz w:val="22"/>
                <w:szCs w:val="22"/>
              </w:rPr>
              <w:t>Poreme</w:t>
            </w:r>
            <w:r w:rsidRPr="00181341">
              <w:rPr>
                <w:rFonts w:eastAsia="TimesNewRoman"/>
                <w:sz w:val="22"/>
                <w:szCs w:val="22"/>
              </w:rPr>
              <w:t>ć</w:t>
            </w:r>
            <w:r w:rsidRPr="00181341">
              <w:rPr>
                <w:sz w:val="22"/>
                <w:szCs w:val="22"/>
              </w:rPr>
              <w:t>aji</w:t>
            </w:r>
          </w:p>
          <w:p w14:paraId="663ED09D" w14:textId="77777777" w:rsidR="00F84A8F" w:rsidRPr="00181341" w:rsidRDefault="00F84A8F" w:rsidP="002C66FC">
            <w:pPr>
              <w:autoSpaceDE w:val="0"/>
              <w:autoSpaceDN w:val="0"/>
              <w:adjustRightInd w:val="0"/>
              <w:rPr>
                <w:sz w:val="22"/>
                <w:szCs w:val="22"/>
              </w:rPr>
            </w:pPr>
            <w:r w:rsidRPr="00181341">
              <w:rPr>
                <w:sz w:val="22"/>
                <w:szCs w:val="22"/>
              </w:rPr>
              <w:t>miši</w:t>
            </w:r>
            <w:r w:rsidRPr="00181341">
              <w:rPr>
                <w:rFonts w:eastAsia="TimesNewRoman"/>
                <w:sz w:val="22"/>
                <w:szCs w:val="22"/>
              </w:rPr>
              <w:t>ć</w:t>
            </w:r>
            <w:r w:rsidRPr="00181341">
              <w:rPr>
                <w:sz w:val="22"/>
                <w:szCs w:val="22"/>
              </w:rPr>
              <w:t>noskeletnog</w:t>
            </w:r>
          </w:p>
          <w:p w14:paraId="12D5F5F9" w14:textId="77777777" w:rsidR="00F84A8F" w:rsidRPr="00181341" w:rsidRDefault="00F84A8F" w:rsidP="002C66FC">
            <w:pPr>
              <w:autoSpaceDE w:val="0"/>
              <w:autoSpaceDN w:val="0"/>
              <w:adjustRightInd w:val="0"/>
              <w:rPr>
                <w:sz w:val="22"/>
                <w:szCs w:val="22"/>
              </w:rPr>
            </w:pPr>
            <w:r w:rsidRPr="00181341">
              <w:rPr>
                <w:sz w:val="22"/>
                <w:szCs w:val="22"/>
              </w:rPr>
              <w:t>sistema i vezivnog tkiva</w:t>
            </w:r>
          </w:p>
          <w:p w14:paraId="354A0A41" w14:textId="77777777" w:rsidR="00F84A8F" w:rsidRPr="00181341" w:rsidRDefault="00F84A8F" w:rsidP="002C66FC">
            <w:pPr>
              <w:autoSpaceDE w:val="0"/>
              <w:autoSpaceDN w:val="0"/>
              <w:adjustRightInd w:val="0"/>
              <w:rPr>
                <w:sz w:val="22"/>
                <w:szCs w:val="22"/>
              </w:rPr>
            </w:pPr>
          </w:p>
        </w:tc>
        <w:tc>
          <w:tcPr>
            <w:tcW w:w="2519" w:type="dxa"/>
          </w:tcPr>
          <w:p w14:paraId="74782D50" w14:textId="77777777" w:rsidR="00F84A8F" w:rsidRPr="00181341" w:rsidRDefault="00F84A8F" w:rsidP="002C66FC">
            <w:pPr>
              <w:autoSpaceDE w:val="0"/>
              <w:autoSpaceDN w:val="0"/>
              <w:adjustRightInd w:val="0"/>
              <w:rPr>
                <w:sz w:val="22"/>
                <w:szCs w:val="22"/>
              </w:rPr>
            </w:pPr>
          </w:p>
          <w:p w14:paraId="416F3DC3" w14:textId="77777777" w:rsidR="00F84A8F" w:rsidRPr="00181341" w:rsidRDefault="00F84A8F" w:rsidP="002C66FC">
            <w:pPr>
              <w:autoSpaceDE w:val="0"/>
              <w:autoSpaceDN w:val="0"/>
              <w:adjustRightInd w:val="0"/>
              <w:rPr>
                <w:sz w:val="22"/>
                <w:szCs w:val="22"/>
              </w:rPr>
            </w:pPr>
          </w:p>
        </w:tc>
        <w:tc>
          <w:tcPr>
            <w:tcW w:w="2437" w:type="dxa"/>
          </w:tcPr>
          <w:p w14:paraId="63A14AAA" w14:textId="77777777" w:rsidR="00F84A8F" w:rsidRPr="00181341" w:rsidRDefault="00F84A8F" w:rsidP="002C66FC">
            <w:pPr>
              <w:autoSpaceDE w:val="0"/>
              <w:autoSpaceDN w:val="0"/>
              <w:adjustRightInd w:val="0"/>
              <w:rPr>
                <w:sz w:val="22"/>
                <w:szCs w:val="22"/>
              </w:rPr>
            </w:pPr>
            <w:r w:rsidRPr="00181341">
              <w:rPr>
                <w:sz w:val="22"/>
                <w:szCs w:val="22"/>
              </w:rPr>
              <w:t>Mialgija (G3/4: 0,4%)</w:t>
            </w:r>
          </w:p>
        </w:tc>
        <w:tc>
          <w:tcPr>
            <w:tcW w:w="2438" w:type="dxa"/>
          </w:tcPr>
          <w:p w14:paraId="3DBA3A05" w14:textId="77777777" w:rsidR="00F84A8F" w:rsidRPr="00181341" w:rsidRDefault="00F84A8F" w:rsidP="002C66FC">
            <w:pPr>
              <w:autoSpaceDE w:val="0"/>
              <w:autoSpaceDN w:val="0"/>
              <w:adjustRightInd w:val="0"/>
              <w:rPr>
                <w:sz w:val="22"/>
                <w:szCs w:val="22"/>
              </w:rPr>
            </w:pPr>
          </w:p>
        </w:tc>
      </w:tr>
      <w:tr w:rsidR="00F84A8F" w:rsidRPr="00D425B4" w14:paraId="09F342D5" w14:textId="77777777" w:rsidTr="002C66FC">
        <w:trPr>
          <w:trHeight w:val="2527"/>
        </w:trPr>
        <w:tc>
          <w:tcPr>
            <w:tcW w:w="2354" w:type="dxa"/>
          </w:tcPr>
          <w:p w14:paraId="2AFBFE8E" w14:textId="77777777" w:rsidR="00F84A8F" w:rsidRPr="00181341" w:rsidRDefault="00F84A8F" w:rsidP="002C66FC">
            <w:pPr>
              <w:autoSpaceDE w:val="0"/>
              <w:autoSpaceDN w:val="0"/>
              <w:adjustRightInd w:val="0"/>
              <w:rPr>
                <w:sz w:val="22"/>
                <w:szCs w:val="22"/>
              </w:rPr>
            </w:pPr>
            <w:r w:rsidRPr="00181341">
              <w:rPr>
                <w:sz w:val="22"/>
                <w:szCs w:val="22"/>
              </w:rPr>
              <w:t>Opšti poreme</w:t>
            </w:r>
            <w:r w:rsidRPr="00181341">
              <w:rPr>
                <w:rFonts w:eastAsia="TimesNewRoman"/>
                <w:sz w:val="22"/>
                <w:szCs w:val="22"/>
              </w:rPr>
              <w:t>ć</w:t>
            </w:r>
            <w:r w:rsidRPr="00181341">
              <w:rPr>
                <w:sz w:val="22"/>
                <w:szCs w:val="22"/>
              </w:rPr>
              <w:t>aji i</w:t>
            </w:r>
          </w:p>
          <w:p w14:paraId="20614B8E" w14:textId="77777777" w:rsidR="00F84A8F" w:rsidRPr="00181341" w:rsidRDefault="00F84A8F" w:rsidP="002C66FC">
            <w:pPr>
              <w:autoSpaceDE w:val="0"/>
              <w:autoSpaceDN w:val="0"/>
              <w:adjustRightInd w:val="0"/>
              <w:rPr>
                <w:sz w:val="22"/>
                <w:szCs w:val="22"/>
              </w:rPr>
            </w:pPr>
            <w:r w:rsidRPr="00181341">
              <w:rPr>
                <w:sz w:val="22"/>
                <w:szCs w:val="22"/>
              </w:rPr>
              <w:t>promjene na mjestu</w:t>
            </w:r>
          </w:p>
          <w:p w14:paraId="4F9C4261" w14:textId="77777777" w:rsidR="00F84A8F" w:rsidRPr="00181341" w:rsidRDefault="00F84A8F" w:rsidP="002C66FC">
            <w:pPr>
              <w:autoSpaceDE w:val="0"/>
              <w:autoSpaceDN w:val="0"/>
              <w:adjustRightInd w:val="0"/>
              <w:rPr>
                <w:sz w:val="22"/>
                <w:szCs w:val="22"/>
              </w:rPr>
            </w:pPr>
            <w:r w:rsidRPr="00181341">
              <w:rPr>
                <w:sz w:val="22"/>
                <w:szCs w:val="22"/>
              </w:rPr>
              <w:t>primjene</w:t>
            </w:r>
          </w:p>
          <w:p w14:paraId="38AB5B21" w14:textId="77777777" w:rsidR="00F84A8F" w:rsidRPr="00181341" w:rsidRDefault="00F84A8F" w:rsidP="002C66FC">
            <w:pPr>
              <w:autoSpaceDE w:val="0"/>
              <w:autoSpaceDN w:val="0"/>
              <w:adjustRightInd w:val="0"/>
              <w:rPr>
                <w:sz w:val="22"/>
                <w:szCs w:val="22"/>
              </w:rPr>
            </w:pPr>
          </w:p>
        </w:tc>
        <w:tc>
          <w:tcPr>
            <w:tcW w:w="2519" w:type="dxa"/>
          </w:tcPr>
          <w:p w14:paraId="20D3DD4D" w14:textId="77777777" w:rsidR="00F84A8F" w:rsidRPr="00181341" w:rsidRDefault="00F84A8F" w:rsidP="002C66FC">
            <w:pPr>
              <w:autoSpaceDE w:val="0"/>
              <w:autoSpaceDN w:val="0"/>
              <w:adjustRightInd w:val="0"/>
              <w:rPr>
                <w:sz w:val="22"/>
                <w:szCs w:val="22"/>
              </w:rPr>
            </w:pPr>
            <w:r w:rsidRPr="00181341">
              <w:rPr>
                <w:sz w:val="22"/>
                <w:szCs w:val="22"/>
              </w:rPr>
              <w:t>Letargija (G3/4: 4,0%);</w:t>
            </w:r>
          </w:p>
          <w:p w14:paraId="7ADDA46B" w14:textId="77777777" w:rsidR="00F84A8F" w:rsidRPr="00181341" w:rsidRDefault="00F84A8F" w:rsidP="002C66FC">
            <w:pPr>
              <w:autoSpaceDE w:val="0"/>
              <w:autoSpaceDN w:val="0"/>
              <w:adjustRightInd w:val="0"/>
              <w:rPr>
                <w:sz w:val="22"/>
                <w:szCs w:val="22"/>
              </w:rPr>
            </w:pPr>
          </w:p>
          <w:p w14:paraId="23F987B9" w14:textId="77777777" w:rsidR="00F84A8F" w:rsidRPr="00181341" w:rsidRDefault="00F84A8F" w:rsidP="002C66FC">
            <w:pPr>
              <w:autoSpaceDE w:val="0"/>
              <w:autoSpaceDN w:val="0"/>
              <w:adjustRightInd w:val="0"/>
              <w:rPr>
                <w:sz w:val="22"/>
                <w:szCs w:val="22"/>
              </w:rPr>
            </w:pPr>
            <w:r w:rsidRPr="00181341">
              <w:rPr>
                <w:sz w:val="22"/>
                <w:szCs w:val="22"/>
              </w:rPr>
              <w:t>Povišena tjelesna</w:t>
            </w:r>
          </w:p>
          <w:p w14:paraId="36D87895" w14:textId="77777777" w:rsidR="00F84A8F" w:rsidRPr="00181341" w:rsidRDefault="00F84A8F" w:rsidP="002C66FC">
            <w:pPr>
              <w:autoSpaceDE w:val="0"/>
              <w:autoSpaceDN w:val="0"/>
              <w:adjustRightInd w:val="0"/>
              <w:rPr>
                <w:sz w:val="22"/>
                <w:szCs w:val="22"/>
              </w:rPr>
            </w:pPr>
            <w:r w:rsidRPr="00181341">
              <w:rPr>
                <w:sz w:val="22"/>
                <w:szCs w:val="22"/>
              </w:rPr>
              <w:t>temperatura (G3/4: 3,6%);</w:t>
            </w:r>
          </w:p>
          <w:p w14:paraId="2996C4B2" w14:textId="77777777" w:rsidR="00F84A8F" w:rsidRPr="00181341" w:rsidRDefault="00F84A8F" w:rsidP="002C66FC">
            <w:pPr>
              <w:autoSpaceDE w:val="0"/>
              <w:autoSpaceDN w:val="0"/>
              <w:adjustRightInd w:val="0"/>
              <w:rPr>
                <w:sz w:val="22"/>
                <w:szCs w:val="22"/>
              </w:rPr>
            </w:pPr>
          </w:p>
          <w:p w14:paraId="1804AEF8" w14:textId="77777777" w:rsidR="00F84A8F" w:rsidRPr="00BB3077" w:rsidRDefault="00F84A8F" w:rsidP="002C66FC">
            <w:pPr>
              <w:autoSpaceDE w:val="0"/>
              <w:autoSpaceDN w:val="0"/>
              <w:adjustRightInd w:val="0"/>
              <w:rPr>
                <w:sz w:val="22"/>
                <w:szCs w:val="22"/>
              </w:rPr>
            </w:pPr>
            <w:r w:rsidRPr="00BB3077">
              <w:rPr>
                <w:sz w:val="22"/>
                <w:szCs w:val="22"/>
              </w:rPr>
              <w:t>Retencija te</w:t>
            </w:r>
            <w:r w:rsidRPr="00BB3077">
              <w:rPr>
                <w:rFonts w:eastAsia="TimesNewRoman"/>
                <w:sz w:val="22"/>
                <w:szCs w:val="22"/>
              </w:rPr>
              <w:t>č</w:t>
            </w:r>
            <w:r w:rsidRPr="00BB3077">
              <w:rPr>
                <w:sz w:val="22"/>
                <w:szCs w:val="22"/>
              </w:rPr>
              <w:t>nosti (G3/4: 1,2%);</w:t>
            </w:r>
          </w:p>
          <w:p w14:paraId="06B90C75" w14:textId="77777777" w:rsidR="00F84A8F" w:rsidRPr="00BB3077" w:rsidRDefault="00F84A8F" w:rsidP="002C66FC">
            <w:pPr>
              <w:autoSpaceDE w:val="0"/>
              <w:autoSpaceDN w:val="0"/>
              <w:adjustRightInd w:val="0"/>
              <w:rPr>
                <w:sz w:val="22"/>
                <w:szCs w:val="22"/>
              </w:rPr>
            </w:pPr>
          </w:p>
          <w:p w14:paraId="041F8600" w14:textId="77777777" w:rsidR="00F84A8F" w:rsidRPr="00D425B4" w:rsidRDefault="00F84A8F" w:rsidP="002C66FC">
            <w:pPr>
              <w:autoSpaceDE w:val="0"/>
              <w:autoSpaceDN w:val="0"/>
              <w:adjustRightInd w:val="0"/>
              <w:rPr>
                <w:sz w:val="22"/>
                <w:szCs w:val="22"/>
                <w:lang w:val="de-DE"/>
              </w:rPr>
            </w:pPr>
            <w:r w:rsidRPr="00D425B4">
              <w:rPr>
                <w:sz w:val="22"/>
                <w:szCs w:val="22"/>
                <w:lang w:val="de-DE"/>
              </w:rPr>
              <w:t>Edem (G3/4: 1,2%)</w:t>
            </w:r>
          </w:p>
          <w:p w14:paraId="486468E5" w14:textId="77777777" w:rsidR="00F84A8F" w:rsidRPr="00D425B4" w:rsidRDefault="00F84A8F" w:rsidP="002C66FC">
            <w:pPr>
              <w:autoSpaceDE w:val="0"/>
              <w:autoSpaceDN w:val="0"/>
              <w:adjustRightInd w:val="0"/>
              <w:rPr>
                <w:sz w:val="22"/>
                <w:szCs w:val="22"/>
                <w:lang w:val="de-DE"/>
              </w:rPr>
            </w:pPr>
          </w:p>
        </w:tc>
        <w:tc>
          <w:tcPr>
            <w:tcW w:w="2437" w:type="dxa"/>
          </w:tcPr>
          <w:p w14:paraId="4F18EA30" w14:textId="77777777" w:rsidR="00F84A8F" w:rsidRPr="00D425B4" w:rsidRDefault="00F84A8F" w:rsidP="002C66FC">
            <w:pPr>
              <w:autoSpaceDE w:val="0"/>
              <w:autoSpaceDN w:val="0"/>
              <w:adjustRightInd w:val="0"/>
              <w:rPr>
                <w:sz w:val="22"/>
                <w:szCs w:val="22"/>
                <w:lang w:val="de-DE"/>
              </w:rPr>
            </w:pPr>
          </w:p>
          <w:p w14:paraId="09DD1AD8" w14:textId="77777777" w:rsidR="00F84A8F" w:rsidRPr="00D425B4" w:rsidRDefault="00F84A8F" w:rsidP="002C66FC">
            <w:pPr>
              <w:autoSpaceDE w:val="0"/>
              <w:autoSpaceDN w:val="0"/>
              <w:adjustRightInd w:val="0"/>
              <w:rPr>
                <w:sz w:val="22"/>
                <w:szCs w:val="22"/>
                <w:lang w:val="de-DE"/>
              </w:rPr>
            </w:pPr>
          </w:p>
        </w:tc>
        <w:tc>
          <w:tcPr>
            <w:tcW w:w="2438" w:type="dxa"/>
          </w:tcPr>
          <w:p w14:paraId="025B7710" w14:textId="77777777" w:rsidR="00F84A8F" w:rsidRPr="00D425B4" w:rsidRDefault="00F84A8F" w:rsidP="002C66FC">
            <w:pPr>
              <w:autoSpaceDE w:val="0"/>
              <w:autoSpaceDN w:val="0"/>
              <w:adjustRightInd w:val="0"/>
              <w:rPr>
                <w:sz w:val="22"/>
                <w:szCs w:val="22"/>
                <w:lang w:val="de-DE"/>
              </w:rPr>
            </w:pPr>
          </w:p>
        </w:tc>
      </w:tr>
      <w:tr w:rsidR="00F84A8F" w:rsidRPr="00B02007" w14:paraId="36730CC5" w14:textId="77777777" w:rsidTr="002C66FC">
        <w:trPr>
          <w:trHeight w:val="507"/>
        </w:trPr>
        <w:tc>
          <w:tcPr>
            <w:tcW w:w="2354" w:type="dxa"/>
          </w:tcPr>
          <w:p w14:paraId="5457AAB0" w14:textId="77777777" w:rsidR="00F84A8F" w:rsidRPr="00181341" w:rsidRDefault="00F84A8F" w:rsidP="002C66FC">
            <w:pPr>
              <w:autoSpaceDE w:val="0"/>
              <w:autoSpaceDN w:val="0"/>
              <w:adjustRightInd w:val="0"/>
              <w:rPr>
                <w:sz w:val="22"/>
                <w:szCs w:val="22"/>
              </w:rPr>
            </w:pPr>
            <w:r w:rsidRPr="00181341">
              <w:rPr>
                <w:sz w:val="22"/>
                <w:szCs w:val="22"/>
              </w:rPr>
              <w:t>Ispitivanja</w:t>
            </w:r>
          </w:p>
        </w:tc>
        <w:tc>
          <w:tcPr>
            <w:tcW w:w="2519" w:type="dxa"/>
          </w:tcPr>
          <w:p w14:paraId="423C1372" w14:textId="77777777" w:rsidR="00F84A8F" w:rsidRPr="00181341" w:rsidRDefault="00F84A8F" w:rsidP="002C66FC">
            <w:pPr>
              <w:autoSpaceDE w:val="0"/>
              <w:autoSpaceDN w:val="0"/>
              <w:adjustRightInd w:val="0"/>
              <w:rPr>
                <w:sz w:val="22"/>
                <w:szCs w:val="22"/>
              </w:rPr>
            </w:pPr>
            <w:r w:rsidRPr="00181341">
              <w:rPr>
                <w:sz w:val="22"/>
                <w:szCs w:val="22"/>
              </w:rPr>
              <w:t>Sniženje tjelesne mase</w:t>
            </w:r>
          </w:p>
        </w:tc>
        <w:tc>
          <w:tcPr>
            <w:tcW w:w="2437" w:type="dxa"/>
          </w:tcPr>
          <w:p w14:paraId="15C2CE17" w14:textId="77777777" w:rsidR="00F84A8F" w:rsidRPr="00181341" w:rsidRDefault="00F84A8F" w:rsidP="002C66FC">
            <w:pPr>
              <w:autoSpaceDE w:val="0"/>
              <w:autoSpaceDN w:val="0"/>
              <w:adjustRightInd w:val="0"/>
              <w:rPr>
                <w:sz w:val="22"/>
                <w:szCs w:val="22"/>
              </w:rPr>
            </w:pPr>
          </w:p>
        </w:tc>
        <w:tc>
          <w:tcPr>
            <w:tcW w:w="2438" w:type="dxa"/>
          </w:tcPr>
          <w:p w14:paraId="6D68FB61" w14:textId="77777777" w:rsidR="00F84A8F" w:rsidRPr="00181341" w:rsidRDefault="00F84A8F" w:rsidP="002C66FC">
            <w:pPr>
              <w:autoSpaceDE w:val="0"/>
              <w:autoSpaceDN w:val="0"/>
              <w:adjustRightInd w:val="0"/>
              <w:rPr>
                <w:sz w:val="22"/>
                <w:szCs w:val="22"/>
              </w:rPr>
            </w:pPr>
            <w:r w:rsidRPr="00181341">
              <w:rPr>
                <w:sz w:val="22"/>
                <w:szCs w:val="22"/>
              </w:rPr>
              <w:t>Pove</w:t>
            </w:r>
            <w:r w:rsidRPr="00181341">
              <w:rPr>
                <w:rFonts w:eastAsia="TimesNewRoman"/>
                <w:sz w:val="22"/>
                <w:szCs w:val="22"/>
              </w:rPr>
              <w:t>ć</w:t>
            </w:r>
            <w:r w:rsidRPr="00181341">
              <w:rPr>
                <w:sz w:val="22"/>
                <w:szCs w:val="22"/>
              </w:rPr>
              <w:t xml:space="preserve">anje tjelesne mase </w:t>
            </w:r>
          </w:p>
          <w:p w14:paraId="6F80ACD3" w14:textId="77777777" w:rsidR="00F84A8F" w:rsidRPr="00181341" w:rsidRDefault="00F84A8F" w:rsidP="002C66FC">
            <w:pPr>
              <w:autoSpaceDE w:val="0"/>
              <w:autoSpaceDN w:val="0"/>
              <w:adjustRightInd w:val="0"/>
              <w:rPr>
                <w:sz w:val="22"/>
                <w:szCs w:val="22"/>
              </w:rPr>
            </w:pPr>
          </w:p>
        </w:tc>
      </w:tr>
    </w:tbl>
    <w:p w14:paraId="76BDAD9E" w14:textId="77777777" w:rsidR="00F84A8F" w:rsidRPr="00181341" w:rsidRDefault="00F84A8F" w:rsidP="00F84A8F">
      <w:pPr>
        <w:pStyle w:val="Header"/>
        <w:tabs>
          <w:tab w:val="left" w:pos="284"/>
        </w:tabs>
        <w:rPr>
          <w:b/>
          <w:bCs/>
          <w:sz w:val="22"/>
          <w:szCs w:val="22"/>
        </w:rPr>
      </w:pPr>
    </w:p>
    <w:p w14:paraId="65BA6E3F" w14:textId="77777777" w:rsidR="00F84A8F" w:rsidRPr="00181341" w:rsidRDefault="00F84A8F" w:rsidP="00F84A8F">
      <w:pPr>
        <w:autoSpaceDE w:val="0"/>
        <w:autoSpaceDN w:val="0"/>
        <w:adjustRightInd w:val="0"/>
        <w:rPr>
          <w:bCs/>
          <w:sz w:val="22"/>
          <w:szCs w:val="22"/>
          <w:u w:val="single"/>
        </w:rPr>
      </w:pPr>
    </w:p>
    <w:p w14:paraId="3C245DCC" w14:textId="77777777" w:rsidR="00F84A8F" w:rsidRPr="00181341" w:rsidRDefault="00F84A8F" w:rsidP="00F84A8F">
      <w:pPr>
        <w:autoSpaceDE w:val="0"/>
        <w:autoSpaceDN w:val="0"/>
        <w:adjustRightInd w:val="0"/>
        <w:rPr>
          <w:bCs/>
          <w:sz w:val="22"/>
          <w:szCs w:val="22"/>
          <w:u w:val="single"/>
        </w:rPr>
      </w:pPr>
      <w:r w:rsidRPr="00181341">
        <w:rPr>
          <w:bCs/>
          <w:sz w:val="22"/>
          <w:szCs w:val="22"/>
          <w:u w:val="single"/>
        </w:rPr>
        <w:t>Postmarketinška iskustva</w:t>
      </w:r>
    </w:p>
    <w:p w14:paraId="5A2F3F10" w14:textId="77777777" w:rsidR="00F84A8F" w:rsidRPr="00181341" w:rsidRDefault="00F84A8F" w:rsidP="00F84A8F">
      <w:pPr>
        <w:autoSpaceDE w:val="0"/>
        <w:autoSpaceDN w:val="0"/>
        <w:adjustRightInd w:val="0"/>
        <w:rPr>
          <w:i/>
          <w:iCs/>
          <w:sz w:val="22"/>
          <w:szCs w:val="22"/>
        </w:rPr>
      </w:pPr>
    </w:p>
    <w:p w14:paraId="61932E7D"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Benigne, maligne i nespecifične neoplazme (uključujući ciste i polipe)</w:t>
      </w:r>
    </w:p>
    <w:p w14:paraId="666B5DE8" w14:textId="77777777" w:rsidR="00F84A8F" w:rsidRPr="00181341" w:rsidRDefault="00F84A8F" w:rsidP="00F84A8F">
      <w:pPr>
        <w:autoSpaceDE w:val="0"/>
        <w:autoSpaceDN w:val="0"/>
        <w:adjustRightInd w:val="0"/>
        <w:rPr>
          <w:i/>
          <w:iCs/>
          <w:sz w:val="22"/>
          <w:szCs w:val="22"/>
        </w:rPr>
      </w:pPr>
    </w:p>
    <w:p w14:paraId="3FFE67B8" w14:textId="77777777" w:rsidR="00F84A8F" w:rsidRPr="00181341" w:rsidRDefault="00F84A8F" w:rsidP="00F84A8F">
      <w:pPr>
        <w:autoSpaceDE w:val="0"/>
        <w:autoSpaceDN w:val="0"/>
        <w:adjustRightInd w:val="0"/>
        <w:rPr>
          <w:sz w:val="22"/>
          <w:szCs w:val="22"/>
        </w:rPr>
      </w:pPr>
      <w:r w:rsidRPr="00181341">
        <w:rPr>
          <w:sz w:val="22"/>
          <w:szCs w:val="22"/>
        </w:rPr>
        <w:t xml:space="preserve">Prijavljeni su drugi primarni maligniteti (čija učestalost nije poznata), uključujući </w:t>
      </w:r>
      <w:r w:rsidRPr="00181341">
        <w:rPr>
          <w:i/>
          <w:sz w:val="22"/>
          <w:szCs w:val="22"/>
        </w:rPr>
        <w:t>non-Hodgkinov</w:t>
      </w:r>
      <w:r w:rsidRPr="00181341">
        <w:rPr>
          <w:sz w:val="22"/>
          <w:szCs w:val="22"/>
        </w:rPr>
        <w:t xml:space="preserve"> limfom, u vezi sa docetakselom korišćenim u kombinaciji sa drugim antitumorskim terapijama za koje se zna da su povezane sa drugim primarnim malignitetima. Prijavljeni su akutna mijeloidna leukemija i mijelodisplasti</w:t>
      </w:r>
      <w:r w:rsidRPr="00181341">
        <w:rPr>
          <w:rFonts w:eastAsia="TimesNewRoman"/>
          <w:sz w:val="22"/>
          <w:szCs w:val="22"/>
        </w:rPr>
        <w:t>č</w:t>
      </w:r>
      <w:r w:rsidRPr="00181341">
        <w:rPr>
          <w:sz w:val="22"/>
          <w:szCs w:val="22"/>
        </w:rPr>
        <w:t>ni sindrom (povremene učestalosti) u ključnim kliničkim studijama karcinoma dojke sa TAC režimom.</w:t>
      </w:r>
    </w:p>
    <w:p w14:paraId="1DDDE0E7" w14:textId="77777777" w:rsidR="00F84A8F" w:rsidRPr="00181341" w:rsidRDefault="00F84A8F" w:rsidP="00F84A8F">
      <w:pPr>
        <w:autoSpaceDE w:val="0"/>
        <w:autoSpaceDN w:val="0"/>
        <w:adjustRightInd w:val="0"/>
        <w:rPr>
          <w:i/>
          <w:iCs/>
          <w:sz w:val="22"/>
          <w:szCs w:val="22"/>
        </w:rPr>
      </w:pPr>
    </w:p>
    <w:p w14:paraId="6409B656" w14:textId="77777777" w:rsidR="00F84A8F" w:rsidRPr="00181341" w:rsidRDefault="00F84A8F" w:rsidP="00F84A8F">
      <w:pPr>
        <w:autoSpaceDE w:val="0"/>
        <w:autoSpaceDN w:val="0"/>
        <w:adjustRightInd w:val="0"/>
        <w:rPr>
          <w:i/>
          <w:iCs/>
          <w:sz w:val="22"/>
          <w:szCs w:val="22"/>
        </w:rPr>
      </w:pPr>
      <w:r w:rsidRPr="00181341">
        <w:rPr>
          <w:i/>
          <w:iCs/>
          <w:sz w:val="22"/>
          <w:szCs w:val="22"/>
          <w:u w:val="single"/>
        </w:rPr>
        <w:t>Poremećaji krvi i limfnog sistema</w:t>
      </w:r>
    </w:p>
    <w:p w14:paraId="63A4F8D3" w14:textId="77777777" w:rsidR="00F84A8F" w:rsidRPr="00181341" w:rsidRDefault="00F84A8F" w:rsidP="00F84A8F">
      <w:pPr>
        <w:autoSpaceDE w:val="0"/>
        <w:autoSpaceDN w:val="0"/>
        <w:adjustRightInd w:val="0"/>
        <w:rPr>
          <w:i/>
          <w:iCs/>
          <w:sz w:val="22"/>
          <w:szCs w:val="22"/>
        </w:rPr>
      </w:pPr>
    </w:p>
    <w:p w14:paraId="4AEAB2F5" w14:textId="77777777" w:rsidR="00F84A8F" w:rsidRPr="00181341" w:rsidRDefault="00F84A8F" w:rsidP="00F84A8F">
      <w:pPr>
        <w:autoSpaceDE w:val="0"/>
        <w:autoSpaceDN w:val="0"/>
        <w:adjustRightInd w:val="0"/>
        <w:rPr>
          <w:sz w:val="22"/>
          <w:szCs w:val="22"/>
        </w:rPr>
      </w:pPr>
      <w:r w:rsidRPr="00181341">
        <w:rPr>
          <w:sz w:val="22"/>
          <w:szCs w:val="22"/>
        </w:rPr>
        <w:t xml:space="preserve">Prijavljeni su supresija koštane srži i druga hematološka neželjena dejstva. Osim toga, prijavljena je i diseminovana intravaskularna koagulacija (DIC), </w:t>
      </w:r>
      <w:r w:rsidRPr="00181341">
        <w:rPr>
          <w:rFonts w:eastAsia="TimesNewRoman"/>
          <w:sz w:val="22"/>
          <w:szCs w:val="22"/>
        </w:rPr>
        <w:t>č</w:t>
      </w:r>
      <w:r w:rsidRPr="00181341">
        <w:rPr>
          <w:sz w:val="22"/>
          <w:szCs w:val="22"/>
        </w:rPr>
        <w:t>esto udružena sa sepsom ili otkazivanjem više organa.</w:t>
      </w:r>
    </w:p>
    <w:p w14:paraId="28E047F5" w14:textId="77777777" w:rsidR="00F84A8F" w:rsidRPr="00181341" w:rsidRDefault="00F84A8F" w:rsidP="00F84A8F">
      <w:pPr>
        <w:autoSpaceDE w:val="0"/>
        <w:autoSpaceDN w:val="0"/>
        <w:adjustRightInd w:val="0"/>
        <w:rPr>
          <w:i/>
          <w:iCs/>
          <w:sz w:val="22"/>
          <w:szCs w:val="22"/>
        </w:rPr>
      </w:pPr>
    </w:p>
    <w:p w14:paraId="3F354B82" w14:textId="77777777" w:rsidR="00F84A8F" w:rsidRPr="00181341" w:rsidRDefault="00F84A8F" w:rsidP="00F84A8F">
      <w:pPr>
        <w:autoSpaceDE w:val="0"/>
        <w:autoSpaceDN w:val="0"/>
        <w:adjustRightInd w:val="0"/>
        <w:rPr>
          <w:i/>
          <w:iCs/>
          <w:sz w:val="22"/>
          <w:szCs w:val="22"/>
        </w:rPr>
      </w:pPr>
      <w:r w:rsidRPr="00181341">
        <w:rPr>
          <w:i/>
          <w:iCs/>
          <w:sz w:val="22"/>
          <w:szCs w:val="22"/>
          <w:u w:val="single"/>
        </w:rPr>
        <w:t>Poremećaji imunog sistema</w:t>
      </w:r>
    </w:p>
    <w:p w14:paraId="7A9E9B55" w14:textId="77777777" w:rsidR="00F84A8F" w:rsidRPr="00181341" w:rsidRDefault="00F84A8F" w:rsidP="00F84A8F">
      <w:pPr>
        <w:autoSpaceDE w:val="0"/>
        <w:autoSpaceDN w:val="0"/>
        <w:adjustRightInd w:val="0"/>
        <w:rPr>
          <w:i/>
          <w:iCs/>
          <w:sz w:val="22"/>
          <w:szCs w:val="22"/>
        </w:rPr>
      </w:pPr>
    </w:p>
    <w:p w14:paraId="31B9F54E" w14:textId="77777777" w:rsidR="00F84A8F" w:rsidRPr="00181341" w:rsidRDefault="00F84A8F" w:rsidP="00F84A8F">
      <w:pPr>
        <w:autoSpaceDE w:val="0"/>
        <w:autoSpaceDN w:val="0"/>
        <w:adjustRightInd w:val="0"/>
        <w:rPr>
          <w:sz w:val="22"/>
          <w:szCs w:val="22"/>
        </w:rPr>
      </w:pPr>
      <w:r w:rsidRPr="00181341">
        <w:rPr>
          <w:sz w:val="22"/>
          <w:szCs w:val="22"/>
        </w:rPr>
        <w:t>Prijavljeno je nekoliko slu</w:t>
      </w:r>
      <w:r w:rsidRPr="00181341">
        <w:rPr>
          <w:rFonts w:eastAsia="TimesNewRoman"/>
          <w:sz w:val="22"/>
          <w:szCs w:val="22"/>
        </w:rPr>
        <w:t>č</w:t>
      </w:r>
      <w:r w:rsidRPr="00181341">
        <w:rPr>
          <w:sz w:val="22"/>
          <w:szCs w:val="22"/>
        </w:rPr>
        <w:t>ajeva anafilakti</w:t>
      </w:r>
      <w:r w:rsidRPr="00181341">
        <w:rPr>
          <w:rFonts w:eastAsia="TimesNewRoman"/>
          <w:sz w:val="22"/>
          <w:szCs w:val="22"/>
        </w:rPr>
        <w:t>č</w:t>
      </w:r>
      <w:r w:rsidRPr="00181341">
        <w:rPr>
          <w:sz w:val="22"/>
          <w:szCs w:val="22"/>
        </w:rPr>
        <w:t>kog šoka, ponekad sa fatalnim ishodom.</w:t>
      </w:r>
    </w:p>
    <w:p w14:paraId="46047AB1" w14:textId="77777777" w:rsidR="00F84A8F" w:rsidRPr="00181341" w:rsidRDefault="00F84A8F" w:rsidP="00F84A8F">
      <w:pPr>
        <w:autoSpaceDE w:val="0"/>
        <w:autoSpaceDN w:val="0"/>
        <w:adjustRightInd w:val="0"/>
        <w:rPr>
          <w:sz w:val="22"/>
          <w:szCs w:val="22"/>
        </w:rPr>
      </w:pPr>
      <w:r w:rsidRPr="00181341">
        <w:rPr>
          <w:sz w:val="22"/>
          <w:szCs w:val="22"/>
        </w:rPr>
        <w:t>Prijavljene su reakcije preosjetljivosti na docetaksel (učestalost nije poznata) kod pacijenata koji su ranije imali reakcije preosjetljivosti na paklitaksel.</w:t>
      </w:r>
    </w:p>
    <w:p w14:paraId="34E3AB79" w14:textId="77777777" w:rsidR="00F84A8F" w:rsidRPr="00181341" w:rsidRDefault="00F84A8F" w:rsidP="00F84A8F">
      <w:pPr>
        <w:autoSpaceDE w:val="0"/>
        <w:autoSpaceDN w:val="0"/>
        <w:adjustRightInd w:val="0"/>
        <w:rPr>
          <w:iCs/>
          <w:sz w:val="22"/>
          <w:szCs w:val="22"/>
        </w:rPr>
      </w:pPr>
    </w:p>
    <w:p w14:paraId="1D360C43" w14:textId="77777777" w:rsidR="00F84A8F" w:rsidRPr="00181341" w:rsidRDefault="00F84A8F" w:rsidP="00F84A8F">
      <w:pPr>
        <w:keepNext/>
        <w:autoSpaceDE w:val="0"/>
        <w:autoSpaceDN w:val="0"/>
        <w:adjustRightInd w:val="0"/>
        <w:rPr>
          <w:i/>
          <w:iCs/>
          <w:sz w:val="22"/>
          <w:szCs w:val="22"/>
          <w:u w:val="single"/>
        </w:rPr>
      </w:pPr>
      <w:r w:rsidRPr="00181341">
        <w:rPr>
          <w:i/>
          <w:iCs/>
          <w:sz w:val="22"/>
          <w:szCs w:val="22"/>
          <w:u w:val="single"/>
        </w:rPr>
        <w:t>Poremećaji nervnog sistema</w:t>
      </w:r>
    </w:p>
    <w:p w14:paraId="3D812EDF" w14:textId="77777777" w:rsidR="00F84A8F" w:rsidRPr="00181341" w:rsidRDefault="00F84A8F" w:rsidP="00F84A8F">
      <w:pPr>
        <w:autoSpaceDE w:val="0"/>
        <w:autoSpaceDN w:val="0"/>
        <w:adjustRightInd w:val="0"/>
        <w:rPr>
          <w:sz w:val="22"/>
          <w:szCs w:val="22"/>
        </w:rPr>
      </w:pPr>
      <w:r w:rsidRPr="00181341">
        <w:rPr>
          <w:sz w:val="22"/>
          <w:szCs w:val="22"/>
        </w:rPr>
        <w:t>Pri primjeni docetaksela prijavljeni su rijetki slu</w:t>
      </w:r>
      <w:r w:rsidRPr="00181341">
        <w:rPr>
          <w:rFonts w:eastAsia="TimesNewRoman"/>
          <w:sz w:val="22"/>
          <w:szCs w:val="22"/>
        </w:rPr>
        <w:t>č</w:t>
      </w:r>
      <w:r w:rsidRPr="00181341">
        <w:rPr>
          <w:sz w:val="22"/>
          <w:szCs w:val="22"/>
        </w:rPr>
        <w:t>ajevi pojave konvulzija ili prolaznog gubitka svijesti. Ove reakcije su se, ponekad, javljale u toku infuzije lijeka.</w:t>
      </w:r>
    </w:p>
    <w:p w14:paraId="1FEFF442" w14:textId="77777777" w:rsidR="00F84A8F" w:rsidRPr="00181341" w:rsidRDefault="00F84A8F" w:rsidP="00F84A8F">
      <w:pPr>
        <w:autoSpaceDE w:val="0"/>
        <w:autoSpaceDN w:val="0"/>
        <w:adjustRightInd w:val="0"/>
        <w:rPr>
          <w:i/>
          <w:iCs/>
          <w:sz w:val="22"/>
          <w:szCs w:val="22"/>
        </w:rPr>
      </w:pPr>
    </w:p>
    <w:p w14:paraId="537A5A3F" w14:textId="77777777" w:rsidR="00F84A8F" w:rsidRPr="00181341" w:rsidRDefault="00F84A8F" w:rsidP="00F84A8F">
      <w:pPr>
        <w:autoSpaceDE w:val="0"/>
        <w:autoSpaceDN w:val="0"/>
        <w:adjustRightInd w:val="0"/>
        <w:rPr>
          <w:i/>
          <w:iCs/>
          <w:sz w:val="22"/>
          <w:szCs w:val="22"/>
        </w:rPr>
      </w:pPr>
      <w:r w:rsidRPr="00181341">
        <w:rPr>
          <w:i/>
          <w:iCs/>
          <w:sz w:val="22"/>
          <w:szCs w:val="22"/>
          <w:u w:val="single"/>
        </w:rPr>
        <w:lastRenderedPageBreak/>
        <w:t>Poremećaji oka</w:t>
      </w:r>
    </w:p>
    <w:p w14:paraId="17E50DAA" w14:textId="77777777" w:rsidR="00F84A8F" w:rsidRPr="00181341" w:rsidRDefault="00F84A8F" w:rsidP="00F84A8F">
      <w:pPr>
        <w:autoSpaceDE w:val="0"/>
        <w:autoSpaceDN w:val="0"/>
        <w:adjustRightInd w:val="0"/>
        <w:rPr>
          <w:i/>
          <w:iCs/>
          <w:sz w:val="22"/>
          <w:szCs w:val="22"/>
        </w:rPr>
      </w:pPr>
    </w:p>
    <w:p w14:paraId="4949E004" w14:textId="77777777" w:rsidR="00F84A8F" w:rsidRPr="00181341" w:rsidRDefault="00F84A8F" w:rsidP="00F84A8F">
      <w:pPr>
        <w:autoSpaceDE w:val="0"/>
        <w:autoSpaceDN w:val="0"/>
        <w:adjustRightInd w:val="0"/>
        <w:rPr>
          <w:sz w:val="22"/>
          <w:szCs w:val="22"/>
        </w:rPr>
      </w:pPr>
      <w:r w:rsidRPr="00181341">
        <w:rPr>
          <w:sz w:val="22"/>
          <w:szCs w:val="22"/>
        </w:rPr>
        <w:t>Prijavljeni su veoma rijetki slu</w:t>
      </w:r>
      <w:r w:rsidRPr="00181341">
        <w:rPr>
          <w:rFonts w:eastAsia="TimesNewRoman"/>
          <w:sz w:val="22"/>
          <w:szCs w:val="22"/>
        </w:rPr>
        <w:t>č</w:t>
      </w:r>
      <w:r w:rsidRPr="00181341">
        <w:rPr>
          <w:sz w:val="22"/>
          <w:szCs w:val="22"/>
        </w:rPr>
        <w:t>ajevi prolaznog poreme</w:t>
      </w:r>
      <w:r w:rsidRPr="00181341">
        <w:rPr>
          <w:rFonts w:eastAsia="TimesNewRoman"/>
          <w:sz w:val="22"/>
          <w:szCs w:val="22"/>
        </w:rPr>
        <w:t>ć</w:t>
      </w:r>
      <w:r w:rsidRPr="00181341">
        <w:rPr>
          <w:sz w:val="22"/>
          <w:szCs w:val="22"/>
        </w:rPr>
        <w:t>aja vida (bljeskanje, blještava svjetlost, skotomi), koji su se po pravilu javljali u toku infuzije lijeka i udruženi su sa reakcijama preosjetljivosti. Ove pojave su reverzibilne i nestaju po prekidu infuzije. Takođe rijetko, registrovani su i slu</w:t>
      </w:r>
      <w:r w:rsidRPr="00181341">
        <w:rPr>
          <w:rFonts w:eastAsia="TimesNewRoman"/>
          <w:sz w:val="22"/>
          <w:szCs w:val="22"/>
        </w:rPr>
        <w:t>č</w:t>
      </w:r>
      <w:r w:rsidRPr="00181341">
        <w:rPr>
          <w:sz w:val="22"/>
          <w:szCs w:val="22"/>
        </w:rPr>
        <w:t>ajevi suzenja sa konjunktivitisom ili bez njega, kao i slu</w:t>
      </w:r>
      <w:r w:rsidRPr="00181341">
        <w:rPr>
          <w:rFonts w:eastAsia="TimesNewRoman"/>
          <w:sz w:val="22"/>
          <w:szCs w:val="22"/>
        </w:rPr>
        <w:t>č</w:t>
      </w:r>
      <w:r w:rsidRPr="00181341">
        <w:rPr>
          <w:sz w:val="22"/>
          <w:szCs w:val="22"/>
        </w:rPr>
        <w:t>ajevi opstrukcije suznih kanala koja za posljedicu takođe ima poja</w:t>
      </w:r>
      <w:r w:rsidRPr="00181341">
        <w:rPr>
          <w:rFonts w:eastAsia="TimesNewRoman"/>
          <w:sz w:val="22"/>
          <w:szCs w:val="22"/>
        </w:rPr>
        <w:t>č</w:t>
      </w:r>
      <w:r w:rsidRPr="00181341">
        <w:rPr>
          <w:sz w:val="22"/>
          <w:szCs w:val="22"/>
        </w:rPr>
        <w:t>ano suzenje. Kod pacijenata liječenih docetakselom prijavljeni su slučajevi cistoidnog edema makule (CMO).</w:t>
      </w:r>
    </w:p>
    <w:p w14:paraId="3223C834" w14:textId="77777777" w:rsidR="00F84A8F" w:rsidRPr="00181341" w:rsidRDefault="00F84A8F" w:rsidP="00F84A8F">
      <w:pPr>
        <w:autoSpaceDE w:val="0"/>
        <w:autoSpaceDN w:val="0"/>
        <w:adjustRightInd w:val="0"/>
        <w:rPr>
          <w:i/>
          <w:iCs/>
          <w:sz w:val="22"/>
          <w:szCs w:val="22"/>
        </w:rPr>
      </w:pPr>
    </w:p>
    <w:p w14:paraId="21C4490F"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Poremećaji uha i labirinta</w:t>
      </w:r>
    </w:p>
    <w:p w14:paraId="023399F2" w14:textId="77777777" w:rsidR="00F84A8F" w:rsidRPr="00181341" w:rsidRDefault="00F84A8F" w:rsidP="00F84A8F">
      <w:pPr>
        <w:autoSpaceDE w:val="0"/>
        <w:autoSpaceDN w:val="0"/>
        <w:adjustRightInd w:val="0"/>
        <w:rPr>
          <w:sz w:val="22"/>
          <w:szCs w:val="22"/>
        </w:rPr>
      </w:pPr>
    </w:p>
    <w:p w14:paraId="10A5960F" w14:textId="77777777" w:rsidR="00F84A8F" w:rsidRPr="00181341" w:rsidRDefault="00F84A8F" w:rsidP="00F84A8F">
      <w:pPr>
        <w:autoSpaceDE w:val="0"/>
        <w:autoSpaceDN w:val="0"/>
        <w:adjustRightInd w:val="0"/>
        <w:rPr>
          <w:sz w:val="22"/>
          <w:szCs w:val="22"/>
        </w:rPr>
      </w:pPr>
      <w:r w:rsidRPr="00181341">
        <w:rPr>
          <w:sz w:val="22"/>
          <w:szCs w:val="22"/>
        </w:rPr>
        <w:t>Prijavljeni su rijetki slu</w:t>
      </w:r>
      <w:r w:rsidRPr="00181341">
        <w:rPr>
          <w:rFonts w:eastAsia="TimesNewRoman"/>
          <w:sz w:val="22"/>
          <w:szCs w:val="22"/>
        </w:rPr>
        <w:t>č</w:t>
      </w:r>
      <w:r w:rsidRPr="00181341">
        <w:rPr>
          <w:sz w:val="22"/>
          <w:szCs w:val="22"/>
        </w:rPr>
        <w:t>ajevi ototoksi</w:t>
      </w:r>
      <w:r w:rsidRPr="00181341">
        <w:rPr>
          <w:rFonts w:eastAsia="TimesNewRoman"/>
          <w:sz w:val="22"/>
          <w:szCs w:val="22"/>
        </w:rPr>
        <w:t>č</w:t>
      </w:r>
      <w:r w:rsidRPr="00181341">
        <w:rPr>
          <w:sz w:val="22"/>
          <w:szCs w:val="22"/>
        </w:rPr>
        <w:t>nosti, poreme</w:t>
      </w:r>
      <w:r w:rsidRPr="00181341">
        <w:rPr>
          <w:rFonts w:eastAsia="TimesNewRoman"/>
          <w:sz w:val="22"/>
          <w:szCs w:val="22"/>
        </w:rPr>
        <w:t>ć</w:t>
      </w:r>
      <w:r w:rsidRPr="00181341">
        <w:rPr>
          <w:sz w:val="22"/>
          <w:szCs w:val="22"/>
        </w:rPr>
        <w:t>aja sluha i/ili gluvo</w:t>
      </w:r>
      <w:r w:rsidRPr="00181341">
        <w:rPr>
          <w:rFonts w:eastAsia="TimesNewRoman"/>
          <w:sz w:val="22"/>
          <w:szCs w:val="22"/>
        </w:rPr>
        <w:t>ć</w:t>
      </w:r>
      <w:r w:rsidRPr="00181341">
        <w:rPr>
          <w:sz w:val="22"/>
          <w:szCs w:val="22"/>
        </w:rPr>
        <w:t>e.</w:t>
      </w:r>
    </w:p>
    <w:p w14:paraId="3B7A7952" w14:textId="77777777" w:rsidR="00F84A8F" w:rsidRPr="00181341" w:rsidRDefault="00F84A8F" w:rsidP="00F84A8F">
      <w:pPr>
        <w:autoSpaceDE w:val="0"/>
        <w:autoSpaceDN w:val="0"/>
        <w:adjustRightInd w:val="0"/>
        <w:rPr>
          <w:i/>
          <w:iCs/>
          <w:sz w:val="22"/>
          <w:szCs w:val="22"/>
        </w:rPr>
      </w:pPr>
    </w:p>
    <w:p w14:paraId="648D0E49" w14:textId="77777777" w:rsidR="00F84A8F" w:rsidRPr="00181341" w:rsidRDefault="00F84A8F" w:rsidP="00F84A8F">
      <w:pPr>
        <w:autoSpaceDE w:val="0"/>
        <w:autoSpaceDN w:val="0"/>
        <w:adjustRightInd w:val="0"/>
        <w:rPr>
          <w:i/>
          <w:iCs/>
          <w:sz w:val="22"/>
          <w:szCs w:val="22"/>
        </w:rPr>
      </w:pPr>
      <w:r w:rsidRPr="00181341">
        <w:rPr>
          <w:i/>
          <w:iCs/>
          <w:sz w:val="22"/>
          <w:szCs w:val="22"/>
          <w:u w:val="single"/>
        </w:rPr>
        <w:t>Srčani poremećaji</w:t>
      </w:r>
    </w:p>
    <w:p w14:paraId="1269FC03" w14:textId="77777777" w:rsidR="00F84A8F" w:rsidRPr="00181341" w:rsidRDefault="00F84A8F" w:rsidP="00F84A8F">
      <w:pPr>
        <w:autoSpaceDE w:val="0"/>
        <w:autoSpaceDN w:val="0"/>
        <w:adjustRightInd w:val="0"/>
        <w:rPr>
          <w:i/>
          <w:iCs/>
          <w:sz w:val="22"/>
          <w:szCs w:val="22"/>
        </w:rPr>
      </w:pPr>
    </w:p>
    <w:p w14:paraId="06F5AB60" w14:textId="77777777" w:rsidR="00F84A8F" w:rsidRPr="00181341" w:rsidRDefault="00F84A8F" w:rsidP="00F84A8F">
      <w:pPr>
        <w:autoSpaceDE w:val="0"/>
        <w:autoSpaceDN w:val="0"/>
        <w:adjustRightInd w:val="0"/>
        <w:rPr>
          <w:sz w:val="22"/>
          <w:szCs w:val="22"/>
        </w:rPr>
      </w:pPr>
      <w:r w:rsidRPr="00181341">
        <w:rPr>
          <w:sz w:val="22"/>
          <w:szCs w:val="22"/>
        </w:rPr>
        <w:t>Prijavljeni su rijetki slu</w:t>
      </w:r>
      <w:r w:rsidRPr="00181341">
        <w:rPr>
          <w:rFonts w:eastAsia="TimesNewRoman"/>
          <w:sz w:val="22"/>
          <w:szCs w:val="22"/>
        </w:rPr>
        <w:t>č</w:t>
      </w:r>
      <w:r w:rsidRPr="00181341">
        <w:rPr>
          <w:sz w:val="22"/>
          <w:szCs w:val="22"/>
        </w:rPr>
        <w:t>ajevi infarkta miokarda.</w:t>
      </w:r>
    </w:p>
    <w:p w14:paraId="19BC42C4" w14:textId="77777777" w:rsidR="00F84A8F" w:rsidRPr="00181341" w:rsidRDefault="00F84A8F" w:rsidP="00F84A8F">
      <w:pPr>
        <w:autoSpaceDE w:val="0"/>
        <w:autoSpaceDN w:val="0"/>
        <w:adjustRightInd w:val="0"/>
        <w:rPr>
          <w:sz w:val="22"/>
          <w:szCs w:val="22"/>
        </w:rPr>
      </w:pPr>
      <w:r w:rsidRPr="00181341">
        <w:rPr>
          <w:sz w:val="22"/>
          <w:szCs w:val="22"/>
        </w:rPr>
        <w:t>Ventrikularna aritmija, uključujući ventrikularnu tahikardiju (učestalost nije poznata), ponekad sa fatalnim ishodom, prijavljena je kod pacijenata liječenih docetakselom u kombinovanim primjenama, uključujući doksorubicin, 5-fluorouracil i/ili ciklofosfamid.</w:t>
      </w:r>
    </w:p>
    <w:p w14:paraId="665A1837" w14:textId="77777777" w:rsidR="00F84A8F" w:rsidRPr="00181341" w:rsidRDefault="00F84A8F" w:rsidP="00F84A8F">
      <w:pPr>
        <w:autoSpaceDE w:val="0"/>
        <w:autoSpaceDN w:val="0"/>
        <w:adjustRightInd w:val="0"/>
        <w:rPr>
          <w:sz w:val="22"/>
          <w:szCs w:val="22"/>
        </w:rPr>
      </w:pPr>
    </w:p>
    <w:p w14:paraId="295FECF8" w14:textId="77777777" w:rsidR="00F84A8F" w:rsidRPr="00181341" w:rsidRDefault="00F84A8F" w:rsidP="00F84A8F">
      <w:pPr>
        <w:autoSpaceDE w:val="0"/>
        <w:autoSpaceDN w:val="0"/>
        <w:adjustRightInd w:val="0"/>
        <w:rPr>
          <w:i/>
          <w:iCs/>
          <w:sz w:val="22"/>
          <w:szCs w:val="22"/>
        </w:rPr>
      </w:pPr>
      <w:r w:rsidRPr="00181341">
        <w:rPr>
          <w:i/>
          <w:iCs/>
          <w:sz w:val="22"/>
          <w:szCs w:val="22"/>
          <w:u w:val="single"/>
        </w:rPr>
        <w:t>Vaskularni poremećaji</w:t>
      </w:r>
    </w:p>
    <w:p w14:paraId="6012AAA7" w14:textId="77777777" w:rsidR="00F84A8F" w:rsidRPr="00181341" w:rsidRDefault="00F84A8F" w:rsidP="00F84A8F">
      <w:pPr>
        <w:autoSpaceDE w:val="0"/>
        <w:autoSpaceDN w:val="0"/>
        <w:adjustRightInd w:val="0"/>
        <w:rPr>
          <w:i/>
          <w:iCs/>
          <w:sz w:val="22"/>
          <w:szCs w:val="22"/>
        </w:rPr>
      </w:pPr>
    </w:p>
    <w:p w14:paraId="4729AA39" w14:textId="77777777" w:rsidR="00F84A8F" w:rsidRPr="00181341" w:rsidRDefault="00F84A8F" w:rsidP="00F84A8F">
      <w:pPr>
        <w:autoSpaceDE w:val="0"/>
        <w:autoSpaceDN w:val="0"/>
        <w:adjustRightInd w:val="0"/>
        <w:rPr>
          <w:sz w:val="22"/>
          <w:szCs w:val="22"/>
        </w:rPr>
      </w:pPr>
      <w:r w:rsidRPr="00181341">
        <w:rPr>
          <w:sz w:val="22"/>
          <w:szCs w:val="22"/>
        </w:rPr>
        <w:t>Rijetko je prijavljivana venska tromboembolija.</w:t>
      </w:r>
    </w:p>
    <w:p w14:paraId="24743994" w14:textId="77777777" w:rsidR="00F84A8F" w:rsidRPr="00181341" w:rsidRDefault="00F84A8F" w:rsidP="00F84A8F">
      <w:pPr>
        <w:autoSpaceDE w:val="0"/>
        <w:autoSpaceDN w:val="0"/>
        <w:adjustRightInd w:val="0"/>
        <w:rPr>
          <w:i/>
          <w:iCs/>
          <w:sz w:val="22"/>
          <w:szCs w:val="22"/>
        </w:rPr>
      </w:pPr>
    </w:p>
    <w:p w14:paraId="19D1B9AF" w14:textId="77777777" w:rsidR="00F84A8F" w:rsidRPr="00181341" w:rsidRDefault="00F84A8F" w:rsidP="00F84A8F">
      <w:pPr>
        <w:autoSpaceDE w:val="0"/>
        <w:autoSpaceDN w:val="0"/>
        <w:adjustRightInd w:val="0"/>
        <w:rPr>
          <w:i/>
          <w:iCs/>
          <w:sz w:val="22"/>
          <w:szCs w:val="22"/>
        </w:rPr>
      </w:pPr>
      <w:r w:rsidRPr="00181341">
        <w:rPr>
          <w:i/>
          <w:iCs/>
          <w:sz w:val="22"/>
          <w:szCs w:val="22"/>
          <w:u w:val="single"/>
        </w:rPr>
        <w:t>Respiratorni, torakalni i medijastinalni poremećaji</w:t>
      </w:r>
    </w:p>
    <w:p w14:paraId="1DCD3D07" w14:textId="77777777" w:rsidR="00F84A8F" w:rsidRPr="00181341" w:rsidRDefault="00F84A8F" w:rsidP="00F84A8F">
      <w:pPr>
        <w:autoSpaceDE w:val="0"/>
        <w:autoSpaceDN w:val="0"/>
        <w:adjustRightInd w:val="0"/>
        <w:rPr>
          <w:i/>
          <w:iCs/>
          <w:sz w:val="22"/>
          <w:szCs w:val="22"/>
        </w:rPr>
      </w:pPr>
    </w:p>
    <w:p w14:paraId="65AAEFD6" w14:textId="77777777" w:rsidR="00F84A8F" w:rsidRPr="00181341" w:rsidRDefault="00F84A8F" w:rsidP="00F84A8F">
      <w:pPr>
        <w:autoSpaceDE w:val="0"/>
        <w:autoSpaceDN w:val="0"/>
        <w:adjustRightInd w:val="0"/>
        <w:rPr>
          <w:sz w:val="22"/>
          <w:szCs w:val="22"/>
        </w:rPr>
      </w:pPr>
      <w:r w:rsidRPr="00181341">
        <w:rPr>
          <w:sz w:val="22"/>
          <w:szCs w:val="22"/>
        </w:rPr>
        <w:t>U rijetkim slu</w:t>
      </w:r>
      <w:r w:rsidRPr="00181341">
        <w:rPr>
          <w:rFonts w:eastAsia="TimesNewRoman"/>
          <w:sz w:val="22"/>
          <w:szCs w:val="22"/>
        </w:rPr>
        <w:t>č</w:t>
      </w:r>
      <w:r w:rsidRPr="00181341">
        <w:rPr>
          <w:sz w:val="22"/>
          <w:szCs w:val="22"/>
        </w:rPr>
        <w:t>ajevima prijavljivani su akutni respiratorni distres sindrom i slučajevi intersticijalne pneumonije/pneumonitisa, intersticijalne bolesti pluća, plu</w:t>
      </w:r>
      <w:r w:rsidRPr="00181341">
        <w:rPr>
          <w:rFonts w:eastAsia="TimesNewRoman"/>
          <w:sz w:val="22"/>
          <w:szCs w:val="22"/>
        </w:rPr>
        <w:t>ć</w:t>
      </w:r>
      <w:r w:rsidRPr="00181341">
        <w:rPr>
          <w:sz w:val="22"/>
          <w:szCs w:val="22"/>
        </w:rPr>
        <w:t>ne fibroze i respiratorne insuficijencije, ponekad sa fatalnim ishodom. Kod pacijenata koji istovremeno primaju radioterapiju, prijavljeni su rijetki slu</w:t>
      </w:r>
      <w:r w:rsidRPr="00181341">
        <w:rPr>
          <w:rFonts w:eastAsia="TimesNewRoman"/>
          <w:sz w:val="22"/>
          <w:szCs w:val="22"/>
        </w:rPr>
        <w:t>č</w:t>
      </w:r>
      <w:r w:rsidRPr="00181341">
        <w:rPr>
          <w:sz w:val="22"/>
          <w:szCs w:val="22"/>
        </w:rPr>
        <w:t>ajevi radijacionog pneumonitisa.</w:t>
      </w:r>
    </w:p>
    <w:p w14:paraId="69BFCAB8" w14:textId="77777777" w:rsidR="00F84A8F" w:rsidRPr="00181341" w:rsidRDefault="00F84A8F" w:rsidP="00F84A8F">
      <w:pPr>
        <w:autoSpaceDE w:val="0"/>
        <w:autoSpaceDN w:val="0"/>
        <w:adjustRightInd w:val="0"/>
        <w:rPr>
          <w:i/>
          <w:iCs/>
          <w:sz w:val="22"/>
          <w:szCs w:val="22"/>
        </w:rPr>
      </w:pPr>
    </w:p>
    <w:p w14:paraId="7DD0D6D9"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Gastrointestinalni poremećaji</w:t>
      </w:r>
    </w:p>
    <w:p w14:paraId="4FCF3326" w14:textId="77777777" w:rsidR="00F84A8F" w:rsidRPr="00181341" w:rsidRDefault="00F84A8F" w:rsidP="00F84A8F">
      <w:pPr>
        <w:autoSpaceDE w:val="0"/>
        <w:autoSpaceDN w:val="0"/>
        <w:adjustRightInd w:val="0"/>
        <w:rPr>
          <w:i/>
          <w:iCs/>
          <w:sz w:val="22"/>
          <w:szCs w:val="22"/>
        </w:rPr>
      </w:pPr>
    </w:p>
    <w:p w14:paraId="5AEA1D6F" w14:textId="77777777" w:rsidR="00F84A8F" w:rsidRPr="00181341" w:rsidRDefault="00F84A8F" w:rsidP="00F84A8F">
      <w:pPr>
        <w:autoSpaceDE w:val="0"/>
        <w:autoSpaceDN w:val="0"/>
        <w:adjustRightInd w:val="0"/>
        <w:rPr>
          <w:sz w:val="22"/>
          <w:szCs w:val="22"/>
        </w:rPr>
      </w:pPr>
      <w:r w:rsidRPr="00181341">
        <w:rPr>
          <w:sz w:val="22"/>
          <w:szCs w:val="22"/>
        </w:rPr>
        <w:t>Prijavljeni su rijetki slučajevi enterokolitisa, uključujući kolitis, ishemijski kolitis i neutropenijski enterokolitis, sa mogućim smrtnim ishodom (učestalost nije poznata).</w:t>
      </w:r>
    </w:p>
    <w:p w14:paraId="627802FD" w14:textId="77777777" w:rsidR="00F84A8F" w:rsidRPr="00181341" w:rsidRDefault="00F84A8F" w:rsidP="00F84A8F">
      <w:pPr>
        <w:autoSpaceDE w:val="0"/>
        <w:autoSpaceDN w:val="0"/>
        <w:adjustRightInd w:val="0"/>
        <w:rPr>
          <w:sz w:val="22"/>
          <w:szCs w:val="22"/>
        </w:rPr>
      </w:pPr>
    </w:p>
    <w:p w14:paraId="311791AE" w14:textId="77777777" w:rsidR="00F84A8F" w:rsidRPr="00181341" w:rsidRDefault="00F84A8F" w:rsidP="00F84A8F">
      <w:pPr>
        <w:autoSpaceDE w:val="0"/>
        <w:autoSpaceDN w:val="0"/>
        <w:adjustRightInd w:val="0"/>
        <w:rPr>
          <w:sz w:val="22"/>
          <w:szCs w:val="22"/>
        </w:rPr>
      </w:pPr>
      <w:r w:rsidRPr="00181341">
        <w:rPr>
          <w:sz w:val="22"/>
          <w:szCs w:val="22"/>
        </w:rPr>
        <w:t>Prijavljeni su rijetki slu</w:t>
      </w:r>
      <w:r w:rsidRPr="00181341">
        <w:rPr>
          <w:rFonts w:eastAsia="TimesNewRoman"/>
          <w:sz w:val="22"/>
          <w:szCs w:val="22"/>
        </w:rPr>
        <w:t>č</w:t>
      </w:r>
      <w:r w:rsidRPr="00181341">
        <w:rPr>
          <w:sz w:val="22"/>
          <w:szCs w:val="22"/>
        </w:rPr>
        <w:t>ajevi dehidratacije kao posljedica gastrointestinalnih događaja, uključujući enterokolitis i gastrointestinalnu perforaciju.</w:t>
      </w:r>
    </w:p>
    <w:p w14:paraId="703C9E05" w14:textId="77777777" w:rsidR="00F84A8F" w:rsidRPr="00181341" w:rsidRDefault="00F84A8F" w:rsidP="00F84A8F">
      <w:pPr>
        <w:autoSpaceDE w:val="0"/>
        <w:autoSpaceDN w:val="0"/>
        <w:adjustRightInd w:val="0"/>
        <w:rPr>
          <w:sz w:val="22"/>
          <w:szCs w:val="22"/>
        </w:rPr>
      </w:pPr>
      <w:r w:rsidRPr="00181341">
        <w:rPr>
          <w:sz w:val="22"/>
          <w:szCs w:val="22"/>
        </w:rPr>
        <w:t>Prijavljeni su i rijetki slu</w:t>
      </w:r>
      <w:r w:rsidRPr="00181341">
        <w:rPr>
          <w:rFonts w:eastAsia="TimesNewRoman"/>
          <w:sz w:val="22"/>
          <w:szCs w:val="22"/>
        </w:rPr>
        <w:t>č</w:t>
      </w:r>
      <w:r w:rsidRPr="00181341">
        <w:rPr>
          <w:sz w:val="22"/>
          <w:szCs w:val="22"/>
        </w:rPr>
        <w:t>ajevi ileusa i opstrukcije crijeva.</w:t>
      </w:r>
    </w:p>
    <w:p w14:paraId="60870F8A" w14:textId="77777777" w:rsidR="00F84A8F" w:rsidRPr="00181341" w:rsidRDefault="00F84A8F" w:rsidP="00F84A8F">
      <w:pPr>
        <w:autoSpaceDE w:val="0"/>
        <w:autoSpaceDN w:val="0"/>
        <w:adjustRightInd w:val="0"/>
        <w:rPr>
          <w:i/>
          <w:iCs/>
          <w:sz w:val="22"/>
          <w:szCs w:val="22"/>
        </w:rPr>
      </w:pPr>
    </w:p>
    <w:p w14:paraId="386C065D"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Hepatobilijarni poremećaji</w:t>
      </w:r>
    </w:p>
    <w:p w14:paraId="233CE079" w14:textId="77777777" w:rsidR="00F84A8F" w:rsidRPr="00181341" w:rsidRDefault="00F84A8F" w:rsidP="00F84A8F">
      <w:pPr>
        <w:autoSpaceDE w:val="0"/>
        <w:autoSpaceDN w:val="0"/>
        <w:adjustRightInd w:val="0"/>
        <w:rPr>
          <w:i/>
          <w:iCs/>
          <w:sz w:val="22"/>
          <w:szCs w:val="22"/>
        </w:rPr>
      </w:pPr>
    </w:p>
    <w:p w14:paraId="717C4EC1" w14:textId="77777777" w:rsidR="00F84A8F" w:rsidRPr="00181341" w:rsidRDefault="00F84A8F" w:rsidP="00F84A8F">
      <w:pPr>
        <w:autoSpaceDE w:val="0"/>
        <w:autoSpaceDN w:val="0"/>
        <w:adjustRightInd w:val="0"/>
        <w:rPr>
          <w:sz w:val="22"/>
          <w:szCs w:val="22"/>
        </w:rPr>
      </w:pPr>
      <w:r w:rsidRPr="00181341">
        <w:rPr>
          <w:sz w:val="22"/>
          <w:szCs w:val="22"/>
        </w:rPr>
        <w:t>Opisani su veoma rijetki slu</w:t>
      </w:r>
      <w:r w:rsidRPr="00181341">
        <w:rPr>
          <w:rFonts w:eastAsia="TimesNewRoman"/>
          <w:sz w:val="22"/>
          <w:szCs w:val="22"/>
        </w:rPr>
        <w:t>č</w:t>
      </w:r>
      <w:r w:rsidRPr="00181341">
        <w:rPr>
          <w:sz w:val="22"/>
          <w:szCs w:val="22"/>
        </w:rPr>
        <w:t>ajevi hepatitisa, ponekad sa fatalnim ishodom, prvenstveno kod pacijenata koji su ve</w:t>
      </w:r>
      <w:r w:rsidRPr="00181341">
        <w:rPr>
          <w:rFonts w:eastAsia="TimesNewRoman"/>
          <w:sz w:val="22"/>
          <w:szCs w:val="22"/>
        </w:rPr>
        <w:t xml:space="preserve">ć </w:t>
      </w:r>
      <w:r w:rsidRPr="00181341">
        <w:rPr>
          <w:sz w:val="22"/>
          <w:szCs w:val="22"/>
        </w:rPr>
        <w:t>imali oboljenja jetre.</w:t>
      </w:r>
    </w:p>
    <w:p w14:paraId="48E64949" w14:textId="77777777" w:rsidR="00F84A8F" w:rsidRPr="00181341" w:rsidRDefault="00F84A8F" w:rsidP="00F84A8F">
      <w:pPr>
        <w:autoSpaceDE w:val="0"/>
        <w:autoSpaceDN w:val="0"/>
        <w:adjustRightInd w:val="0"/>
        <w:rPr>
          <w:i/>
          <w:iCs/>
          <w:sz w:val="22"/>
          <w:szCs w:val="22"/>
        </w:rPr>
      </w:pPr>
    </w:p>
    <w:p w14:paraId="45964312"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Poremećaji kože i potkožnog tkiva</w:t>
      </w:r>
    </w:p>
    <w:p w14:paraId="3097E34E" w14:textId="77777777" w:rsidR="00F84A8F" w:rsidRPr="00181341" w:rsidRDefault="00F84A8F" w:rsidP="00F84A8F">
      <w:pPr>
        <w:autoSpaceDE w:val="0"/>
        <w:autoSpaceDN w:val="0"/>
        <w:adjustRightInd w:val="0"/>
        <w:rPr>
          <w:i/>
          <w:iCs/>
          <w:sz w:val="22"/>
          <w:szCs w:val="22"/>
        </w:rPr>
      </w:pPr>
    </w:p>
    <w:p w14:paraId="4DF7F20A" w14:textId="77777777" w:rsidR="00F84A8F" w:rsidRPr="00181341" w:rsidRDefault="00F84A8F" w:rsidP="00F84A8F">
      <w:pPr>
        <w:autoSpaceDE w:val="0"/>
        <w:autoSpaceDN w:val="0"/>
        <w:adjustRightInd w:val="0"/>
        <w:rPr>
          <w:sz w:val="22"/>
          <w:szCs w:val="22"/>
        </w:rPr>
      </w:pPr>
      <w:r w:rsidRPr="00181341">
        <w:rPr>
          <w:sz w:val="22"/>
          <w:szCs w:val="22"/>
        </w:rPr>
        <w:t>Pri primjeni docetaksela prijavljeni su slu</w:t>
      </w:r>
      <w:r w:rsidRPr="00181341">
        <w:rPr>
          <w:rFonts w:eastAsia="TimesNewRoman"/>
          <w:sz w:val="22"/>
          <w:szCs w:val="22"/>
        </w:rPr>
        <w:t>č</w:t>
      </w:r>
      <w:r w:rsidRPr="00181341">
        <w:rPr>
          <w:sz w:val="22"/>
          <w:szCs w:val="22"/>
        </w:rPr>
        <w:t>ajevi kožnog eritematoznog lupusa</w:t>
      </w:r>
      <w:r w:rsidRPr="00B02007">
        <w:rPr>
          <w:sz w:val="22"/>
          <w:szCs w:val="22"/>
        </w:rPr>
        <w:t>,</w:t>
      </w:r>
      <w:r w:rsidRPr="00181341">
        <w:rPr>
          <w:sz w:val="22"/>
          <w:szCs w:val="22"/>
        </w:rPr>
        <w:t xml:space="preserve"> buloznih erupcija, kao što su multiformni eritem</w:t>
      </w:r>
      <w:r w:rsidRPr="00B02007">
        <w:rPr>
          <w:sz w:val="22"/>
          <w:szCs w:val="22"/>
        </w:rPr>
        <w:t xml:space="preserve"> i ozbiljne neželjene reakcije na koži</w:t>
      </w:r>
      <w:r w:rsidRPr="00181341">
        <w:rPr>
          <w:sz w:val="22"/>
          <w:szCs w:val="22"/>
        </w:rPr>
        <w:t xml:space="preserve">, </w:t>
      </w:r>
      <w:r w:rsidRPr="00B02007">
        <w:rPr>
          <w:sz w:val="22"/>
          <w:szCs w:val="22"/>
        </w:rPr>
        <w:t xml:space="preserve">poput </w:t>
      </w:r>
      <w:r w:rsidRPr="00181341">
        <w:rPr>
          <w:sz w:val="22"/>
          <w:szCs w:val="22"/>
        </w:rPr>
        <w:t>Stiven</w:t>
      </w:r>
      <w:r w:rsidRPr="00B02007">
        <w:rPr>
          <w:sz w:val="22"/>
          <w:szCs w:val="22"/>
        </w:rPr>
        <w:t>s</w:t>
      </w:r>
      <w:r w:rsidRPr="00181341">
        <w:rPr>
          <w:sz w:val="22"/>
          <w:szCs w:val="22"/>
        </w:rPr>
        <w:t>-Džonsonov</w:t>
      </w:r>
      <w:r w:rsidRPr="00B02007">
        <w:rPr>
          <w:sz w:val="22"/>
          <w:szCs w:val="22"/>
        </w:rPr>
        <w:t>og</w:t>
      </w:r>
      <w:r w:rsidRPr="00181341">
        <w:rPr>
          <w:sz w:val="22"/>
          <w:szCs w:val="22"/>
        </w:rPr>
        <w:t xml:space="preserve"> (Stevens-Johnson) sindrom</w:t>
      </w:r>
      <w:r w:rsidRPr="00B02007">
        <w:rPr>
          <w:sz w:val="22"/>
          <w:szCs w:val="22"/>
        </w:rPr>
        <w:t>a</w:t>
      </w:r>
      <w:r>
        <w:rPr>
          <w:sz w:val="22"/>
          <w:szCs w:val="22"/>
        </w:rPr>
        <w:t xml:space="preserve"> (SJS)</w:t>
      </w:r>
      <w:r w:rsidRPr="00181341">
        <w:rPr>
          <w:sz w:val="22"/>
          <w:szCs w:val="22"/>
        </w:rPr>
        <w:t>, toksi</w:t>
      </w:r>
      <w:r w:rsidRPr="00181341">
        <w:rPr>
          <w:rFonts w:eastAsia="TimesNewRoman"/>
          <w:sz w:val="22"/>
          <w:szCs w:val="22"/>
        </w:rPr>
        <w:t>č</w:t>
      </w:r>
      <w:r w:rsidRPr="00181341">
        <w:rPr>
          <w:sz w:val="22"/>
          <w:szCs w:val="22"/>
        </w:rPr>
        <w:t>n</w:t>
      </w:r>
      <w:r w:rsidRPr="00B02007">
        <w:rPr>
          <w:sz w:val="22"/>
          <w:szCs w:val="22"/>
        </w:rPr>
        <w:t>e</w:t>
      </w:r>
      <w:r w:rsidRPr="00181341">
        <w:rPr>
          <w:sz w:val="22"/>
          <w:szCs w:val="22"/>
        </w:rPr>
        <w:t xml:space="preserve"> epidermaln</w:t>
      </w:r>
      <w:r w:rsidRPr="00B02007">
        <w:rPr>
          <w:sz w:val="22"/>
          <w:szCs w:val="22"/>
        </w:rPr>
        <w:t>e</w:t>
      </w:r>
      <w:r w:rsidRPr="00181341">
        <w:rPr>
          <w:sz w:val="22"/>
          <w:szCs w:val="22"/>
        </w:rPr>
        <w:t xml:space="preserve"> nekroliz</w:t>
      </w:r>
      <w:r w:rsidRPr="00B02007">
        <w:rPr>
          <w:sz w:val="22"/>
          <w:szCs w:val="22"/>
        </w:rPr>
        <w:t>e (TEN) i akutne generalizovane egzantematozne pustuloze</w:t>
      </w:r>
      <w:r w:rsidRPr="005F707A">
        <w:rPr>
          <w:sz w:val="22"/>
          <w:szCs w:val="22"/>
        </w:rPr>
        <w:t xml:space="preserve"> (AGEP)</w:t>
      </w:r>
      <w:r w:rsidRPr="00181341">
        <w:rPr>
          <w:sz w:val="22"/>
          <w:szCs w:val="22"/>
        </w:rPr>
        <w:t>. Pri primjeni docetaksela prijavljeni su slu</w:t>
      </w:r>
      <w:r w:rsidRPr="00181341">
        <w:rPr>
          <w:rFonts w:eastAsia="TimesNewRoman"/>
          <w:sz w:val="22"/>
          <w:szCs w:val="22"/>
        </w:rPr>
        <w:t>č</w:t>
      </w:r>
      <w:r w:rsidRPr="00181341">
        <w:rPr>
          <w:sz w:val="22"/>
          <w:szCs w:val="22"/>
        </w:rPr>
        <w:t>ajevi pojave promjena sli</w:t>
      </w:r>
      <w:r w:rsidRPr="00181341">
        <w:rPr>
          <w:rFonts w:eastAsia="TimesNewRoman"/>
          <w:sz w:val="22"/>
          <w:szCs w:val="22"/>
        </w:rPr>
        <w:t>č</w:t>
      </w:r>
      <w:r w:rsidRPr="00181341">
        <w:rPr>
          <w:sz w:val="22"/>
          <w:szCs w:val="22"/>
        </w:rPr>
        <w:t>nih sklerodermi, kojima je obi</w:t>
      </w:r>
      <w:r w:rsidRPr="00181341">
        <w:rPr>
          <w:rFonts w:eastAsia="TimesNewRoman"/>
          <w:sz w:val="22"/>
          <w:szCs w:val="22"/>
        </w:rPr>
        <w:t>č</w:t>
      </w:r>
      <w:r w:rsidRPr="00181341">
        <w:rPr>
          <w:sz w:val="22"/>
          <w:szCs w:val="22"/>
        </w:rPr>
        <w:t>no prethodio periferni limfedem. Prijavljeni su i slučajevi trajne alopecije (učestalost nije poznata).</w:t>
      </w:r>
    </w:p>
    <w:p w14:paraId="3C0D4725" w14:textId="77777777" w:rsidR="00F84A8F" w:rsidRPr="00181341" w:rsidRDefault="00F84A8F" w:rsidP="00F84A8F">
      <w:pPr>
        <w:autoSpaceDE w:val="0"/>
        <w:autoSpaceDN w:val="0"/>
        <w:adjustRightInd w:val="0"/>
        <w:rPr>
          <w:i/>
          <w:iCs/>
          <w:sz w:val="22"/>
          <w:szCs w:val="22"/>
        </w:rPr>
      </w:pPr>
    </w:p>
    <w:p w14:paraId="646F244A"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Bubrežni i urinarni poremećaji</w:t>
      </w:r>
    </w:p>
    <w:p w14:paraId="16D02086" w14:textId="77777777" w:rsidR="00F84A8F" w:rsidRPr="00181341" w:rsidRDefault="00F84A8F" w:rsidP="00F84A8F">
      <w:pPr>
        <w:autoSpaceDE w:val="0"/>
        <w:autoSpaceDN w:val="0"/>
        <w:adjustRightInd w:val="0"/>
        <w:rPr>
          <w:iCs/>
          <w:sz w:val="22"/>
          <w:szCs w:val="22"/>
        </w:rPr>
      </w:pPr>
      <w:r w:rsidRPr="00181341">
        <w:rPr>
          <w:iCs/>
          <w:sz w:val="22"/>
          <w:szCs w:val="22"/>
        </w:rPr>
        <w:lastRenderedPageBreak/>
        <w:t>Prijavljena je pojava renalne insuficijencije i oštećenja bubrega (kod oko 20% tih slučajeva nije bilo faktora rizika za pojavu akutne renalne insuficijencije kao što su primjena prateće terapije sa nefrotoksičnim ljekovima ili prisustvo gastrointestinalnih poremećaja).</w:t>
      </w:r>
    </w:p>
    <w:p w14:paraId="497C6EE6" w14:textId="77777777" w:rsidR="00F84A8F" w:rsidRPr="00181341" w:rsidRDefault="00F84A8F" w:rsidP="00F84A8F">
      <w:pPr>
        <w:autoSpaceDE w:val="0"/>
        <w:autoSpaceDN w:val="0"/>
        <w:adjustRightInd w:val="0"/>
        <w:rPr>
          <w:i/>
          <w:iCs/>
          <w:sz w:val="22"/>
          <w:szCs w:val="22"/>
        </w:rPr>
      </w:pPr>
    </w:p>
    <w:p w14:paraId="45B74C90" w14:textId="77777777" w:rsidR="00F84A8F" w:rsidRPr="00181341" w:rsidRDefault="00F84A8F" w:rsidP="00F84A8F">
      <w:pPr>
        <w:autoSpaceDE w:val="0"/>
        <w:autoSpaceDN w:val="0"/>
        <w:adjustRightInd w:val="0"/>
        <w:rPr>
          <w:i/>
          <w:iCs/>
          <w:sz w:val="22"/>
          <w:szCs w:val="22"/>
          <w:u w:val="single"/>
        </w:rPr>
      </w:pPr>
      <w:r w:rsidRPr="00181341">
        <w:rPr>
          <w:i/>
          <w:iCs/>
          <w:sz w:val="22"/>
          <w:szCs w:val="22"/>
          <w:u w:val="single"/>
        </w:rPr>
        <w:t>Opšti poremećaji i pojave na mjestu primjene</w:t>
      </w:r>
    </w:p>
    <w:p w14:paraId="24011671" w14:textId="77777777" w:rsidR="00F84A8F" w:rsidRPr="00181341" w:rsidRDefault="00F84A8F" w:rsidP="00F84A8F">
      <w:pPr>
        <w:autoSpaceDE w:val="0"/>
        <w:autoSpaceDN w:val="0"/>
        <w:adjustRightInd w:val="0"/>
        <w:rPr>
          <w:i/>
          <w:iCs/>
          <w:sz w:val="22"/>
          <w:szCs w:val="22"/>
        </w:rPr>
      </w:pPr>
    </w:p>
    <w:p w14:paraId="58C6B6A1" w14:textId="77777777" w:rsidR="00F84A8F" w:rsidRPr="00181341" w:rsidRDefault="00F84A8F" w:rsidP="00F84A8F">
      <w:pPr>
        <w:autoSpaceDE w:val="0"/>
        <w:autoSpaceDN w:val="0"/>
        <w:adjustRightInd w:val="0"/>
        <w:rPr>
          <w:sz w:val="22"/>
          <w:szCs w:val="22"/>
        </w:rPr>
      </w:pPr>
      <w:r w:rsidRPr="00181341">
        <w:rPr>
          <w:sz w:val="22"/>
          <w:szCs w:val="22"/>
        </w:rPr>
        <w:t>Rijetko je prijavljeno ponovno javljanje akutnih reakcija na radioterapiju (radiation recall phenomenon).</w:t>
      </w:r>
    </w:p>
    <w:p w14:paraId="5A592690" w14:textId="77777777" w:rsidR="00F84A8F" w:rsidRPr="00181341" w:rsidRDefault="00F84A8F" w:rsidP="00F84A8F">
      <w:pPr>
        <w:autoSpaceDE w:val="0"/>
        <w:autoSpaceDN w:val="0"/>
        <w:adjustRightInd w:val="0"/>
        <w:rPr>
          <w:sz w:val="22"/>
          <w:szCs w:val="22"/>
        </w:rPr>
      </w:pPr>
      <w:r w:rsidRPr="00181341">
        <w:rPr>
          <w:sz w:val="22"/>
          <w:szCs w:val="22"/>
        </w:rPr>
        <w:t>Ponovno javljanje reakcija na mjestu injekcije (ponovno javljanje kožne reakcije na mjestu prethodne ekstravazacije nakon primjene docetaksela na drugom mjestu) je uočeno na mjestu prethodne ekstravazacije (učestalost nije poznata).</w:t>
      </w:r>
    </w:p>
    <w:p w14:paraId="2929479E" w14:textId="77777777" w:rsidR="00F84A8F" w:rsidRPr="00181341" w:rsidRDefault="00F84A8F" w:rsidP="00F84A8F">
      <w:pPr>
        <w:autoSpaceDE w:val="0"/>
        <w:autoSpaceDN w:val="0"/>
        <w:adjustRightInd w:val="0"/>
        <w:rPr>
          <w:sz w:val="22"/>
          <w:szCs w:val="22"/>
        </w:rPr>
      </w:pPr>
      <w:r w:rsidRPr="00181341">
        <w:rPr>
          <w:sz w:val="22"/>
          <w:szCs w:val="22"/>
        </w:rPr>
        <w:t>Retencija te</w:t>
      </w:r>
      <w:r w:rsidRPr="00181341">
        <w:rPr>
          <w:rFonts w:eastAsia="TimesNewRoman"/>
          <w:sz w:val="22"/>
          <w:szCs w:val="22"/>
        </w:rPr>
        <w:t>č</w:t>
      </w:r>
      <w:r w:rsidRPr="00181341">
        <w:rPr>
          <w:sz w:val="22"/>
          <w:szCs w:val="22"/>
        </w:rPr>
        <w:t>nosti nije bila pra</w:t>
      </w:r>
      <w:r w:rsidRPr="00181341">
        <w:rPr>
          <w:rFonts w:eastAsia="TimesNewRoman"/>
          <w:sz w:val="22"/>
          <w:szCs w:val="22"/>
        </w:rPr>
        <w:t>ć</w:t>
      </w:r>
      <w:r w:rsidRPr="00181341">
        <w:rPr>
          <w:sz w:val="22"/>
          <w:szCs w:val="22"/>
        </w:rPr>
        <w:t xml:space="preserve">ena akutnim epizodama oligurije ili hipotenzije. </w:t>
      </w:r>
    </w:p>
    <w:p w14:paraId="2FAD420E" w14:textId="77777777" w:rsidR="00F84A8F" w:rsidRPr="00181341" w:rsidRDefault="00F84A8F" w:rsidP="00F84A8F">
      <w:pPr>
        <w:autoSpaceDE w:val="0"/>
        <w:autoSpaceDN w:val="0"/>
        <w:adjustRightInd w:val="0"/>
        <w:rPr>
          <w:sz w:val="22"/>
          <w:szCs w:val="22"/>
        </w:rPr>
      </w:pPr>
    </w:p>
    <w:p w14:paraId="24CBDBC5" w14:textId="77777777" w:rsidR="00F84A8F" w:rsidRPr="00181341" w:rsidRDefault="00F84A8F" w:rsidP="00F84A8F">
      <w:pPr>
        <w:autoSpaceDE w:val="0"/>
        <w:autoSpaceDN w:val="0"/>
        <w:adjustRightInd w:val="0"/>
        <w:rPr>
          <w:i/>
          <w:sz w:val="22"/>
          <w:szCs w:val="22"/>
          <w:u w:val="single"/>
        </w:rPr>
      </w:pPr>
      <w:r w:rsidRPr="00181341">
        <w:rPr>
          <w:i/>
          <w:sz w:val="22"/>
          <w:szCs w:val="22"/>
          <w:u w:val="single"/>
        </w:rPr>
        <w:t>Poremećaji metabolizma i ishrane</w:t>
      </w:r>
    </w:p>
    <w:p w14:paraId="3BBACF63" w14:textId="77777777" w:rsidR="00F84A8F" w:rsidRPr="00D425B4" w:rsidRDefault="00F84A8F" w:rsidP="00F84A8F">
      <w:pPr>
        <w:autoSpaceDE w:val="0"/>
        <w:autoSpaceDN w:val="0"/>
        <w:adjustRightInd w:val="0"/>
        <w:rPr>
          <w:sz w:val="22"/>
          <w:szCs w:val="22"/>
          <w:lang w:val="de-DE"/>
        </w:rPr>
      </w:pPr>
      <w:r w:rsidRPr="00181341">
        <w:rPr>
          <w:sz w:val="22"/>
          <w:szCs w:val="22"/>
        </w:rPr>
        <w:t>Prijavljeni su slučajevi neravnoteže elektrolita. Prijavljeni su slučajevi hiponatremije, uglavnom povezane sa dehidratacijom, povraćanjem i pneumonijom. Uočene su hipokalemija, hipomagnezemija i hipokalcemija, obično u vezi sa gastrointestinalnim poremećajima, naročito sa dijarejom.</w:t>
      </w:r>
      <w:r>
        <w:rPr>
          <w:sz w:val="22"/>
          <w:szCs w:val="22"/>
        </w:rPr>
        <w:t xml:space="preserve"> </w:t>
      </w:r>
      <w:r w:rsidRPr="00D425B4">
        <w:rPr>
          <w:sz w:val="22"/>
          <w:szCs w:val="22"/>
          <w:lang w:val="de-DE"/>
        </w:rPr>
        <w:t>Registrovan je sindrom lize tumora, potencijalno fatalan (nije poznata učestalost).</w:t>
      </w:r>
    </w:p>
    <w:p w14:paraId="08B2D2FF" w14:textId="77777777" w:rsidR="00F84A8F" w:rsidRPr="00D425B4" w:rsidRDefault="00F84A8F" w:rsidP="00F84A8F">
      <w:pPr>
        <w:autoSpaceDE w:val="0"/>
        <w:autoSpaceDN w:val="0"/>
        <w:adjustRightInd w:val="0"/>
        <w:rPr>
          <w:sz w:val="22"/>
          <w:szCs w:val="22"/>
          <w:lang w:val="de-DE"/>
        </w:rPr>
      </w:pPr>
    </w:p>
    <w:p w14:paraId="4F5545CC" w14:textId="77777777" w:rsidR="00F84A8F" w:rsidRPr="00D425B4" w:rsidRDefault="00F84A8F" w:rsidP="00F84A8F">
      <w:pPr>
        <w:autoSpaceDE w:val="0"/>
        <w:autoSpaceDN w:val="0"/>
        <w:adjustRightInd w:val="0"/>
        <w:rPr>
          <w:i/>
          <w:sz w:val="22"/>
          <w:szCs w:val="22"/>
          <w:u w:val="single"/>
          <w:lang w:val="de-DE"/>
        </w:rPr>
      </w:pPr>
      <w:r w:rsidRPr="00D425B4">
        <w:rPr>
          <w:i/>
          <w:sz w:val="22"/>
          <w:szCs w:val="22"/>
          <w:u w:val="single"/>
          <w:lang w:val="de-DE"/>
        </w:rPr>
        <w:t>Muskuloskeletni poremećaji</w:t>
      </w:r>
    </w:p>
    <w:p w14:paraId="15636FB0" w14:textId="77777777" w:rsidR="00F84A8F" w:rsidRPr="00D425B4" w:rsidRDefault="00F84A8F" w:rsidP="00F84A8F">
      <w:pPr>
        <w:autoSpaceDE w:val="0"/>
        <w:autoSpaceDN w:val="0"/>
        <w:adjustRightInd w:val="0"/>
        <w:rPr>
          <w:sz w:val="22"/>
          <w:szCs w:val="22"/>
          <w:lang w:val="de-DE"/>
        </w:rPr>
      </w:pPr>
    </w:p>
    <w:p w14:paraId="22C07ED8" w14:textId="77777777" w:rsidR="00F84A8F" w:rsidRPr="00D425B4" w:rsidRDefault="00F84A8F" w:rsidP="00F84A8F">
      <w:pPr>
        <w:autoSpaceDE w:val="0"/>
        <w:autoSpaceDN w:val="0"/>
        <w:adjustRightInd w:val="0"/>
        <w:rPr>
          <w:sz w:val="22"/>
          <w:szCs w:val="22"/>
          <w:lang w:val="de-DE"/>
        </w:rPr>
      </w:pPr>
      <w:r w:rsidRPr="00D425B4">
        <w:rPr>
          <w:sz w:val="22"/>
          <w:szCs w:val="22"/>
          <w:lang w:val="de-DE"/>
        </w:rPr>
        <w:t>Registrovan je miozitis prilikom upotrebe docetaksela (nije poznata učestalost).</w:t>
      </w:r>
    </w:p>
    <w:p w14:paraId="63C94D38" w14:textId="77777777" w:rsidR="00F84A8F" w:rsidRDefault="00F84A8F" w:rsidP="00A46C9A">
      <w:pPr>
        <w:spacing w:after="200" w:line="276" w:lineRule="auto"/>
        <w:rPr>
          <w:rFonts w:eastAsia="Calibri"/>
          <w:sz w:val="22"/>
          <w:szCs w:val="22"/>
          <w:u w:val="single"/>
          <w:lang w:val="sr-Latn-RS"/>
        </w:rPr>
      </w:pPr>
    </w:p>
    <w:p w14:paraId="4D73BF6F" w14:textId="65D09813"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6C83E05C" w14:textId="32B3501B"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w:t>
      </w:r>
      <w:r w:rsidR="00C12F5F">
        <w:rPr>
          <w:rFonts w:eastAsia="Calibri"/>
          <w:sz w:val="22"/>
          <w:szCs w:val="22"/>
          <w:lang w:val="sr-Latn-RS"/>
        </w:rPr>
        <w:t xml:space="preserve">za lijek </w:t>
      </w:r>
      <w:r w:rsidRPr="00786071">
        <w:rPr>
          <w:rFonts w:eastAsia="Calibri"/>
          <w:sz w:val="22"/>
          <w:szCs w:val="22"/>
          <w:lang w:val="sr-Latn-RS"/>
        </w:rPr>
        <w:t>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1A431DDD"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1BDD6541"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17822A69"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77A1AFAB" w14:textId="77777777" w:rsidR="00EA5765" w:rsidRPr="00786071" w:rsidRDefault="00EA5765" w:rsidP="00A46C9A">
      <w:pPr>
        <w:pStyle w:val="NoSpacing"/>
        <w:rPr>
          <w:rFonts w:eastAsia="Calibri"/>
          <w:sz w:val="22"/>
          <w:szCs w:val="22"/>
          <w:lang w:val="sr-Latn-RS"/>
        </w:rPr>
      </w:pPr>
    </w:p>
    <w:p w14:paraId="10DD35CD"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1165A48F" w14:textId="77777777" w:rsidR="00EA5765" w:rsidRPr="00786071" w:rsidRDefault="005A23D2" w:rsidP="00FF3EDF">
      <w:pPr>
        <w:pStyle w:val="NoSpacing"/>
        <w:tabs>
          <w:tab w:val="left" w:pos="6720"/>
        </w:tabs>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14:paraId="0366C670" w14:textId="77777777" w:rsidR="005A23D2" w:rsidRPr="00786071" w:rsidRDefault="00560C27" w:rsidP="00A46C9A">
      <w:pPr>
        <w:pStyle w:val="NoSpacing"/>
        <w:jc w:val="both"/>
        <w:rPr>
          <w:rFonts w:eastAsia="Calibri"/>
          <w:sz w:val="22"/>
          <w:szCs w:val="22"/>
          <w:lang w:val="sr-Latn-RS"/>
        </w:rPr>
      </w:pPr>
      <w:hyperlink r:id="rId10" w:history="1">
        <w:r w:rsidR="004E70AD" w:rsidRPr="00B664A0">
          <w:rPr>
            <w:rStyle w:val="Hyperlink"/>
            <w:rFonts w:eastAsia="Calibri"/>
            <w:sz w:val="22"/>
            <w:szCs w:val="22"/>
            <w:lang w:val="sr-Latn-RS"/>
          </w:rPr>
          <w:t>www.cinmed.me</w:t>
        </w:r>
      </w:hyperlink>
    </w:p>
    <w:p w14:paraId="18D76AEA" w14:textId="77777777" w:rsidR="00EA5765" w:rsidRPr="00786071" w:rsidRDefault="00560C27" w:rsidP="00A46C9A">
      <w:pPr>
        <w:pStyle w:val="NoSpacing"/>
        <w:jc w:val="both"/>
        <w:rPr>
          <w:rFonts w:eastAsia="Calibri"/>
          <w:color w:val="0000FF"/>
          <w:sz w:val="22"/>
          <w:szCs w:val="22"/>
          <w:u w:val="single"/>
          <w:lang w:val="sr-Latn-RS"/>
        </w:rPr>
      </w:pPr>
      <w:hyperlink r:id="rId11" w:history="1">
        <w:r w:rsidR="004E70AD" w:rsidRPr="00B664A0">
          <w:rPr>
            <w:rStyle w:val="Hyperlink"/>
            <w:rFonts w:eastAsia="Calibri"/>
            <w:sz w:val="22"/>
            <w:szCs w:val="22"/>
            <w:lang w:val="sr-Latn-RS"/>
          </w:rPr>
          <w:t>nezeljenadejstva@cinmed.me</w:t>
        </w:r>
      </w:hyperlink>
    </w:p>
    <w:p w14:paraId="1B2D5DA4" w14:textId="77777777"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366E0CC2" w14:textId="77777777" w:rsidR="007E31E9" w:rsidRDefault="007E31E9" w:rsidP="00A46C9A">
      <w:pPr>
        <w:pStyle w:val="NoSpacing"/>
        <w:jc w:val="both"/>
        <w:rPr>
          <w:rFonts w:eastAsia="Calibri"/>
          <w:sz w:val="22"/>
          <w:szCs w:val="22"/>
          <w:lang w:val="sr-Latn-RS"/>
        </w:rPr>
      </w:pPr>
      <w:r>
        <w:rPr>
          <w:rFonts w:eastAsia="Calibri"/>
          <w:sz w:val="22"/>
          <w:szCs w:val="22"/>
          <w:lang w:val="sr-Latn-RS"/>
        </w:rPr>
        <w:t>QR kod za online prijavu</w:t>
      </w:r>
      <w:r w:rsidR="00D74CD2">
        <w:rPr>
          <w:rFonts w:eastAsia="Calibri"/>
          <w:sz w:val="22"/>
          <w:szCs w:val="22"/>
          <w:lang w:val="sr-Latn-RS"/>
        </w:rPr>
        <w:t xml:space="preserve"> sumnje na neželjeno dejstvo lijeka</w:t>
      </w:r>
      <w:r>
        <w:rPr>
          <w:rFonts w:eastAsia="Calibri"/>
          <w:sz w:val="22"/>
          <w:szCs w:val="22"/>
          <w:lang w:val="sr-Latn-RS"/>
        </w:rPr>
        <w:t>:</w:t>
      </w:r>
    </w:p>
    <w:p w14:paraId="36EC4073" w14:textId="77777777" w:rsidR="007E31E9" w:rsidRDefault="007E31E9" w:rsidP="00A46C9A">
      <w:pPr>
        <w:pStyle w:val="NoSpacing"/>
        <w:jc w:val="both"/>
        <w:rPr>
          <w:rFonts w:eastAsia="Calibri"/>
          <w:sz w:val="22"/>
          <w:szCs w:val="22"/>
          <w:lang w:val="sr-Latn-RS"/>
        </w:rPr>
      </w:pPr>
    </w:p>
    <w:p w14:paraId="20714AAE" w14:textId="77777777" w:rsidR="004F17E2" w:rsidRPr="00786071" w:rsidRDefault="007E31E9" w:rsidP="007E31E9">
      <w:pPr>
        <w:pStyle w:val="NoSpacing"/>
        <w:rPr>
          <w:rFonts w:eastAsia="Calibri"/>
          <w:sz w:val="22"/>
          <w:szCs w:val="22"/>
          <w:lang w:val="sr-Latn-RS"/>
        </w:rPr>
      </w:pPr>
      <w:r>
        <w:rPr>
          <w:noProof/>
        </w:rPr>
        <w:drawing>
          <wp:inline distT="0" distB="0" distL="0" distR="0" wp14:anchorId="2223EA0A" wp14:editId="56D65853">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54AB2F4" w14:textId="77777777" w:rsidR="00836B35" w:rsidRPr="00786071" w:rsidRDefault="00836B35" w:rsidP="00480FB1">
      <w:pPr>
        <w:tabs>
          <w:tab w:val="left" w:pos="540"/>
          <w:tab w:val="left" w:pos="569"/>
        </w:tabs>
        <w:rPr>
          <w:b/>
          <w:bCs/>
          <w:sz w:val="22"/>
          <w:szCs w:val="22"/>
        </w:rPr>
      </w:pPr>
    </w:p>
    <w:p w14:paraId="47F859BF" w14:textId="77777777" w:rsidR="00D425B4" w:rsidRDefault="00D425B4" w:rsidP="00480FB1">
      <w:pPr>
        <w:tabs>
          <w:tab w:val="left" w:pos="540"/>
          <w:tab w:val="left" w:pos="569"/>
        </w:tabs>
        <w:rPr>
          <w:b/>
          <w:bCs/>
          <w:sz w:val="22"/>
          <w:szCs w:val="22"/>
        </w:rPr>
      </w:pPr>
    </w:p>
    <w:p w14:paraId="0DC007E5" w14:textId="6DCC0C14" w:rsidR="00CD6F02" w:rsidRPr="00D425B4" w:rsidRDefault="0072020E" w:rsidP="00480FB1">
      <w:pPr>
        <w:tabs>
          <w:tab w:val="left" w:pos="540"/>
          <w:tab w:val="left" w:pos="569"/>
        </w:tabs>
        <w:rPr>
          <w:b/>
          <w:bCs/>
          <w:sz w:val="22"/>
          <w:szCs w:val="22"/>
          <w:lang w:val="de-DE"/>
        </w:rPr>
      </w:pPr>
      <w:r w:rsidRPr="00D425B4">
        <w:rPr>
          <w:b/>
          <w:bCs/>
          <w:sz w:val="22"/>
          <w:szCs w:val="22"/>
          <w:lang w:val="de-DE"/>
        </w:rPr>
        <w:t xml:space="preserve">4.9. </w:t>
      </w:r>
      <w:r w:rsidR="00480FB1" w:rsidRPr="00D425B4">
        <w:rPr>
          <w:b/>
          <w:bCs/>
          <w:sz w:val="22"/>
          <w:szCs w:val="22"/>
          <w:lang w:val="de-DE"/>
        </w:rPr>
        <w:tab/>
      </w:r>
      <w:r w:rsidRPr="00D425B4">
        <w:rPr>
          <w:b/>
          <w:bCs/>
          <w:sz w:val="22"/>
          <w:szCs w:val="22"/>
          <w:lang w:val="de-DE"/>
        </w:rPr>
        <w:t>Predoziranje</w:t>
      </w:r>
      <w:r w:rsidR="002846DB" w:rsidRPr="00D425B4">
        <w:rPr>
          <w:b/>
          <w:bCs/>
          <w:sz w:val="22"/>
          <w:szCs w:val="22"/>
          <w:lang w:val="de-DE"/>
        </w:rPr>
        <w:t xml:space="preserve"> </w:t>
      </w:r>
    </w:p>
    <w:p w14:paraId="1AFB9A16" w14:textId="77777777" w:rsidR="00CD6F02" w:rsidRPr="00D425B4" w:rsidRDefault="00CD6F02" w:rsidP="00480FB1">
      <w:pPr>
        <w:tabs>
          <w:tab w:val="left" w:pos="540"/>
          <w:tab w:val="left" w:pos="569"/>
        </w:tabs>
        <w:rPr>
          <w:b/>
          <w:bCs/>
          <w:sz w:val="22"/>
          <w:szCs w:val="22"/>
          <w:lang w:val="de-DE"/>
        </w:rPr>
      </w:pPr>
    </w:p>
    <w:p w14:paraId="6190729B" w14:textId="77777777" w:rsidR="00D425B4" w:rsidRPr="00BB3077" w:rsidRDefault="00D425B4" w:rsidP="00D425B4">
      <w:pPr>
        <w:pStyle w:val="Header"/>
        <w:tabs>
          <w:tab w:val="left" w:pos="284"/>
        </w:tabs>
        <w:spacing w:before="80" w:after="80"/>
        <w:rPr>
          <w:bCs/>
          <w:sz w:val="22"/>
          <w:szCs w:val="22"/>
          <w:lang w:val="de-DE"/>
        </w:rPr>
      </w:pPr>
      <w:r w:rsidRPr="00D425B4">
        <w:rPr>
          <w:bCs/>
          <w:sz w:val="22"/>
          <w:szCs w:val="22"/>
          <w:lang w:val="de-DE"/>
        </w:rPr>
        <w:t xml:space="preserve">Registrovano je nekoliko slučajeva predoziranja. Za predoziranje docetakselom nema poznatog antidota. U slučaju predoziranja, pacijenta treba zadržati u specijalizovanoj jedinici i pažljivo pratiti njegove vitalne funkcije. U slučaju unosa velikih doza, mogu se očekivati egzacerbacije neželjenih dejstava. Glavne očekivane komplikacije kod predoziranja obuhvataju supresiju koštane srži, perifernu neurotoksičnost i mukozitis. Pacijent mora da primi terapijski G-CSF u što kraćem roku od otkrivanja predoziranja. </w:t>
      </w:r>
      <w:r w:rsidRPr="00BB3077">
        <w:rPr>
          <w:bCs/>
          <w:sz w:val="22"/>
          <w:szCs w:val="22"/>
          <w:lang w:val="de-DE"/>
        </w:rPr>
        <w:t>Ukoliko je potrebno, trebalo bi preduzeti i druge odgovarajuće simptomatske mjere.</w:t>
      </w:r>
    </w:p>
    <w:p w14:paraId="4152F2D1" w14:textId="77777777" w:rsidR="00227BDB" w:rsidRPr="00BB3077" w:rsidRDefault="00227BDB" w:rsidP="00480FB1">
      <w:pPr>
        <w:tabs>
          <w:tab w:val="left" w:pos="540"/>
          <w:tab w:val="left" w:pos="569"/>
        </w:tabs>
        <w:rPr>
          <w:b/>
          <w:bCs/>
          <w:sz w:val="22"/>
          <w:szCs w:val="22"/>
          <w:lang w:val="de-DE"/>
        </w:rPr>
      </w:pPr>
    </w:p>
    <w:p w14:paraId="263A17F1" w14:textId="77777777" w:rsidR="0072020E" w:rsidRPr="00BB3077" w:rsidRDefault="0072020E" w:rsidP="00480FB1">
      <w:pPr>
        <w:tabs>
          <w:tab w:val="left" w:pos="540"/>
          <w:tab w:val="left" w:pos="569"/>
        </w:tabs>
        <w:rPr>
          <w:b/>
          <w:bCs/>
          <w:sz w:val="22"/>
          <w:szCs w:val="22"/>
          <w:lang w:val="de-DE"/>
        </w:rPr>
      </w:pPr>
      <w:r w:rsidRPr="00BB3077">
        <w:rPr>
          <w:b/>
          <w:bCs/>
          <w:sz w:val="22"/>
          <w:szCs w:val="22"/>
          <w:lang w:val="de-DE"/>
        </w:rPr>
        <w:t xml:space="preserve">5. </w:t>
      </w:r>
      <w:r w:rsidR="00480FB1" w:rsidRPr="00BB3077">
        <w:rPr>
          <w:b/>
          <w:bCs/>
          <w:sz w:val="22"/>
          <w:szCs w:val="22"/>
          <w:lang w:val="de-DE"/>
        </w:rPr>
        <w:tab/>
      </w:r>
      <w:r w:rsidRPr="00BB3077">
        <w:rPr>
          <w:b/>
          <w:bCs/>
          <w:sz w:val="22"/>
          <w:szCs w:val="22"/>
          <w:lang w:val="de-DE"/>
        </w:rPr>
        <w:t>FARMAKOLOŠK</w:t>
      </w:r>
      <w:r w:rsidR="000D425A" w:rsidRPr="00BB3077">
        <w:rPr>
          <w:b/>
          <w:bCs/>
          <w:sz w:val="22"/>
          <w:szCs w:val="22"/>
          <w:lang w:val="de-DE"/>
        </w:rPr>
        <w:t>I</w:t>
      </w:r>
      <w:r w:rsidRPr="00BB3077">
        <w:rPr>
          <w:b/>
          <w:bCs/>
          <w:sz w:val="22"/>
          <w:szCs w:val="22"/>
          <w:lang w:val="de-DE"/>
        </w:rPr>
        <w:t xml:space="preserve"> PODACI</w:t>
      </w:r>
    </w:p>
    <w:p w14:paraId="1DB52E20" w14:textId="77777777" w:rsidR="0072020E" w:rsidRPr="00BB3077" w:rsidRDefault="0072020E" w:rsidP="00480FB1">
      <w:pPr>
        <w:tabs>
          <w:tab w:val="left" w:pos="540"/>
          <w:tab w:val="left" w:pos="569"/>
        </w:tabs>
        <w:rPr>
          <w:b/>
          <w:bCs/>
          <w:sz w:val="22"/>
          <w:szCs w:val="22"/>
          <w:lang w:val="de-DE"/>
        </w:rPr>
      </w:pPr>
    </w:p>
    <w:p w14:paraId="4AB75698" w14:textId="77777777" w:rsidR="0072020E" w:rsidRPr="00BB3077" w:rsidRDefault="0072020E" w:rsidP="00480FB1">
      <w:pPr>
        <w:tabs>
          <w:tab w:val="left" w:pos="540"/>
          <w:tab w:val="left" w:pos="569"/>
        </w:tabs>
        <w:rPr>
          <w:b/>
          <w:bCs/>
          <w:sz w:val="22"/>
          <w:szCs w:val="22"/>
          <w:lang w:val="de-DE"/>
        </w:rPr>
      </w:pPr>
      <w:r w:rsidRPr="00BB3077">
        <w:rPr>
          <w:b/>
          <w:bCs/>
          <w:sz w:val="22"/>
          <w:szCs w:val="22"/>
          <w:lang w:val="de-DE"/>
        </w:rPr>
        <w:t xml:space="preserve">5.1. </w:t>
      </w:r>
      <w:r w:rsidR="00480FB1" w:rsidRPr="00BB3077">
        <w:rPr>
          <w:b/>
          <w:bCs/>
          <w:sz w:val="22"/>
          <w:szCs w:val="22"/>
          <w:lang w:val="de-DE"/>
        </w:rPr>
        <w:tab/>
      </w:r>
      <w:r w:rsidRPr="00BB3077">
        <w:rPr>
          <w:b/>
          <w:bCs/>
          <w:sz w:val="22"/>
          <w:szCs w:val="22"/>
          <w:lang w:val="de-DE"/>
        </w:rPr>
        <w:t>Farmakodinamski podaci</w:t>
      </w:r>
      <w:r w:rsidR="003A7059" w:rsidRPr="00BB3077">
        <w:rPr>
          <w:b/>
          <w:bCs/>
          <w:sz w:val="22"/>
          <w:szCs w:val="22"/>
          <w:lang w:val="de-DE"/>
        </w:rPr>
        <w:t xml:space="preserve"> </w:t>
      </w:r>
    </w:p>
    <w:p w14:paraId="7681DE4E" w14:textId="77777777" w:rsidR="00F45F77" w:rsidRPr="00BB3077" w:rsidRDefault="00F45F77" w:rsidP="00480FB1">
      <w:pPr>
        <w:tabs>
          <w:tab w:val="left" w:pos="540"/>
          <w:tab w:val="left" w:pos="569"/>
        </w:tabs>
        <w:rPr>
          <w:b/>
          <w:bCs/>
          <w:sz w:val="22"/>
          <w:szCs w:val="22"/>
          <w:lang w:val="de-DE"/>
        </w:rPr>
      </w:pPr>
    </w:p>
    <w:p w14:paraId="6F3A5569" w14:textId="261E0A17" w:rsidR="0072020E" w:rsidRPr="00BB3077" w:rsidRDefault="0072020E" w:rsidP="00586901">
      <w:pPr>
        <w:tabs>
          <w:tab w:val="left" w:pos="0"/>
        </w:tabs>
        <w:autoSpaceDE w:val="0"/>
        <w:autoSpaceDN w:val="0"/>
        <w:adjustRightInd w:val="0"/>
        <w:rPr>
          <w:sz w:val="22"/>
          <w:szCs w:val="22"/>
          <w:lang w:val="de-DE"/>
        </w:rPr>
      </w:pPr>
      <w:r w:rsidRPr="00BB3077">
        <w:rPr>
          <w:bCs/>
          <w:sz w:val="22"/>
          <w:szCs w:val="22"/>
          <w:lang w:val="de-DE"/>
        </w:rPr>
        <w:t>Farmakoterapijska grupa:</w:t>
      </w:r>
      <w:r w:rsidR="00586901" w:rsidRPr="00BB3077">
        <w:rPr>
          <w:bCs/>
          <w:sz w:val="22"/>
          <w:szCs w:val="22"/>
          <w:lang w:val="de-DE"/>
        </w:rPr>
        <w:t xml:space="preserve"> </w:t>
      </w:r>
      <w:r w:rsidR="00586901" w:rsidRPr="00BB3077">
        <w:rPr>
          <w:sz w:val="22"/>
          <w:szCs w:val="22"/>
          <w:lang w:val="de-DE"/>
        </w:rPr>
        <w:t>Taksani</w:t>
      </w:r>
    </w:p>
    <w:p w14:paraId="2BEB9FBF" w14:textId="77777777" w:rsidR="0072020E" w:rsidRPr="00BB3077" w:rsidRDefault="0072020E" w:rsidP="00480FB1">
      <w:pPr>
        <w:tabs>
          <w:tab w:val="left" w:pos="540"/>
          <w:tab w:val="left" w:pos="569"/>
        </w:tabs>
        <w:rPr>
          <w:bCs/>
          <w:sz w:val="22"/>
          <w:szCs w:val="22"/>
          <w:lang w:val="de-DE"/>
        </w:rPr>
      </w:pPr>
    </w:p>
    <w:p w14:paraId="095C2CF2" w14:textId="149247DA" w:rsidR="0072020E" w:rsidRPr="00BB3077" w:rsidRDefault="0072020E" w:rsidP="00480FB1">
      <w:pPr>
        <w:tabs>
          <w:tab w:val="left" w:pos="540"/>
          <w:tab w:val="left" w:pos="569"/>
        </w:tabs>
        <w:rPr>
          <w:sz w:val="22"/>
          <w:szCs w:val="22"/>
          <w:lang w:val="de-DE"/>
        </w:rPr>
      </w:pPr>
      <w:r w:rsidRPr="00BB3077">
        <w:rPr>
          <w:bCs/>
          <w:sz w:val="22"/>
          <w:szCs w:val="22"/>
          <w:lang w:val="de-DE"/>
        </w:rPr>
        <w:t>ATC kod:</w:t>
      </w:r>
      <w:r w:rsidR="00586901" w:rsidRPr="00BB3077">
        <w:rPr>
          <w:bCs/>
          <w:sz w:val="22"/>
          <w:szCs w:val="22"/>
          <w:lang w:val="de-DE"/>
        </w:rPr>
        <w:t xml:space="preserve"> </w:t>
      </w:r>
      <w:r w:rsidR="00586901" w:rsidRPr="00BB3077">
        <w:rPr>
          <w:sz w:val="22"/>
          <w:szCs w:val="22"/>
          <w:lang w:val="de-DE"/>
        </w:rPr>
        <w:t>L01CD 02</w:t>
      </w:r>
    </w:p>
    <w:p w14:paraId="4ADB3BA7" w14:textId="578C5E1E" w:rsidR="00586901" w:rsidRPr="00BB3077" w:rsidRDefault="00586901" w:rsidP="00480FB1">
      <w:pPr>
        <w:tabs>
          <w:tab w:val="left" w:pos="540"/>
          <w:tab w:val="left" w:pos="569"/>
        </w:tabs>
        <w:rPr>
          <w:sz w:val="22"/>
          <w:szCs w:val="22"/>
          <w:lang w:val="de-DE"/>
        </w:rPr>
      </w:pPr>
    </w:p>
    <w:p w14:paraId="05529CA1" w14:textId="77777777" w:rsidR="00586901" w:rsidRPr="00FE1938" w:rsidRDefault="00586901" w:rsidP="00586901">
      <w:pPr>
        <w:autoSpaceDE w:val="0"/>
        <w:autoSpaceDN w:val="0"/>
        <w:adjustRightInd w:val="0"/>
        <w:rPr>
          <w:bCs/>
          <w:sz w:val="22"/>
          <w:szCs w:val="22"/>
          <w:u w:val="single"/>
        </w:rPr>
      </w:pPr>
      <w:r w:rsidRPr="00FE1938">
        <w:rPr>
          <w:bCs/>
          <w:sz w:val="22"/>
          <w:szCs w:val="22"/>
          <w:u w:val="single"/>
        </w:rPr>
        <w:t>Mehanizam djelovanja</w:t>
      </w:r>
    </w:p>
    <w:p w14:paraId="4D4F70AE" w14:textId="77777777" w:rsidR="00586901" w:rsidRPr="00FE1938" w:rsidRDefault="00586901" w:rsidP="00586901">
      <w:pPr>
        <w:autoSpaceDE w:val="0"/>
        <w:autoSpaceDN w:val="0"/>
        <w:adjustRightInd w:val="0"/>
        <w:rPr>
          <w:bCs/>
          <w:sz w:val="22"/>
          <w:szCs w:val="22"/>
          <w:u w:val="single"/>
        </w:rPr>
      </w:pPr>
    </w:p>
    <w:p w14:paraId="7BA292C8" w14:textId="77777777" w:rsidR="00586901" w:rsidRPr="00FE1938" w:rsidRDefault="00586901" w:rsidP="00586901">
      <w:pPr>
        <w:autoSpaceDE w:val="0"/>
        <w:autoSpaceDN w:val="0"/>
        <w:adjustRightInd w:val="0"/>
        <w:rPr>
          <w:sz w:val="22"/>
          <w:szCs w:val="22"/>
        </w:rPr>
      </w:pPr>
      <w:r w:rsidRPr="00FE1938">
        <w:rPr>
          <w:sz w:val="22"/>
          <w:szCs w:val="22"/>
        </w:rPr>
        <w:t>Docetaksel je antineoplasti</w:t>
      </w:r>
      <w:r w:rsidRPr="00FE1938">
        <w:rPr>
          <w:rFonts w:eastAsia="TimesNewRoman"/>
          <w:sz w:val="22"/>
          <w:szCs w:val="22"/>
        </w:rPr>
        <w:t>č</w:t>
      </w:r>
      <w:r w:rsidRPr="00FE1938">
        <w:rPr>
          <w:sz w:val="22"/>
          <w:szCs w:val="22"/>
        </w:rPr>
        <w:t>ni lijek koji djeluje tako što podsti</w:t>
      </w:r>
      <w:r w:rsidRPr="00FE1938">
        <w:rPr>
          <w:rFonts w:eastAsia="TimesNewRoman"/>
          <w:sz w:val="22"/>
          <w:szCs w:val="22"/>
        </w:rPr>
        <w:t>č</w:t>
      </w:r>
      <w:r w:rsidRPr="00FE1938">
        <w:rPr>
          <w:sz w:val="22"/>
          <w:szCs w:val="22"/>
        </w:rPr>
        <w:t>e skupljanje tubulina u stabilne mikrotubule, a inhibira njihovu razgradnju, što dovodi do zna</w:t>
      </w:r>
      <w:r w:rsidRPr="00FE1938">
        <w:rPr>
          <w:rFonts w:eastAsia="TimesNewRoman"/>
          <w:sz w:val="22"/>
          <w:szCs w:val="22"/>
        </w:rPr>
        <w:t>č</w:t>
      </w:r>
      <w:r w:rsidRPr="00FE1938">
        <w:rPr>
          <w:sz w:val="22"/>
          <w:szCs w:val="22"/>
        </w:rPr>
        <w:t>ajnog smanjenja koli</w:t>
      </w:r>
      <w:r w:rsidRPr="00FE1938">
        <w:rPr>
          <w:rFonts w:eastAsia="TimesNewRoman"/>
          <w:sz w:val="22"/>
          <w:szCs w:val="22"/>
        </w:rPr>
        <w:t>č</w:t>
      </w:r>
      <w:r w:rsidRPr="00FE1938">
        <w:rPr>
          <w:sz w:val="22"/>
          <w:szCs w:val="22"/>
        </w:rPr>
        <w:t>ine slobodnog tubulina. Vezivanje docetaksela za mikrotubule ne uti</w:t>
      </w:r>
      <w:r w:rsidRPr="00FE1938">
        <w:rPr>
          <w:rFonts w:eastAsia="TimesNewRoman"/>
          <w:sz w:val="22"/>
          <w:szCs w:val="22"/>
        </w:rPr>
        <w:t>č</w:t>
      </w:r>
      <w:r w:rsidRPr="00FE1938">
        <w:rPr>
          <w:sz w:val="22"/>
          <w:szCs w:val="22"/>
        </w:rPr>
        <w:t>e na promjenu broja protofilamenata.</w:t>
      </w:r>
    </w:p>
    <w:p w14:paraId="26E5FF1D" w14:textId="77777777" w:rsidR="00586901" w:rsidRPr="00FE1938" w:rsidRDefault="00586901" w:rsidP="00586901">
      <w:pPr>
        <w:autoSpaceDE w:val="0"/>
        <w:autoSpaceDN w:val="0"/>
        <w:adjustRightInd w:val="0"/>
        <w:rPr>
          <w:i/>
          <w:iCs/>
          <w:sz w:val="22"/>
          <w:szCs w:val="22"/>
        </w:rPr>
      </w:pPr>
    </w:p>
    <w:p w14:paraId="6078CA22" w14:textId="77777777" w:rsidR="00586901" w:rsidRPr="00FE1938" w:rsidRDefault="00586901" w:rsidP="00586901">
      <w:pPr>
        <w:autoSpaceDE w:val="0"/>
        <w:autoSpaceDN w:val="0"/>
        <w:adjustRightInd w:val="0"/>
        <w:rPr>
          <w:sz w:val="22"/>
          <w:szCs w:val="22"/>
        </w:rPr>
      </w:pPr>
      <w:r w:rsidRPr="00FE1938">
        <w:rPr>
          <w:i/>
          <w:iCs/>
          <w:sz w:val="22"/>
          <w:szCs w:val="22"/>
        </w:rPr>
        <w:t>In vitro</w:t>
      </w:r>
      <w:r w:rsidRPr="00FE1938">
        <w:rPr>
          <w:sz w:val="22"/>
          <w:szCs w:val="22"/>
        </w:rPr>
        <w:t xml:space="preserve">, docetaksel u </w:t>
      </w:r>
      <w:r w:rsidRPr="00FE1938">
        <w:rPr>
          <w:rFonts w:eastAsia="TimesNewRoman"/>
          <w:sz w:val="22"/>
          <w:szCs w:val="22"/>
        </w:rPr>
        <w:t>ć</w:t>
      </w:r>
      <w:r w:rsidRPr="00FE1938">
        <w:rPr>
          <w:sz w:val="22"/>
          <w:szCs w:val="22"/>
        </w:rPr>
        <w:t xml:space="preserve">elijama remeti mrežu mikrotubula koja je neophodna za mitozu i funkciju </w:t>
      </w:r>
      <w:r w:rsidRPr="00FE1938">
        <w:rPr>
          <w:rFonts w:eastAsia="TimesNewRoman"/>
          <w:sz w:val="22"/>
          <w:szCs w:val="22"/>
        </w:rPr>
        <w:t>ć</w:t>
      </w:r>
      <w:r w:rsidRPr="00FE1938">
        <w:rPr>
          <w:sz w:val="22"/>
          <w:szCs w:val="22"/>
        </w:rPr>
        <w:t>elije u interfazi.</w:t>
      </w:r>
    </w:p>
    <w:p w14:paraId="14EF68F3" w14:textId="77777777" w:rsidR="00586901" w:rsidRPr="00FE1938" w:rsidRDefault="00586901" w:rsidP="00586901">
      <w:pPr>
        <w:autoSpaceDE w:val="0"/>
        <w:autoSpaceDN w:val="0"/>
        <w:adjustRightInd w:val="0"/>
        <w:rPr>
          <w:sz w:val="22"/>
          <w:szCs w:val="22"/>
        </w:rPr>
      </w:pPr>
    </w:p>
    <w:p w14:paraId="3F99E9A6" w14:textId="77777777" w:rsidR="00586901" w:rsidRPr="00FE1938" w:rsidRDefault="00586901" w:rsidP="00586901">
      <w:pPr>
        <w:autoSpaceDE w:val="0"/>
        <w:autoSpaceDN w:val="0"/>
        <w:adjustRightInd w:val="0"/>
        <w:rPr>
          <w:sz w:val="22"/>
          <w:szCs w:val="22"/>
          <w:u w:val="single"/>
        </w:rPr>
      </w:pPr>
      <w:r w:rsidRPr="00FE1938">
        <w:rPr>
          <w:sz w:val="22"/>
          <w:szCs w:val="22"/>
          <w:u w:val="single"/>
        </w:rPr>
        <w:t>Farmakodinamska dejstva</w:t>
      </w:r>
    </w:p>
    <w:p w14:paraId="0EA56810" w14:textId="77777777" w:rsidR="00586901" w:rsidRPr="00FE1938" w:rsidRDefault="00586901" w:rsidP="00586901">
      <w:pPr>
        <w:autoSpaceDE w:val="0"/>
        <w:autoSpaceDN w:val="0"/>
        <w:adjustRightInd w:val="0"/>
        <w:rPr>
          <w:sz w:val="22"/>
          <w:szCs w:val="22"/>
        </w:rPr>
      </w:pPr>
    </w:p>
    <w:p w14:paraId="7A95F0B8" w14:textId="77777777" w:rsidR="00586901" w:rsidRPr="00FE1938" w:rsidRDefault="00586901" w:rsidP="00586901">
      <w:pPr>
        <w:autoSpaceDE w:val="0"/>
        <w:autoSpaceDN w:val="0"/>
        <w:adjustRightInd w:val="0"/>
        <w:rPr>
          <w:sz w:val="22"/>
          <w:szCs w:val="22"/>
        </w:rPr>
      </w:pPr>
      <w:r w:rsidRPr="00FE1938">
        <w:rPr>
          <w:sz w:val="22"/>
          <w:szCs w:val="22"/>
        </w:rPr>
        <w:t xml:space="preserve">Docetaksel </w:t>
      </w:r>
      <w:r w:rsidRPr="00FE1938">
        <w:rPr>
          <w:i/>
          <w:iCs/>
          <w:sz w:val="22"/>
          <w:szCs w:val="22"/>
        </w:rPr>
        <w:t xml:space="preserve">in vitro, </w:t>
      </w:r>
      <w:r w:rsidRPr="00FE1938">
        <w:rPr>
          <w:sz w:val="22"/>
          <w:szCs w:val="22"/>
        </w:rPr>
        <w:t>u klonogenim ispitivanjima, pokazuje citotoksi</w:t>
      </w:r>
      <w:r w:rsidRPr="00FE1938">
        <w:rPr>
          <w:rFonts w:eastAsia="TimesNewRoman"/>
          <w:sz w:val="22"/>
          <w:szCs w:val="22"/>
        </w:rPr>
        <w:t>č</w:t>
      </w:r>
      <w:r w:rsidRPr="00FE1938">
        <w:rPr>
          <w:sz w:val="22"/>
          <w:szCs w:val="22"/>
        </w:rPr>
        <w:t>no djelovanje prema razli</w:t>
      </w:r>
      <w:r w:rsidRPr="00FE1938">
        <w:rPr>
          <w:rFonts w:eastAsia="TimesNewRoman"/>
          <w:sz w:val="22"/>
          <w:szCs w:val="22"/>
        </w:rPr>
        <w:t>č</w:t>
      </w:r>
      <w:r w:rsidRPr="00FE1938">
        <w:rPr>
          <w:sz w:val="22"/>
          <w:szCs w:val="22"/>
        </w:rPr>
        <w:t xml:space="preserve">itim linijama tumorskih </w:t>
      </w:r>
      <w:r w:rsidRPr="00FE1938">
        <w:rPr>
          <w:rFonts w:eastAsia="TimesNewRoman"/>
          <w:sz w:val="22"/>
          <w:szCs w:val="22"/>
        </w:rPr>
        <w:t>ć</w:t>
      </w:r>
      <w:r w:rsidRPr="00FE1938">
        <w:rPr>
          <w:sz w:val="22"/>
          <w:szCs w:val="22"/>
        </w:rPr>
        <w:t xml:space="preserve">elija miša i </w:t>
      </w:r>
      <w:r w:rsidRPr="00FE1938">
        <w:rPr>
          <w:rFonts w:eastAsia="TimesNewRoman"/>
          <w:sz w:val="22"/>
          <w:szCs w:val="22"/>
        </w:rPr>
        <w:t>č</w:t>
      </w:r>
      <w:r w:rsidRPr="00FE1938">
        <w:rPr>
          <w:sz w:val="22"/>
          <w:szCs w:val="22"/>
        </w:rPr>
        <w:t xml:space="preserve">ovjeka, kao i prema svježe odstranjenim humanim tumorskim </w:t>
      </w:r>
      <w:r w:rsidRPr="00FE1938">
        <w:rPr>
          <w:rFonts w:eastAsia="TimesNewRoman"/>
          <w:sz w:val="22"/>
          <w:szCs w:val="22"/>
        </w:rPr>
        <w:t>ć</w:t>
      </w:r>
      <w:r w:rsidRPr="00FE1938">
        <w:rPr>
          <w:sz w:val="22"/>
          <w:szCs w:val="22"/>
        </w:rPr>
        <w:t xml:space="preserve">elijama. Docetaksel postiže visoke intracelularne koncentracije i ima dugo vrijeme zadržavanja unutar </w:t>
      </w:r>
      <w:r w:rsidRPr="00FE1938">
        <w:rPr>
          <w:rFonts w:eastAsia="TimesNewRoman"/>
          <w:sz w:val="22"/>
          <w:szCs w:val="22"/>
        </w:rPr>
        <w:t>ć</w:t>
      </w:r>
      <w:r w:rsidRPr="00FE1938">
        <w:rPr>
          <w:sz w:val="22"/>
          <w:szCs w:val="22"/>
        </w:rPr>
        <w:t xml:space="preserve">elija. Pored toga, ustanovljeno je da docetaksel djeluje i na neke, ali ne sve, </w:t>
      </w:r>
      <w:r w:rsidRPr="00FE1938">
        <w:rPr>
          <w:rFonts w:eastAsia="TimesNewRoman"/>
          <w:sz w:val="22"/>
          <w:szCs w:val="22"/>
        </w:rPr>
        <w:t>ć</w:t>
      </w:r>
      <w:r w:rsidRPr="00FE1938">
        <w:rPr>
          <w:sz w:val="22"/>
          <w:szCs w:val="22"/>
        </w:rPr>
        <w:t xml:space="preserve">elijske linije sa hipereksprimiranim p-glikoproteinom koji je kodiran genom odgovornim za rezistenciju na veliki broj ljekova. </w:t>
      </w:r>
      <w:r w:rsidRPr="00FE1938">
        <w:rPr>
          <w:i/>
          <w:iCs/>
          <w:sz w:val="22"/>
          <w:szCs w:val="22"/>
        </w:rPr>
        <w:t>In vivo</w:t>
      </w:r>
      <w:r w:rsidRPr="00FE1938">
        <w:rPr>
          <w:sz w:val="22"/>
          <w:szCs w:val="22"/>
        </w:rPr>
        <w:t>, docetaksel je nezavisan od šeme i ima širok spektar eksperimentalnog antitumorskog djelovanja prema uznapredovalim tumorima kod glodara kao i prema transplantiranim humanim tumorima.</w:t>
      </w:r>
    </w:p>
    <w:p w14:paraId="6540CAE9" w14:textId="77777777" w:rsidR="00586901" w:rsidRPr="00FE1938" w:rsidRDefault="00586901" w:rsidP="00586901">
      <w:pPr>
        <w:autoSpaceDE w:val="0"/>
        <w:autoSpaceDN w:val="0"/>
        <w:adjustRightInd w:val="0"/>
        <w:rPr>
          <w:sz w:val="22"/>
          <w:szCs w:val="22"/>
        </w:rPr>
      </w:pPr>
    </w:p>
    <w:p w14:paraId="01B54775" w14:textId="77777777" w:rsidR="00586901" w:rsidRPr="00F223ED" w:rsidRDefault="00586901" w:rsidP="00586901">
      <w:pPr>
        <w:autoSpaceDE w:val="0"/>
        <w:autoSpaceDN w:val="0"/>
        <w:adjustRightInd w:val="0"/>
        <w:rPr>
          <w:bCs/>
          <w:i/>
          <w:sz w:val="22"/>
          <w:szCs w:val="22"/>
          <w:u w:val="single"/>
          <w:lang w:val="de-DE"/>
        </w:rPr>
      </w:pPr>
      <w:r w:rsidRPr="00F223ED">
        <w:rPr>
          <w:bCs/>
          <w:i/>
          <w:sz w:val="22"/>
          <w:szCs w:val="22"/>
          <w:u w:val="single"/>
          <w:lang w:val="de-DE"/>
        </w:rPr>
        <w:t>Klini</w:t>
      </w:r>
      <w:r w:rsidRPr="00F223ED">
        <w:rPr>
          <w:rFonts w:eastAsia="TimesNewRoman"/>
          <w:bCs/>
          <w:i/>
          <w:sz w:val="22"/>
          <w:szCs w:val="22"/>
          <w:u w:val="single"/>
          <w:lang w:val="de-DE"/>
        </w:rPr>
        <w:t>č</w:t>
      </w:r>
      <w:r w:rsidRPr="00F223ED">
        <w:rPr>
          <w:bCs/>
          <w:i/>
          <w:sz w:val="22"/>
          <w:szCs w:val="22"/>
          <w:u w:val="single"/>
          <w:lang w:val="de-DE"/>
        </w:rPr>
        <w:t>ka efikasnost i bezbjednost</w:t>
      </w:r>
    </w:p>
    <w:p w14:paraId="2282FBD1" w14:textId="77777777" w:rsidR="00586901" w:rsidRPr="00F223ED" w:rsidRDefault="00586901" w:rsidP="00586901">
      <w:pPr>
        <w:autoSpaceDE w:val="0"/>
        <w:autoSpaceDN w:val="0"/>
        <w:adjustRightInd w:val="0"/>
        <w:rPr>
          <w:bCs/>
          <w:sz w:val="22"/>
          <w:szCs w:val="22"/>
          <w:u w:val="single"/>
          <w:lang w:val="de-DE"/>
        </w:rPr>
      </w:pPr>
    </w:p>
    <w:p w14:paraId="16035021" w14:textId="77777777" w:rsidR="00586901" w:rsidRPr="00F223ED" w:rsidRDefault="00586901" w:rsidP="00586901">
      <w:pPr>
        <w:autoSpaceDE w:val="0"/>
        <w:autoSpaceDN w:val="0"/>
        <w:adjustRightInd w:val="0"/>
        <w:rPr>
          <w:bCs/>
          <w:i/>
          <w:iCs/>
          <w:sz w:val="22"/>
          <w:szCs w:val="22"/>
          <w:u w:val="single"/>
          <w:lang w:val="de-DE"/>
        </w:rPr>
      </w:pPr>
      <w:r w:rsidRPr="00F223ED">
        <w:rPr>
          <w:bCs/>
          <w:i/>
          <w:iCs/>
          <w:sz w:val="22"/>
          <w:szCs w:val="22"/>
          <w:u w:val="single"/>
          <w:lang w:val="de-DE"/>
        </w:rPr>
        <w:t>Karcinom dojke</w:t>
      </w:r>
    </w:p>
    <w:p w14:paraId="1825CC3F" w14:textId="77777777" w:rsidR="00586901" w:rsidRPr="00F223ED" w:rsidRDefault="00586901" w:rsidP="00586901">
      <w:pPr>
        <w:autoSpaceDE w:val="0"/>
        <w:autoSpaceDN w:val="0"/>
        <w:adjustRightInd w:val="0"/>
        <w:rPr>
          <w:b/>
          <w:bCs/>
          <w:i/>
          <w:iCs/>
          <w:sz w:val="22"/>
          <w:szCs w:val="22"/>
          <w:lang w:val="de-DE"/>
        </w:rPr>
      </w:pPr>
    </w:p>
    <w:p w14:paraId="7D194095" w14:textId="566E0CDB" w:rsidR="00586901" w:rsidRPr="00F223ED" w:rsidRDefault="009D254D" w:rsidP="00586901">
      <w:pPr>
        <w:pStyle w:val="Header"/>
        <w:tabs>
          <w:tab w:val="left" w:pos="284"/>
        </w:tabs>
        <w:rPr>
          <w:bCs/>
          <w:i/>
          <w:iCs/>
          <w:sz w:val="22"/>
          <w:szCs w:val="22"/>
          <w:lang w:val="de-DE"/>
        </w:rPr>
      </w:pPr>
      <w:r>
        <w:rPr>
          <w:bCs/>
          <w:i/>
          <w:iCs/>
          <w:sz w:val="22"/>
          <w:szCs w:val="22"/>
          <w:lang w:val="de-DE"/>
        </w:rPr>
        <w:t>Docetaxel Hospira</w:t>
      </w:r>
      <w:r w:rsidR="00586901" w:rsidRPr="00F223ED">
        <w:rPr>
          <w:bCs/>
          <w:i/>
          <w:iCs/>
          <w:sz w:val="22"/>
          <w:szCs w:val="22"/>
          <w:lang w:val="de-DE"/>
        </w:rPr>
        <w:t xml:space="preserve"> u kombinaciji sa doksorubicinom i ciklofosfamidom: adjuvantna terapija</w:t>
      </w:r>
    </w:p>
    <w:p w14:paraId="4CCFA112" w14:textId="77777777" w:rsidR="00586901" w:rsidRPr="00F223ED" w:rsidRDefault="00586901" w:rsidP="00586901">
      <w:pPr>
        <w:pStyle w:val="Header"/>
        <w:tabs>
          <w:tab w:val="left" w:pos="284"/>
        </w:tabs>
        <w:rPr>
          <w:b/>
          <w:bCs/>
          <w:i/>
          <w:iCs/>
          <w:sz w:val="22"/>
          <w:szCs w:val="22"/>
          <w:lang w:val="de-DE"/>
        </w:rPr>
      </w:pPr>
    </w:p>
    <w:p w14:paraId="5462FCA4" w14:textId="77777777" w:rsidR="00586901" w:rsidRPr="00F223ED" w:rsidRDefault="00586901" w:rsidP="00586901">
      <w:pPr>
        <w:pStyle w:val="Header"/>
        <w:tabs>
          <w:tab w:val="left" w:pos="284"/>
        </w:tabs>
        <w:rPr>
          <w:i/>
          <w:sz w:val="22"/>
          <w:szCs w:val="22"/>
          <w:lang w:val="de-DE"/>
        </w:rPr>
      </w:pPr>
      <w:r w:rsidRPr="00F223ED">
        <w:rPr>
          <w:i/>
          <w:sz w:val="22"/>
          <w:szCs w:val="22"/>
          <w:lang w:val="de-DE"/>
        </w:rPr>
        <w:t>Pacijenti sa operabilnim nodus-pozitivnim karcinomom dojke (TAX 316):</w:t>
      </w:r>
    </w:p>
    <w:p w14:paraId="7482F5E5" w14:textId="77777777" w:rsidR="00586901" w:rsidRPr="00F223ED" w:rsidRDefault="00586901" w:rsidP="00586901">
      <w:pPr>
        <w:pStyle w:val="Header"/>
        <w:tabs>
          <w:tab w:val="left" w:pos="284"/>
        </w:tabs>
        <w:rPr>
          <w:sz w:val="22"/>
          <w:szCs w:val="22"/>
          <w:lang w:val="de-DE"/>
        </w:rPr>
      </w:pPr>
    </w:p>
    <w:p w14:paraId="5F20359F" w14:textId="77777777" w:rsidR="00586901" w:rsidRPr="00F223ED" w:rsidRDefault="00586901" w:rsidP="00586901">
      <w:pPr>
        <w:autoSpaceDE w:val="0"/>
        <w:autoSpaceDN w:val="0"/>
        <w:adjustRightInd w:val="0"/>
        <w:rPr>
          <w:sz w:val="22"/>
          <w:szCs w:val="22"/>
          <w:lang w:val="de-DE"/>
        </w:rPr>
      </w:pPr>
      <w:r w:rsidRPr="00F223ED">
        <w:rPr>
          <w:sz w:val="22"/>
          <w:szCs w:val="22"/>
          <w:lang w:val="de-DE"/>
        </w:rPr>
        <w:t>Podaci iz multicentri</w:t>
      </w:r>
      <w:r w:rsidRPr="00F223ED">
        <w:rPr>
          <w:rFonts w:eastAsia="TimesNewRoman"/>
          <w:sz w:val="22"/>
          <w:szCs w:val="22"/>
          <w:lang w:val="de-DE"/>
        </w:rPr>
        <w:t>č</w:t>
      </w:r>
      <w:r w:rsidRPr="00F223ED">
        <w:rPr>
          <w:sz w:val="22"/>
          <w:szCs w:val="22"/>
          <w:lang w:val="de-DE"/>
        </w:rPr>
        <w:t>ne, otvorene randomizovane studije govore u prilog upotrebi docetaksela za adjuvantno lije</w:t>
      </w:r>
      <w:r w:rsidRPr="00F223ED">
        <w:rPr>
          <w:rFonts w:eastAsia="TimesNewRoman"/>
          <w:sz w:val="22"/>
          <w:szCs w:val="22"/>
          <w:lang w:val="de-DE"/>
        </w:rPr>
        <w:t>č</w:t>
      </w:r>
      <w:r w:rsidRPr="00F223ED">
        <w:rPr>
          <w:sz w:val="22"/>
          <w:szCs w:val="22"/>
          <w:lang w:val="de-DE"/>
        </w:rPr>
        <w:t>enje pacijenata starih od 18 do 70 godina sa operabilnim, nodus-pozitivnim karcinomom dojke i vrijednoš</w:t>
      </w:r>
      <w:r w:rsidRPr="00F223ED">
        <w:rPr>
          <w:rFonts w:eastAsia="TimesNewRoman"/>
          <w:sz w:val="22"/>
          <w:szCs w:val="22"/>
          <w:lang w:val="de-DE"/>
        </w:rPr>
        <w:t>ć</w:t>
      </w:r>
      <w:r w:rsidRPr="00F223ED">
        <w:rPr>
          <w:sz w:val="22"/>
          <w:szCs w:val="22"/>
          <w:lang w:val="de-DE"/>
        </w:rPr>
        <w:t xml:space="preserve">u KPS </w:t>
      </w:r>
      <w:r w:rsidRPr="00F223ED">
        <w:rPr>
          <w:rFonts w:eastAsia="TimesNewRoman"/>
          <w:sz w:val="22"/>
          <w:szCs w:val="22"/>
          <w:lang w:val="de-DE"/>
        </w:rPr>
        <w:t xml:space="preserve">≥ </w:t>
      </w:r>
      <w:r w:rsidRPr="00F223ED">
        <w:rPr>
          <w:sz w:val="22"/>
          <w:szCs w:val="22"/>
          <w:lang w:val="de-DE"/>
        </w:rPr>
        <w:t xml:space="preserve">80%. Nakon stratifikovanja prema broju pozitivnih limfnih </w:t>
      </w:r>
      <w:r w:rsidRPr="00F223ED">
        <w:rPr>
          <w:rFonts w:eastAsia="TimesNewRoman"/>
          <w:sz w:val="22"/>
          <w:szCs w:val="22"/>
          <w:lang w:val="de-DE"/>
        </w:rPr>
        <w:t>č</w:t>
      </w:r>
      <w:r w:rsidRPr="00F223ED">
        <w:rPr>
          <w:sz w:val="22"/>
          <w:szCs w:val="22"/>
          <w:lang w:val="de-DE"/>
        </w:rPr>
        <w:t>vorova (1-3, 4+), 1491 pacijenata je randomizovano tako da primaju ili docetaksel u dozi od 75 mg/m², 1 sat nakon doksorubicina u dozi od 50 mg/m² i ciklofosfamida 500 mg/m² (grupa TAC), ili da primaju doksorubicin (50 mg/m²), poslije kojeg je slijedio fluorouracil (500 mg/m²) i ciklofosfamid (500 mg/m²) (grupa FAC). Oba režima su primjenjivana jednom na 3 nedjelje, tokom 6 ciklusa. Docetaksel je aplikovan putem jednosatne infuzije, a ostali ljekovi su primijenjeni u obliku intravenskog bolusa prvog dana. Pacijenti kod kojih se javila komplikovana neutropenija (febrilna neutropenija, dugotrajna neutropenija ili infekcija) primale su G-CSF kao sekundarnu profilaksu. Pacijenti iz grupe TAC primali su profilaksu antibiotikom, odnosno ciprofloksacin oralno u dozi od 500 mg, dva puta dnevno, tokom 10 dana, po</w:t>
      </w:r>
      <w:r w:rsidRPr="00F223ED">
        <w:rPr>
          <w:rFonts w:eastAsia="TimesNewRoman"/>
          <w:sz w:val="22"/>
          <w:szCs w:val="22"/>
          <w:lang w:val="de-DE"/>
        </w:rPr>
        <w:t>č</w:t>
      </w:r>
      <w:r w:rsidRPr="00F223ED">
        <w:rPr>
          <w:sz w:val="22"/>
          <w:szCs w:val="22"/>
          <w:lang w:val="de-DE"/>
        </w:rPr>
        <w:t>ev od 5. dana svakog ciklusa, ili terapiju koja je ekvivalent tome. U obije grupe, pacijenti sa pozitivnim estrogenskim i/ili progesteronskim receptorima su, poslije posljednjeg ciklusa hemioterapije, primale tamoksifen u dozi od 20 mg dnevno u periodu do 5 godina. Adjuvantna radioterapija je propisivana u skladu sa važe</w:t>
      </w:r>
      <w:r w:rsidRPr="00F223ED">
        <w:rPr>
          <w:rFonts w:eastAsia="TimesNewRoman"/>
          <w:sz w:val="22"/>
          <w:szCs w:val="22"/>
          <w:lang w:val="de-DE"/>
        </w:rPr>
        <w:t>ć</w:t>
      </w:r>
      <w:r w:rsidRPr="00F223ED">
        <w:rPr>
          <w:sz w:val="22"/>
          <w:szCs w:val="22"/>
          <w:lang w:val="de-DE"/>
        </w:rPr>
        <w:t>im smjernicama institucija koje su u</w:t>
      </w:r>
      <w:r w:rsidRPr="00F223ED">
        <w:rPr>
          <w:rFonts w:eastAsia="TimesNewRoman"/>
          <w:sz w:val="22"/>
          <w:szCs w:val="22"/>
          <w:lang w:val="de-DE"/>
        </w:rPr>
        <w:t>č</w:t>
      </w:r>
      <w:r w:rsidRPr="00F223ED">
        <w:rPr>
          <w:sz w:val="22"/>
          <w:szCs w:val="22"/>
          <w:lang w:val="de-DE"/>
        </w:rPr>
        <w:t>estvovale u studiji, a primalo ju je 69% pacijenata koji su primali TAC, odnosno 72% pacijenata koji su primali FAC terapiju.</w:t>
      </w:r>
    </w:p>
    <w:p w14:paraId="71B5F019" w14:textId="77777777" w:rsidR="00586901" w:rsidRPr="00F223ED" w:rsidRDefault="00586901" w:rsidP="00586901">
      <w:pPr>
        <w:autoSpaceDE w:val="0"/>
        <w:autoSpaceDN w:val="0"/>
        <w:adjustRightInd w:val="0"/>
        <w:rPr>
          <w:sz w:val="22"/>
          <w:szCs w:val="22"/>
          <w:lang w:val="de-DE"/>
        </w:rPr>
      </w:pPr>
    </w:p>
    <w:p w14:paraId="6BC8D907" w14:textId="77777777" w:rsidR="00586901" w:rsidRPr="00F223ED" w:rsidRDefault="00586901" w:rsidP="00586901">
      <w:pPr>
        <w:autoSpaceDE w:val="0"/>
        <w:autoSpaceDN w:val="0"/>
        <w:adjustRightInd w:val="0"/>
        <w:rPr>
          <w:sz w:val="22"/>
          <w:szCs w:val="22"/>
          <w:lang w:val="de-DE"/>
        </w:rPr>
      </w:pPr>
      <w:r w:rsidRPr="00F223ED">
        <w:rPr>
          <w:sz w:val="22"/>
          <w:szCs w:val="22"/>
          <w:lang w:val="de-DE"/>
        </w:rPr>
        <w:t xml:space="preserve">Sprovedene su dvije međuanalize i jedna finalna analiza. Prva međuanaliza je planirana 3 godine nakon datuma uključenja polovine pacijenata u studiju. Druga međuanaliza je izvršena nakon što je </w:t>
      </w:r>
      <w:r w:rsidRPr="00F223ED">
        <w:rPr>
          <w:sz w:val="22"/>
          <w:szCs w:val="22"/>
          <w:lang w:val="de-DE"/>
        </w:rPr>
        <w:lastRenderedPageBreak/>
        <w:t>prijavljeno 400 slučajeva DFS, nakon čega je uslijedio srednji period praćenja od 55 mjeseci. Finalna analiza je izvedena na pacijentima koji su prošli kroz desetogodišnji period praćenja (osim onih koji su imali DFS i onih koji nisu bili dostupni za praćenje). Vrijeme preživljavanja bez bolesti (DFS) bilo je primarni parametar efikasnosti terapije, a ukupno vrijeme preživljavanja (OS) sekundarni parametar efikasnosti terapije.</w:t>
      </w:r>
    </w:p>
    <w:p w14:paraId="133ADBC1" w14:textId="77777777" w:rsidR="00586901" w:rsidRPr="00F223ED" w:rsidRDefault="00586901" w:rsidP="00586901">
      <w:pPr>
        <w:autoSpaceDE w:val="0"/>
        <w:autoSpaceDN w:val="0"/>
        <w:adjustRightInd w:val="0"/>
        <w:rPr>
          <w:sz w:val="22"/>
          <w:szCs w:val="22"/>
          <w:lang w:val="de-DE"/>
        </w:rPr>
      </w:pPr>
    </w:p>
    <w:p w14:paraId="540D387B" w14:textId="77777777" w:rsidR="00586901" w:rsidRPr="00F223ED" w:rsidRDefault="00586901" w:rsidP="00586901">
      <w:pPr>
        <w:autoSpaceDE w:val="0"/>
        <w:autoSpaceDN w:val="0"/>
        <w:adjustRightInd w:val="0"/>
        <w:rPr>
          <w:sz w:val="22"/>
          <w:szCs w:val="22"/>
          <w:lang w:val="de-DE"/>
        </w:rPr>
      </w:pPr>
      <w:r w:rsidRPr="00F223ED">
        <w:rPr>
          <w:sz w:val="22"/>
          <w:szCs w:val="22"/>
          <w:lang w:val="de-DE"/>
        </w:rPr>
        <w:t>Finalna analiza je obavljena sa stvarnim srednjim vremenom pra</w:t>
      </w:r>
      <w:r w:rsidRPr="00F223ED">
        <w:rPr>
          <w:rFonts w:eastAsia="TimesNewRoman"/>
          <w:sz w:val="22"/>
          <w:szCs w:val="22"/>
          <w:lang w:val="de-DE"/>
        </w:rPr>
        <w:t>ć</w:t>
      </w:r>
      <w:r w:rsidRPr="00F223ED">
        <w:rPr>
          <w:sz w:val="22"/>
          <w:szCs w:val="22"/>
          <w:lang w:val="de-DE"/>
        </w:rPr>
        <w:t>enja od 96 mjeseci. Pokazano je zna</w:t>
      </w:r>
      <w:r w:rsidRPr="00F223ED">
        <w:rPr>
          <w:rFonts w:eastAsia="TimesNewRoman"/>
          <w:sz w:val="22"/>
          <w:szCs w:val="22"/>
          <w:lang w:val="de-DE"/>
        </w:rPr>
        <w:t>č</w:t>
      </w:r>
      <w:r w:rsidRPr="00F223ED">
        <w:rPr>
          <w:sz w:val="22"/>
          <w:szCs w:val="22"/>
          <w:lang w:val="de-DE"/>
        </w:rPr>
        <w:t>ajno duže vrijeme preživljavanja bez bolesti u grupi TAC nego u grupi FAC. Incidencija relapsa je, na nivou od 10 godina, bila smanjena kod pacijenata koji su primali TAC u odnosu na one koji su primali FAC (39% prema 45%), tj. apsolutno smanjenje rizika za 6% (p=0,0043). Ukupno preživljavanje na nivou 10 godina je tako</w:t>
      </w:r>
      <w:r w:rsidRPr="00F223ED">
        <w:rPr>
          <w:rFonts w:eastAsia="TimesNewRoman"/>
          <w:sz w:val="22"/>
          <w:szCs w:val="22"/>
          <w:lang w:val="de-DE"/>
        </w:rPr>
        <w:t>đ</w:t>
      </w:r>
      <w:r w:rsidRPr="00F223ED">
        <w:rPr>
          <w:sz w:val="22"/>
          <w:szCs w:val="22"/>
          <w:lang w:val="de-DE"/>
        </w:rPr>
        <w:t>e zna</w:t>
      </w:r>
      <w:r w:rsidRPr="00F223ED">
        <w:rPr>
          <w:rFonts w:eastAsia="TimesNewRoman"/>
          <w:sz w:val="22"/>
          <w:szCs w:val="22"/>
          <w:lang w:val="de-DE"/>
        </w:rPr>
        <w:t>č</w:t>
      </w:r>
      <w:r w:rsidRPr="00F223ED">
        <w:rPr>
          <w:sz w:val="22"/>
          <w:szCs w:val="22"/>
          <w:lang w:val="de-DE"/>
        </w:rPr>
        <w:t xml:space="preserve">ajno povećano u grupi TAC u odnosu na grupu FAC (76% prema 69%), tj. apsolutno smanjenje rizika od smrti od 7% (p=0,002). Kako korist uočena kod pacijenata koji imaju 4+ čvorova nije bila statistički značajna za DSF i OS, pozitivan odnos koristi i rizika za pacijente koji imaju 4+ čvorova nije do kraja bio prikazan u finalnoj analizi. </w:t>
      </w:r>
    </w:p>
    <w:p w14:paraId="1A3C9775" w14:textId="77777777" w:rsidR="00586901" w:rsidRPr="00F223ED" w:rsidRDefault="00586901" w:rsidP="00586901">
      <w:pPr>
        <w:autoSpaceDE w:val="0"/>
        <w:autoSpaceDN w:val="0"/>
        <w:adjustRightInd w:val="0"/>
        <w:rPr>
          <w:sz w:val="22"/>
          <w:szCs w:val="22"/>
          <w:lang w:val="de-DE"/>
        </w:rPr>
      </w:pPr>
    </w:p>
    <w:p w14:paraId="218B3601" w14:textId="77777777" w:rsidR="00586901" w:rsidRPr="00F223ED" w:rsidRDefault="00586901" w:rsidP="00586901">
      <w:pPr>
        <w:autoSpaceDE w:val="0"/>
        <w:autoSpaceDN w:val="0"/>
        <w:adjustRightInd w:val="0"/>
        <w:rPr>
          <w:sz w:val="22"/>
          <w:szCs w:val="22"/>
          <w:lang w:val="de-DE"/>
        </w:rPr>
      </w:pPr>
      <w:r w:rsidRPr="00F223ED">
        <w:rPr>
          <w:sz w:val="22"/>
          <w:szCs w:val="22"/>
          <w:lang w:val="de-DE"/>
        </w:rPr>
        <w:t>Ipak, rezultati studije pokazuju pozitivan odnos koristi i rizika pri primjeni terapije TAC u poređenju sa terapijom FAC.</w:t>
      </w:r>
    </w:p>
    <w:p w14:paraId="74A37750" w14:textId="77777777" w:rsidR="00586901" w:rsidRPr="00F223ED" w:rsidRDefault="00586901" w:rsidP="00586901">
      <w:pPr>
        <w:autoSpaceDE w:val="0"/>
        <w:autoSpaceDN w:val="0"/>
        <w:adjustRightInd w:val="0"/>
        <w:rPr>
          <w:sz w:val="22"/>
          <w:szCs w:val="22"/>
          <w:lang w:val="de-DE"/>
        </w:rPr>
      </w:pPr>
    </w:p>
    <w:p w14:paraId="3E2525AF" w14:textId="77777777" w:rsidR="00586901" w:rsidRPr="00F223ED" w:rsidRDefault="00586901" w:rsidP="00586901">
      <w:pPr>
        <w:autoSpaceDE w:val="0"/>
        <w:autoSpaceDN w:val="0"/>
        <w:adjustRightInd w:val="0"/>
        <w:rPr>
          <w:sz w:val="22"/>
          <w:szCs w:val="22"/>
          <w:lang w:val="de-DE"/>
        </w:rPr>
      </w:pPr>
      <w:r w:rsidRPr="00F223ED">
        <w:rPr>
          <w:sz w:val="22"/>
          <w:szCs w:val="22"/>
          <w:lang w:val="de-DE"/>
        </w:rPr>
        <w:t>Analizirane su podgrupe pacijenata lije</w:t>
      </w:r>
      <w:r w:rsidRPr="00F223ED">
        <w:rPr>
          <w:rFonts w:eastAsia="TimesNewRoman"/>
          <w:sz w:val="22"/>
          <w:szCs w:val="22"/>
          <w:lang w:val="de-DE"/>
        </w:rPr>
        <w:t>č</w:t>
      </w:r>
      <w:r w:rsidRPr="00F223ED">
        <w:rPr>
          <w:sz w:val="22"/>
          <w:szCs w:val="22"/>
          <w:lang w:val="de-DE"/>
        </w:rPr>
        <w:t>enih sa TAC prema prospektivno definisanim glavnim prognosti</w:t>
      </w:r>
      <w:r w:rsidRPr="00F223ED">
        <w:rPr>
          <w:rFonts w:eastAsia="TimesNewRoman"/>
          <w:sz w:val="22"/>
          <w:szCs w:val="22"/>
          <w:lang w:val="de-DE"/>
        </w:rPr>
        <w:t>č</w:t>
      </w:r>
      <w:r w:rsidRPr="00F223ED">
        <w:rPr>
          <w:sz w:val="22"/>
          <w:szCs w:val="22"/>
          <w:lang w:val="de-DE"/>
        </w:rPr>
        <w:t>kim faktorima:</w:t>
      </w:r>
    </w:p>
    <w:p w14:paraId="32237A86" w14:textId="77777777" w:rsidR="00586901" w:rsidRPr="00F223ED" w:rsidRDefault="00586901" w:rsidP="00586901">
      <w:pPr>
        <w:pStyle w:val="Header"/>
        <w:tabs>
          <w:tab w:val="left" w:pos="284"/>
        </w:tabs>
        <w:rPr>
          <w:sz w:val="22"/>
          <w:szCs w:val="22"/>
          <w:lang w:val="de-DE"/>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1218"/>
        <w:gridCol w:w="1218"/>
        <w:gridCol w:w="1337"/>
        <w:gridCol w:w="1101"/>
        <w:gridCol w:w="1219"/>
        <w:gridCol w:w="1219"/>
        <w:gridCol w:w="1219"/>
      </w:tblGrid>
      <w:tr w:rsidR="00586901" w:rsidRPr="00B02007" w14:paraId="3942E215" w14:textId="77777777" w:rsidTr="002C66FC">
        <w:trPr>
          <w:trHeight w:val="512"/>
        </w:trPr>
        <w:tc>
          <w:tcPr>
            <w:tcW w:w="1218" w:type="dxa"/>
          </w:tcPr>
          <w:p w14:paraId="16203941" w14:textId="77777777" w:rsidR="00586901" w:rsidRPr="00F223ED" w:rsidRDefault="00586901" w:rsidP="002C66FC">
            <w:pPr>
              <w:pStyle w:val="Header"/>
              <w:tabs>
                <w:tab w:val="left" w:pos="284"/>
              </w:tabs>
              <w:rPr>
                <w:sz w:val="22"/>
                <w:szCs w:val="22"/>
                <w:lang w:val="de-DE"/>
              </w:rPr>
            </w:pPr>
          </w:p>
        </w:tc>
        <w:tc>
          <w:tcPr>
            <w:tcW w:w="1218" w:type="dxa"/>
          </w:tcPr>
          <w:p w14:paraId="6D412C88" w14:textId="77777777" w:rsidR="00586901" w:rsidRPr="00F223ED" w:rsidRDefault="00586901" w:rsidP="002C66FC">
            <w:pPr>
              <w:pStyle w:val="Header"/>
              <w:tabs>
                <w:tab w:val="left" w:pos="284"/>
              </w:tabs>
              <w:rPr>
                <w:sz w:val="22"/>
                <w:szCs w:val="22"/>
                <w:lang w:val="de-DE"/>
              </w:rPr>
            </w:pPr>
          </w:p>
        </w:tc>
        <w:tc>
          <w:tcPr>
            <w:tcW w:w="3656" w:type="dxa"/>
            <w:gridSpan w:val="3"/>
          </w:tcPr>
          <w:p w14:paraId="785646E7" w14:textId="77777777" w:rsidR="00586901" w:rsidRPr="00FE1938" w:rsidRDefault="00586901" w:rsidP="002C66FC">
            <w:pPr>
              <w:autoSpaceDE w:val="0"/>
              <w:autoSpaceDN w:val="0"/>
              <w:adjustRightInd w:val="0"/>
              <w:rPr>
                <w:b/>
                <w:bCs/>
                <w:sz w:val="22"/>
                <w:szCs w:val="22"/>
              </w:rPr>
            </w:pPr>
            <w:r w:rsidRPr="00FE1938">
              <w:rPr>
                <w:b/>
                <w:bCs/>
                <w:sz w:val="22"/>
                <w:szCs w:val="22"/>
              </w:rPr>
              <w:t xml:space="preserve">Preživljavanje bez bolesti </w:t>
            </w:r>
          </w:p>
          <w:p w14:paraId="20EB0288" w14:textId="77777777" w:rsidR="00586901" w:rsidRPr="00FE1938" w:rsidRDefault="00586901" w:rsidP="002C66FC">
            <w:pPr>
              <w:pStyle w:val="Header"/>
              <w:tabs>
                <w:tab w:val="left" w:pos="284"/>
              </w:tabs>
              <w:rPr>
                <w:b/>
                <w:bCs/>
                <w:sz w:val="22"/>
                <w:szCs w:val="22"/>
              </w:rPr>
            </w:pPr>
          </w:p>
        </w:tc>
        <w:tc>
          <w:tcPr>
            <w:tcW w:w="3657" w:type="dxa"/>
            <w:gridSpan w:val="3"/>
          </w:tcPr>
          <w:p w14:paraId="72CCE38F" w14:textId="77777777" w:rsidR="00586901" w:rsidRPr="00FE1938" w:rsidRDefault="00586901" w:rsidP="002C66FC">
            <w:pPr>
              <w:pStyle w:val="Header"/>
              <w:tabs>
                <w:tab w:val="left" w:pos="284"/>
              </w:tabs>
              <w:rPr>
                <w:b/>
                <w:bCs/>
                <w:sz w:val="22"/>
                <w:szCs w:val="22"/>
              </w:rPr>
            </w:pPr>
            <w:r w:rsidRPr="00FE1938">
              <w:rPr>
                <w:b/>
                <w:bCs/>
                <w:sz w:val="22"/>
                <w:szCs w:val="22"/>
              </w:rPr>
              <w:t>Ukupno preživljavanje</w:t>
            </w:r>
          </w:p>
        </w:tc>
      </w:tr>
      <w:tr w:rsidR="00586901" w:rsidRPr="00B02007" w14:paraId="63034A86" w14:textId="77777777" w:rsidTr="002C66FC">
        <w:trPr>
          <w:trHeight w:val="757"/>
        </w:trPr>
        <w:tc>
          <w:tcPr>
            <w:tcW w:w="1218" w:type="dxa"/>
          </w:tcPr>
          <w:p w14:paraId="55E8004A" w14:textId="77777777" w:rsidR="00586901" w:rsidRPr="0053701E" w:rsidRDefault="00586901" w:rsidP="002C66FC">
            <w:pPr>
              <w:autoSpaceDE w:val="0"/>
              <w:autoSpaceDN w:val="0"/>
              <w:adjustRightInd w:val="0"/>
              <w:rPr>
                <w:b/>
                <w:bCs/>
                <w:sz w:val="22"/>
                <w:szCs w:val="22"/>
              </w:rPr>
            </w:pPr>
            <w:r w:rsidRPr="0053701E">
              <w:rPr>
                <w:b/>
                <w:bCs/>
                <w:sz w:val="22"/>
                <w:szCs w:val="22"/>
              </w:rPr>
              <w:t>Podgrupa</w:t>
            </w:r>
          </w:p>
          <w:p w14:paraId="40600DB8" w14:textId="77777777" w:rsidR="00586901" w:rsidRPr="0053701E" w:rsidRDefault="00586901" w:rsidP="002C66FC">
            <w:pPr>
              <w:autoSpaceDE w:val="0"/>
              <w:autoSpaceDN w:val="0"/>
              <w:adjustRightInd w:val="0"/>
              <w:rPr>
                <w:b/>
                <w:bCs/>
                <w:sz w:val="22"/>
                <w:szCs w:val="22"/>
              </w:rPr>
            </w:pPr>
            <w:r w:rsidRPr="0053701E">
              <w:rPr>
                <w:b/>
                <w:bCs/>
                <w:sz w:val="22"/>
                <w:szCs w:val="22"/>
              </w:rPr>
              <w:t>pacijenata</w:t>
            </w:r>
          </w:p>
          <w:p w14:paraId="3FFB28D5" w14:textId="77777777" w:rsidR="00586901" w:rsidRPr="0053701E" w:rsidRDefault="00586901" w:rsidP="002C66FC">
            <w:pPr>
              <w:pStyle w:val="Header"/>
              <w:tabs>
                <w:tab w:val="left" w:pos="284"/>
              </w:tabs>
              <w:rPr>
                <w:b/>
                <w:bCs/>
                <w:sz w:val="22"/>
                <w:szCs w:val="22"/>
              </w:rPr>
            </w:pPr>
          </w:p>
        </w:tc>
        <w:tc>
          <w:tcPr>
            <w:tcW w:w="1218" w:type="dxa"/>
          </w:tcPr>
          <w:p w14:paraId="215A36D1" w14:textId="77777777" w:rsidR="00586901" w:rsidRPr="0053701E" w:rsidRDefault="00586901" w:rsidP="002C66FC">
            <w:pPr>
              <w:autoSpaceDE w:val="0"/>
              <w:autoSpaceDN w:val="0"/>
              <w:adjustRightInd w:val="0"/>
              <w:rPr>
                <w:b/>
                <w:bCs/>
                <w:sz w:val="22"/>
                <w:szCs w:val="22"/>
              </w:rPr>
            </w:pPr>
            <w:r w:rsidRPr="0053701E">
              <w:rPr>
                <w:b/>
                <w:bCs/>
                <w:sz w:val="22"/>
                <w:szCs w:val="22"/>
              </w:rPr>
              <w:t>Broj</w:t>
            </w:r>
          </w:p>
          <w:p w14:paraId="1CF5B5B0" w14:textId="77777777" w:rsidR="00586901" w:rsidRPr="0053701E" w:rsidRDefault="00586901" w:rsidP="002C66FC">
            <w:pPr>
              <w:autoSpaceDE w:val="0"/>
              <w:autoSpaceDN w:val="0"/>
              <w:adjustRightInd w:val="0"/>
              <w:rPr>
                <w:b/>
                <w:bCs/>
                <w:sz w:val="22"/>
                <w:szCs w:val="22"/>
              </w:rPr>
            </w:pPr>
            <w:r w:rsidRPr="0053701E">
              <w:rPr>
                <w:b/>
                <w:bCs/>
                <w:sz w:val="22"/>
                <w:szCs w:val="22"/>
              </w:rPr>
              <w:t>pacijenata</w:t>
            </w:r>
          </w:p>
          <w:p w14:paraId="1947D889" w14:textId="77777777" w:rsidR="00586901" w:rsidRPr="0053701E" w:rsidRDefault="00586901" w:rsidP="002C66FC">
            <w:pPr>
              <w:pStyle w:val="Header"/>
              <w:tabs>
                <w:tab w:val="left" w:pos="284"/>
              </w:tabs>
              <w:rPr>
                <w:b/>
                <w:bCs/>
                <w:sz w:val="22"/>
                <w:szCs w:val="22"/>
              </w:rPr>
            </w:pPr>
          </w:p>
        </w:tc>
        <w:tc>
          <w:tcPr>
            <w:tcW w:w="1218" w:type="dxa"/>
          </w:tcPr>
          <w:p w14:paraId="744AD110" w14:textId="77777777" w:rsidR="00586901" w:rsidRPr="0053701E" w:rsidRDefault="00586901" w:rsidP="002C66FC">
            <w:pPr>
              <w:autoSpaceDE w:val="0"/>
              <w:autoSpaceDN w:val="0"/>
              <w:adjustRightInd w:val="0"/>
              <w:rPr>
                <w:b/>
                <w:bCs/>
                <w:sz w:val="22"/>
                <w:szCs w:val="22"/>
              </w:rPr>
            </w:pPr>
            <w:r w:rsidRPr="0053701E">
              <w:rPr>
                <w:b/>
                <w:bCs/>
                <w:sz w:val="22"/>
                <w:szCs w:val="22"/>
              </w:rPr>
              <w:t>Indeks</w:t>
            </w:r>
          </w:p>
          <w:p w14:paraId="75435615" w14:textId="77777777" w:rsidR="00586901" w:rsidRPr="0053701E" w:rsidRDefault="00586901" w:rsidP="002C66FC">
            <w:pPr>
              <w:autoSpaceDE w:val="0"/>
              <w:autoSpaceDN w:val="0"/>
              <w:adjustRightInd w:val="0"/>
              <w:rPr>
                <w:b/>
                <w:bCs/>
                <w:sz w:val="22"/>
                <w:szCs w:val="22"/>
              </w:rPr>
            </w:pPr>
            <w:r w:rsidRPr="0053701E">
              <w:rPr>
                <w:b/>
                <w:bCs/>
                <w:sz w:val="22"/>
                <w:szCs w:val="22"/>
              </w:rPr>
              <w:t>rizika*</w:t>
            </w:r>
          </w:p>
          <w:p w14:paraId="334A6CD3" w14:textId="77777777" w:rsidR="00586901" w:rsidRPr="0053701E" w:rsidRDefault="00586901" w:rsidP="002C66FC">
            <w:pPr>
              <w:pStyle w:val="Header"/>
              <w:tabs>
                <w:tab w:val="left" w:pos="284"/>
              </w:tabs>
              <w:rPr>
                <w:b/>
                <w:bCs/>
                <w:sz w:val="22"/>
                <w:szCs w:val="22"/>
              </w:rPr>
            </w:pPr>
          </w:p>
        </w:tc>
        <w:tc>
          <w:tcPr>
            <w:tcW w:w="1337" w:type="dxa"/>
          </w:tcPr>
          <w:p w14:paraId="493DA49B" w14:textId="77777777" w:rsidR="00586901" w:rsidRPr="0053701E" w:rsidRDefault="00586901" w:rsidP="002C66FC">
            <w:pPr>
              <w:autoSpaceDE w:val="0"/>
              <w:autoSpaceDN w:val="0"/>
              <w:adjustRightInd w:val="0"/>
              <w:rPr>
                <w:b/>
                <w:bCs/>
                <w:sz w:val="22"/>
                <w:szCs w:val="22"/>
              </w:rPr>
            </w:pPr>
            <w:r w:rsidRPr="0053701E">
              <w:rPr>
                <w:b/>
                <w:bCs/>
                <w:sz w:val="22"/>
                <w:szCs w:val="22"/>
              </w:rPr>
              <w:t xml:space="preserve">95% CI </w:t>
            </w:r>
          </w:p>
          <w:p w14:paraId="5CE0B2DC" w14:textId="77777777" w:rsidR="00586901" w:rsidRPr="0053701E" w:rsidRDefault="00586901" w:rsidP="002C66FC">
            <w:pPr>
              <w:pStyle w:val="Header"/>
              <w:tabs>
                <w:tab w:val="left" w:pos="284"/>
              </w:tabs>
              <w:rPr>
                <w:b/>
                <w:bCs/>
                <w:sz w:val="22"/>
                <w:szCs w:val="22"/>
              </w:rPr>
            </w:pPr>
          </w:p>
        </w:tc>
        <w:tc>
          <w:tcPr>
            <w:tcW w:w="1100" w:type="dxa"/>
          </w:tcPr>
          <w:p w14:paraId="333A98FC" w14:textId="77777777" w:rsidR="00586901" w:rsidRPr="0053701E" w:rsidRDefault="00586901" w:rsidP="002C66FC">
            <w:pPr>
              <w:pStyle w:val="Header"/>
              <w:tabs>
                <w:tab w:val="left" w:pos="284"/>
              </w:tabs>
              <w:rPr>
                <w:b/>
                <w:bCs/>
                <w:sz w:val="22"/>
                <w:szCs w:val="22"/>
              </w:rPr>
            </w:pPr>
            <w:r w:rsidRPr="0053701E">
              <w:rPr>
                <w:b/>
                <w:bCs/>
                <w:sz w:val="22"/>
                <w:szCs w:val="22"/>
              </w:rPr>
              <w:t>p =</w:t>
            </w:r>
          </w:p>
        </w:tc>
        <w:tc>
          <w:tcPr>
            <w:tcW w:w="1219" w:type="dxa"/>
          </w:tcPr>
          <w:p w14:paraId="6A0BC713" w14:textId="77777777" w:rsidR="00586901" w:rsidRPr="0053701E" w:rsidRDefault="00586901" w:rsidP="002C66FC">
            <w:pPr>
              <w:autoSpaceDE w:val="0"/>
              <w:autoSpaceDN w:val="0"/>
              <w:adjustRightInd w:val="0"/>
              <w:rPr>
                <w:b/>
                <w:bCs/>
                <w:sz w:val="22"/>
                <w:szCs w:val="22"/>
              </w:rPr>
            </w:pPr>
            <w:r w:rsidRPr="0053701E">
              <w:rPr>
                <w:b/>
                <w:bCs/>
                <w:sz w:val="22"/>
                <w:szCs w:val="22"/>
              </w:rPr>
              <w:t>Indeks</w:t>
            </w:r>
          </w:p>
          <w:p w14:paraId="60E10156" w14:textId="77777777" w:rsidR="00586901" w:rsidRPr="0053701E" w:rsidRDefault="00586901" w:rsidP="002C66FC">
            <w:pPr>
              <w:pStyle w:val="Header"/>
              <w:tabs>
                <w:tab w:val="left" w:pos="284"/>
              </w:tabs>
              <w:rPr>
                <w:b/>
                <w:bCs/>
                <w:sz w:val="22"/>
                <w:szCs w:val="22"/>
              </w:rPr>
            </w:pPr>
            <w:r w:rsidRPr="0053701E">
              <w:rPr>
                <w:b/>
                <w:bCs/>
                <w:sz w:val="22"/>
                <w:szCs w:val="22"/>
              </w:rPr>
              <w:t>rizika*</w:t>
            </w:r>
          </w:p>
        </w:tc>
        <w:tc>
          <w:tcPr>
            <w:tcW w:w="1219" w:type="dxa"/>
          </w:tcPr>
          <w:p w14:paraId="32FD2D7D" w14:textId="77777777" w:rsidR="00586901" w:rsidRPr="0053701E" w:rsidRDefault="00586901" w:rsidP="002C66FC">
            <w:pPr>
              <w:autoSpaceDE w:val="0"/>
              <w:autoSpaceDN w:val="0"/>
              <w:adjustRightInd w:val="0"/>
              <w:rPr>
                <w:b/>
                <w:bCs/>
                <w:sz w:val="22"/>
                <w:szCs w:val="22"/>
              </w:rPr>
            </w:pPr>
            <w:r w:rsidRPr="0053701E">
              <w:rPr>
                <w:b/>
                <w:bCs/>
                <w:sz w:val="22"/>
                <w:szCs w:val="22"/>
              </w:rPr>
              <w:t xml:space="preserve">95% CI </w:t>
            </w:r>
          </w:p>
          <w:p w14:paraId="35C6E7CE" w14:textId="77777777" w:rsidR="00586901" w:rsidRPr="0053701E" w:rsidRDefault="00586901" w:rsidP="002C66FC">
            <w:pPr>
              <w:pStyle w:val="Header"/>
              <w:tabs>
                <w:tab w:val="left" w:pos="284"/>
              </w:tabs>
              <w:rPr>
                <w:b/>
                <w:bCs/>
                <w:sz w:val="22"/>
                <w:szCs w:val="22"/>
              </w:rPr>
            </w:pPr>
          </w:p>
        </w:tc>
        <w:tc>
          <w:tcPr>
            <w:tcW w:w="1219" w:type="dxa"/>
          </w:tcPr>
          <w:p w14:paraId="2AB7AA0C" w14:textId="77777777" w:rsidR="00586901" w:rsidRPr="0053701E" w:rsidRDefault="00586901" w:rsidP="002C66FC">
            <w:pPr>
              <w:pStyle w:val="Header"/>
              <w:tabs>
                <w:tab w:val="left" w:pos="284"/>
              </w:tabs>
              <w:rPr>
                <w:b/>
                <w:bCs/>
                <w:sz w:val="22"/>
                <w:szCs w:val="22"/>
              </w:rPr>
            </w:pPr>
            <w:r w:rsidRPr="0053701E">
              <w:rPr>
                <w:b/>
                <w:bCs/>
                <w:sz w:val="22"/>
                <w:szCs w:val="22"/>
              </w:rPr>
              <w:t>p =</w:t>
            </w:r>
          </w:p>
        </w:tc>
      </w:tr>
      <w:tr w:rsidR="00586901" w:rsidRPr="00B02007" w14:paraId="4E9A44D7" w14:textId="77777777" w:rsidTr="002C66FC">
        <w:trPr>
          <w:trHeight w:val="768"/>
        </w:trPr>
        <w:tc>
          <w:tcPr>
            <w:tcW w:w="1218" w:type="dxa"/>
          </w:tcPr>
          <w:p w14:paraId="104EF16A" w14:textId="6C579CCE" w:rsidR="00586901" w:rsidRPr="0053701E" w:rsidRDefault="00586901" w:rsidP="002C66FC">
            <w:pPr>
              <w:autoSpaceDE w:val="0"/>
              <w:autoSpaceDN w:val="0"/>
              <w:adjustRightInd w:val="0"/>
              <w:rPr>
                <w:b/>
                <w:bCs/>
                <w:sz w:val="22"/>
                <w:szCs w:val="22"/>
              </w:rPr>
            </w:pPr>
            <w:r w:rsidRPr="0053701E">
              <w:rPr>
                <w:b/>
                <w:bCs/>
                <w:sz w:val="22"/>
                <w:szCs w:val="22"/>
              </w:rPr>
              <w:t>Broj pozitivnih</w:t>
            </w:r>
            <w:r w:rsidR="00C12F5F">
              <w:rPr>
                <w:b/>
                <w:bCs/>
                <w:sz w:val="22"/>
                <w:szCs w:val="22"/>
              </w:rPr>
              <w:t xml:space="preserve"> limfnih </w:t>
            </w:r>
          </w:p>
          <w:p w14:paraId="3F903737" w14:textId="77777777" w:rsidR="00586901" w:rsidRPr="0053701E" w:rsidRDefault="00586901" w:rsidP="002C66FC">
            <w:pPr>
              <w:autoSpaceDE w:val="0"/>
              <w:autoSpaceDN w:val="0"/>
              <w:adjustRightInd w:val="0"/>
              <w:rPr>
                <w:sz w:val="22"/>
                <w:szCs w:val="22"/>
              </w:rPr>
            </w:pPr>
            <w:r w:rsidRPr="0053701E">
              <w:rPr>
                <w:rFonts w:eastAsia="TimesNewRoman"/>
                <w:b/>
                <w:bCs/>
                <w:sz w:val="22"/>
                <w:szCs w:val="22"/>
              </w:rPr>
              <w:t>č</w:t>
            </w:r>
            <w:r w:rsidRPr="0053701E">
              <w:rPr>
                <w:b/>
                <w:bCs/>
                <w:sz w:val="22"/>
                <w:szCs w:val="22"/>
              </w:rPr>
              <w:t>vorova</w:t>
            </w:r>
          </w:p>
        </w:tc>
        <w:tc>
          <w:tcPr>
            <w:tcW w:w="1218" w:type="dxa"/>
          </w:tcPr>
          <w:p w14:paraId="1AA30C4E" w14:textId="77777777" w:rsidR="00586901" w:rsidRPr="0053701E" w:rsidRDefault="00586901" w:rsidP="002C66FC">
            <w:pPr>
              <w:pStyle w:val="Header"/>
              <w:tabs>
                <w:tab w:val="left" w:pos="284"/>
              </w:tabs>
              <w:rPr>
                <w:sz w:val="22"/>
                <w:szCs w:val="22"/>
              </w:rPr>
            </w:pPr>
          </w:p>
        </w:tc>
        <w:tc>
          <w:tcPr>
            <w:tcW w:w="1218" w:type="dxa"/>
          </w:tcPr>
          <w:p w14:paraId="7C1BBF35" w14:textId="77777777" w:rsidR="00586901" w:rsidRPr="0053701E" w:rsidRDefault="00586901" w:rsidP="002C66FC">
            <w:pPr>
              <w:pStyle w:val="Header"/>
              <w:tabs>
                <w:tab w:val="left" w:pos="284"/>
              </w:tabs>
              <w:rPr>
                <w:sz w:val="22"/>
                <w:szCs w:val="22"/>
              </w:rPr>
            </w:pPr>
          </w:p>
        </w:tc>
        <w:tc>
          <w:tcPr>
            <w:tcW w:w="1337" w:type="dxa"/>
          </w:tcPr>
          <w:p w14:paraId="4F836145" w14:textId="77777777" w:rsidR="00586901" w:rsidRPr="0053701E" w:rsidRDefault="00586901" w:rsidP="002C66FC">
            <w:pPr>
              <w:pStyle w:val="Header"/>
              <w:tabs>
                <w:tab w:val="left" w:pos="284"/>
              </w:tabs>
              <w:rPr>
                <w:sz w:val="22"/>
                <w:szCs w:val="22"/>
              </w:rPr>
            </w:pPr>
          </w:p>
        </w:tc>
        <w:tc>
          <w:tcPr>
            <w:tcW w:w="1100" w:type="dxa"/>
          </w:tcPr>
          <w:p w14:paraId="7E376835" w14:textId="77777777" w:rsidR="00586901" w:rsidRPr="0053701E" w:rsidRDefault="00586901" w:rsidP="002C66FC">
            <w:pPr>
              <w:pStyle w:val="Header"/>
              <w:tabs>
                <w:tab w:val="left" w:pos="284"/>
              </w:tabs>
              <w:rPr>
                <w:sz w:val="22"/>
                <w:szCs w:val="22"/>
              </w:rPr>
            </w:pPr>
          </w:p>
        </w:tc>
        <w:tc>
          <w:tcPr>
            <w:tcW w:w="1219" w:type="dxa"/>
          </w:tcPr>
          <w:p w14:paraId="2EA5B8C9" w14:textId="77777777" w:rsidR="00586901" w:rsidRPr="0053701E" w:rsidRDefault="00586901" w:rsidP="002C66FC">
            <w:pPr>
              <w:pStyle w:val="Header"/>
              <w:tabs>
                <w:tab w:val="left" w:pos="284"/>
              </w:tabs>
              <w:rPr>
                <w:sz w:val="22"/>
                <w:szCs w:val="22"/>
              </w:rPr>
            </w:pPr>
          </w:p>
        </w:tc>
        <w:tc>
          <w:tcPr>
            <w:tcW w:w="1219" w:type="dxa"/>
          </w:tcPr>
          <w:p w14:paraId="26AEB07E" w14:textId="77777777" w:rsidR="00586901" w:rsidRPr="0053701E" w:rsidRDefault="00586901" w:rsidP="002C66FC">
            <w:pPr>
              <w:pStyle w:val="Header"/>
              <w:tabs>
                <w:tab w:val="left" w:pos="284"/>
              </w:tabs>
              <w:rPr>
                <w:sz w:val="22"/>
                <w:szCs w:val="22"/>
              </w:rPr>
            </w:pPr>
          </w:p>
        </w:tc>
        <w:tc>
          <w:tcPr>
            <w:tcW w:w="1219" w:type="dxa"/>
          </w:tcPr>
          <w:p w14:paraId="16B59177" w14:textId="77777777" w:rsidR="00586901" w:rsidRPr="0053701E" w:rsidRDefault="00586901" w:rsidP="002C66FC">
            <w:pPr>
              <w:pStyle w:val="Header"/>
              <w:tabs>
                <w:tab w:val="left" w:pos="284"/>
              </w:tabs>
              <w:rPr>
                <w:sz w:val="22"/>
                <w:szCs w:val="22"/>
              </w:rPr>
            </w:pPr>
          </w:p>
        </w:tc>
      </w:tr>
      <w:tr w:rsidR="00586901" w:rsidRPr="00B02007" w14:paraId="3C8AC821" w14:textId="77777777" w:rsidTr="002C66FC">
        <w:trPr>
          <w:trHeight w:val="255"/>
        </w:trPr>
        <w:tc>
          <w:tcPr>
            <w:tcW w:w="1218" w:type="dxa"/>
          </w:tcPr>
          <w:p w14:paraId="0F4FD84E" w14:textId="77777777" w:rsidR="00586901" w:rsidRPr="0053701E" w:rsidRDefault="00586901" w:rsidP="002C66FC">
            <w:pPr>
              <w:pStyle w:val="Header"/>
              <w:tabs>
                <w:tab w:val="left" w:pos="284"/>
              </w:tabs>
              <w:rPr>
                <w:sz w:val="22"/>
                <w:szCs w:val="22"/>
              </w:rPr>
            </w:pPr>
            <w:r w:rsidRPr="0053701E">
              <w:rPr>
                <w:sz w:val="22"/>
                <w:szCs w:val="22"/>
              </w:rPr>
              <w:t>Ukupno</w:t>
            </w:r>
          </w:p>
        </w:tc>
        <w:tc>
          <w:tcPr>
            <w:tcW w:w="1218" w:type="dxa"/>
          </w:tcPr>
          <w:p w14:paraId="0529E6E8" w14:textId="77777777" w:rsidR="00586901" w:rsidRPr="0053701E" w:rsidRDefault="00586901" w:rsidP="002C66FC">
            <w:pPr>
              <w:pStyle w:val="Header"/>
              <w:tabs>
                <w:tab w:val="left" w:pos="284"/>
              </w:tabs>
              <w:rPr>
                <w:sz w:val="22"/>
                <w:szCs w:val="22"/>
              </w:rPr>
            </w:pPr>
            <w:r w:rsidRPr="0053701E">
              <w:rPr>
                <w:sz w:val="22"/>
                <w:szCs w:val="22"/>
              </w:rPr>
              <w:t>745</w:t>
            </w:r>
          </w:p>
        </w:tc>
        <w:tc>
          <w:tcPr>
            <w:tcW w:w="1218" w:type="dxa"/>
          </w:tcPr>
          <w:p w14:paraId="338BF918" w14:textId="77777777" w:rsidR="00586901" w:rsidRPr="0053701E" w:rsidRDefault="00586901" w:rsidP="002C66FC">
            <w:pPr>
              <w:pStyle w:val="Header"/>
              <w:tabs>
                <w:tab w:val="left" w:pos="284"/>
              </w:tabs>
              <w:rPr>
                <w:sz w:val="22"/>
                <w:szCs w:val="22"/>
              </w:rPr>
            </w:pPr>
            <w:r w:rsidRPr="0053701E">
              <w:rPr>
                <w:sz w:val="22"/>
                <w:szCs w:val="22"/>
              </w:rPr>
              <w:t>0,80</w:t>
            </w:r>
          </w:p>
        </w:tc>
        <w:tc>
          <w:tcPr>
            <w:tcW w:w="1337" w:type="dxa"/>
          </w:tcPr>
          <w:p w14:paraId="1BDFEB02" w14:textId="77777777" w:rsidR="00586901" w:rsidRPr="0053701E" w:rsidRDefault="00586901" w:rsidP="002C66FC">
            <w:pPr>
              <w:pStyle w:val="Header"/>
              <w:tabs>
                <w:tab w:val="left" w:pos="284"/>
              </w:tabs>
              <w:rPr>
                <w:sz w:val="22"/>
                <w:szCs w:val="22"/>
              </w:rPr>
            </w:pPr>
            <w:r w:rsidRPr="0053701E">
              <w:rPr>
                <w:sz w:val="22"/>
                <w:szCs w:val="22"/>
              </w:rPr>
              <w:t>0,68-0,93</w:t>
            </w:r>
          </w:p>
        </w:tc>
        <w:tc>
          <w:tcPr>
            <w:tcW w:w="1100" w:type="dxa"/>
          </w:tcPr>
          <w:p w14:paraId="784764AB" w14:textId="77777777" w:rsidR="00586901" w:rsidRPr="0053701E" w:rsidRDefault="00586901" w:rsidP="002C66FC">
            <w:pPr>
              <w:pStyle w:val="Header"/>
              <w:tabs>
                <w:tab w:val="left" w:pos="284"/>
              </w:tabs>
              <w:rPr>
                <w:sz w:val="22"/>
                <w:szCs w:val="22"/>
              </w:rPr>
            </w:pPr>
            <w:r w:rsidRPr="0053701E">
              <w:rPr>
                <w:sz w:val="22"/>
                <w:szCs w:val="22"/>
              </w:rPr>
              <w:t>0,0043</w:t>
            </w:r>
          </w:p>
        </w:tc>
        <w:tc>
          <w:tcPr>
            <w:tcW w:w="1219" w:type="dxa"/>
          </w:tcPr>
          <w:p w14:paraId="65EDF61F" w14:textId="77777777" w:rsidR="00586901" w:rsidRPr="0053701E" w:rsidRDefault="00586901" w:rsidP="002C66FC">
            <w:pPr>
              <w:pStyle w:val="Header"/>
              <w:tabs>
                <w:tab w:val="left" w:pos="284"/>
              </w:tabs>
              <w:rPr>
                <w:sz w:val="22"/>
                <w:szCs w:val="22"/>
              </w:rPr>
            </w:pPr>
            <w:r w:rsidRPr="0053701E">
              <w:rPr>
                <w:sz w:val="22"/>
                <w:szCs w:val="22"/>
              </w:rPr>
              <w:t>0,74</w:t>
            </w:r>
          </w:p>
        </w:tc>
        <w:tc>
          <w:tcPr>
            <w:tcW w:w="1219" w:type="dxa"/>
          </w:tcPr>
          <w:p w14:paraId="7507E2CB" w14:textId="77777777" w:rsidR="00586901" w:rsidRPr="0053701E" w:rsidRDefault="00586901" w:rsidP="002C66FC">
            <w:pPr>
              <w:pStyle w:val="Header"/>
              <w:tabs>
                <w:tab w:val="left" w:pos="284"/>
              </w:tabs>
              <w:rPr>
                <w:sz w:val="22"/>
                <w:szCs w:val="22"/>
              </w:rPr>
            </w:pPr>
            <w:r w:rsidRPr="0053701E">
              <w:rPr>
                <w:sz w:val="22"/>
                <w:szCs w:val="22"/>
              </w:rPr>
              <w:t>0,61-0,90</w:t>
            </w:r>
          </w:p>
        </w:tc>
        <w:tc>
          <w:tcPr>
            <w:tcW w:w="1219" w:type="dxa"/>
          </w:tcPr>
          <w:p w14:paraId="4A94764A" w14:textId="77777777" w:rsidR="00586901" w:rsidRPr="0053701E" w:rsidRDefault="00586901" w:rsidP="002C66FC">
            <w:pPr>
              <w:pStyle w:val="Header"/>
              <w:tabs>
                <w:tab w:val="left" w:pos="284"/>
              </w:tabs>
              <w:rPr>
                <w:sz w:val="22"/>
                <w:szCs w:val="22"/>
              </w:rPr>
            </w:pPr>
            <w:r w:rsidRPr="0053701E">
              <w:rPr>
                <w:sz w:val="22"/>
                <w:szCs w:val="22"/>
              </w:rPr>
              <w:t>0,0020</w:t>
            </w:r>
          </w:p>
        </w:tc>
      </w:tr>
      <w:tr w:rsidR="00586901" w:rsidRPr="00B02007" w14:paraId="610E3D10" w14:textId="77777777" w:rsidTr="002C66FC">
        <w:trPr>
          <w:trHeight w:val="244"/>
        </w:trPr>
        <w:tc>
          <w:tcPr>
            <w:tcW w:w="1218" w:type="dxa"/>
          </w:tcPr>
          <w:p w14:paraId="332C6C43" w14:textId="77777777" w:rsidR="00586901" w:rsidRPr="0053701E" w:rsidRDefault="00586901" w:rsidP="002C66FC">
            <w:pPr>
              <w:pStyle w:val="Header"/>
              <w:tabs>
                <w:tab w:val="left" w:pos="284"/>
              </w:tabs>
              <w:rPr>
                <w:sz w:val="22"/>
                <w:szCs w:val="22"/>
              </w:rPr>
            </w:pPr>
            <w:r w:rsidRPr="0053701E">
              <w:rPr>
                <w:sz w:val="22"/>
                <w:szCs w:val="22"/>
              </w:rPr>
              <w:t>1-3</w:t>
            </w:r>
          </w:p>
        </w:tc>
        <w:tc>
          <w:tcPr>
            <w:tcW w:w="1218" w:type="dxa"/>
          </w:tcPr>
          <w:p w14:paraId="4A420AC0" w14:textId="77777777" w:rsidR="00586901" w:rsidRPr="0053701E" w:rsidRDefault="00586901" w:rsidP="002C66FC">
            <w:pPr>
              <w:pStyle w:val="Header"/>
              <w:tabs>
                <w:tab w:val="left" w:pos="284"/>
              </w:tabs>
              <w:rPr>
                <w:sz w:val="22"/>
                <w:szCs w:val="22"/>
              </w:rPr>
            </w:pPr>
            <w:r w:rsidRPr="0053701E">
              <w:rPr>
                <w:sz w:val="22"/>
                <w:szCs w:val="22"/>
              </w:rPr>
              <w:t>467</w:t>
            </w:r>
          </w:p>
        </w:tc>
        <w:tc>
          <w:tcPr>
            <w:tcW w:w="1218" w:type="dxa"/>
          </w:tcPr>
          <w:p w14:paraId="62A33B5E" w14:textId="77777777" w:rsidR="00586901" w:rsidRPr="0053701E" w:rsidRDefault="00586901" w:rsidP="002C66FC">
            <w:pPr>
              <w:pStyle w:val="Header"/>
              <w:tabs>
                <w:tab w:val="left" w:pos="284"/>
              </w:tabs>
              <w:rPr>
                <w:sz w:val="22"/>
                <w:szCs w:val="22"/>
              </w:rPr>
            </w:pPr>
            <w:r w:rsidRPr="0053701E">
              <w:rPr>
                <w:sz w:val="22"/>
                <w:szCs w:val="22"/>
              </w:rPr>
              <w:t>0,72</w:t>
            </w:r>
          </w:p>
        </w:tc>
        <w:tc>
          <w:tcPr>
            <w:tcW w:w="1337" w:type="dxa"/>
          </w:tcPr>
          <w:p w14:paraId="2B297A43" w14:textId="77777777" w:rsidR="00586901" w:rsidRPr="0053701E" w:rsidRDefault="00586901" w:rsidP="002C66FC">
            <w:pPr>
              <w:pStyle w:val="Header"/>
              <w:tabs>
                <w:tab w:val="left" w:pos="284"/>
              </w:tabs>
              <w:rPr>
                <w:sz w:val="22"/>
                <w:szCs w:val="22"/>
              </w:rPr>
            </w:pPr>
            <w:r w:rsidRPr="0053701E">
              <w:rPr>
                <w:sz w:val="22"/>
                <w:szCs w:val="22"/>
              </w:rPr>
              <w:t>0,58-0,91</w:t>
            </w:r>
          </w:p>
        </w:tc>
        <w:tc>
          <w:tcPr>
            <w:tcW w:w="1100" w:type="dxa"/>
          </w:tcPr>
          <w:p w14:paraId="71443281" w14:textId="77777777" w:rsidR="00586901" w:rsidRPr="0053701E" w:rsidRDefault="00586901" w:rsidP="002C66FC">
            <w:pPr>
              <w:pStyle w:val="Header"/>
              <w:tabs>
                <w:tab w:val="left" w:pos="284"/>
              </w:tabs>
              <w:rPr>
                <w:sz w:val="22"/>
                <w:szCs w:val="22"/>
              </w:rPr>
            </w:pPr>
            <w:r w:rsidRPr="0053701E">
              <w:rPr>
                <w:sz w:val="22"/>
                <w:szCs w:val="22"/>
              </w:rPr>
              <w:t>0,0047</w:t>
            </w:r>
          </w:p>
        </w:tc>
        <w:tc>
          <w:tcPr>
            <w:tcW w:w="1219" w:type="dxa"/>
          </w:tcPr>
          <w:p w14:paraId="60527AB8" w14:textId="77777777" w:rsidR="00586901" w:rsidRPr="0053701E" w:rsidRDefault="00586901" w:rsidP="002C66FC">
            <w:pPr>
              <w:pStyle w:val="Header"/>
              <w:tabs>
                <w:tab w:val="left" w:pos="284"/>
              </w:tabs>
              <w:rPr>
                <w:sz w:val="22"/>
                <w:szCs w:val="22"/>
              </w:rPr>
            </w:pPr>
            <w:r w:rsidRPr="0053701E">
              <w:rPr>
                <w:sz w:val="22"/>
                <w:szCs w:val="22"/>
              </w:rPr>
              <w:t>0,62</w:t>
            </w:r>
          </w:p>
        </w:tc>
        <w:tc>
          <w:tcPr>
            <w:tcW w:w="1219" w:type="dxa"/>
          </w:tcPr>
          <w:p w14:paraId="573AC86C" w14:textId="77777777" w:rsidR="00586901" w:rsidRPr="0053701E" w:rsidRDefault="00586901" w:rsidP="002C66FC">
            <w:pPr>
              <w:pStyle w:val="Header"/>
              <w:tabs>
                <w:tab w:val="left" w:pos="284"/>
              </w:tabs>
              <w:rPr>
                <w:sz w:val="22"/>
                <w:szCs w:val="22"/>
              </w:rPr>
            </w:pPr>
            <w:r w:rsidRPr="0053701E">
              <w:rPr>
                <w:sz w:val="22"/>
                <w:szCs w:val="22"/>
              </w:rPr>
              <w:t>0,46-0,82</w:t>
            </w:r>
          </w:p>
        </w:tc>
        <w:tc>
          <w:tcPr>
            <w:tcW w:w="1219" w:type="dxa"/>
          </w:tcPr>
          <w:p w14:paraId="0527C070" w14:textId="77777777" w:rsidR="00586901" w:rsidRPr="0053701E" w:rsidRDefault="00586901" w:rsidP="002C66FC">
            <w:pPr>
              <w:pStyle w:val="Header"/>
              <w:tabs>
                <w:tab w:val="left" w:pos="284"/>
              </w:tabs>
              <w:rPr>
                <w:sz w:val="22"/>
                <w:szCs w:val="22"/>
              </w:rPr>
            </w:pPr>
            <w:r w:rsidRPr="0053701E">
              <w:rPr>
                <w:sz w:val="22"/>
                <w:szCs w:val="22"/>
              </w:rPr>
              <w:t>0,0008</w:t>
            </w:r>
          </w:p>
        </w:tc>
      </w:tr>
      <w:tr w:rsidR="00586901" w:rsidRPr="00B02007" w14:paraId="06E13DF4" w14:textId="77777777" w:rsidTr="002C66FC">
        <w:trPr>
          <w:trHeight w:val="255"/>
        </w:trPr>
        <w:tc>
          <w:tcPr>
            <w:tcW w:w="1218" w:type="dxa"/>
          </w:tcPr>
          <w:p w14:paraId="7A496760" w14:textId="77777777" w:rsidR="00586901" w:rsidRPr="0053701E" w:rsidRDefault="00586901" w:rsidP="002C66FC">
            <w:pPr>
              <w:pStyle w:val="Header"/>
              <w:tabs>
                <w:tab w:val="left" w:pos="284"/>
              </w:tabs>
              <w:rPr>
                <w:sz w:val="22"/>
                <w:szCs w:val="22"/>
              </w:rPr>
            </w:pPr>
            <w:r w:rsidRPr="0053701E">
              <w:rPr>
                <w:sz w:val="22"/>
                <w:szCs w:val="22"/>
              </w:rPr>
              <w:t>4+</w:t>
            </w:r>
          </w:p>
        </w:tc>
        <w:tc>
          <w:tcPr>
            <w:tcW w:w="1218" w:type="dxa"/>
          </w:tcPr>
          <w:p w14:paraId="6D0FC289" w14:textId="77777777" w:rsidR="00586901" w:rsidRPr="0053701E" w:rsidRDefault="00586901" w:rsidP="002C66FC">
            <w:pPr>
              <w:pStyle w:val="Header"/>
              <w:tabs>
                <w:tab w:val="left" w:pos="284"/>
              </w:tabs>
              <w:rPr>
                <w:sz w:val="22"/>
                <w:szCs w:val="22"/>
              </w:rPr>
            </w:pPr>
            <w:r w:rsidRPr="0053701E">
              <w:rPr>
                <w:sz w:val="22"/>
                <w:szCs w:val="22"/>
              </w:rPr>
              <w:t>278</w:t>
            </w:r>
          </w:p>
        </w:tc>
        <w:tc>
          <w:tcPr>
            <w:tcW w:w="1218" w:type="dxa"/>
          </w:tcPr>
          <w:p w14:paraId="10A6FAEF" w14:textId="77777777" w:rsidR="00586901" w:rsidRPr="0053701E" w:rsidRDefault="00586901" w:rsidP="002C66FC">
            <w:pPr>
              <w:pStyle w:val="Header"/>
              <w:tabs>
                <w:tab w:val="left" w:pos="284"/>
              </w:tabs>
              <w:rPr>
                <w:sz w:val="22"/>
                <w:szCs w:val="22"/>
              </w:rPr>
            </w:pPr>
            <w:r w:rsidRPr="0053701E">
              <w:rPr>
                <w:sz w:val="22"/>
                <w:szCs w:val="22"/>
              </w:rPr>
              <w:t>0,87</w:t>
            </w:r>
          </w:p>
        </w:tc>
        <w:tc>
          <w:tcPr>
            <w:tcW w:w="1337" w:type="dxa"/>
          </w:tcPr>
          <w:p w14:paraId="70F54B5C" w14:textId="77777777" w:rsidR="00586901" w:rsidRPr="0053701E" w:rsidRDefault="00586901" w:rsidP="002C66FC">
            <w:pPr>
              <w:pStyle w:val="Header"/>
              <w:tabs>
                <w:tab w:val="left" w:pos="284"/>
              </w:tabs>
              <w:rPr>
                <w:sz w:val="22"/>
                <w:szCs w:val="22"/>
              </w:rPr>
            </w:pPr>
            <w:r w:rsidRPr="0053701E">
              <w:rPr>
                <w:sz w:val="22"/>
                <w:szCs w:val="22"/>
              </w:rPr>
              <w:t>0,70-1,09</w:t>
            </w:r>
          </w:p>
        </w:tc>
        <w:tc>
          <w:tcPr>
            <w:tcW w:w="1100" w:type="dxa"/>
          </w:tcPr>
          <w:p w14:paraId="0D58EC88" w14:textId="77777777" w:rsidR="00586901" w:rsidRPr="0053701E" w:rsidRDefault="00586901" w:rsidP="002C66FC">
            <w:pPr>
              <w:pStyle w:val="Header"/>
              <w:tabs>
                <w:tab w:val="left" w:pos="284"/>
              </w:tabs>
              <w:rPr>
                <w:sz w:val="22"/>
                <w:szCs w:val="22"/>
              </w:rPr>
            </w:pPr>
            <w:r w:rsidRPr="0053701E">
              <w:rPr>
                <w:sz w:val="22"/>
                <w:szCs w:val="22"/>
              </w:rPr>
              <w:t>0,2290</w:t>
            </w:r>
          </w:p>
        </w:tc>
        <w:tc>
          <w:tcPr>
            <w:tcW w:w="1219" w:type="dxa"/>
          </w:tcPr>
          <w:p w14:paraId="2776C44C" w14:textId="77777777" w:rsidR="00586901" w:rsidRPr="0053701E" w:rsidRDefault="00586901" w:rsidP="002C66FC">
            <w:pPr>
              <w:pStyle w:val="Header"/>
              <w:tabs>
                <w:tab w:val="left" w:pos="284"/>
              </w:tabs>
              <w:rPr>
                <w:sz w:val="22"/>
                <w:szCs w:val="22"/>
              </w:rPr>
            </w:pPr>
            <w:r w:rsidRPr="0053701E">
              <w:rPr>
                <w:sz w:val="22"/>
                <w:szCs w:val="22"/>
              </w:rPr>
              <w:t>0,87</w:t>
            </w:r>
          </w:p>
        </w:tc>
        <w:tc>
          <w:tcPr>
            <w:tcW w:w="1219" w:type="dxa"/>
          </w:tcPr>
          <w:p w14:paraId="12555581" w14:textId="77777777" w:rsidR="00586901" w:rsidRPr="0053701E" w:rsidRDefault="00586901" w:rsidP="002C66FC">
            <w:pPr>
              <w:pStyle w:val="Header"/>
              <w:tabs>
                <w:tab w:val="left" w:pos="284"/>
              </w:tabs>
              <w:rPr>
                <w:sz w:val="22"/>
                <w:szCs w:val="22"/>
              </w:rPr>
            </w:pPr>
            <w:r w:rsidRPr="0053701E">
              <w:rPr>
                <w:sz w:val="22"/>
                <w:szCs w:val="22"/>
              </w:rPr>
              <w:t>0,67-1,12</w:t>
            </w:r>
          </w:p>
        </w:tc>
        <w:tc>
          <w:tcPr>
            <w:tcW w:w="1219" w:type="dxa"/>
          </w:tcPr>
          <w:p w14:paraId="6EBDEAAF" w14:textId="77777777" w:rsidR="00586901" w:rsidRPr="0053701E" w:rsidRDefault="00586901" w:rsidP="002C66FC">
            <w:pPr>
              <w:pStyle w:val="Header"/>
              <w:tabs>
                <w:tab w:val="left" w:pos="284"/>
              </w:tabs>
              <w:rPr>
                <w:sz w:val="22"/>
                <w:szCs w:val="22"/>
              </w:rPr>
            </w:pPr>
            <w:r w:rsidRPr="0053701E">
              <w:rPr>
                <w:sz w:val="22"/>
                <w:szCs w:val="22"/>
              </w:rPr>
              <w:t>0,2746</w:t>
            </w:r>
          </w:p>
        </w:tc>
      </w:tr>
    </w:tbl>
    <w:p w14:paraId="0A126F38" w14:textId="77777777" w:rsidR="00586901" w:rsidRPr="0053701E" w:rsidRDefault="00586901" w:rsidP="00586901">
      <w:pPr>
        <w:autoSpaceDE w:val="0"/>
        <w:autoSpaceDN w:val="0"/>
        <w:adjustRightInd w:val="0"/>
        <w:rPr>
          <w:sz w:val="22"/>
          <w:szCs w:val="22"/>
        </w:rPr>
      </w:pPr>
      <w:r w:rsidRPr="0053701E">
        <w:rPr>
          <w:sz w:val="22"/>
          <w:szCs w:val="22"/>
        </w:rPr>
        <w:t>*Indeks rizika manji od 1 ukazuje da je TAC režim povezan sa dužim vremenom preživljavanja bez znakova bolesti i dužim ukupnim preživljavanjem u odnosu na FAC režim</w:t>
      </w:r>
    </w:p>
    <w:p w14:paraId="004165F4" w14:textId="77777777" w:rsidR="00586901" w:rsidRPr="0053701E" w:rsidRDefault="00586901" w:rsidP="00586901">
      <w:pPr>
        <w:pStyle w:val="Header"/>
        <w:tabs>
          <w:tab w:val="left" w:pos="284"/>
        </w:tabs>
        <w:rPr>
          <w:sz w:val="22"/>
          <w:szCs w:val="22"/>
          <w:u w:val="single"/>
        </w:rPr>
      </w:pPr>
    </w:p>
    <w:p w14:paraId="67F0F45D" w14:textId="77777777" w:rsidR="00586901" w:rsidRPr="0053701E" w:rsidRDefault="00586901" w:rsidP="00586901">
      <w:pPr>
        <w:pStyle w:val="Header"/>
        <w:tabs>
          <w:tab w:val="left" w:pos="284"/>
        </w:tabs>
        <w:rPr>
          <w:i/>
          <w:sz w:val="22"/>
          <w:szCs w:val="22"/>
        </w:rPr>
      </w:pPr>
      <w:r w:rsidRPr="0053701E">
        <w:rPr>
          <w:i/>
          <w:sz w:val="22"/>
          <w:szCs w:val="22"/>
        </w:rPr>
        <w:t>Pacijenti sa operabilnim nodus-negativnim karcinomom dojke, koje mogu da prime hemiterapiju (GEICAM 9805):</w:t>
      </w:r>
    </w:p>
    <w:p w14:paraId="21DB92DE" w14:textId="77777777" w:rsidR="00586901" w:rsidRPr="0053701E" w:rsidRDefault="00586901" w:rsidP="00586901">
      <w:pPr>
        <w:pStyle w:val="Header"/>
        <w:tabs>
          <w:tab w:val="left" w:pos="284"/>
        </w:tabs>
        <w:rPr>
          <w:sz w:val="22"/>
          <w:szCs w:val="22"/>
        </w:rPr>
      </w:pPr>
    </w:p>
    <w:p w14:paraId="7F9E12E8" w14:textId="77777777" w:rsidR="00586901" w:rsidRDefault="00586901" w:rsidP="00586901">
      <w:pPr>
        <w:autoSpaceDE w:val="0"/>
        <w:autoSpaceDN w:val="0"/>
        <w:adjustRightInd w:val="0"/>
        <w:rPr>
          <w:sz w:val="22"/>
          <w:szCs w:val="22"/>
        </w:rPr>
      </w:pPr>
      <w:r w:rsidRPr="0053701E">
        <w:rPr>
          <w:sz w:val="22"/>
          <w:szCs w:val="22"/>
        </w:rPr>
        <w:t>Podaci iz multicentri</w:t>
      </w:r>
      <w:r w:rsidRPr="0053701E">
        <w:rPr>
          <w:rFonts w:eastAsia="TimesNewRoman"/>
          <w:sz w:val="22"/>
          <w:szCs w:val="22"/>
        </w:rPr>
        <w:t>č</w:t>
      </w:r>
      <w:r w:rsidRPr="0053701E">
        <w:rPr>
          <w:sz w:val="22"/>
          <w:szCs w:val="22"/>
        </w:rPr>
        <w:t>ne, otvorene randomizovane studije govore u prilog upotrebi docetaksela za adjuvantno lije</w:t>
      </w:r>
      <w:r w:rsidRPr="0053701E">
        <w:rPr>
          <w:rFonts w:eastAsia="TimesNewRoman"/>
          <w:sz w:val="22"/>
          <w:szCs w:val="22"/>
        </w:rPr>
        <w:t>č</w:t>
      </w:r>
      <w:r w:rsidRPr="0053701E">
        <w:rPr>
          <w:sz w:val="22"/>
          <w:szCs w:val="22"/>
        </w:rPr>
        <w:t>enje pacijenata sa operabilnim, nodus-negativnim karcinomom dojke koji mogu da prime hemioterapiju.</w:t>
      </w:r>
    </w:p>
    <w:p w14:paraId="6E483A53" w14:textId="77777777" w:rsidR="00586901" w:rsidRPr="0053701E" w:rsidRDefault="00586901" w:rsidP="00586901">
      <w:pPr>
        <w:autoSpaceDE w:val="0"/>
        <w:autoSpaceDN w:val="0"/>
        <w:adjustRightInd w:val="0"/>
        <w:rPr>
          <w:sz w:val="22"/>
          <w:szCs w:val="22"/>
        </w:rPr>
      </w:pPr>
    </w:p>
    <w:p w14:paraId="63F27FA8" w14:textId="71D3E904" w:rsidR="00586901" w:rsidRPr="0053701E" w:rsidRDefault="00586901" w:rsidP="00586901">
      <w:pPr>
        <w:autoSpaceDE w:val="0"/>
        <w:autoSpaceDN w:val="0"/>
        <w:adjustRightInd w:val="0"/>
        <w:rPr>
          <w:sz w:val="22"/>
          <w:szCs w:val="22"/>
        </w:rPr>
      </w:pPr>
      <w:r w:rsidRPr="0053701E">
        <w:rPr>
          <w:sz w:val="22"/>
          <w:szCs w:val="22"/>
        </w:rPr>
        <w:t>1060 pacijenata je randomizovano tako da primaju ili docetaksel u dozi od 75 mg/m², 1 sat nakon doksorubicina u dozi od 50 mg/m² i ciklofosfamida 500 mg/m² (539 pacijenata u grupi TAC), ili da primaju doksorubicin 50 mg/m², poslije kojeg je slijedio fluorouracil 500 mg/m² i ciklofosfamid 500 mg/m² (521 pacijent u grupi FAC), kao adjuvantno liječenje pacijenata sa operabilnim, nodus-negativnim karcinomom dojke, kod kojih postoji visok rizik od pogoršanja stanja po kriterijumu St. Galena iz 1998 (veličina tumora &gt;</w:t>
      </w:r>
      <w:r>
        <w:rPr>
          <w:sz w:val="22"/>
          <w:szCs w:val="22"/>
        </w:rPr>
        <w:t xml:space="preserve"> </w:t>
      </w:r>
      <w:r w:rsidRPr="0053701E">
        <w:rPr>
          <w:sz w:val="22"/>
          <w:szCs w:val="22"/>
        </w:rPr>
        <w:t>2 cm i/ili negativan ER i PR i/ili visok histološki/nuklearni status (stepen 2 do 3) i/ili starost &lt;</w:t>
      </w:r>
      <w:r>
        <w:rPr>
          <w:sz w:val="22"/>
          <w:szCs w:val="22"/>
        </w:rPr>
        <w:t xml:space="preserve"> </w:t>
      </w:r>
      <w:r w:rsidRPr="0053701E">
        <w:rPr>
          <w:sz w:val="22"/>
          <w:szCs w:val="22"/>
        </w:rPr>
        <w:t>35 godina). Oba režima su primjenjivana jednom u 3 nedjelje, tokom 6 ciklusa. Docetaksel je aplikovan putem jednosatne infuzije, a ostali ljekovi su primijenjeni intravenskim putem prvog dana svake treće nedjelje. Osnovni profilaktik G-CSF je bio obavezan u TAC grupi nakon što je 230 pacijenata randomizovano. Učestalost neutropenije 4. stepena, febrilne neutropenije i neutropenijske infekcije se smanjila kod pacijenata koji su primali primarn</w:t>
      </w:r>
      <w:r w:rsidR="00C12F5F">
        <w:rPr>
          <w:sz w:val="22"/>
          <w:szCs w:val="22"/>
        </w:rPr>
        <w:t>u profilaksu</w:t>
      </w:r>
      <w:r w:rsidRPr="0053701E">
        <w:rPr>
          <w:sz w:val="22"/>
          <w:szCs w:val="22"/>
        </w:rPr>
        <w:t xml:space="preserve">G-CSF (vidjeti </w:t>
      </w:r>
      <w:r w:rsidR="006A399E">
        <w:rPr>
          <w:sz w:val="22"/>
          <w:szCs w:val="22"/>
        </w:rPr>
        <w:t>dio</w:t>
      </w:r>
      <w:r w:rsidRPr="0053701E">
        <w:rPr>
          <w:sz w:val="22"/>
          <w:szCs w:val="22"/>
        </w:rPr>
        <w:t xml:space="preserve"> 4.8). U obje grupe, pacijenti sa pozitivnim estrogenskim i/ili progesteronskim receptorima su, poslije posljednjeg ciklusa hemioterapije, primali tamoksifen u dozi od 20 mg jednom dnevno u periodu do 5 godina. Adjuvantna radioterapija je propisivana u skladu sa </w:t>
      </w:r>
      <w:r w:rsidRPr="0053701E">
        <w:rPr>
          <w:sz w:val="22"/>
          <w:szCs w:val="22"/>
        </w:rPr>
        <w:lastRenderedPageBreak/>
        <w:t>važe</w:t>
      </w:r>
      <w:r w:rsidRPr="0053701E">
        <w:rPr>
          <w:rFonts w:eastAsia="TimesNewRoman"/>
          <w:sz w:val="22"/>
          <w:szCs w:val="22"/>
        </w:rPr>
        <w:t>ć</w:t>
      </w:r>
      <w:r w:rsidRPr="0053701E">
        <w:rPr>
          <w:sz w:val="22"/>
          <w:szCs w:val="22"/>
        </w:rPr>
        <w:t>im smjernicama institucija koje su u</w:t>
      </w:r>
      <w:r w:rsidRPr="0053701E">
        <w:rPr>
          <w:rFonts w:eastAsia="TimesNewRoman"/>
          <w:sz w:val="22"/>
          <w:szCs w:val="22"/>
        </w:rPr>
        <w:t>č</w:t>
      </w:r>
      <w:r w:rsidRPr="0053701E">
        <w:rPr>
          <w:sz w:val="22"/>
          <w:szCs w:val="22"/>
        </w:rPr>
        <w:t xml:space="preserve">estvovale u studiji, a primalo ju je 57,3% pacijenata koji su primali TAC, odnosno 51,2% pacijenata koji su primali FAC terapiju. </w:t>
      </w:r>
    </w:p>
    <w:p w14:paraId="69183375" w14:textId="77777777" w:rsidR="00586901" w:rsidRPr="0053701E" w:rsidRDefault="00586901" w:rsidP="00586901">
      <w:pPr>
        <w:autoSpaceDE w:val="0"/>
        <w:autoSpaceDN w:val="0"/>
        <w:adjustRightInd w:val="0"/>
        <w:rPr>
          <w:sz w:val="22"/>
          <w:szCs w:val="22"/>
        </w:rPr>
      </w:pPr>
    </w:p>
    <w:p w14:paraId="607B1121" w14:textId="77777777" w:rsidR="00586901" w:rsidRPr="0053701E" w:rsidRDefault="00586901" w:rsidP="00586901">
      <w:pPr>
        <w:autoSpaceDE w:val="0"/>
        <w:autoSpaceDN w:val="0"/>
        <w:adjustRightInd w:val="0"/>
        <w:rPr>
          <w:sz w:val="22"/>
          <w:szCs w:val="22"/>
        </w:rPr>
      </w:pPr>
      <w:r w:rsidRPr="0053701E">
        <w:rPr>
          <w:sz w:val="22"/>
          <w:szCs w:val="22"/>
        </w:rPr>
        <w:t>Obavljena je jedna primarna analiza i jedna ažurirana analiza. Primarna analiza obavljena je kada su svi pacijenti prošli period praćenja duži od 5 godina (srednje vrijeme praćenja od 77 mjeseci). Ažurirana analiza je obavljena kada su svi pacijenti obavili posjetu praćenja nakon 10 godina (srednje vrijeme praćenje od 10 godina i 5 mjeseci) (osim ako nisu doživjeli DFS događaj ili više nisu bili dostupni za praćenje). Preživljavanje bez bolesti (DFS) je bilo primarna krajnja tačka efikasnosti, a ukupno preživljavanje (OS) je bilo sekundarna krajnja tačka efikasnosti.</w:t>
      </w:r>
    </w:p>
    <w:p w14:paraId="6C4D01F7" w14:textId="77777777" w:rsidR="00586901" w:rsidRPr="0053701E" w:rsidRDefault="00586901" w:rsidP="00586901">
      <w:pPr>
        <w:autoSpaceDE w:val="0"/>
        <w:autoSpaceDN w:val="0"/>
        <w:adjustRightInd w:val="0"/>
        <w:rPr>
          <w:sz w:val="22"/>
          <w:szCs w:val="22"/>
        </w:rPr>
      </w:pPr>
    </w:p>
    <w:p w14:paraId="61515EE8" w14:textId="77777777" w:rsidR="00586901" w:rsidRPr="0053701E" w:rsidRDefault="00586901" w:rsidP="00586901">
      <w:pPr>
        <w:autoSpaceDE w:val="0"/>
        <w:autoSpaceDN w:val="0"/>
        <w:adjustRightInd w:val="0"/>
        <w:rPr>
          <w:sz w:val="22"/>
          <w:szCs w:val="22"/>
        </w:rPr>
      </w:pPr>
      <w:r w:rsidRPr="0053701E">
        <w:rPr>
          <w:sz w:val="22"/>
          <w:szCs w:val="22"/>
        </w:rPr>
        <w:t>Pri srednjem vremenu praćenja od 77 mjeseci dokazano je značajno duže vrijeme preživljavanja bez bolesti za grupu TAC nego za grupu FAC. TAC pacijenti su imali za 32% smanjen rizik relapsa u odnosu na FAC pacijente (indeks rizika =0,68, 95% CI (0,49-0,93), p=0,01). Pri srednjem vremenu praćenja od 10 godina i 5 mjeseci, TAC pacijenti imali su 16,5%-no smanjenje rizika od relapsa u poređenju sa FAC pacijentima (odnos rizika = 0,84, 95% CI (0,65-1,08), p = 0,1646). Podaci za DFS nisu statistički značajni, ali su i dalje povezani sa pozitivnim trendom u korist TAC.</w:t>
      </w:r>
    </w:p>
    <w:p w14:paraId="3F0386AE" w14:textId="77777777" w:rsidR="00586901" w:rsidRPr="00786071" w:rsidRDefault="00586901" w:rsidP="00480FB1">
      <w:pPr>
        <w:tabs>
          <w:tab w:val="left" w:pos="540"/>
          <w:tab w:val="left" w:pos="569"/>
        </w:tabs>
        <w:rPr>
          <w:bCs/>
          <w:sz w:val="22"/>
          <w:szCs w:val="22"/>
        </w:rPr>
      </w:pPr>
    </w:p>
    <w:p w14:paraId="0CF9616F" w14:textId="77777777" w:rsidR="00F223ED" w:rsidRDefault="00F223ED" w:rsidP="00F223ED">
      <w:pPr>
        <w:autoSpaceDE w:val="0"/>
        <w:autoSpaceDN w:val="0"/>
        <w:adjustRightInd w:val="0"/>
        <w:rPr>
          <w:sz w:val="22"/>
          <w:szCs w:val="22"/>
        </w:rPr>
      </w:pPr>
      <w:r w:rsidRPr="0053701E">
        <w:rPr>
          <w:sz w:val="22"/>
          <w:szCs w:val="22"/>
        </w:rPr>
        <w:t>Pri srednjem vremenu praćenja od 77 mjeseci, ukupno preživljavanje (UP) je bilo duže u grupi TAC, gdje su TAC pacijenti imali smanjenje rizika od smrti za 24% u odnosu na FAC (indeks rizika = 0,76, 95% CI (0,46-1,26), p=0,29). Međutim, raspodjela UP nije bila značajna između ove dvije grupe.</w:t>
      </w:r>
    </w:p>
    <w:p w14:paraId="561B99C4" w14:textId="77777777" w:rsidR="00F223ED" w:rsidRPr="0053701E" w:rsidRDefault="00F223ED" w:rsidP="00F223ED">
      <w:pPr>
        <w:autoSpaceDE w:val="0"/>
        <w:autoSpaceDN w:val="0"/>
        <w:adjustRightInd w:val="0"/>
        <w:rPr>
          <w:sz w:val="22"/>
          <w:szCs w:val="22"/>
        </w:rPr>
      </w:pPr>
    </w:p>
    <w:p w14:paraId="7BE6E81D" w14:textId="77777777" w:rsidR="00F223ED" w:rsidRPr="0053701E" w:rsidRDefault="00F223ED" w:rsidP="00F223ED">
      <w:pPr>
        <w:autoSpaceDE w:val="0"/>
        <w:autoSpaceDN w:val="0"/>
        <w:adjustRightInd w:val="0"/>
        <w:rPr>
          <w:sz w:val="22"/>
          <w:szCs w:val="22"/>
        </w:rPr>
      </w:pPr>
      <w:r w:rsidRPr="0053701E">
        <w:rPr>
          <w:sz w:val="22"/>
          <w:szCs w:val="22"/>
        </w:rPr>
        <w:t xml:space="preserve">Pri srednjem vremenu praćenja od 10 godina i 5 mjeseci, TAC pacijenti su imali 9%-no smanjenje rizika od smrti u odnosu na FAC pacijente (odnos rizika = 0,91, 95% CI (0,63-1,32)). </w:t>
      </w:r>
    </w:p>
    <w:p w14:paraId="6463A0A9" w14:textId="77777777" w:rsidR="00F223ED" w:rsidRPr="0053701E" w:rsidRDefault="00F223ED" w:rsidP="00F223ED">
      <w:pPr>
        <w:autoSpaceDE w:val="0"/>
        <w:autoSpaceDN w:val="0"/>
        <w:adjustRightInd w:val="0"/>
        <w:rPr>
          <w:sz w:val="22"/>
          <w:szCs w:val="22"/>
        </w:rPr>
      </w:pPr>
    </w:p>
    <w:p w14:paraId="5D17649C" w14:textId="77777777" w:rsidR="00F223ED" w:rsidRPr="0053701E" w:rsidRDefault="00F223ED" w:rsidP="00F223ED">
      <w:pPr>
        <w:autoSpaceDE w:val="0"/>
        <w:autoSpaceDN w:val="0"/>
        <w:adjustRightInd w:val="0"/>
        <w:rPr>
          <w:sz w:val="22"/>
          <w:szCs w:val="22"/>
        </w:rPr>
      </w:pPr>
      <w:r w:rsidRPr="0053701E">
        <w:rPr>
          <w:sz w:val="22"/>
          <w:szCs w:val="22"/>
        </w:rPr>
        <w:t>Stopa preživljavanja je bila 93,7% u grupi TAC i 91,4% u grupi FAC, posle 8 godina praćenja, a 91,3% u grupi TAC i 89% u grupi FAC, nakon 10 godina praćenja.</w:t>
      </w:r>
    </w:p>
    <w:p w14:paraId="657BA01E" w14:textId="77777777" w:rsidR="00F223ED" w:rsidRPr="0053701E" w:rsidRDefault="00F223ED" w:rsidP="00F223ED">
      <w:pPr>
        <w:autoSpaceDE w:val="0"/>
        <w:autoSpaceDN w:val="0"/>
        <w:adjustRightInd w:val="0"/>
        <w:rPr>
          <w:sz w:val="22"/>
          <w:szCs w:val="22"/>
        </w:rPr>
      </w:pPr>
    </w:p>
    <w:p w14:paraId="52BA8ADF" w14:textId="77777777" w:rsidR="00F223ED" w:rsidRPr="0053701E" w:rsidRDefault="00F223ED" w:rsidP="00F223ED">
      <w:pPr>
        <w:autoSpaceDE w:val="0"/>
        <w:autoSpaceDN w:val="0"/>
        <w:adjustRightInd w:val="0"/>
        <w:rPr>
          <w:sz w:val="22"/>
          <w:szCs w:val="22"/>
        </w:rPr>
      </w:pPr>
      <w:r w:rsidRPr="0053701E">
        <w:rPr>
          <w:sz w:val="22"/>
          <w:szCs w:val="22"/>
        </w:rPr>
        <w:t>Pozitivni odnos rizika i koristi za TAC u odnosu na FAC ostao je nepromijenjen.</w:t>
      </w:r>
    </w:p>
    <w:p w14:paraId="596E5D09" w14:textId="77777777" w:rsidR="00F223ED" w:rsidRPr="0053701E" w:rsidRDefault="00F223ED" w:rsidP="00F223ED">
      <w:pPr>
        <w:autoSpaceDE w:val="0"/>
        <w:autoSpaceDN w:val="0"/>
        <w:adjustRightInd w:val="0"/>
        <w:rPr>
          <w:sz w:val="22"/>
          <w:szCs w:val="22"/>
        </w:rPr>
      </w:pPr>
    </w:p>
    <w:p w14:paraId="79F3FBCE" w14:textId="77777777" w:rsidR="00F223ED" w:rsidRPr="0053701E" w:rsidRDefault="00F223ED" w:rsidP="00F223ED">
      <w:pPr>
        <w:autoSpaceDE w:val="0"/>
        <w:autoSpaceDN w:val="0"/>
        <w:adjustRightInd w:val="0"/>
        <w:rPr>
          <w:sz w:val="22"/>
          <w:szCs w:val="22"/>
        </w:rPr>
      </w:pPr>
      <w:r w:rsidRPr="0053701E">
        <w:rPr>
          <w:sz w:val="22"/>
          <w:szCs w:val="22"/>
        </w:rPr>
        <w:t>Podgrupe pacijenata liječenih TAC terapijom prema prospektivno definisanim značajnim prognostičkim faktorima bile su analizirane u primarnoj analizi (pri srednjem vremenu praćenja od 77 mjeseci) (vidjeti tabelu ispod):</w:t>
      </w:r>
    </w:p>
    <w:p w14:paraId="2010105D" w14:textId="77777777" w:rsidR="00F223ED" w:rsidRPr="0053701E" w:rsidRDefault="00F223ED" w:rsidP="00F223ED">
      <w:pPr>
        <w:autoSpaceDE w:val="0"/>
        <w:autoSpaceDN w:val="0"/>
        <w:adjustRightInd w:val="0"/>
        <w:rPr>
          <w:sz w:val="22"/>
          <w:szCs w:val="22"/>
        </w:rPr>
      </w:pPr>
    </w:p>
    <w:p w14:paraId="23508373" w14:textId="77777777" w:rsidR="00F223ED" w:rsidRPr="0053701E" w:rsidRDefault="00F223ED" w:rsidP="00F223ED">
      <w:pPr>
        <w:autoSpaceDE w:val="0"/>
        <w:autoSpaceDN w:val="0"/>
        <w:adjustRightInd w:val="0"/>
        <w:rPr>
          <w:sz w:val="22"/>
          <w:szCs w:val="22"/>
          <w:u w:val="single"/>
        </w:rPr>
      </w:pPr>
      <w:r w:rsidRPr="0053701E">
        <w:rPr>
          <w:sz w:val="22"/>
          <w:szCs w:val="22"/>
          <w:u w:val="single"/>
        </w:rPr>
        <w:t>Analiza podgrupe-adjuvantna terapija kod pacijenata sa nodus-negativnim karcinomom dojke (analiza u cilju izlječenja)</w:t>
      </w:r>
    </w:p>
    <w:p w14:paraId="62CF8713" w14:textId="77777777" w:rsidR="00F223ED" w:rsidRPr="0053701E" w:rsidRDefault="00F223ED" w:rsidP="00F223ED">
      <w:pPr>
        <w:autoSpaceDE w:val="0"/>
        <w:autoSpaceDN w:val="0"/>
        <w:adjustRightInd w:val="0"/>
        <w:rPr>
          <w:sz w:val="22"/>
          <w:szCs w:val="22"/>
          <w:u w:val="single"/>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8"/>
        <w:gridCol w:w="2428"/>
        <w:gridCol w:w="2428"/>
        <w:gridCol w:w="2430"/>
      </w:tblGrid>
      <w:tr w:rsidR="00F223ED" w:rsidRPr="00B02007" w14:paraId="144E51D3" w14:textId="77777777" w:rsidTr="002C66FC">
        <w:trPr>
          <w:trHeight w:val="209"/>
        </w:trPr>
        <w:tc>
          <w:tcPr>
            <w:tcW w:w="2428" w:type="dxa"/>
            <w:vMerge w:val="restart"/>
          </w:tcPr>
          <w:p w14:paraId="4E7DDBDD" w14:textId="77777777" w:rsidR="00F223ED" w:rsidRPr="0053701E" w:rsidRDefault="00F223ED" w:rsidP="002C66FC">
            <w:pPr>
              <w:autoSpaceDE w:val="0"/>
              <w:autoSpaceDN w:val="0"/>
              <w:adjustRightInd w:val="0"/>
              <w:rPr>
                <w:b/>
                <w:bCs/>
                <w:sz w:val="22"/>
                <w:szCs w:val="22"/>
              </w:rPr>
            </w:pPr>
            <w:r w:rsidRPr="0053701E">
              <w:rPr>
                <w:b/>
                <w:bCs/>
                <w:sz w:val="22"/>
                <w:szCs w:val="22"/>
              </w:rPr>
              <w:t>Podgrupa pacijenata</w:t>
            </w:r>
          </w:p>
        </w:tc>
        <w:tc>
          <w:tcPr>
            <w:tcW w:w="2428" w:type="dxa"/>
            <w:vMerge w:val="restart"/>
          </w:tcPr>
          <w:p w14:paraId="4D687FB5" w14:textId="77777777" w:rsidR="00F223ED" w:rsidRPr="0053701E" w:rsidRDefault="00F223ED" w:rsidP="002C66FC">
            <w:pPr>
              <w:autoSpaceDE w:val="0"/>
              <w:autoSpaceDN w:val="0"/>
              <w:adjustRightInd w:val="0"/>
              <w:jc w:val="center"/>
              <w:rPr>
                <w:b/>
                <w:bCs/>
                <w:sz w:val="22"/>
                <w:szCs w:val="22"/>
              </w:rPr>
            </w:pPr>
            <w:r w:rsidRPr="0053701E">
              <w:rPr>
                <w:b/>
                <w:bCs/>
                <w:sz w:val="22"/>
                <w:szCs w:val="22"/>
              </w:rPr>
              <w:t>Broj pacijenata u TAC grupi</w:t>
            </w:r>
          </w:p>
        </w:tc>
        <w:tc>
          <w:tcPr>
            <w:tcW w:w="4858" w:type="dxa"/>
            <w:gridSpan w:val="2"/>
          </w:tcPr>
          <w:p w14:paraId="3CF8151A" w14:textId="77777777" w:rsidR="00F223ED" w:rsidRPr="0053701E" w:rsidRDefault="00F223ED" w:rsidP="002C66FC">
            <w:pPr>
              <w:autoSpaceDE w:val="0"/>
              <w:autoSpaceDN w:val="0"/>
              <w:adjustRightInd w:val="0"/>
              <w:rPr>
                <w:b/>
                <w:bCs/>
                <w:sz w:val="22"/>
                <w:szCs w:val="22"/>
              </w:rPr>
            </w:pPr>
            <w:r w:rsidRPr="0053701E">
              <w:rPr>
                <w:b/>
                <w:bCs/>
                <w:sz w:val="22"/>
                <w:szCs w:val="22"/>
              </w:rPr>
              <w:t>Preživljavanje bez bolesti</w:t>
            </w:r>
          </w:p>
        </w:tc>
      </w:tr>
      <w:tr w:rsidR="00F223ED" w:rsidRPr="00B02007" w14:paraId="1E2643A5" w14:textId="77777777" w:rsidTr="002C66FC">
        <w:trPr>
          <w:trHeight w:val="284"/>
        </w:trPr>
        <w:tc>
          <w:tcPr>
            <w:tcW w:w="2428" w:type="dxa"/>
            <w:vMerge/>
          </w:tcPr>
          <w:p w14:paraId="1BA5DB27" w14:textId="77777777" w:rsidR="00F223ED" w:rsidRPr="00E558A7" w:rsidRDefault="00F223ED" w:rsidP="002C66FC">
            <w:pPr>
              <w:autoSpaceDE w:val="0"/>
              <w:autoSpaceDN w:val="0"/>
              <w:adjustRightInd w:val="0"/>
              <w:rPr>
                <w:b/>
                <w:bCs/>
                <w:sz w:val="22"/>
                <w:szCs w:val="22"/>
              </w:rPr>
            </w:pPr>
          </w:p>
        </w:tc>
        <w:tc>
          <w:tcPr>
            <w:tcW w:w="2428" w:type="dxa"/>
            <w:vMerge/>
          </w:tcPr>
          <w:p w14:paraId="44D5364B" w14:textId="77777777" w:rsidR="00F223ED" w:rsidRPr="00E558A7" w:rsidRDefault="00F223ED" w:rsidP="002C66FC">
            <w:pPr>
              <w:autoSpaceDE w:val="0"/>
              <w:autoSpaceDN w:val="0"/>
              <w:adjustRightInd w:val="0"/>
              <w:jc w:val="center"/>
              <w:rPr>
                <w:b/>
                <w:bCs/>
                <w:sz w:val="22"/>
                <w:szCs w:val="22"/>
              </w:rPr>
            </w:pPr>
          </w:p>
        </w:tc>
        <w:tc>
          <w:tcPr>
            <w:tcW w:w="2428" w:type="dxa"/>
          </w:tcPr>
          <w:p w14:paraId="4290ADE4" w14:textId="77777777" w:rsidR="00F223ED" w:rsidRPr="00E558A7" w:rsidRDefault="00F223ED" w:rsidP="002C66FC">
            <w:pPr>
              <w:autoSpaceDE w:val="0"/>
              <w:autoSpaceDN w:val="0"/>
              <w:adjustRightInd w:val="0"/>
              <w:rPr>
                <w:b/>
                <w:bCs/>
                <w:sz w:val="22"/>
                <w:szCs w:val="22"/>
              </w:rPr>
            </w:pPr>
            <w:r w:rsidRPr="00E558A7">
              <w:rPr>
                <w:b/>
                <w:bCs/>
                <w:sz w:val="22"/>
                <w:szCs w:val="22"/>
              </w:rPr>
              <w:t>Indeks rizika*</w:t>
            </w:r>
          </w:p>
        </w:tc>
        <w:tc>
          <w:tcPr>
            <w:tcW w:w="2429" w:type="dxa"/>
          </w:tcPr>
          <w:p w14:paraId="436BEB14" w14:textId="77777777" w:rsidR="00F223ED" w:rsidRPr="00E558A7" w:rsidRDefault="00F223ED" w:rsidP="002C66FC">
            <w:pPr>
              <w:autoSpaceDE w:val="0"/>
              <w:autoSpaceDN w:val="0"/>
              <w:adjustRightInd w:val="0"/>
              <w:rPr>
                <w:b/>
                <w:bCs/>
                <w:sz w:val="22"/>
                <w:szCs w:val="22"/>
              </w:rPr>
            </w:pPr>
            <w:r w:rsidRPr="00E558A7">
              <w:rPr>
                <w:b/>
                <w:bCs/>
                <w:sz w:val="22"/>
                <w:szCs w:val="22"/>
              </w:rPr>
              <w:t>95% CI</w:t>
            </w:r>
          </w:p>
        </w:tc>
      </w:tr>
      <w:tr w:rsidR="00F223ED" w:rsidRPr="00B02007" w14:paraId="62D5B955" w14:textId="77777777" w:rsidTr="002C66FC">
        <w:trPr>
          <w:trHeight w:val="252"/>
        </w:trPr>
        <w:tc>
          <w:tcPr>
            <w:tcW w:w="2428" w:type="dxa"/>
          </w:tcPr>
          <w:p w14:paraId="3CFDE191" w14:textId="77777777" w:rsidR="00F223ED" w:rsidRPr="00D26BBC" w:rsidRDefault="00F223ED" w:rsidP="002C66FC">
            <w:pPr>
              <w:autoSpaceDE w:val="0"/>
              <w:autoSpaceDN w:val="0"/>
              <w:adjustRightInd w:val="0"/>
              <w:rPr>
                <w:b/>
                <w:bCs/>
                <w:sz w:val="22"/>
                <w:szCs w:val="22"/>
              </w:rPr>
            </w:pPr>
            <w:r w:rsidRPr="00D26BBC">
              <w:rPr>
                <w:b/>
                <w:bCs/>
                <w:sz w:val="22"/>
                <w:szCs w:val="22"/>
              </w:rPr>
              <w:t>Ukupno</w:t>
            </w:r>
          </w:p>
        </w:tc>
        <w:tc>
          <w:tcPr>
            <w:tcW w:w="2428" w:type="dxa"/>
          </w:tcPr>
          <w:p w14:paraId="72C33C3B" w14:textId="77777777" w:rsidR="00F223ED" w:rsidRPr="00D26BBC" w:rsidRDefault="00F223ED" w:rsidP="002C66FC">
            <w:pPr>
              <w:autoSpaceDE w:val="0"/>
              <w:autoSpaceDN w:val="0"/>
              <w:adjustRightInd w:val="0"/>
              <w:jc w:val="center"/>
              <w:rPr>
                <w:sz w:val="22"/>
                <w:szCs w:val="22"/>
              </w:rPr>
            </w:pPr>
            <w:r w:rsidRPr="00D26BBC">
              <w:rPr>
                <w:sz w:val="22"/>
                <w:szCs w:val="22"/>
              </w:rPr>
              <w:t>539</w:t>
            </w:r>
          </w:p>
        </w:tc>
        <w:tc>
          <w:tcPr>
            <w:tcW w:w="2428" w:type="dxa"/>
          </w:tcPr>
          <w:p w14:paraId="46EAAB5A" w14:textId="77777777" w:rsidR="00F223ED" w:rsidRPr="00D26BBC" w:rsidRDefault="00F223ED" w:rsidP="002C66FC">
            <w:pPr>
              <w:autoSpaceDE w:val="0"/>
              <w:autoSpaceDN w:val="0"/>
              <w:adjustRightInd w:val="0"/>
              <w:jc w:val="center"/>
              <w:rPr>
                <w:sz w:val="22"/>
                <w:szCs w:val="22"/>
              </w:rPr>
            </w:pPr>
            <w:r w:rsidRPr="00D26BBC">
              <w:rPr>
                <w:sz w:val="22"/>
                <w:szCs w:val="22"/>
              </w:rPr>
              <w:t>0,68</w:t>
            </w:r>
          </w:p>
        </w:tc>
        <w:tc>
          <w:tcPr>
            <w:tcW w:w="2429" w:type="dxa"/>
          </w:tcPr>
          <w:p w14:paraId="33BC88B8" w14:textId="77777777" w:rsidR="00F223ED" w:rsidRPr="00D26BBC" w:rsidRDefault="00F223ED" w:rsidP="002C66FC">
            <w:pPr>
              <w:autoSpaceDE w:val="0"/>
              <w:autoSpaceDN w:val="0"/>
              <w:adjustRightInd w:val="0"/>
              <w:jc w:val="center"/>
              <w:rPr>
                <w:sz w:val="22"/>
                <w:szCs w:val="22"/>
              </w:rPr>
            </w:pPr>
            <w:r w:rsidRPr="00D26BBC">
              <w:rPr>
                <w:sz w:val="22"/>
                <w:szCs w:val="22"/>
              </w:rPr>
              <w:t>0,49-0,93</w:t>
            </w:r>
          </w:p>
        </w:tc>
      </w:tr>
      <w:tr w:rsidR="00F223ED" w:rsidRPr="00B02007" w14:paraId="45BC2061" w14:textId="77777777" w:rsidTr="002C66FC">
        <w:trPr>
          <w:trHeight w:val="758"/>
        </w:trPr>
        <w:tc>
          <w:tcPr>
            <w:tcW w:w="2428" w:type="dxa"/>
          </w:tcPr>
          <w:p w14:paraId="3C33DE73" w14:textId="77777777" w:rsidR="00F223ED" w:rsidRPr="00D26BBC" w:rsidRDefault="00F223ED" w:rsidP="002C66FC">
            <w:pPr>
              <w:autoSpaceDE w:val="0"/>
              <w:autoSpaceDN w:val="0"/>
              <w:adjustRightInd w:val="0"/>
              <w:rPr>
                <w:b/>
                <w:bCs/>
                <w:sz w:val="22"/>
                <w:szCs w:val="22"/>
              </w:rPr>
            </w:pPr>
            <w:r w:rsidRPr="00D26BBC">
              <w:rPr>
                <w:b/>
                <w:bCs/>
                <w:sz w:val="22"/>
                <w:szCs w:val="22"/>
              </w:rPr>
              <w:t>Starosna kategorija 1</w:t>
            </w:r>
          </w:p>
          <w:p w14:paraId="2CE9C330" w14:textId="77777777" w:rsidR="00F223ED" w:rsidRPr="00D26BBC" w:rsidRDefault="00F223ED" w:rsidP="002C66FC">
            <w:pPr>
              <w:autoSpaceDE w:val="0"/>
              <w:autoSpaceDN w:val="0"/>
              <w:adjustRightInd w:val="0"/>
              <w:rPr>
                <w:sz w:val="22"/>
                <w:szCs w:val="22"/>
              </w:rPr>
            </w:pPr>
            <w:r w:rsidRPr="00D26BBC">
              <w:rPr>
                <w:sz w:val="22"/>
                <w:szCs w:val="22"/>
              </w:rPr>
              <w:t>&lt;</w:t>
            </w:r>
            <w:r>
              <w:rPr>
                <w:sz w:val="22"/>
                <w:szCs w:val="22"/>
              </w:rPr>
              <w:t xml:space="preserve"> </w:t>
            </w:r>
            <w:r w:rsidRPr="00D26BBC">
              <w:rPr>
                <w:sz w:val="22"/>
                <w:szCs w:val="22"/>
              </w:rPr>
              <w:t>50 godina</w:t>
            </w:r>
          </w:p>
          <w:p w14:paraId="1EF1C103" w14:textId="77777777" w:rsidR="00F223ED" w:rsidRPr="00D26BBC" w:rsidRDefault="00F223ED" w:rsidP="002C66FC">
            <w:pPr>
              <w:autoSpaceDE w:val="0"/>
              <w:autoSpaceDN w:val="0"/>
              <w:adjustRightInd w:val="0"/>
              <w:rPr>
                <w:sz w:val="22"/>
                <w:szCs w:val="22"/>
              </w:rPr>
            </w:pPr>
            <w:r w:rsidRPr="00D26BBC">
              <w:rPr>
                <w:sz w:val="22"/>
                <w:szCs w:val="22"/>
              </w:rPr>
              <w:t>≥</w:t>
            </w:r>
            <w:r>
              <w:rPr>
                <w:sz w:val="22"/>
                <w:szCs w:val="22"/>
              </w:rPr>
              <w:t xml:space="preserve"> </w:t>
            </w:r>
            <w:r w:rsidRPr="00D26BBC">
              <w:rPr>
                <w:sz w:val="22"/>
                <w:szCs w:val="22"/>
              </w:rPr>
              <w:t>50 godina</w:t>
            </w:r>
          </w:p>
        </w:tc>
        <w:tc>
          <w:tcPr>
            <w:tcW w:w="2428" w:type="dxa"/>
          </w:tcPr>
          <w:p w14:paraId="3B8648E3" w14:textId="77777777" w:rsidR="00F223ED" w:rsidRPr="00D26BBC" w:rsidRDefault="00F223ED" w:rsidP="002C66FC">
            <w:pPr>
              <w:autoSpaceDE w:val="0"/>
              <w:autoSpaceDN w:val="0"/>
              <w:adjustRightInd w:val="0"/>
              <w:jc w:val="center"/>
              <w:rPr>
                <w:sz w:val="22"/>
                <w:szCs w:val="22"/>
              </w:rPr>
            </w:pPr>
          </w:p>
          <w:p w14:paraId="29A6FA2B" w14:textId="77777777" w:rsidR="00F223ED" w:rsidRPr="00D26BBC" w:rsidRDefault="00F223ED" w:rsidP="002C66FC">
            <w:pPr>
              <w:autoSpaceDE w:val="0"/>
              <w:autoSpaceDN w:val="0"/>
              <w:adjustRightInd w:val="0"/>
              <w:jc w:val="center"/>
              <w:rPr>
                <w:sz w:val="22"/>
                <w:szCs w:val="22"/>
              </w:rPr>
            </w:pPr>
            <w:r w:rsidRPr="00D26BBC">
              <w:rPr>
                <w:sz w:val="22"/>
                <w:szCs w:val="22"/>
              </w:rPr>
              <w:t>260</w:t>
            </w:r>
          </w:p>
          <w:p w14:paraId="05D804F6" w14:textId="77777777" w:rsidR="00F223ED" w:rsidRPr="00D26BBC" w:rsidRDefault="00F223ED" w:rsidP="002C66FC">
            <w:pPr>
              <w:autoSpaceDE w:val="0"/>
              <w:autoSpaceDN w:val="0"/>
              <w:adjustRightInd w:val="0"/>
              <w:jc w:val="center"/>
              <w:rPr>
                <w:sz w:val="22"/>
                <w:szCs w:val="22"/>
              </w:rPr>
            </w:pPr>
            <w:r w:rsidRPr="00D26BBC">
              <w:rPr>
                <w:sz w:val="22"/>
                <w:szCs w:val="22"/>
              </w:rPr>
              <w:t>279</w:t>
            </w:r>
          </w:p>
        </w:tc>
        <w:tc>
          <w:tcPr>
            <w:tcW w:w="2428" w:type="dxa"/>
          </w:tcPr>
          <w:p w14:paraId="4B4313D4" w14:textId="77777777" w:rsidR="00F223ED" w:rsidRPr="00D26BBC" w:rsidRDefault="00F223ED" w:rsidP="002C66FC">
            <w:pPr>
              <w:autoSpaceDE w:val="0"/>
              <w:autoSpaceDN w:val="0"/>
              <w:adjustRightInd w:val="0"/>
              <w:jc w:val="center"/>
              <w:rPr>
                <w:sz w:val="22"/>
                <w:szCs w:val="22"/>
              </w:rPr>
            </w:pPr>
          </w:p>
          <w:p w14:paraId="675C8A46" w14:textId="77777777" w:rsidR="00F223ED" w:rsidRPr="00D26BBC" w:rsidRDefault="00F223ED" w:rsidP="002C66FC">
            <w:pPr>
              <w:autoSpaceDE w:val="0"/>
              <w:autoSpaceDN w:val="0"/>
              <w:adjustRightInd w:val="0"/>
              <w:jc w:val="center"/>
              <w:rPr>
                <w:sz w:val="22"/>
                <w:szCs w:val="22"/>
              </w:rPr>
            </w:pPr>
            <w:r w:rsidRPr="00D26BBC">
              <w:rPr>
                <w:sz w:val="22"/>
                <w:szCs w:val="22"/>
              </w:rPr>
              <w:t>0,67</w:t>
            </w:r>
          </w:p>
          <w:p w14:paraId="64318C99" w14:textId="77777777" w:rsidR="00F223ED" w:rsidRPr="00D26BBC" w:rsidRDefault="00F223ED" w:rsidP="002C66FC">
            <w:pPr>
              <w:autoSpaceDE w:val="0"/>
              <w:autoSpaceDN w:val="0"/>
              <w:adjustRightInd w:val="0"/>
              <w:jc w:val="center"/>
              <w:rPr>
                <w:sz w:val="22"/>
                <w:szCs w:val="22"/>
              </w:rPr>
            </w:pPr>
            <w:r w:rsidRPr="00D26BBC">
              <w:rPr>
                <w:sz w:val="22"/>
                <w:szCs w:val="22"/>
              </w:rPr>
              <w:t>0,67</w:t>
            </w:r>
          </w:p>
        </w:tc>
        <w:tc>
          <w:tcPr>
            <w:tcW w:w="2429" w:type="dxa"/>
          </w:tcPr>
          <w:p w14:paraId="5BEBBC5F" w14:textId="77777777" w:rsidR="00F223ED" w:rsidRPr="00D26BBC" w:rsidRDefault="00F223ED" w:rsidP="002C66FC">
            <w:pPr>
              <w:autoSpaceDE w:val="0"/>
              <w:autoSpaceDN w:val="0"/>
              <w:adjustRightInd w:val="0"/>
              <w:jc w:val="center"/>
              <w:rPr>
                <w:sz w:val="22"/>
                <w:szCs w:val="22"/>
              </w:rPr>
            </w:pPr>
          </w:p>
          <w:p w14:paraId="7DA66CD6" w14:textId="77777777" w:rsidR="00F223ED" w:rsidRPr="00D26BBC" w:rsidRDefault="00F223ED" w:rsidP="002C66FC">
            <w:pPr>
              <w:autoSpaceDE w:val="0"/>
              <w:autoSpaceDN w:val="0"/>
              <w:adjustRightInd w:val="0"/>
              <w:jc w:val="center"/>
              <w:rPr>
                <w:sz w:val="22"/>
                <w:szCs w:val="22"/>
              </w:rPr>
            </w:pPr>
            <w:r w:rsidRPr="00D26BBC">
              <w:rPr>
                <w:sz w:val="22"/>
                <w:szCs w:val="22"/>
              </w:rPr>
              <w:t>0,43-1,05</w:t>
            </w:r>
          </w:p>
          <w:p w14:paraId="74AA5642" w14:textId="77777777" w:rsidR="00F223ED" w:rsidRPr="00D26BBC" w:rsidRDefault="00F223ED" w:rsidP="002C66FC">
            <w:pPr>
              <w:autoSpaceDE w:val="0"/>
              <w:autoSpaceDN w:val="0"/>
              <w:adjustRightInd w:val="0"/>
              <w:jc w:val="center"/>
              <w:rPr>
                <w:sz w:val="22"/>
                <w:szCs w:val="22"/>
              </w:rPr>
            </w:pPr>
            <w:r w:rsidRPr="00D26BBC">
              <w:rPr>
                <w:sz w:val="22"/>
                <w:szCs w:val="22"/>
              </w:rPr>
              <w:t>0,43-1,05</w:t>
            </w:r>
          </w:p>
        </w:tc>
      </w:tr>
      <w:tr w:rsidR="00F223ED" w:rsidRPr="00B02007" w14:paraId="6C2E9FF7" w14:textId="77777777" w:rsidTr="002C66FC">
        <w:trPr>
          <w:trHeight w:val="758"/>
        </w:trPr>
        <w:tc>
          <w:tcPr>
            <w:tcW w:w="2428" w:type="dxa"/>
          </w:tcPr>
          <w:p w14:paraId="5D33138F" w14:textId="77777777" w:rsidR="00F223ED" w:rsidRPr="00D26BBC" w:rsidRDefault="00F223ED" w:rsidP="002C66FC">
            <w:pPr>
              <w:autoSpaceDE w:val="0"/>
              <w:autoSpaceDN w:val="0"/>
              <w:adjustRightInd w:val="0"/>
              <w:rPr>
                <w:b/>
                <w:bCs/>
                <w:sz w:val="22"/>
                <w:szCs w:val="22"/>
              </w:rPr>
            </w:pPr>
            <w:r w:rsidRPr="00D26BBC">
              <w:rPr>
                <w:b/>
                <w:bCs/>
                <w:sz w:val="22"/>
                <w:szCs w:val="22"/>
              </w:rPr>
              <w:t>Starosna kategorija 2</w:t>
            </w:r>
          </w:p>
          <w:p w14:paraId="0B824B7D" w14:textId="77777777" w:rsidR="00F223ED" w:rsidRPr="00D26BBC" w:rsidRDefault="00F223ED" w:rsidP="002C66FC">
            <w:pPr>
              <w:autoSpaceDE w:val="0"/>
              <w:autoSpaceDN w:val="0"/>
              <w:adjustRightInd w:val="0"/>
              <w:rPr>
                <w:sz w:val="22"/>
                <w:szCs w:val="22"/>
              </w:rPr>
            </w:pPr>
            <w:r w:rsidRPr="00D26BBC">
              <w:rPr>
                <w:sz w:val="22"/>
                <w:szCs w:val="22"/>
              </w:rPr>
              <w:t>&lt;</w:t>
            </w:r>
            <w:r>
              <w:rPr>
                <w:sz w:val="22"/>
                <w:szCs w:val="22"/>
              </w:rPr>
              <w:t xml:space="preserve"> </w:t>
            </w:r>
            <w:r w:rsidRPr="00D26BBC">
              <w:rPr>
                <w:sz w:val="22"/>
                <w:szCs w:val="22"/>
              </w:rPr>
              <w:t>35 godina</w:t>
            </w:r>
          </w:p>
          <w:p w14:paraId="2096BB86" w14:textId="77777777" w:rsidR="00F223ED" w:rsidRPr="00D26BBC" w:rsidRDefault="00F223ED" w:rsidP="002C66FC">
            <w:pPr>
              <w:autoSpaceDE w:val="0"/>
              <w:autoSpaceDN w:val="0"/>
              <w:adjustRightInd w:val="0"/>
              <w:rPr>
                <w:sz w:val="22"/>
                <w:szCs w:val="22"/>
              </w:rPr>
            </w:pPr>
            <w:r w:rsidRPr="00D26BBC">
              <w:rPr>
                <w:sz w:val="22"/>
                <w:szCs w:val="22"/>
              </w:rPr>
              <w:t>≥</w:t>
            </w:r>
            <w:r>
              <w:rPr>
                <w:sz w:val="22"/>
                <w:szCs w:val="22"/>
              </w:rPr>
              <w:t xml:space="preserve"> </w:t>
            </w:r>
            <w:r w:rsidRPr="00D26BBC">
              <w:rPr>
                <w:sz w:val="22"/>
                <w:szCs w:val="22"/>
              </w:rPr>
              <w:t>35 godina</w:t>
            </w:r>
          </w:p>
        </w:tc>
        <w:tc>
          <w:tcPr>
            <w:tcW w:w="2428" w:type="dxa"/>
          </w:tcPr>
          <w:p w14:paraId="51A4D799" w14:textId="77777777" w:rsidR="00F223ED" w:rsidRPr="00D26BBC" w:rsidRDefault="00F223ED" w:rsidP="002C66FC">
            <w:pPr>
              <w:autoSpaceDE w:val="0"/>
              <w:autoSpaceDN w:val="0"/>
              <w:adjustRightInd w:val="0"/>
              <w:jc w:val="center"/>
              <w:rPr>
                <w:sz w:val="22"/>
                <w:szCs w:val="22"/>
              </w:rPr>
            </w:pPr>
          </w:p>
          <w:p w14:paraId="3BEFF335" w14:textId="77777777" w:rsidR="00F223ED" w:rsidRPr="00D26BBC" w:rsidRDefault="00F223ED" w:rsidP="002C66FC">
            <w:pPr>
              <w:autoSpaceDE w:val="0"/>
              <w:autoSpaceDN w:val="0"/>
              <w:adjustRightInd w:val="0"/>
              <w:jc w:val="center"/>
              <w:rPr>
                <w:sz w:val="22"/>
                <w:szCs w:val="22"/>
              </w:rPr>
            </w:pPr>
            <w:r w:rsidRPr="00D26BBC">
              <w:rPr>
                <w:sz w:val="22"/>
                <w:szCs w:val="22"/>
              </w:rPr>
              <w:t>42</w:t>
            </w:r>
          </w:p>
          <w:p w14:paraId="7F51FDEF" w14:textId="77777777" w:rsidR="00F223ED" w:rsidRPr="00D26BBC" w:rsidRDefault="00F223ED" w:rsidP="002C66FC">
            <w:pPr>
              <w:autoSpaceDE w:val="0"/>
              <w:autoSpaceDN w:val="0"/>
              <w:adjustRightInd w:val="0"/>
              <w:jc w:val="center"/>
              <w:rPr>
                <w:sz w:val="22"/>
                <w:szCs w:val="22"/>
              </w:rPr>
            </w:pPr>
            <w:r w:rsidRPr="00D26BBC">
              <w:rPr>
                <w:sz w:val="22"/>
                <w:szCs w:val="22"/>
              </w:rPr>
              <w:t>497</w:t>
            </w:r>
          </w:p>
        </w:tc>
        <w:tc>
          <w:tcPr>
            <w:tcW w:w="2428" w:type="dxa"/>
          </w:tcPr>
          <w:p w14:paraId="0787B72F" w14:textId="77777777" w:rsidR="00F223ED" w:rsidRPr="00D26BBC" w:rsidRDefault="00F223ED" w:rsidP="002C66FC">
            <w:pPr>
              <w:autoSpaceDE w:val="0"/>
              <w:autoSpaceDN w:val="0"/>
              <w:adjustRightInd w:val="0"/>
              <w:jc w:val="center"/>
              <w:rPr>
                <w:sz w:val="22"/>
                <w:szCs w:val="22"/>
              </w:rPr>
            </w:pPr>
          </w:p>
          <w:p w14:paraId="7C8B3533" w14:textId="77777777" w:rsidR="00F223ED" w:rsidRPr="00D26BBC" w:rsidRDefault="00F223ED" w:rsidP="002C66FC">
            <w:pPr>
              <w:autoSpaceDE w:val="0"/>
              <w:autoSpaceDN w:val="0"/>
              <w:adjustRightInd w:val="0"/>
              <w:jc w:val="center"/>
              <w:rPr>
                <w:sz w:val="22"/>
                <w:szCs w:val="22"/>
              </w:rPr>
            </w:pPr>
            <w:r w:rsidRPr="00D26BBC">
              <w:rPr>
                <w:sz w:val="22"/>
                <w:szCs w:val="22"/>
              </w:rPr>
              <w:t>0,31</w:t>
            </w:r>
          </w:p>
          <w:p w14:paraId="0384EF66" w14:textId="77777777" w:rsidR="00F223ED" w:rsidRPr="00D26BBC" w:rsidRDefault="00F223ED" w:rsidP="002C66FC">
            <w:pPr>
              <w:autoSpaceDE w:val="0"/>
              <w:autoSpaceDN w:val="0"/>
              <w:adjustRightInd w:val="0"/>
              <w:jc w:val="center"/>
              <w:rPr>
                <w:sz w:val="22"/>
                <w:szCs w:val="22"/>
              </w:rPr>
            </w:pPr>
            <w:r w:rsidRPr="00D26BBC">
              <w:rPr>
                <w:sz w:val="22"/>
                <w:szCs w:val="22"/>
              </w:rPr>
              <w:t>0,73</w:t>
            </w:r>
          </w:p>
        </w:tc>
        <w:tc>
          <w:tcPr>
            <w:tcW w:w="2429" w:type="dxa"/>
          </w:tcPr>
          <w:p w14:paraId="1DE0D7ED" w14:textId="77777777" w:rsidR="00F223ED" w:rsidRPr="00D26BBC" w:rsidRDefault="00F223ED" w:rsidP="002C66FC">
            <w:pPr>
              <w:autoSpaceDE w:val="0"/>
              <w:autoSpaceDN w:val="0"/>
              <w:adjustRightInd w:val="0"/>
              <w:jc w:val="center"/>
              <w:rPr>
                <w:sz w:val="22"/>
                <w:szCs w:val="22"/>
              </w:rPr>
            </w:pPr>
          </w:p>
          <w:p w14:paraId="55C85798" w14:textId="77777777" w:rsidR="00F223ED" w:rsidRPr="00D26BBC" w:rsidRDefault="00F223ED" w:rsidP="002C66FC">
            <w:pPr>
              <w:autoSpaceDE w:val="0"/>
              <w:autoSpaceDN w:val="0"/>
              <w:adjustRightInd w:val="0"/>
              <w:jc w:val="center"/>
              <w:rPr>
                <w:sz w:val="22"/>
                <w:szCs w:val="22"/>
              </w:rPr>
            </w:pPr>
            <w:r w:rsidRPr="00D26BBC">
              <w:rPr>
                <w:sz w:val="22"/>
                <w:szCs w:val="22"/>
              </w:rPr>
              <w:t>0,11-0,89</w:t>
            </w:r>
          </w:p>
          <w:p w14:paraId="01D53A6A" w14:textId="77777777" w:rsidR="00F223ED" w:rsidRPr="00D26BBC" w:rsidRDefault="00F223ED" w:rsidP="002C66FC">
            <w:pPr>
              <w:autoSpaceDE w:val="0"/>
              <w:autoSpaceDN w:val="0"/>
              <w:adjustRightInd w:val="0"/>
              <w:jc w:val="center"/>
              <w:rPr>
                <w:sz w:val="22"/>
                <w:szCs w:val="22"/>
              </w:rPr>
            </w:pPr>
            <w:r w:rsidRPr="00D26BBC">
              <w:rPr>
                <w:sz w:val="22"/>
                <w:szCs w:val="22"/>
              </w:rPr>
              <w:t>0,52-1,01</w:t>
            </w:r>
          </w:p>
        </w:tc>
      </w:tr>
      <w:tr w:rsidR="00F223ED" w:rsidRPr="00B02007" w14:paraId="0781651D" w14:textId="77777777" w:rsidTr="002C66FC">
        <w:trPr>
          <w:trHeight w:val="1000"/>
        </w:trPr>
        <w:tc>
          <w:tcPr>
            <w:tcW w:w="2428" w:type="dxa"/>
          </w:tcPr>
          <w:p w14:paraId="53BBAE0F" w14:textId="77777777" w:rsidR="00F223ED" w:rsidRPr="00D26BBC" w:rsidRDefault="00F223ED" w:rsidP="002C66FC">
            <w:pPr>
              <w:autoSpaceDE w:val="0"/>
              <w:autoSpaceDN w:val="0"/>
              <w:adjustRightInd w:val="0"/>
              <w:rPr>
                <w:b/>
                <w:bCs/>
                <w:sz w:val="22"/>
                <w:szCs w:val="22"/>
              </w:rPr>
            </w:pPr>
            <w:r w:rsidRPr="00D26BBC">
              <w:rPr>
                <w:b/>
                <w:bCs/>
                <w:sz w:val="22"/>
                <w:szCs w:val="22"/>
              </w:rPr>
              <w:t>Status hormonskog receptora</w:t>
            </w:r>
          </w:p>
          <w:p w14:paraId="6211526F" w14:textId="77777777" w:rsidR="00F223ED" w:rsidRPr="00D26BBC" w:rsidRDefault="00F223ED" w:rsidP="002C66FC">
            <w:pPr>
              <w:autoSpaceDE w:val="0"/>
              <w:autoSpaceDN w:val="0"/>
              <w:adjustRightInd w:val="0"/>
              <w:rPr>
                <w:sz w:val="22"/>
                <w:szCs w:val="22"/>
              </w:rPr>
            </w:pPr>
            <w:r w:rsidRPr="00D26BBC">
              <w:rPr>
                <w:sz w:val="22"/>
                <w:szCs w:val="22"/>
              </w:rPr>
              <w:t>Negativan</w:t>
            </w:r>
          </w:p>
          <w:p w14:paraId="4D94561F" w14:textId="77777777" w:rsidR="00F223ED" w:rsidRPr="00D26BBC" w:rsidRDefault="00F223ED" w:rsidP="002C66FC">
            <w:pPr>
              <w:autoSpaceDE w:val="0"/>
              <w:autoSpaceDN w:val="0"/>
              <w:adjustRightInd w:val="0"/>
              <w:rPr>
                <w:sz w:val="22"/>
                <w:szCs w:val="22"/>
              </w:rPr>
            </w:pPr>
            <w:r w:rsidRPr="00D26BBC">
              <w:rPr>
                <w:sz w:val="22"/>
                <w:szCs w:val="22"/>
              </w:rPr>
              <w:t>Pozitivan</w:t>
            </w:r>
          </w:p>
        </w:tc>
        <w:tc>
          <w:tcPr>
            <w:tcW w:w="2428" w:type="dxa"/>
          </w:tcPr>
          <w:p w14:paraId="4EB8CF62" w14:textId="77777777" w:rsidR="00F223ED" w:rsidRPr="00D26BBC" w:rsidRDefault="00F223ED" w:rsidP="002C66FC">
            <w:pPr>
              <w:autoSpaceDE w:val="0"/>
              <w:autoSpaceDN w:val="0"/>
              <w:adjustRightInd w:val="0"/>
              <w:jc w:val="center"/>
              <w:rPr>
                <w:sz w:val="22"/>
                <w:szCs w:val="22"/>
              </w:rPr>
            </w:pPr>
          </w:p>
          <w:p w14:paraId="22F8C090" w14:textId="77777777" w:rsidR="00F223ED" w:rsidRPr="00D26BBC" w:rsidRDefault="00F223ED" w:rsidP="002C66FC">
            <w:pPr>
              <w:autoSpaceDE w:val="0"/>
              <w:autoSpaceDN w:val="0"/>
              <w:adjustRightInd w:val="0"/>
              <w:jc w:val="center"/>
              <w:rPr>
                <w:sz w:val="22"/>
                <w:szCs w:val="22"/>
              </w:rPr>
            </w:pPr>
          </w:p>
          <w:p w14:paraId="3C00259C" w14:textId="77777777" w:rsidR="00F223ED" w:rsidRPr="00D26BBC" w:rsidRDefault="00F223ED" w:rsidP="002C66FC">
            <w:pPr>
              <w:autoSpaceDE w:val="0"/>
              <w:autoSpaceDN w:val="0"/>
              <w:adjustRightInd w:val="0"/>
              <w:jc w:val="center"/>
              <w:rPr>
                <w:sz w:val="22"/>
                <w:szCs w:val="22"/>
              </w:rPr>
            </w:pPr>
            <w:r w:rsidRPr="00D26BBC">
              <w:rPr>
                <w:sz w:val="22"/>
                <w:szCs w:val="22"/>
              </w:rPr>
              <w:t>195</w:t>
            </w:r>
          </w:p>
          <w:p w14:paraId="6CAFAE95" w14:textId="77777777" w:rsidR="00F223ED" w:rsidRPr="00D26BBC" w:rsidRDefault="00F223ED" w:rsidP="002C66FC">
            <w:pPr>
              <w:autoSpaceDE w:val="0"/>
              <w:autoSpaceDN w:val="0"/>
              <w:adjustRightInd w:val="0"/>
              <w:jc w:val="center"/>
              <w:rPr>
                <w:sz w:val="22"/>
                <w:szCs w:val="22"/>
              </w:rPr>
            </w:pPr>
            <w:r w:rsidRPr="00D26BBC">
              <w:rPr>
                <w:sz w:val="22"/>
                <w:szCs w:val="22"/>
              </w:rPr>
              <w:t>344</w:t>
            </w:r>
          </w:p>
        </w:tc>
        <w:tc>
          <w:tcPr>
            <w:tcW w:w="2428" w:type="dxa"/>
          </w:tcPr>
          <w:p w14:paraId="2AC96CF6" w14:textId="77777777" w:rsidR="00F223ED" w:rsidRPr="00D26BBC" w:rsidRDefault="00F223ED" w:rsidP="002C66FC">
            <w:pPr>
              <w:autoSpaceDE w:val="0"/>
              <w:autoSpaceDN w:val="0"/>
              <w:adjustRightInd w:val="0"/>
              <w:jc w:val="center"/>
              <w:rPr>
                <w:sz w:val="22"/>
                <w:szCs w:val="22"/>
              </w:rPr>
            </w:pPr>
          </w:p>
          <w:p w14:paraId="0C65E353" w14:textId="77777777" w:rsidR="00F223ED" w:rsidRPr="00D26BBC" w:rsidRDefault="00F223ED" w:rsidP="002C66FC">
            <w:pPr>
              <w:autoSpaceDE w:val="0"/>
              <w:autoSpaceDN w:val="0"/>
              <w:adjustRightInd w:val="0"/>
              <w:jc w:val="center"/>
              <w:rPr>
                <w:sz w:val="22"/>
                <w:szCs w:val="22"/>
              </w:rPr>
            </w:pPr>
          </w:p>
          <w:p w14:paraId="3BCEA558" w14:textId="77777777" w:rsidR="00F223ED" w:rsidRPr="00D26BBC" w:rsidRDefault="00F223ED" w:rsidP="002C66FC">
            <w:pPr>
              <w:autoSpaceDE w:val="0"/>
              <w:autoSpaceDN w:val="0"/>
              <w:adjustRightInd w:val="0"/>
              <w:jc w:val="center"/>
              <w:rPr>
                <w:sz w:val="22"/>
                <w:szCs w:val="22"/>
              </w:rPr>
            </w:pPr>
            <w:r w:rsidRPr="00D26BBC">
              <w:rPr>
                <w:sz w:val="22"/>
                <w:szCs w:val="22"/>
              </w:rPr>
              <w:t>0,7</w:t>
            </w:r>
          </w:p>
          <w:p w14:paraId="01A9F1AC" w14:textId="77777777" w:rsidR="00F223ED" w:rsidRPr="00D26BBC" w:rsidRDefault="00F223ED" w:rsidP="002C66FC">
            <w:pPr>
              <w:autoSpaceDE w:val="0"/>
              <w:autoSpaceDN w:val="0"/>
              <w:adjustRightInd w:val="0"/>
              <w:jc w:val="center"/>
              <w:rPr>
                <w:sz w:val="22"/>
                <w:szCs w:val="22"/>
              </w:rPr>
            </w:pPr>
            <w:r w:rsidRPr="00D26BBC">
              <w:rPr>
                <w:sz w:val="22"/>
                <w:szCs w:val="22"/>
              </w:rPr>
              <w:t>0,62</w:t>
            </w:r>
          </w:p>
        </w:tc>
        <w:tc>
          <w:tcPr>
            <w:tcW w:w="2429" w:type="dxa"/>
          </w:tcPr>
          <w:p w14:paraId="6FA8F8A5" w14:textId="77777777" w:rsidR="00F223ED" w:rsidRPr="00D26BBC" w:rsidRDefault="00F223ED" w:rsidP="002C66FC">
            <w:pPr>
              <w:autoSpaceDE w:val="0"/>
              <w:autoSpaceDN w:val="0"/>
              <w:adjustRightInd w:val="0"/>
              <w:jc w:val="center"/>
              <w:rPr>
                <w:sz w:val="22"/>
                <w:szCs w:val="22"/>
              </w:rPr>
            </w:pPr>
          </w:p>
          <w:p w14:paraId="4057D5BE" w14:textId="77777777" w:rsidR="00F223ED" w:rsidRPr="00D26BBC" w:rsidRDefault="00F223ED" w:rsidP="002C66FC">
            <w:pPr>
              <w:autoSpaceDE w:val="0"/>
              <w:autoSpaceDN w:val="0"/>
              <w:adjustRightInd w:val="0"/>
              <w:jc w:val="center"/>
              <w:rPr>
                <w:sz w:val="22"/>
                <w:szCs w:val="22"/>
              </w:rPr>
            </w:pPr>
          </w:p>
          <w:p w14:paraId="04AFAC86" w14:textId="77777777" w:rsidR="00F223ED" w:rsidRPr="00D26BBC" w:rsidRDefault="00F223ED" w:rsidP="002C66FC">
            <w:pPr>
              <w:autoSpaceDE w:val="0"/>
              <w:autoSpaceDN w:val="0"/>
              <w:adjustRightInd w:val="0"/>
              <w:jc w:val="center"/>
              <w:rPr>
                <w:sz w:val="22"/>
                <w:szCs w:val="22"/>
              </w:rPr>
            </w:pPr>
            <w:r w:rsidRPr="00D26BBC">
              <w:rPr>
                <w:sz w:val="22"/>
                <w:szCs w:val="22"/>
              </w:rPr>
              <w:t>0,45-1,1</w:t>
            </w:r>
          </w:p>
          <w:p w14:paraId="627A43A1" w14:textId="77777777" w:rsidR="00F223ED" w:rsidRPr="00D26BBC" w:rsidRDefault="00F223ED" w:rsidP="002C66FC">
            <w:pPr>
              <w:autoSpaceDE w:val="0"/>
              <w:autoSpaceDN w:val="0"/>
              <w:adjustRightInd w:val="0"/>
              <w:jc w:val="center"/>
              <w:rPr>
                <w:sz w:val="22"/>
                <w:szCs w:val="22"/>
              </w:rPr>
            </w:pPr>
            <w:r w:rsidRPr="00D26BBC">
              <w:rPr>
                <w:sz w:val="22"/>
                <w:szCs w:val="22"/>
              </w:rPr>
              <w:t>0,4-0,97</w:t>
            </w:r>
          </w:p>
        </w:tc>
      </w:tr>
      <w:tr w:rsidR="00F223ED" w:rsidRPr="00B02007" w14:paraId="52349A71" w14:textId="77777777" w:rsidTr="002C66FC">
        <w:trPr>
          <w:trHeight w:val="758"/>
        </w:trPr>
        <w:tc>
          <w:tcPr>
            <w:tcW w:w="2428" w:type="dxa"/>
          </w:tcPr>
          <w:p w14:paraId="0A10B30D" w14:textId="77777777" w:rsidR="00F223ED" w:rsidRPr="00D26BBC" w:rsidRDefault="00F223ED" w:rsidP="002C66FC">
            <w:pPr>
              <w:autoSpaceDE w:val="0"/>
              <w:autoSpaceDN w:val="0"/>
              <w:adjustRightInd w:val="0"/>
              <w:rPr>
                <w:b/>
                <w:bCs/>
                <w:sz w:val="22"/>
                <w:szCs w:val="22"/>
              </w:rPr>
            </w:pPr>
            <w:r w:rsidRPr="00D26BBC">
              <w:rPr>
                <w:b/>
                <w:bCs/>
                <w:sz w:val="22"/>
                <w:szCs w:val="22"/>
              </w:rPr>
              <w:t>Veličina tumora</w:t>
            </w:r>
          </w:p>
          <w:p w14:paraId="3DB19EF6" w14:textId="77777777" w:rsidR="00F223ED" w:rsidRPr="00D26BBC" w:rsidRDefault="00F223ED" w:rsidP="002C66FC">
            <w:pPr>
              <w:autoSpaceDE w:val="0"/>
              <w:autoSpaceDN w:val="0"/>
              <w:adjustRightInd w:val="0"/>
              <w:rPr>
                <w:sz w:val="22"/>
                <w:szCs w:val="22"/>
              </w:rPr>
            </w:pPr>
            <w:r w:rsidRPr="00D26BBC">
              <w:rPr>
                <w:sz w:val="22"/>
                <w:szCs w:val="22"/>
              </w:rPr>
              <w:t>≤</w:t>
            </w:r>
            <w:r>
              <w:rPr>
                <w:sz w:val="22"/>
                <w:szCs w:val="22"/>
              </w:rPr>
              <w:t xml:space="preserve"> </w:t>
            </w:r>
            <w:r w:rsidRPr="00D26BBC">
              <w:rPr>
                <w:sz w:val="22"/>
                <w:szCs w:val="22"/>
              </w:rPr>
              <w:t>2cm</w:t>
            </w:r>
          </w:p>
          <w:p w14:paraId="622C27C5" w14:textId="77777777" w:rsidR="00F223ED" w:rsidRPr="00D26BBC" w:rsidRDefault="00F223ED" w:rsidP="002C66FC">
            <w:pPr>
              <w:autoSpaceDE w:val="0"/>
              <w:autoSpaceDN w:val="0"/>
              <w:adjustRightInd w:val="0"/>
              <w:rPr>
                <w:sz w:val="22"/>
                <w:szCs w:val="22"/>
              </w:rPr>
            </w:pPr>
            <w:r w:rsidRPr="00D26BBC">
              <w:rPr>
                <w:sz w:val="22"/>
                <w:szCs w:val="22"/>
              </w:rPr>
              <w:t>&gt;</w:t>
            </w:r>
            <w:r>
              <w:rPr>
                <w:sz w:val="22"/>
                <w:szCs w:val="22"/>
              </w:rPr>
              <w:t xml:space="preserve"> </w:t>
            </w:r>
            <w:r w:rsidRPr="00D26BBC">
              <w:rPr>
                <w:sz w:val="22"/>
                <w:szCs w:val="22"/>
              </w:rPr>
              <w:t>2cm</w:t>
            </w:r>
          </w:p>
        </w:tc>
        <w:tc>
          <w:tcPr>
            <w:tcW w:w="2428" w:type="dxa"/>
          </w:tcPr>
          <w:p w14:paraId="52FE99B1" w14:textId="77777777" w:rsidR="00F223ED" w:rsidRPr="00D26BBC" w:rsidRDefault="00F223ED" w:rsidP="002C66FC">
            <w:pPr>
              <w:autoSpaceDE w:val="0"/>
              <w:autoSpaceDN w:val="0"/>
              <w:adjustRightInd w:val="0"/>
              <w:jc w:val="center"/>
              <w:rPr>
                <w:sz w:val="22"/>
                <w:szCs w:val="22"/>
              </w:rPr>
            </w:pPr>
          </w:p>
          <w:p w14:paraId="0C5AEF13" w14:textId="77777777" w:rsidR="00F223ED" w:rsidRPr="00D26BBC" w:rsidRDefault="00F223ED" w:rsidP="002C66FC">
            <w:pPr>
              <w:autoSpaceDE w:val="0"/>
              <w:autoSpaceDN w:val="0"/>
              <w:adjustRightInd w:val="0"/>
              <w:jc w:val="center"/>
              <w:rPr>
                <w:sz w:val="22"/>
                <w:szCs w:val="22"/>
              </w:rPr>
            </w:pPr>
            <w:r w:rsidRPr="00D26BBC">
              <w:rPr>
                <w:sz w:val="22"/>
                <w:szCs w:val="22"/>
              </w:rPr>
              <w:t>285</w:t>
            </w:r>
          </w:p>
          <w:p w14:paraId="1792623A" w14:textId="77777777" w:rsidR="00F223ED" w:rsidRPr="00D26BBC" w:rsidRDefault="00F223ED" w:rsidP="002C66FC">
            <w:pPr>
              <w:autoSpaceDE w:val="0"/>
              <w:autoSpaceDN w:val="0"/>
              <w:adjustRightInd w:val="0"/>
              <w:jc w:val="center"/>
              <w:rPr>
                <w:sz w:val="22"/>
                <w:szCs w:val="22"/>
              </w:rPr>
            </w:pPr>
            <w:r w:rsidRPr="00D26BBC">
              <w:rPr>
                <w:sz w:val="22"/>
                <w:szCs w:val="22"/>
              </w:rPr>
              <w:t>254</w:t>
            </w:r>
          </w:p>
        </w:tc>
        <w:tc>
          <w:tcPr>
            <w:tcW w:w="2428" w:type="dxa"/>
          </w:tcPr>
          <w:p w14:paraId="65CF18FE" w14:textId="77777777" w:rsidR="00F223ED" w:rsidRPr="00D26BBC" w:rsidRDefault="00F223ED" w:rsidP="002C66FC">
            <w:pPr>
              <w:autoSpaceDE w:val="0"/>
              <w:autoSpaceDN w:val="0"/>
              <w:adjustRightInd w:val="0"/>
              <w:jc w:val="center"/>
              <w:rPr>
                <w:sz w:val="22"/>
                <w:szCs w:val="22"/>
              </w:rPr>
            </w:pPr>
          </w:p>
          <w:p w14:paraId="54FEC4E1" w14:textId="77777777" w:rsidR="00F223ED" w:rsidRPr="00D26BBC" w:rsidRDefault="00F223ED" w:rsidP="002C66FC">
            <w:pPr>
              <w:autoSpaceDE w:val="0"/>
              <w:autoSpaceDN w:val="0"/>
              <w:adjustRightInd w:val="0"/>
              <w:jc w:val="center"/>
              <w:rPr>
                <w:sz w:val="22"/>
                <w:szCs w:val="22"/>
              </w:rPr>
            </w:pPr>
            <w:r w:rsidRPr="00D26BBC">
              <w:rPr>
                <w:sz w:val="22"/>
                <w:szCs w:val="22"/>
              </w:rPr>
              <w:t>0,69</w:t>
            </w:r>
          </w:p>
          <w:p w14:paraId="4CD3C833" w14:textId="77777777" w:rsidR="00F223ED" w:rsidRPr="00D26BBC" w:rsidRDefault="00F223ED" w:rsidP="002C66FC">
            <w:pPr>
              <w:autoSpaceDE w:val="0"/>
              <w:autoSpaceDN w:val="0"/>
              <w:adjustRightInd w:val="0"/>
              <w:jc w:val="center"/>
              <w:rPr>
                <w:sz w:val="22"/>
                <w:szCs w:val="22"/>
              </w:rPr>
            </w:pPr>
            <w:r w:rsidRPr="00D26BBC">
              <w:rPr>
                <w:sz w:val="22"/>
                <w:szCs w:val="22"/>
              </w:rPr>
              <w:t>0,68</w:t>
            </w:r>
          </w:p>
        </w:tc>
        <w:tc>
          <w:tcPr>
            <w:tcW w:w="2429" w:type="dxa"/>
          </w:tcPr>
          <w:p w14:paraId="73B42BE9" w14:textId="77777777" w:rsidR="00F223ED" w:rsidRPr="00D26BBC" w:rsidRDefault="00F223ED" w:rsidP="002C66FC">
            <w:pPr>
              <w:autoSpaceDE w:val="0"/>
              <w:autoSpaceDN w:val="0"/>
              <w:adjustRightInd w:val="0"/>
              <w:jc w:val="center"/>
              <w:rPr>
                <w:sz w:val="22"/>
                <w:szCs w:val="22"/>
              </w:rPr>
            </w:pPr>
          </w:p>
          <w:p w14:paraId="62056C40" w14:textId="77777777" w:rsidR="00F223ED" w:rsidRPr="00D26BBC" w:rsidRDefault="00F223ED" w:rsidP="002C66FC">
            <w:pPr>
              <w:autoSpaceDE w:val="0"/>
              <w:autoSpaceDN w:val="0"/>
              <w:adjustRightInd w:val="0"/>
              <w:jc w:val="center"/>
              <w:rPr>
                <w:sz w:val="22"/>
                <w:szCs w:val="22"/>
              </w:rPr>
            </w:pPr>
            <w:r w:rsidRPr="00D26BBC">
              <w:rPr>
                <w:sz w:val="22"/>
                <w:szCs w:val="22"/>
              </w:rPr>
              <w:t>0,43-1,1</w:t>
            </w:r>
          </w:p>
          <w:p w14:paraId="0516AE97" w14:textId="77777777" w:rsidR="00F223ED" w:rsidRPr="00D26BBC" w:rsidRDefault="00F223ED" w:rsidP="002C66FC">
            <w:pPr>
              <w:autoSpaceDE w:val="0"/>
              <w:autoSpaceDN w:val="0"/>
              <w:adjustRightInd w:val="0"/>
              <w:jc w:val="center"/>
              <w:rPr>
                <w:sz w:val="22"/>
                <w:szCs w:val="22"/>
              </w:rPr>
            </w:pPr>
            <w:r w:rsidRPr="00D26BBC">
              <w:rPr>
                <w:sz w:val="22"/>
                <w:szCs w:val="22"/>
              </w:rPr>
              <w:t>0,45-1,04</w:t>
            </w:r>
          </w:p>
        </w:tc>
      </w:tr>
      <w:tr w:rsidR="00F223ED" w:rsidRPr="00B02007" w14:paraId="6915023C" w14:textId="77777777" w:rsidTr="002C66FC">
        <w:trPr>
          <w:trHeight w:val="1264"/>
        </w:trPr>
        <w:tc>
          <w:tcPr>
            <w:tcW w:w="2428" w:type="dxa"/>
          </w:tcPr>
          <w:p w14:paraId="4715B4BF" w14:textId="77777777" w:rsidR="00F223ED" w:rsidRPr="00D26BBC" w:rsidRDefault="00F223ED" w:rsidP="002C66FC">
            <w:pPr>
              <w:autoSpaceDE w:val="0"/>
              <w:autoSpaceDN w:val="0"/>
              <w:adjustRightInd w:val="0"/>
              <w:rPr>
                <w:b/>
                <w:bCs/>
                <w:sz w:val="22"/>
                <w:szCs w:val="22"/>
              </w:rPr>
            </w:pPr>
            <w:r w:rsidRPr="00D26BBC">
              <w:rPr>
                <w:b/>
                <w:bCs/>
                <w:sz w:val="22"/>
                <w:szCs w:val="22"/>
              </w:rPr>
              <w:t>Histološki stepen</w:t>
            </w:r>
          </w:p>
          <w:p w14:paraId="26C3D91B" w14:textId="77777777" w:rsidR="00F223ED" w:rsidRPr="00D26BBC" w:rsidRDefault="00F223ED" w:rsidP="002C66FC">
            <w:pPr>
              <w:autoSpaceDE w:val="0"/>
              <w:autoSpaceDN w:val="0"/>
              <w:adjustRightInd w:val="0"/>
              <w:rPr>
                <w:sz w:val="22"/>
                <w:szCs w:val="22"/>
              </w:rPr>
            </w:pPr>
            <w:r w:rsidRPr="00D26BBC">
              <w:rPr>
                <w:sz w:val="22"/>
                <w:szCs w:val="22"/>
              </w:rPr>
              <w:t>Stepen 1 (uključeni i neprocijenjeni stepen)</w:t>
            </w:r>
          </w:p>
          <w:p w14:paraId="426CB2DB" w14:textId="77777777" w:rsidR="00F223ED" w:rsidRPr="00D26BBC" w:rsidRDefault="00F223ED" w:rsidP="002C66FC">
            <w:pPr>
              <w:autoSpaceDE w:val="0"/>
              <w:autoSpaceDN w:val="0"/>
              <w:adjustRightInd w:val="0"/>
              <w:rPr>
                <w:sz w:val="22"/>
                <w:szCs w:val="22"/>
              </w:rPr>
            </w:pPr>
            <w:r w:rsidRPr="00D26BBC">
              <w:rPr>
                <w:sz w:val="22"/>
                <w:szCs w:val="22"/>
              </w:rPr>
              <w:t>Stepen 2</w:t>
            </w:r>
          </w:p>
          <w:p w14:paraId="5F16516D" w14:textId="77777777" w:rsidR="00F223ED" w:rsidRPr="00D26BBC" w:rsidRDefault="00F223ED" w:rsidP="002C66FC">
            <w:pPr>
              <w:autoSpaceDE w:val="0"/>
              <w:autoSpaceDN w:val="0"/>
              <w:adjustRightInd w:val="0"/>
              <w:rPr>
                <w:sz w:val="22"/>
                <w:szCs w:val="22"/>
              </w:rPr>
            </w:pPr>
            <w:r w:rsidRPr="00D26BBC">
              <w:rPr>
                <w:sz w:val="22"/>
                <w:szCs w:val="22"/>
              </w:rPr>
              <w:t>Stepen 3</w:t>
            </w:r>
          </w:p>
        </w:tc>
        <w:tc>
          <w:tcPr>
            <w:tcW w:w="2428" w:type="dxa"/>
          </w:tcPr>
          <w:p w14:paraId="763EA294" w14:textId="77777777" w:rsidR="00F223ED" w:rsidRPr="00D26BBC" w:rsidRDefault="00F223ED" w:rsidP="002C66FC">
            <w:pPr>
              <w:autoSpaceDE w:val="0"/>
              <w:autoSpaceDN w:val="0"/>
              <w:adjustRightInd w:val="0"/>
              <w:jc w:val="center"/>
              <w:rPr>
                <w:sz w:val="22"/>
                <w:szCs w:val="22"/>
              </w:rPr>
            </w:pPr>
          </w:p>
          <w:p w14:paraId="5BEFFBC1" w14:textId="77777777" w:rsidR="00F223ED" w:rsidRPr="00D26BBC" w:rsidRDefault="00F223ED" w:rsidP="002C66FC">
            <w:pPr>
              <w:autoSpaceDE w:val="0"/>
              <w:autoSpaceDN w:val="0"/>
              <w:adjustRightInd w:val="0"/>
              <w:jc w:val="center"/>
              <w:rPr>
                <w:sz w:val="22"/>
                <w:szCs w:val="22"/>
              </w:rPr>
            </w:pPr>
            <w:r w:rsidRPr="00D26BBC">
              <w:rPr>
                <w:sz w:val="22"/>
                <w:szCs w:val="22"/>
              </w:rPr>
              <w:t>64</w:t>
            </w:r>
          </w:p>
          <w:p w14:paraId="2099FBD9" w14:textId="77777777" w:rsidR="00F223ED" w:rsidRPr="00D26BBC" w:rsidRDefault="00F223ED" w:rsidP="002C66FC">
            <w:pPr>
              <w:autoSpaceDE w:val="0"/>
              <w:autoSpaceDN w:val="0"/>
              <w:adjustRightInd w:val="0"/>
              <w:jc w:val="center"/>
              <w:rPr>
                <w:sz w:val="22"/>
                <w:szCs w:val="22"/>
              </w:rPr>
            </w:pPr>
          </w:p>
          <w:p w14:paraId="4E5F7A6A" w14:textId="77777777" w:rsidR="00F223ED" w:rsidRPr="00D26BBC" w:rsidRDefault="00F223ED" w:rsidP="002C66FC">
            <w:pPr>
              <w:autoSpaceDE w:val="0"/>
              <w:autoSpaceDN w:val="0"/>
              <w:adjustRightInd w:val="0"/>
              <w:jc w:val="center"/>
              <w:rPr>
                <w:sz w:val="22"/>
                <w:szCs w:val="22"/>
              </w:rPr>
            </w:pPr>
            <w:r w:rsidRPr="00D26BBC">
              <w:rPr>
                <w:sz w:val="22"/>
                <w:szCs w:val="22"/>
              </w:rPr>
              <w:t>216</w:t>
            </w:r>
          </w:p>
          <w:p w14:paraId="3FE81265" w14:textId="77777777" w:rsidR="00F223ED" w:rsidRPr="00D26BBC" w:rsidRDefault="00F223ED" w:rsidP="002C66FC">
            <w:pPr>
              <w:autoSpaceDE w:val="0"/>
              <w:autoSpaceDN w:val="0"/>
              <w:adjustRightInd w:val="0"/>
              <w:jc w:val="center"/>
              <w:rPr>
                <w:sz w:val="22"/>
                <w:szCs w:val="22"/>
              </w:rPr>
            </w:pPr>
            <w:r w:rsidRPr="00D26BBC">
              <w:rPr>
                <w:sz w:val="22"/>
                <w:szCs w:val="22"/>
              </w:rPr>
              <w:t>259</w:t>
            </w:r>
          </w:p>
        </w:tc>
        <w:tc>
          <w:tcPr>
            <w:tcW w:w="2428" w:type="dxa"/>
          </w:tcPr>
          <w:p w14:paraId="45167705" w14:textId="77777777" w:rsidR="00F223ED" w:rsidRPr="00D26BBC" w:rsidRDefault="00F223ED" w:rsidP="002C66FC">
            <w:pPr>
              <w:autoSpaceDE w:val="0"/>
              <w:autoSpaceDN w:val="0"/>
              <w:adjustRightInd w:val="0"/>
              <w:jc w:val="center"/>
              <w:rPr>
                <w:sz w:val="22"/>
                <w:szCs w:val="22"/>
              </w:rPr>
            </w:pPr>
          </w:p>
          <w:p w14:paraId="09E0DBDA" w14:textId="77777777" w:rsidR="00F223ED" w:rsidRPr="00D26BBC" w:rsidRDefault="00F223ED" w:rsidP="002C66FC">
            <w:pPr>
              <w:autoSpaceDE w:val="0"/>
              <w:autoSpaceDN w:val="0"/>
              <w:adjustRightInd w:val="0"/>
              <w:jc w:val="center"/>
              <w:rPr>
                <w:sz w:val="22"/>
                <w:szCs w:val="22"/>
              </w:rPr>
            </w:pPr>
            <w:r w:rsidRPr="00D26BBC">
              <w:rPr>
                <w:sz w:val="22"/>
                <w:szCs w:val="22"/>
              </w:rPr>
              <w:t>0,79</w:t>
            </w:r>
          </w:p>
          <w:p w14:paraId="125EF64A" w14:textId="77777777" w:rsidR="00F223ED" w:rsidRPr="00D26BBC" w:rsidRDefault="00F223ED" w:rsidP="002C66FC">
            <w:pPr>
              <w:autoSpaceDE w:val="0"/>
              <w:autoSpaceDN w:val="0"/>
              <w:adjustRightInd w:val="0"/>
              <w:jc w:val="center"/>
              <w:rPr>
                <w:sz w:val="22"/>
                <w:szCs w:val="22"/>
              </w:rPr>
            </w:pPr>
          </w:p>
          <w:p w14:paraId="601B4248" w14:textId="77777777" w:rsidR="00F223ED" w:rsidRPr="00D26BBC" w:rsidRDefault="00F223ED" w:rsidP="002C66FC">
            <w:pPr>
              <w:autoSpaceDE w:val="0"/>
              <w:autoSpaceDN w:val="0"/>
              <w:adjustRightInd w:val="0"/>
              <w:jc w:val="center"/>
              <w:rPr>
                <w:sz w:val="22"/>
                <w:szCs w:val="22"/>
              </w:rPr>
            </w:pPr>
            <w:r w:rsidRPr="00D26BBC">
              <w:rPr>
                <w:sz w:val="22"/>
                <w:szCs w:val="22"/>
              </w:rPr>
              <w:t>0,77</w:t>
            </w:r>
          </w:p>
          <w:p w14:paraId="10CAB65A" w14:textId="77777777" w:rsidR="00F223ED" w:rsidRPr="00D26BBC" w:rsidRDefault="00F223ED" w:rsidP="002C66FC">
            <w:pPr>
              <w:autoSpaceDE w:val="0"/>
              <w:autoSpaceDN w:val="0"/>
              <w:adjustRightInd w:val="0"/>
              <w:jc w:val="center"/>
              <w:rPr>
                <w:sz w:val="22"/>
                <w:szCs w:val="22"/>
              </w:rPr>
            </w:pPr>
            <w:r w:rsidRPr="00D26BBC">
              <w:rPr>
                <w:sz w:val="22"/>
                <w:szCs w:val="22"/>
              </w:rPr>
              <w:t>0,59</w:t>
            </w:r>
          </w:p>
        </w:tc>
        <w:tc>
          <w:tcPr>
            <w:tcW w:w="2429" w:type="dxa"/>
          </w:tcPr>
          <w:p w14:paraId="4BC24747" w14:textId="77777777" w:rsidR="00F223ED" w:rsidRPr="00D26BBC" w:rsidRDefault="00F223ED" w:rsidP="002C66FC">
            <w:pPr>
              <w:autoSpaceDE w:val="0"/>
              <w:autoSpaceDN w:val="0"/>
              <w:adjustRightInd w:val="0"/>
              <w:jc w:val="center"/>
              <w:rPr>
                <w:sz w:val="22"/>
                <w:szCs w:val="22"/>
              </w:rPr>
            </w:pPr>
          </w:p>
          <w:p w14:paraId="77354B8D" w14:textId="77777777" w:rsidR="00F223ED" w:rsidRPr="00D26BBC" w:rsidRDefault="00F223ED" w:rsidP="002C66FC">
            <w:pPr>
              <w:autoSpaceDE w:val="0"/>
              <w:autoSpaceDN w:val="0"/>
              <w:adjustRightInd w:val="0"/>
              <w:jc w:val="center"/>
              <w:rPr>
                <w:sz w:val="22"/>
                <w:szCs w:val="22"/>
              </w:rPr>
            </w:pPr>
            <w:r w:rsidRPr="00D26BBC">
              <w:rPr>
                <w:sz w:val="22"/>
                <w:szCs w:val="22"/>
              </w:rPr>
              <w:t>0,24-2,6</w:t>
            </w:r>
          </w:p>
          <w:p w14:paraId="52A05B7B" w14:textId="77777777" w:rsidR="00F223ED" w:rsidRPr="00D26BBC" w:rsidRDefault="00F223ED" w:rsidP="002C66FC">
            <w:pPr>
              <w:autoSpaceDE w:val="0"/>
              <w:autoSpaceDN w:val="0"/>
              <w:adjustRightInd w:val="0"/>
              <w:jc w:val="center"/>
              <w:rPr>
                <w:sz w:val="22"/>
                <w:szCs w:val="22"/>
              </w:rPr>
            </w:pPr>
          </w:p>
          <w:p w14:paraId="6CE24FE1" w14:textId="77777777" w:rsidR="00F223ED" w:rsidRPr="00D26BBC" w:rsidRDefault="00F223ED" w:rsidP="002C66FC">
            <w:pPr>
              <w:autoSpaceDE w:val="0"/>
              <w:autoSpaceDN w:val="0"/>
              <w:adjustRightInd w:val="0"/>
              <w:jc w:val="center"/>
              <w:rPr>
                <w:sz w:val="22"/>
                <w:szCs w:val="22"/>
              </w:rPr>
            </w:pPr>
            <w:r w:rsidRPr="00D26BBC">
              <w:rPr>
                <w:sz w:val="22"/>
                <w:szCs w:val="22"/>
              </w:rPr>
              <w:t>0,46-1,3</w:t>
            </w:r>
          </w:p>
          <w:p w14:paraId="411F4E8B" w14:textId="77777777" w:rsidR="00F223ED" w:rsidRPr="00D26BBC" w:rsidRDefault="00F223ED" w:rsidP="002C66FC">
            <w:pPr>
              <w:autoSpaceDE w:val="0"/>
              <w:autoSpaceDN w:val="0"/>
              <w:adjustRightInd w:val="0"/>
              <w:jc w:val="center"/>
              <w:rPr>
                <w:sz w:val="22"/>
                <w:szCs w:val="22"/>
              </w:rPr>
            </w:pPr>
            <w:r w:rsidRPr="00D26BBC">
              <w:rPr>
                <w:sz w:val="22"/>
                <w:szCs w:val="22"/>
              </w:rPr>
              <w:t>0,39-0,9</w:t>
            </w:r>
          </w:p>
        </w:tc>
      </w:tr>
      <w:tr w:rsidR="00F223ED" w:rsidRPr="00B02007" w14:paraId="5FDAA643" w14:textId="77777777" w:rsidTr="002C66FC">
        <w:trPr>
          <w:trHeight w:val="747"/>
        </w:trPr>
        <w:tc>
          <w:tcPr>
            <w:tcW w:w="2428" w:type="dxa"/>
          </w:tcPr>
          <w:p w14:paraId="6603AC88" w14:textId="77777777" w:rsidR="00F223ED" w:rsidRPr="00D26BBC" w:rsidRDefault="00F223ED" w:rsidP="002C66FC">
            <w:pPr>
              <w:autoSpaceDE w:val="0"/>
              <w:autoSpaceDN w:val="0"/>
              <w:adjustRightInd w:val="0"/>
              <w:rPr>
                <w:sz w:val="22"/>
                <w:szCs w:val="22"/>
              </w:rPr>
            </w:pPr>
            <w:r w:rsidRPr="00D26BBC">
              <w:rPr>
                <w:sz w:val="22"/>
                <w:szCs w:val="22"/>
              </w:rPr>
              <w:lastRenderedPageBreak/>
              <w:t>Menopauzalni status</w:t>
            </w:r>
          </w:p>
          <w:p w14:paraId="35FEDD76" w14:textId="77777777" w:rsidR="00F223ED" w:rsidRPr="00D26BBC" w:rsidRDefault="00F223ED" w:rsidP="002C66FC">
            <w:pPr>
              <w:autoSpaceDE w:val="0"/>
              <w:autoSpaceDN w:val="0"/>
              <w:adjustRightInd w:val="0"/>
              <w:rPr>
                <w:sz w:val="22"/>
                <w:szCs w:val="22"/>
              </w:rPr>
            </w:pPr>
            <w:r w:rsidRPr="00D26BBC">
              <w:rPr>
                <w:sz w:val="22"/>
                <w:szCs w:val="22"/>
              </w:rPr>
              <w:t>Pre-menopauzalni</w:t>
            </w:r>
          </w:p>
          <w:p w14:paraId="0D82BB9B" w14:textId="77777777" w:rsidR="00F223ED" w:rsidRPr="00D26BBC" w:rsidRDefault="00F223ED" w:rsidP="002C66FC">
            <w:pPr>
              <w:autoSpaceDE w:val="0"/>
              <w:autoSpaceDN w:val="0"/>
              <w:adjustRightInd w:val="0"/>
              <w:rPr>
                <w:sz w:val="22"/>
                <w:szCs w:val="22"/>
              </w:rPr>
            </w:pPr>
            <w:r w:rsidRPr="00D26BBC">
              <w:rPr>
                <w:sz w:val="22"/>
                <w:szCs w:val="22"/>
              </w:rPr>
              <w:t>Post-menopauzalni</w:t>
            </w:r>
          </w:p>
        </w:tc>
        <w:tc>
          <w:tcPr>
            <w:tcW w:w="2428" w:type="dxa"/>
          </w:tcPr>
          <w:p w14:paraId="6B63E493" w14:textId="77777777" w:rsidR="00F223ED" w:rsidRPr="00D26BBC" w:rsidRDefault="00F223ED" w:rsidP="002C66FC">
            <w:pPr>
              <w:autoSpaceDE w:val="0"/>
              <w:autoSpaceDN w:val="0"/>
              <w:adjustRightInd w:val="0"/>
              <w:jc w:val="center"/>
              <w:rPr>
                <w:sz w:val="22"/>
                <w:szCs w:val="22"/>
              </w:rPr>
            </w:pPr>
          </w:p>
          <w:p w14:paraId="7244CF3D" w14:textId="77777777" w:rsidR="00F223ED" w:rsidRPr="00D26BBC" w:rsidRDefault="00F223ED" w:rsidP="002C66FC">
            <w:pPr>
              <w:autoSpaceDE w:val="0"/>
              <w:autoSpaceDN w:val="0"/>
              <w:adjustRightInd w:val="0"/>
              <w:jc w:val="center"/>
              <w:rPr>
                <w:sz w:val="22"/>
                <w:szCs w:val="22"/>
              </w:rPr>
            </w:pPr>
            <w:r w:rsidRPr="00D26BBC">
              <w:rPr>
                <w:sz w:val="22"/>
                <w:szCs w:val="22"/>
              </w:rPr>
              <w:t>285</w:t>
            </w:r>
          </w:p>
          <w:p w14:paraId="54CF5078" w14:textId="77777777" w:rsidR="00F223ED" w:rsidRPr="00D26BBC" w:rsidRDefault="00F223ED" w:rsidP="002C66FC">
            <w:pPr>
              <w:autoSpaceDE w:val="0"/>
              <w:autoSpaceDN w:val="0"/>
              <w:adjustRightInd w:val="0"/>
              <w:jc w:val="center"/>
              <w:rPr>
                <w:sz w:val="22"/>
                <w:szCs w:val="22"/>
              </w:rPr>
            </w:pPr>
            <w:r w:rsidRPr="00D26BBC">
              <w:rPr>
                <w:sz w:val="22"/>
                <w:szCs w:val="22"/>
              </w:rPr>
              <w:t>254</w:t>
            </w:r>
          </w:p>
        </w:tc>
        <w:tc>
          <w:tcPr>
            <w:tcW w:w="2428" w:type="dxa"/>
          </w:tcPr>
          <w:p w14:paraId="304EE86E" w14:textId="77777777" w:rsidR="00F223ED" w:rsidRPr="00D26BBC" w:rsidRDefault="00F223ED" w:rsidP="002C66FC">
            <w:pPr>
              <w:autoSpaceDE w:val="0"/>
              <w:autoSpaceDN w:val="0"/>
              <w:adjustRightInd w:val="0"/>
              <w:jc w:val="center"/>
              <w:rPr>
                <w:sz w:val="22"/>
                <w:szCs w:val="22"/>
              </w:rPr>
            </w:pPr>
          </w:p>
          <w:p w14:paraId="5E379FD2" w14:textId="77777777" w:rsidR="00F223ED" w:rsidRPr="00D26BBC" w:rsidRDefault="00F223ED" w:rsidP="002C66FC">
            <w:pPr>
              <w:autoSpaceDE w:val="0"/>
              <w:autoSpaceDN w:val="0"/>
              <w:adjustRightInd w:val="0"/>
              <w:jc w:val="center"/>
              <w:rPr>
                <w:sz w:val="22"/>
                <w:szCs w:val="22"/>
              </w:rPr>
            </w:pPr>
            <w:r w:rsidRPr="00D26BBC">
              <w:rPr>
                <w:sz w:val="22"/>
                <w:szCs w:val="22"/>
              </w:rPr>
              <w:t>0,64</w:t>
            </w:r>
          </w:p>
          <w:p w14:paraId="16FB2FA8" w14:textId="77777777" w:rsidR="00F223ED" w:rsidRPr="00D26BBC" w:rsidRDefault="00F223ED" w:rsidP="002C66FC">
            <w:pPr>
              <w:autoSpaceDE w:val="0"/>
              <w:autoSpaceDN w:val="0"/>
              <w:adjustRightInd w:val="0"/>
              <w:jc w:val="center"/>
              <w:rPr>
                <w:sz w:val="22"/>
                <w:szCs w:val="22"/>
              </w:rPr>
            </w:pPr>
            <w:r w:rsidRPr="00D26BBC">
              <w:rPr>
                <w:sz w:val="22"/>
                <w:szCs w:val="22"/>
              </w:rPr>
              <w:t>0,72</w:t>
            </w:r>
          </w:p>
        </w:tc>
        <w:tc>
          <w:tcPr>
            <w:tcW w:w="2429" w:type="dxa"/>
          </w:tcPr>
          <w:p w14:paraId="3D5FF6E1" w14:textId="77777777" w:rsidR="00F223ED" w:rsidRPr="00D26BBC" w:rsidRDefault="00F223ED" w:rsidP="002C66FC">
            <w:pPr>
              <w:autoSpaceDE w:val="0"/>
              <w:autoSpaceDN w:val="0"/>
              <w:adjustRightInd w:val="0"/>
              <w:jc w:val="center"/>
              <w:rPr>
                <w:sz w:val="22"/>
                <w:szCs w:val="22"/>
              </w:rPr>
            </w:pPr>
          </w:p>
          <w:p w14:paraId="258EEE15" w14:textId="77777777" w:rsidR="00F223ED" w:rsidRPr="00D26BBC" w:rsidRDefault="00F223ED" w:rsidP="002C66FC">
            <w:pPr>
              <w:autoSpaceDE w:val="0"/>
              <w:autoSpaceDN w:val="0"/>
              <w:adjustRightInd w:val="0"/>
              <w:jc w:val="center"/>
              <w:rPr>
                <w:sz w:val="22"/>
                <w:szCs w:val="22"/>
              </w:rPr>
            </w:pPr>
            <w:r w:rsidRPr="00D26BBC">
              <w:rPr>
                <w:sz w:val="22"/>
                <w:szCs w:val="22"/>
              </w:rPr>
              <w:t>0,40-1</w:t>
            </w:r>
          </w:p>
          <w:p w14:paraId="77505505" w14:textId="77777777" w:rsidR="00F223ED" w:rsidRPr="00D26BBC" w:rsidRDefault="00F223ED" w:rsidP="002C66FC">
            <w:pPr>
              <w:autoSpaceDE w:val="0"/>
              <w:autoSpaceDN w:val="0"/>
              <w:adjustRightInd w:val="0"/>
              <w:jc w:val="center"/>
              <w:rPr>
                <w:sz w:val="22"/>
                <w:szCs w:val="22"/>
              </w:rPr>
            </w:pPr>
            <w:r w:rsidRPr="00D26BBC">
              <w:rPr>
                <w:sz w:val="22"/>
                <w:szCs w:val="22"/>
              </w:rPr>
              <w:t>0,47-1,12</w:t>
            </w:r>
          </w:p>
        </w:tc>
      </w:tr>
    </w:tbl>
    <w:p w14:paraId="62294582" w14:textId="77777777" w:rsidR="00F223ED" w:rsidRPr="00D26BBC" w:rsidRDefault="00F223ED" w:rsidP="00F223ED">
      <w:pPr>
        <w:pStyle w:val="Header"/>
        <w:tabs>
          <w:tab w:val="left" w:pos="284"/>
        </w:tabs>
        <w:rPr>
          <w:sz w:val="22"/>
          <w:szCs w:val="22"/>
        </w:rPr>
      </w:pPr>
      <w:r w:rsidRPr="00D26BBC">
        <w:rPr>
          <w:sz w:val="22"/>
          <w:szCs w:val="22"/>
        </w:rPr>
        <w:t>*Indeks rizika (TAC/FAC) manji od 1 ukazuje na to da je TAC povezan sa dužim periodom preživljavanja bez bolesti u odnosu na FAC.</w:t>
      </w:r>
    </w:p>
    <w:p w14:paraId="645C7F04" w14:textId="77777777" w:rsidR="00F223ED" w:rsidRPr="00D26BBC" w:rsidRDefault="00F223ED" w:rsidP="00F223ED">
      <w:pPr>
        <w:pStyle w:val="Header"/>
        <w:tabs>
          <w:tab w:val="left" w:pos="284"/>
        </w:tabs>
        <w:rPr>
          <w:sz w:val="22"/>
          <w:szCs w:val="22"/>
        </w:rPr>
      </w:pPr>
    </w:p>
    <w:p w14:paraId="4B81A0C8" w14:textId="77777777" w:rsidR="00F223ED" w:rsidRPr="00973003" w:rsidRDefault="00F223ED" w:rsidP="00F223ED">
      <w:pPr>
        <w:pStyle w:val="Header"/>
        <w:tabs>
          <w:tab w:val="left" w:pos="284"/>
        </w:tabs>
        <w:rPr>
          <w:sz w:val="22"/>
          <w:szCs w:val="22"/>
        </w:rPr>
      </w:pPr>
      <w:r w:rsidRPr="00973003">
        <w:rPr>
          <w:sz w:val="22"/>
          <w:szCs w:val="22"/>
        </w:rPr>
        <w:t>Analize kontrolne podgrupe za život bez bolesti za pacijente koji ispunjavaju kriterijume St. Galena za hemioterapiju iz 2009 - (ITT populacija) su sprovedene i predstavljene ispod</w:t>
      </w:r>
    </w:p>
    <w:p w14:paraId="4701FAD0" w14:textId="77777777" w:rsidR="00F223ED" w:rsidRPr="00D26BBC" w:rsidRDefault="00F223ED" w:rsidP="00F223ED">
      <w:pPr>
        <w:pStyle w:val="Header"/>
        <w:tabs>
          <w:tab w:val="left" w:pos="284"/>
        </w:tabs>
        <w:rPr>
          <w:sz w:val="22"/>
          <w:szCs w:val="22"/>
          <w:u w:val="single"/>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1931"/>
        <w:gridCol w:w="1931"/>
        <w:gridCol w:w="1932"/>
        <w:gridCol w:w="1932"/>
      </w:tblGrid>
      <w:tr w:rsidR="00F223ED" w:rsidRPr="00B02007" w14:paraId="09DE4FFB" w14:textId="77777777" w:rsidTr="002C66FC">
        <w:trPr>
          <w:trHeight w:val="762"/>
        </w:trPr>
        <w:tc>
          <w:tcPr>
            <w:tcW w:w="1931" w:type="dxa"/>
          </w:tcPr>
          <w:p w14:paraId="31FFD574" w14:textId="77777777" w:rsidR="00F223ED" w:rsidRPr="00D26BBC" w:rsidRDefault="00F223ED" w:rsidP="002C66FC">
            <w:pPr>
              <w:pStyle w:val="Header"/>
              <w:tabs>
                <w:tab w:val="left" w:pos="284"/>
              </w:tabs>
              <w:rPr>
                <w:b/>
                <w:sz w:val="22"/>
                <w:szCs w:val="22"/>
              </w:rPr>
            </w:pPr>
            <w:r w:rsidRPr="00D26BBC">
              <w:rPr>
                <w:b/>
                <w:sz w:val="22"/>
                <w:szCs w:val="22"/>
              </w:rPr>
              <w:t>Podgrupe</w:t>
            </w:r>
          </w:p>
        </w:tc>
        <w:tc>
          <w:tcPr>
            <w:tcW w:w="1931" w:type="dxa"/>
          </w:tcPr>
          <w:p w14:paraId="3EAC9F74" w14:textId="77777777" w:rsidR="00F223ED" w:rsidRPr="00D26BBC" w:rsidRDefault="00F223ED" w:rsidP="002C66FC">
            <w:pPr>
              <w:pStyle w:val="Header"/>
              <w:tabs>
                <w:tab w:val="left" w:pos="284"/>
              </w:tabs>
              <w:rPr>
                <w:b/>
                <w:bCs/>
                <w:sz w:val="22"/>
                <w:szCs w:val="22"/>
              </w:rPr>
            </w:pPr>
            <w:r w:rsidRPr="00D26BBC">
              <w:rPr>
                <w:b/>
                <w:bCs/>
                <w:sz w:val="22"/>
                <w:szCs w:val="22"/>
              </w:rPr>
              <w:t>TAC</w:t>
            </w:r>
          </w:p>
          <w:p w14:paraId="7F6DF696" w14:textId="77777777" w:rsidR="00F223ED" w:rsidRPr="00D26BBC" w:rsidRDefault="00F223ED" w:rsidP="002C66FC">
            <w:pPr>
              <w:pStyle w:val="Header"/>
              <w:tabs>
                <w:tab w:val="left" w:pos="284"/>
              </w:tabs>
              <w:rPr>
                <w:bCs/>
                <w:sz w:val="22"/>
                <w:szCs w:val="22"/>
              </w:rPr>
            </w:pPr>
            <w:r w:rsidRPr="00D26BBC">
              <w:rPr>
                <w:bCs/>
                <w:sz w:val="22"/>
                <w:szCs w:val="22"/>
              </w:rPr>
              <w:t>(n=539)</w:t>
            </w:r>
          </w:p>
        </w:tc>
        <w:tc>
          <w:tcPr>
            <w:tcW w:w="1931" w:type="dxa"/>
          </w:tcPr>
          <w:p w14:paraId="3899C357" w14:textId="77777777" w:rsidR="00F223ED" w:rsidRPr="00D26BBC" w:rsidRDefault="00F223ED" w:rsidP="002C66FC">
            <w:pPr>
              <w:pStyle w:val="Header"/>
              <w:tabs>
                <w:tab w:val="left" w:pos="284"/>
              </w:tabs>
              <w:rPr>
                <w:b/>
                <w:bCs/>
                <w:sz w:val="22"/>
                <w:szCs w:val="22"/>
              </w:rPr>
            </w:pPr>
            <w:r w:rsidRPr="00D26BBC">
              <w:rPr>
                <w:b/>
                <w:bCs/>
                <w:sz w:val="22"/>
                <w:szCs w:val="22"/>
              </w:rPr>
              <w:t>FAC</w:t>
            </w:r>
          </w:p>
          <w:p w14:paraId="7DE7BB57" w14:textId="77777777" w:rsidR="00F223ED" w:rsidRPr="00D26BBC" w:rsidRDefault="00F223ED" w:rsidP="002C66FC">
            <w:pPr>
              <w:pStyle w:val="Header"/>
              <w:tabs>
                <w:tab w:val="left" w:pos="284"/>
              </w:tabs>
              <w:rPr>
                <w:bCs/>
                <w:sz w:val="22"/>
                <w:szCs w:val="22"/>
              </w:rPr>
            </w:pPr>
            <w:r w:rsidRPr="00D26BBC">
              <w:rPr>
                <w:bCs/>
                <w:sz w:val="22"/>
                <w:szCs w:val="22"/>
              </w:rPr>
              <w:t>(n=521)</w:t>
            </w:r>
          </w:p>
        </w:tc>
        <w:tc>
          <w:tcPr>
            <w:tcW w:w="1932" w:type="dxa"/>
          </w:tcPr>
          <w:p w14:paraId="3E0AF789" w14:textId="77777777" w:rsidR="00F223ED" w:rsidRPr="00D26BBC" w:rsidRDefault="00F223ED" w:rsidP="002C66FC">
            <w:pPr>
              <w:pStyle w:val="Header"/>
              <w:tabs>
                <w:tab w:val="left" w:pos="284"/>
              </w:tabs>
              <w:rPr>
                <w:b/>
                <w:bCs/>
                <w:sz w:val="22"/>
                <w:szCs w:val="22"/>
              </w:rPr>
            </w:pPr>
            <w:r w:rsidRPr="00D26BBC">
              <w:rPr>
                <w:b/>
                <w:bCs/>
                <w:sz w:val="22"/>
                <w:szCs w:val="22"/>
              </w:rPr>
              <w:t>Indeks rizika (TAC/FAC)</w:t>
            </w:r>
          </w:p>
          <w:p w14:paraId="45C71138" w14:textId="77777777" w:rsidR="00F223ED" w:rsidRPr="00D26BBC" w:rsidRDefault="00F223ED" w:rsidP="002C66FC">
            <w:pPr>
              <w:pStyle w:val="Header"/>
              <w:tabs>
                <w:tab w:val="left" w:pos="284"/>
              </w:tabs>
              <w:rPr>
                <w:bCs/>
                <w:sz w:val="22"/>
                <w:szCs w:val="22"/>
              </w:rPr>
            </w:pPr>
            <w:r w:rsidRPr="00D26BBC">
              <w:rPr>
                <w:bCs/>
                <w:sz w:val="22"/>
                <w:szCs w:val="22"/>
              </w:rPr>
              <w:t>(95% CI)</w:t>
            </w:r>
          </w:p>
        </w:tc>
        <w:tc>
          <w:tcPr>
            <w:tcW w:w="1932" w:type="dxa"/>
          </w:tcPr>
          <w:p w14:paraId="00EC7201" w14:textId="77777777" w:rsidR="00F223ED" w:rsidRPr="00D26BBC" w:rsidRDefault="00F223ED" w:rsidP="002C66FC">
            <w:pPr>
              <w:pStyle w:val="Header"/>
              <w:tabs>
                <w:tab w:val="left" w:pos="284"/>
              </w:tabs>
              <w:rPr>
                <w:b/>
                <w:sz w:val="22"/>
                <w:szCs w:val="22"/>
              </w:rPr>
            </w:pPr>
            <w:r w:rsidRPr="00D26BBC">
              <w:rPr>
                <w:b/>
                <w:sz w:val="22"/>
                <w:szCs w:val="22"/>
              </w:rPr>
              <w:t>p-vrijednost</w:t>
            </w:r>
          </w:p>
        </w:tc>
      </w:tr>
      <w:tr w:rsidR="00F223ED" w:rsidRPr="00B02007" w14:paraId="71C8DF88" w14:textId="77777777" w:rsidTr="002C66FC">
        <w:trPr>
          <w:trHeight w:val="1005"/>
        </w:trPr>
        <w:tc>
          <w:tcPr>
            <w:tcW w:w="1931" w:type="dxa"/>
          </w:tcPr>
          <w:p w14:paraId="30AF0BD4" w14:textId="77777777" w:rsidR="00F223ED" w:rsidRPr="00D26BBC" w:rsidRDefault="00F223ED" w:rsidP="002C66FC">
            <w:pPr>
              <w:pStyle w:val="Header"/>
              <w:tabs>
                <w:tab w:val="left" w:pos="284"/>
              </w:tabs>
              <w:rPr>
                <w:sz w:val="22"/>
                <w:szCs w:val="22"/>
              </w:rPr>
            </w:pPr>
            <w:r w:rsidRPr="00D26BBC">
              <w:rPr>
                <w:sz w:val="22"/>
                <w:szCs w:val="22"/>
              </w:rPr>
              <w:t>Podliježu relativnim indikacijama za hemioterapiju</w:t>
            </w:r>
            <w:r w:rsidRPr="00D26BBC">
              <w:rPr>
                <w:sz w:val="22"/>
                <w:szCs w:val="22"/>
                <w:vertAlign w:val="superscript"/>
              </w:rPr>
              <w:t>a</w:t>
            </w:r>
          </w:p>
        </w:tc>
        <w:tc>
          <w:tcPr>
            <w:tcW w:w="1931" w:type="dxa"/>
          </w:tcPr>
          <w:p w14:paraId="46659979" w14:textId="77777777" w:rsidR="00F223ED" w:rsidRPr="00D26BBC" w:rsidRDefault="00F223ED" w:rsidP="002C66FC">
            <w:pPr>
              <w:pStyle w:val="Header"/>
              <w:tabs>
                <w:tab w:val="left" w:pos="284"/>
              </w:tabs>
              <w:rPr>
                <w:sz w:val="22"/>
                <w:szCs w:val="22"/>
              </w:rPr>
            </w:pPr>
          </w:p>
        </w:tc>
        <w:tc>
          <w:tcPr>
            <w:tcW w:w="1931" w:type="dxa"/>
          </w:tcPr>
          <w:p w14:paraId="42BD83CC" w14:textId="77777777" w:rsidR="00F223ED" w:rsidRPr="00D26BBC" w:rsidRDefault="00F223ED" w:rsidP="002C66FC">
            <w:pPr>
              <w:pStyle w:val="Header"/>
              <w:tabs>
                <w:tab w:val="left" w:pos="284"/>
              </w:tabs>
              <w:rPr>
                <w:sz w:val="22"/>
                <w:szCs w:val="22"/>
              </w:rPr>
            </w:pPr>
          </w:p>
        </w:tc>
        <w:tc>
          <w:tcPr>
            <w:tcW w:w="1932" w:type="dxa"/>
          </w:tcPr>
          <w:p w14:paraId="7B75FA2E" w14:textId="77777777" w:rsidR="00F223ED" w:rsidRPr="00D26BBC" w:rsidRDefault="00F223ED" w:rsidP="002C66FC">
            <w:pPr>
              <w:pStyle w:val="Header"/>
              <w:tabs>
                <w:tab w:val="left" w:pos="284"/>
              </w:tabs>
              <w:rPr>
                <w:sz w:val="22"/>
                <w:szCs w:val="22"/>
              </w:rPr>
            </w:pPr>
          </w:p>
        </w:tc>
        <w:tc>
          <w:tcPr>
            <w:tcW w:w="1932" w:type="dxa"/>
          </w:tcPr>
          <w:p w14:paraId="780BA514" w14:textId="77777777" w:rsidR="00F223ED" w:rsidRPr="00D26BBC" w:rsidRDefault="00F223ED" w:rsidP="002C66FC">
            <w:pPr>
              <w:pStyle w:val="Header"/>
              <w:tabs>
                <w:tab w:val="left" w:pos="284"/>
              </w:tabs>
              <w:rPr>
                <w:sz w:val="22"/>
                <w:szCs w:val="22"/>
              </w:rPr>
            </w:pPr>
          </w:p>
        </w:tc>
      </w:tr>
      <w:tr w:rsidR="00F223ED" w:rsidRPr="00B02007" w14:paraId="16A257D2" w14:textId="77777777" w:rsidTr="002C66FC">
        <w:trPr>
          <w:trHeight w:val="762"/>
        </w:trPr>
        <w:tc>
          <w:tcPr>
            <w:tcW w:w="1931" w:type="dxa"/>
          </w:tcPr>
          <w:p w14:paraId="42345A92" w14:textId="77777777" w:rsidR="00F223ED" w:rsidRPr="00D26BBC" w:rsidRDefault="00F223ED" w:rsidP="002C66FC">
            <w:pPr>
              <w:pStyle w:val="Header"/>
              <w:tabs>
                <w:tab w:val="left" w:pos="284"/>
              </w:tabs>
              <w:rPr>
                <w:sz w:val="22"/>
                <w:szCs w:val="22"/>
              </w:rPr>
            </w:pPr>
            <w:r w:rsidRPr="00D26BBC">
              <w:rPr>
                <w:sz w:val="22"/>
                <w:szCs w:val="22"/>
              </w:rPr>
              <w:t>Ne</w:t>
            </w:r>
          </w:p>
        </w:tc>
        <w:tc>
          <w:tcPr>
            <w:tcW w:w="1931" w:type="dxa"/>
          </w:tcPr>
          <w:p w14:paraId="6D8357BF" w14:textId="77777777" w:rsidR="00F223ED" w:rsidRPr="00D26BBC" w:rsidRDefault="00F223ED" w:rsidP="002C66FC">
            <w:pPr>
              <w:pStyle w:val="Header"/>
              <w:tabs>
                <w:tab w:val="left" w:pos="284"/>
              </w:tabs>
              <w:rPr>
                <w:sz w:val="22"/>
                <w:szCs w:val="22"/>
              </w:rPr>
            </w:pPr>
            <w:r w:rsidRPr="00D26BBC">
              <w:rPr>
                <w:sz w:val="22"/>
                <w:szCs w:val="22"/>
              </w:rPr>
              <w:t>18/214</w:t>
            </w:r>
          </w:p>
          <w:p w14:paraId="62CA29E1" w14:textId="77777777" w:rsidR="00F223ED" w:rsidRPr="00D26BBC" w:rsidRDefault="00F223ED" w:rsidP="002C66FC">
            <w:pPr>
              <w:pStyle w:val="Header"/>
              <w:tabs>
                <w:tab w:val="left" w:pos="284"/>
              </w:tabs>
              <w:rPr>
                <w:sz w:val="22"/>
                <w:szCs w:val="22"/>
              </w:rPr>
            </w:pPr>
            <w:r w:rsidRPr="00D26BBC">
              <w:rPr>
                <w:sz w:val="22"/>
                <w:szCs w:val="22"/>
              </w:rPr>
              <w:t>(8,4%)</w:t>
            </w:r>
          </w:p>
        </w:tc>
        <w:tc>
          <w:tcPr>
            <w:tcW w:w="1931" w:type="dxa"/>
          </w:tcPr>
          <w:p w14:paraId="00B5815F" w14:textId="77777777" w:rsidR="00F223ED" w:rsidRPr="00D26BBC" w:rsidRDefault="00F223ED" w:rsidP="002C66FC">
            <w:pPr>
              <w:pStyle w:val="Header"/>
              <w:tabs>
                <w:tab w:val="left" w:pos="284"/>
              </w:tabs>
              <w:rPr>
                <w:sz w:val="22"/>
                <w:szCs w:val="22"/>
              </w:rPr>
            </w:pPr>
            <w:r w:rsidRPr="00D26BBC">
              <w:rPr>
                <w:sz w:val="22"/>
                <w:szCs w:val="22"/>
              </w:rPr>
              <w:t>26/227</w:t>
            </w:r>
          </w:p>
          <w:p w14:paraId="4E30CAD0" w14:textId="77777777" w:rsidR="00F223ED" w:rsidRPr="00D26BBC" w:rsidRDefault="00F223ED" w:rsidP="002C66FC">
            <w:pPr>
              <w:pStyle w:val="Header"/>
              <w:tabs>
                <w:tab w:val="left" w:pos="284"/>
              </w:tabs>
              <w:rPr>
                <w:sz w:val="22"/>
                <w:szCs w:val="22"/>
              </w:rPr>
            </w:pPr>
            <w:r w:rsidRPr="00D26BBC">
              <w:rPr>
                <w:sz w:val="22"/>
                <w:szCs w:val="22"/>
              </w:rPr>
              <w:t>(11,5%)</w:t>
            </w:r>
          </w:p>
          <w:p w14:paraId="40E17B55" w14:textId="77777777" w:rsidR="00F223ED" w:rsidRPr="00D26BBC" w:rsidRDefault="00F223ED" w:rsidP="002C66FC">
            <w:pPr>
              <w:pStyle w:val="Header"/>
              <w:tabs>
                <w:tab w:val="left" w:pos="284"/>
              </w:tabs>
              <w:rPr>
                <w:sz w:val="22"/>
                <w:szCs w:val="22"/>
              </w:rPr>
            </w:pPr>
          </w:p>
        </w:tc>
        <w:tc>
          <w:tcPr>
            <w:tcW w:w="1932" w:type="dxa"/>
          </w:tcPr>
          <w:p w14:paraId="25455528" w14:textId="77777777" w:rsidR="00F223ED" w:rsidRPr="00D26BBC" w:rsidRDefault="00F223ED" w:rsidP="002C66FC">
            <w:pPr>
              <w:pStyle w:val="Header"/>
              <w:tabs>
                <w:tab w:val="left" w:pos="284"/>
              </w:tabs>
              <w:rPr>
                <w:sz w:val="22"/>
                <w:szCs w:val="22"/>
              </w:rPr>
            </w:pPr>
            <w:r w:rsidRPr="00D26BBC">
              <w:rPr>
                <w:sz w:val="22"/>
                <w:szCs w:val="22"/>
              </w:rPr>
              <w:t>0,796 (0,434-1,459)</w:t>
            </w:r>
          </w:p>
        </w:tc>
        <w:tc>
          <w:tcPr>
            <w:tcW w:w="1932" w:type="dxa"/>
          </w:tcPr>
          <w:p w14:paraId="6FE09ADF" w14:textId="77777777" w:rsidR="00F223ED" w:rsidRPr="00D26BBC" w:rsidRDefault="00F223ED" w:rsidP="002C66FC">
            <w:pPr>
              <w:pStyle w:val="Header"/>
              <w:tabs>
                <w:tab w:val="left" w:pos="284"/>
              </w:tabs>
              <w:rPr>
                <w:sz w:val="22"/>
                <w:szCs w:val="22"/>
              </w:rPr>
            </w:pPr>
            <w:r w:rsidRPr="00D26BBC">
              <w:rPr>
                <w:sz w:val="22"/>
                <w:szCs w:val="22"/>
              </w:rPr>
              <w:t>0,4593</w:t>
            </w:r>
          </w:p>
        </w:tc>
      </w:tr>
      <w:tr w:rsidR="00F223ED" w:rsidRPr="00B02007" w14:paraId="485CB49C" w14:textId="77777777" w:rsidTr="002C66FC">
        <w:trPr>
          <w:trHeight w:val="762"/>
        </w:trPr>
        <w:tc>
          <w:tcPr>
            <w:tcW w:w="1931" w:type="dxa"/>
          </w:tcPr>
          <w:p w14:paraId="6D0FE209" w14:textId="77777777" w:rsidR="00F223ED" w:rsidRPr="00D26BBC" w:rsidRDefault="00F223ED" w:rsidP="002C66FC">
            <w:pPr>
              <w:pStyle w:val="Header"/>
              <w:tabs>
                <w:tab w:val="left" w:pos="284"/>
              </w:tabs>
              <w:rPr>
                <w:sz w:val="22"/>
                <w:szCs w:val="22"/>
              </w:rPr>
            </w:pPr>
            <w:r w:rsidRPr="00D26BBC">
              <w:rPr>
                <w:sz w:val="22"/>
                <w:szCs w:val="22"/>
              </w:rPr>
              <w:t>Da</w:t>
            </w:r>
          </w:p>
        </w:tc>
        <w:tc>
          <w:tcPr>
            <w:tcW w:w="1931" w:type="dxa"/>
          </w:tcPr>
          <w:p w14:paraId="155F6FCE" w14:textId="77777777" w:rsidR="00F223ED" w:rsidRPr="00D26BBC" w:rsidRDefault="00F223ED" w:rsidP="002C66FC">
            <w:pPr>
              <w:pStyle w:val="Header"/>
              <w:tabs>
                <w:tab w:val="left" w:pos="284"/>
              </w:tabs>
              <w:rPr>
                <w:sz w:val="22"/>
                <w:szCs w:val="22"/>
              </w:rPr>
            </w:pPr>
            <w:r w:rsidRPr="00D26BBC">
              <w:rPr>
                <w:sz w:val="22"/>
                <w:szCs w:val="22"/>
              </w:rPr>
              <w:t>48/325</w:t>
            </w:r>
          </w:p>
          <w:p w14:paraId="0950E11F" w14:textId="77777777" w:rsidR="00F223ED" w:rsidRPr="00D26BBC" w:rsidRDefault="00F223ED" w:rsidP="002C66FC">
            <w:pPr>
              <w:pStyle w:val="Header"/>
              <w:tabs>
                <w:tab w:val="left" w:pos="284"/>
              </w:tabs>
              <w:rPr>
                <w:sz w:val="22"/>
                <w:szCs w:val="22"/>
              </w:rPr>
            </w:pPr>
            <w:r w:rsidRPr="00D26BBC">
              <w:rPr>
                <w:sz w:val="22"/>
                <w:szCs w:val="22"/>
              </w:rPr>
              <w:t>(14,8%)</w:t>
            </w:r>
          </w:p>
        </w:tc>
        <w:tc>
          <w:tcPr>
            <w:tcW w:w="1931" w:type="dxa"/>
          </w:tcPr>
          <w:p w14:paraId="7ED906F9" w14:textId="77777777" w:rsidR="00F223ED" w:rsidRPr="00D26BBC" w:rsidRDefault="00F223ED" w:rsidP="002C66FC">
            <w:pPr>
              <w:pStyle w:val="Header"/>
              <w:tabs>
                <w:tab w:val="left" w:pos="284"/>
              </w:tabs>
              <w:rPr>
                <w:sz w:val="22"/>
                <w:szCs w:val="22"/>
              </w:rPr>
            </w:pPr>
            <w:r w:rsidRPr="00D26BBC">
              <w:rPr>
                <w:sz w:val="22"/>
                <w:szCs w:val="22"/>
              </w:rPr>
              <w:t>69/294</w:t>
            </w:r>
          </w:p>
          <w:p w14:paraId="66ED7ECF" w14:textId="77777777" w:rsidR="00F223ED" w:rsidRPr="00D26BBC" w:rsidRDefault="00F223ED" w:rsidP="002C66FC">
            <w:pPr>
              <w:pStyle w:val="Header"/>
              <w:tabs>
                <w:tab w:val="left" w:pos="284"/>
              </w:tabs>
              <w:rPr>
                <w:sz w:val="22"/>
                <w:szCs w:val="22"/>
              </w:rPr>
            </w:pPr>
            <w:r w:rsidRPr="00D26BBC">
              <w:rPr>
                <w:sz w:val="22"/>
                <w:szCs w:val="22"/>
              </w:rPr>
              <w:t>(23,5%)</w:t>
            </w:r>
          </w:p>
          <w:p w14:paraId="4026AAE2" w14:textId="77777777" w:rsidR="00F223ED" w:rsidRPr="00D26BBC" w:rsidRDefault="00F223ED" w:rsidP="002C66FC">
            <w:pPr>
              <w:pStyle w:val="Header"/>
              <w:tabs>
                <w:tab w:val="left" w:pos="284"/>
              </w:tabs>
              <w:rPr>
                <w:sz w:val="22"/>
                <w:szCs w:val="22"/>
              </w:rPr>
            </w:pPr>
          </w:p>
        </w:tc>
        <w:tc>
          <w:tcPr>
            <w:tcW w:w="1932" w:type="dxa"/>
          </w:tcPr>
          <w:p w14:paraId="26767838" w14:textId="77777777" w:rsidR="00F223ED" w:rsidRPr="00D26BBC" w:rsidRDefault="00F223ED" w:rsidP="002C66FC">
            <w:pPr>
              <w:pStyle w:val="Header"/>
              <w:tabs>
                <w:tab w:val="left" w:pos="284"/>
              </w:tabs>
              <w:rPr>
                <w:sz w:val="22"/>
                <w:szCs w:val="22"/>
              </w:rPr>
            </w:pPr>
            <w:r w:rsidRPr="00D26BBC">
              <w:rPr>
                <w:sz w:val="22"/>
                <w:szCs w:val="22"/>
              </w:rPr>
              <w:t>0,606 (0,42-0,877)</w:t>
            </w:r>
          </w:p>
        </w:tc>
        <w:tc>
          <w:tcPr>
            <w:tcW w:w="1932" w:type="dxa"/>
          </w:tcPr>
          <w:p w14:paraId="29EEC733" w14:textId="77777777" w:rsidR="00F223ED" w:rsidRPr="00D26BBC" w:rsidRDefault="00F223ED" w:rsidP="002C66FC">
            <w:pPr>
              <w:pStyle w:val="Header"/>
              <w:tabs>
                <w:tab w:val="left" w:pos="284"/>
              </w:tabs>
              <w:rPr>
                <w:sz w:val="22"/>
                <w:szCs w:val="22"/>
              </w:rPr>
            </w:pPr>
            <w:r w:rsidRPr="00D26BBC">
              <w:rPr>
                <w:sz w:val="22"/>
                <w:szCs w:val="22"/>
              </w:rPr>
              <w:t>0,0072</w:t>
            </w:r>
          </w:p>
        </w:tc>
      </w:tr>
    </w:tbl>
    <w:p w14:paraId="2789B0A5" w14:textId="77777777" w:rsidR="00F223ED" w:rsidRPr="00D26BBC" w:rsidRDefault="00F223ED" w:rsidP="00F223ED">
      <w:pPr>
        <w:pStyle w:val="Header"/>
        <w:tabs>
          <w:tab w:val="left" w:pos="284"/>
        </w:tabs>
        <w:rPr>
          <w:sz w:val="22"/>
          <w:szCs w:val="22"/>
        </w:rPr>
      </w:pPr>
      <w:r w:rsidRPr="00D26BBC">
        <w:rPr>
          <w:sz w:val="22"/>
          <w:szCs w:val="22"/>
        </w:rPr>
        <w:t>TAC=do</w:t>
      </w:r>
      <w:r>
        <w:rPr>
          <w:sz w:val="22"/>
          <w:szCs w:val="22"/>
        </w:rPr>
        <w:t>c</w:t>
      </w:r>
      <w:r w:rsidRPr="00D26BBC">
        <w:rPr>
          <w:sz w:val="22"/>
          <w:szCs w:val="22"/>
        </w:rPr>
        <w:t>etaksel, doksorubicin i ciklof</w:t>
      </w:r>
      <w:r>
        <w:rPr>
          <w:sz w:val="22"/>
          <w:szCs w:val="22"/>
        </w:rPr>
        <w:t>osf</w:t>
      </w:r>
      <w:r w:rsidRPr="00D26BBC">
        <w:rPr>
          <w:sz w:val="22"/>
          <w:szCs w:val="22"/>
        </w:rPr>
        <w:t>amid</w:t>
      </w:r>
    </w:p>
    <w:p w14:paraId="684A79F6" w14:textId="77777777" w:rsidR="00F223ED" w:rsidRPr="00D26BBC" w:rsidRDefault="00F223ED" w:rsidP="00F223ED">
      <w:pPr>
        <w:pStyle w:val="Header"/>
        <w:tabs>
          <w:tab w:val="left" w:pos="284"/>
        </w:tabs>
        <w:rPr>
          <w:sz w:val="22"/>
          <w:szCs w:val="22"/>
        </w:rPr>
      </w:pPr>
      <w:r w:rsidRPr="00D26BBC">
        <w:rPr>
          <w:sz w:val="22"/>
          <w:szCs w:val="22"/>
        </w:rPr>
        <w:t>FAC=5-fluorouracil, doksorubicin i ciklofosfamid</w:t>
      </w:r>
    </w:p>
    <w:p w14:paraId="0C35D246" w14:textId="77777777" w:rsidR="00F223ED" w:rsidRPr="00D26BBC" w:rsidRDefault="00F223ED" w:rsidP="00F223ED">
      <w:pPr>
        <w:pStyle w:val="Header"/>
        <w:tabs>
          <w:tab w:val="left" w:pos="284"/>
        </w:tabs>
        <w:rPr>
          <w:sz w:val="22"/>
          <w:szCs w:val="22"/>
        </w:rPr>
      </w:pPr>
      <w:r w:rsidRPr="00D26BBC">
        <w:rPr>
          <w:sz w:val="22"/>
          <w:szCs w:val="22"/>
        </w:rPr>
        <w:t>CI= interval povjerenja</w:t>
      </w:r>
    </w:p>
    <w:p w14:paraId="07D07D3B" w14:textId="77777777" w:rsidR="00F223ED" w:rsidRPr="00D26BBC" w:rsidRDefault="00F223ED" w:rsidP="00F223ED">
      <w:pPr>
        <w:pStyle w:val="Header"/>
        <w:tabs>
          <w:tab w:val="left" w:pos="284"/>
        </w:tabs>
        <w:rPr>
          <w:sz w:val="22"/>
          <w:szCs w:val="22"/>
        </w:rPr>
      </w:pPr>
      <w:r w:rsidRPr="00D26BBC">
        <w:rPr>
          <w:sz w:val="22"/>
          <w:szCs w:val="22"/>
        </w:rPr>
        <w:t>ER=estrogen receptor</w:t>
      </w:r>
    </w:p>
    <w:p w14:paraId="646103F1" w14:textId="77777777" w:rsidR="00F223ED" w:rsidRPr="00D26BBC" w:rsidRDefault="00F223ED" w:rsidP="00F223ED">
      <w:pPr>
        <w:pStyle w:val="Header"/>
        <w:tabs>
          <w:tab w:val="left" w:pos="284"/>
        </w:tabs>
        <w:rPr>
          <w:sz w:val="22"/>
          <w:szCs w:val="22"/>
        </w:rPr>
      </w:pPr>
      <w:r w:rsidRPr="00D26BBC">
        <w:rPr>
          <w:sz w:val="22"/>
          <w:szCs w:val="22"/>
        </w:rPr>
        <w:t>PR=progesteron receptor</w:t>
      </w:r>
    </w:p>
    <w:p w14:paraId="78E127A3" w14:textId="77777777" w:rsidR="00F223ED" w:rsidRPr="00D26BBC" w:rsidRDefault="00F223ED" w:rsidP="00F223ED">
      <w:pPr>
        <w:pStyle w:val="Header"/>
        <w:tabs>
          <w:tab w:val="left" w:pos="284"/>
        </w:tabs>
        <w:rPr>
          <w:sz w:val="22"/>
          <w:szCs w:val="22"/>
        </w:rPr>
      </w:pPr>
      <w:r w:rsidRPr="00D26BBC">
        <w:rPr>
          <w:sz w:val="22"/>
          <w:szCs w:val="22"/>
          <w:vertAlign w:val="superscript"/>
        </w:rPr>
        <w:t>a</w:t>
      </w:r>
      <w:r w:rsidRPr="00D26BBC">
        <w:rPr>
          <w:sz w:val="22"/>
          <w:szCs w:val="22"/>
        </w:rPr>
        <w:t>ER/PR-negativan ili stepen 3 ili veličina tumora &gt;</w:t>
      </w:r>
      <w:r>
        <w:rPr>
          <w:sz w:val="22"/>
          <w:szCs w:val="22"/>
        </w:rPr>
        <w:t xml:space="preserve"> </w:t>
      </w:r>
      <w:r w:rsidRPr="00D26BBC">
        <w:rPr>
          <w:sz w:val="22"/>
          <w:szCs w:val="22"/>
        </w:rPr>
        <w:t>5cm</w:t>
      </w:r>
    </w:p>
    <w:p w14:paraId="70BA986A" w14:textId="77777777" w:rsidR="00F223ED" w:rsidRPr="00D26BBC" w:rsidRDefault="00F223ED" w:rsidP="00F223ED">
      <w:pPr>
        <w:pStyle w:val="Header"/>
        <w:tabs>
          <w:tab w:val="left" w:pos="284"/>
        </w:tabs>
        <w:rPr>
          <w:sz w:val="22"/>
          <w:szCs w:val="22"/>
        </w:rPr>
      </w:pPr>
    </w:p>
    <w:p w14:paraId="4176129E" w14:textId="77777777" w:rsidR="00F223ED" w:rsidRPr="00D26BBC" w:rsidRDefault="00F223ED" w:rsidP="00F223ED">
      <w:pPr>
        <w:pStyle w:val="Header"/>
        <w:tabs>
          <w:tab w:val="left" w:pos="284"/>
        </w:tabs>
        <w:rPr>
          <w:sz w:val="22"/>
          <w:szCs w:val="22"/>
        </w:rPr>
      </w:pPr>
      <w:r w:rsidRPr="00D26BBC">
        <w:rPr>
          <w:sz w:val="22"/>
          <w:szCs w:val="22"/>
        </w:rPr>
        <w:t xml:space="preserve">Utvrđeni indeks rizika je rađen uz </w:t>
      </w:r>
      <w:r w:rsidRPr="00D26BBC">
        <w:rPr>
          <w:i/>
          <w:sz w:val="22"/>
          <w:szCs w:val="22"/>
        </w:rPr>
        <w:t>Cox</w:t>
      </w:r>
      <w:r w:rsidRPr="00D26BBC">
        <w:rPr>
          <w:sz w:val="22"/>
          <w:szCs w:val="22"/>
        </w:rPr>
        <w:t xml:space="preserve"> model proporcionalnog rizika gdje je liječena grupa bila faktor.</w:t>
      </w:r>
    </w:p>
    <w:p w14:paraId="69B517D4" w14:textId="77777777" w:rsidR="00F223ED" w:rsidRPr="00D26BBC" w:rsidRDefault="00F223ED" w:rsidP="00F223ED">
      <w:pPr>
        <w:pStyle w:val="Header"/>
        <w:tabs>
          <w:tab w:val="left" w:pos="284"/>
        </w:tabs>
        <w:rPr>
          <w:b/>
          <w:bCs/>
          <w:sz w:val="22"/>
          <w:szCs w:val="22"/>
        </w:rPr>
      </w:pPr>
    </w:p>
    <w:p w14:paraId="63601773" w14:textId="503C1287" w:rsidR="00F223ED" w:rsidRPr="00D26BBC" w:rsidRDefault="009D254D" w:rsidP="00F223ED">
      <w:pPr>
        <w:autoSpaceDE w:val="0"/>
        <w:autoSpaceDN w:val="0"/>
        <w:adjustRightInd w:val="0"/>
        <w:rPr>
          <w:bCs/>
          <w:i/>
          <w:iCs/>
          <w:sz w:val="22"/>
          <w:szCs w:val="22"/>
        </w:rPr>
      </w:pPr>
      <w:r>
        <w:rPr>
          <w:bCs/>
          <w:i/>
          <w:iCs/>
          <w:sz w:val="22"/>
          <w:szCs w:val="22"/>
        </w:rPr>
        <w:t>Docetaxel Hospira</w:t>
      </w:r>
      <w:r w:rsidR="00F223ED" w:rsidRPr="00D26BBC">
        <w:rPr>
          <w:bCs/>
          <w:i/>
          <w:iCs/>
          <w:sz w:val="22"/>
          <w:szCs w:val="22"/>
        </w:rPr>
        <w:t xml:space="preserve"> u monoterapiji</w:t>
      </w:r>
    </w:p>
    <w:p w14:paraId="78708525" w14:textId="77777777" w:rsidR="00F223ED" w:rsidRPr="00D26BBC" w:rsidRDefault="00F223ED" w:rsidP="00F223ED">
      <w:pPr>
        <w:autoSpaceDE w:val="0"/>
        <w:autoSpaceDN w:val="0"/>
        <w:adjustRightInd w:val="0"/>
        <w:rPr>
          <w:b/>
          <w:bCs/>
          <w:i/>
          <w:iCs/>
          <w:sz w:val="22"/>
          <w:szCs w:val="22"/>
        </w:rPr>
      </w:pPr>
    </w:p>
    <w:p w14:paraId="0FB0CBA3" w14:textId="77777777" w:rsidR="00F223ED" w:rsidRPr="00D26BBC" w:rsidRDefault="00F223ED" w:rsidP="00F223ED">
      <w:pPr>
        <w:autoSpaceDE w:val="0"/>
        <w:autoSpaceDN w:val="0"/>
        <w:adjustRightInd w:val="0"/>
        <w:rPr>
          <w:sz w:val="22"/>
          <w:szCs w:val="22"/>
        </w:rPr>
      </w:pPr>
      <w:r w:rsidRPr="00D26BBC">
        <w:rPr>
          <w:sz w:val="22"/>
          <w:szCs w:val="22"/>
        </w:rPr>
        <w:t>Dvije randomizovane, komparativne studije faze III uklju</w:t>
      </w:r>
      <w:r w:rsidRPr="00D26BBC">
        <w:rPr>
          <w:rFonts w:eastAsia="TimesNewRoman"/>
          <w:sz w:val="22"/>
          <w:szCs w:val="22"/>
        </w:rPr>
        <w:t>č</w:t>
      </w:r>
      <w:r w:rsidRPr="00D26BBC">
        <w:rPr>
          <w:sz w:val="22"/>
          <w:szCs w:val="22"/>
        </w:rPr>
        <w:t>ile su 326 pacijenata sa metastatskim karcinomom dojke, poslije neuspjeha terapije alkiliraju</w:t>
      </w:r>
      <w:r w:rsidRPr="00D26BBC">
        <w:rPr>
          <w:rFonts w:eastAsia="TimesNewRoman"/>
          <w:sz w:val="22"/>
          <w:szCs w:val="22"/>
        </w:rPr>
        <w:t>ć</w:t>
      </w:r>
      <w:r w:rsidRPr="00D26BBC">
        <w:rPr>
          <w:sz w:val="22"/>
          <w:szCs w:val="22"/>
        </w:rPr>
        <w:t>im citostatikom, odnosno 392 pacijenata poslije neuspjele terapije antraciklinima - docetaksel je primjenjivan u preporu</w:t>
      </w:r>
      <w:r w:rsidRPr="00D26BBC">
        <w:rPr>
          <w:rFonts w:eastAsia="TimesNewRoman"/>
          <w:sz w:val="22"/>
          <w:szCs w:val="22"/>
        </w:rPr>
        <w:t>č</w:t>
      </w:r>
      <w:r w:rsidRPr="00D26BBC">
        <w:rPr>
          <w:sz w:val="22"/>
          <w:szCs w:val="22"/>
        </w:rPr>
        <w:t>enoj dozi i po režimu 100 mg/m² svake 3 nedjelje.</w:t>
      </w:r>
    </w:p>
    <w:p w14:paraId="0C80F4F9" w14:textId="77777777" w:rsidR="00F223ED" w:rsidRPr="00D26BBC" w:rsidRDefault="00F223ED" w:rsidP="00F223ED">
      <w:pPr>
        <w:autoSpaceDE w:val="0"/>
        <w:autoSpaceDN w:val="0"/>
        <w:adjustRightInd w:val="0"/>
        <w:rPr>
          <w:sz w:val="22"/>
          <w:szCs w:val="22"/>
        </w:rPr>
      </w:pPr>
    </w:p>
    <w:p w14:paraId="4A42B63E" w14:textId="77777777" w:rsidR="00F223ED" w:rsidRPr="00D26BBC" w:rsidRDefault="00F223ED" w:rsidP="00F223ED">
      <w:pPr>
        <w:autoSpaceDE w:val="0"/>
        <w:autoSpaceDN w:val="0"/>
        <w:adjustRightInd w:val="0"/>
        <w:rPr>
          <w:sz w:val="22"/>
          <w:szCs w:val="22"/>
        </w:rPr>
      </w:pPr>
      <w:r w:rsidRPr="00D26BBC">
        <w:rPr>
          <w:sz w:val="22"/>
          <w:szCs w:val="22"/>
        </w:rPr>
        <w:t>Kod pacijenata sa prethodnom neuspješnom terapijom alkiliraju</w:t>
      </w:r>
      <w:r w:rsidRPr="00D26BBC">
        <w:rPr>
          <w:rFonts w:eastAsia="TimesNewRoman"/>
          <w:sz w:val="22"/>
          <w:szCs w:val="22"/>
        </w:rPr>
        <w:t>ć</w:t>
      </w:r>
      <w:r w:rsidRPr="00D26BBC">
        <w:rPr>
          <w:sz w:val="22"/>
          <w:szCs w:val="22"/>
        </w:rPr>
        <w:t>im citostaticima, docetaksel je pore</w:t>
      </w:r>
      <w:r w:rsidRPr="00D26BBC">
        <w:rPr>
          <w:rFonts w:eastAsia="TimesNewRoman"/>
          <w:sz w:val="22"/>
          <w:szCs w:val="22"/>
        </w:rPr>
        <w:t>đ</w:t>
      </w:r>
      <w:r w:rsidRPr="00D26BBC">
        <w:rPr>
          <w:sz w:val="22"/>
          <w:szCs w:val="22"/>
        </w:rPr>
        <w:t>en sa doksorubicinom (75 mg/m² svake 3 nedjelje). Ne uti</w:t>
      </w:r>
      <w:r w:rsidRPr="00D26BBC">
        <w:rPr>
          <w:rFonts w:eastAsia="TimesNewRoman"/>
          <w:sz w:val="22"/>
          <w:szCs w:val="22"/>
        </w:rPr>
        <w:t>č</w:t>
      </w:r>
      <w:r w:rsidRPr="00D26BBC">
        <w:rPr>
          <w:sz w:val="22"/>
          <w:szCs w:val="22"/>
        </w:rPr>
        <w:t>u</w:t>
      </w:r>
      <w:r w:rsidRPr="00D26BBC">
        <w:rPr>
          <w:rFonts w:eastAsia="TimesNewRoman"/>
          <w:sz w:val="22"/>
          <w:szCs w:val="22"/>
        </w:rPr>
        <w:t>ć</w:t>
      </w:r>
      <w:r w:rsidRPr="00D26BBC">
        <w:rPr>
          <w:sz w:val="22"/>
          <w:szCs w:val="22"/>
        </w:rPr>
        <w:t>i na ukupno vrijeme preživljavanja (docetaksel 15 mjeseci prema 14 mjeseci sa doksorubicinom, p=0,38) niti na vrijeme do pojave progresije bolesti (docetaksel 27 nedjelja prema 23 nedjelje sa doksorubicinom, p=0,54), docetaksel je pove</w:t>
      </w:r>
      <w:r w:rsidRPr="00D26BBC">
        <w:rPr>
          <w:rFonts w:eastAsia="TimesNewRoman"/>
          <w:sz w:val="22"/>
          <w:szCs w:val="22"/>
        </w:rPr>
        <w:t>ć</w:t>
      </w:r>
      <w:r w:rsidRPr="00D26BBC">
        <w:rPr>
          <w:sz w:val="22"/>
          <w:szCs w:val="22"/>
        </w:rPr>
        <w:t>avao stopu odgovora (52% prema 37%, p=0,01) i skratio vrijeme do pojave odgovora (12 nedjelja prema 23 nedjelje, p=0,007). Terapija docetakselom je prekinuta kod tri pacijenta (2%) zbog retencije te</w:t>
      </w:r>
      <w:r w:rsidRPr="00D26BBC">
        <w:rPr>
          <w:rFonts w:eastAsia="TimesNewRoman"/>
          <w:sz w:val="22"/>
          <w:szCs w:val="22"/>
        </w:rPr>
        <w:t>č</w:t>
      </w:r>
      <w:r w:rsidRPr="00D26BBC">
        <w:rPr>
          <w:sz w:val="22"/>
          <w:szCs w:val="22"/>
        </w:rPr>
        <w:t>nosti, dok je terapija doksorubicinom morala biti prekinuta kod 15 pacijenata (9%), zbog kardiotoksi</w:t>
      </w:r>
      <w:r w:rsidRPr="00D26BBC">
        <w:rPr>
          <w:rFonts w:eastAsia="TimesNewRoman"/>
          <w:sz w:val="22"/>
          <w:szCs w:val="22"/>
        </w:rPr>
        <w:t>č</w:t>
      </w:r>
      <w:r w:rsidRPr="00D26BBC">
        <w:rPr>
          <w:sz w:val="22"/>
          <w:szCs w:val="22"/>
        </w:rPr>
        <w:t>nosti (tri slu</w:t>
      </w:r>
      <w:r w:rsidRPr="00D26BBC">
        <w:rPr>
          <w:rFonts w:eastAsia="TimesNewRoman"/>
          <w:sz w:val="22"/>
          <w:szCs w:val="22"/>
        </w:rPr>
        <w:t>č</w:t>
      </w:r>
      <w:r w:rsidRPr="00D26BBC">
        <w:rPr>
          <w:sz w:val="22"/>
          <w:szCs w:val="22"/>
        </w:rPr>
        <w:t>aja fatalne kongestivne sr</w:t>
      </w:r>
      <w:r w:rsidRPr="00D26BBC">
        <w:rPr>
          <w:rFonts w:eastAsia="TimesNewRoman"/>
          <w:sz w:val="22"/>
          <w:szCs w:val="22"/>
        </w:rPr>
        <w:t>č</w:t>
      </w:r>
      <w:r w:rsidRPr="00D26BBC">
        <w:rPr>
          <w:sz w:val="22"/>
          <w:szCs w:val="22"/>
        </w:rPr>
        <w:t>ane insuficijencije).</w:t>
      </w:r>
    </w:p>
    <w:p w14:paraId="7C5654CB" w14:textId="77777777" w:rsidR="00F223ED" w:rsidRPr="00D26BBC" w:rsidRDefault="00F223ED" w:rsidP="00F223ED">
      <w:pPr>
        <w:autoSpaceDE w:val="0"/>
        <w:autoSpaceDN w:val="0"/>
        <w:adjustRightInd w:val="0"/>
        <w:rPr>
          <w:sz w:val="22"/>
          <w:szCs w:val="22"/>
        </w:rPr>
      </w:pPr>
    </w:p>
    <w:p w14:paraId="16FFDBA5" w14:textId="77777777" w:rsidR="00F223ED" w:rsidRPr="00D26BBC" w:rsidRDefault="00F223ED" w:rsidP="00F223ED">
      <w:pPr>
        <w:autoSpaceDE w:val="0"/>
        <w:autoSpaceDN w:val="0"/>
        <w:adjustRightInd w:val="0"/>
        <w:rPr>
          <w:sz w:val="22"/>
          <w:szCs w:val="22"/>
        </w:rPr>
      </w:pPr>
      <w:r w:rsidRPr="00D26BBC">
        <w:rPr>
          <w:sz w:val="22"/>
          <w:szCs w:val="22"/>
        </w:rPr>
        <w:t>Kod pacijenata sa prethodno neuspjelom terapijom antraciklinima, docetaksel je pore</w:t>
      </w:r>
      <w:r w:rsidRPr="00D26BBC">
        <w:rPr>
          <w:rFonts w:eastAsia="TimesNewRoman"/>
          <w:sz w:val="22"/>
          <w:szCs w:val="22"/>
        </w:rPr>
        <w:t>đ</w:t>
      </w:r>
      <w:r w:rsidRPr="00D26BBC">
        <w:rPr>
          <w:sz w:val="22"/>
          <w:szCs w:val="22"/>
        </w:rPr>
        <w:t>en sa kombinacijom mitomicina C i vinblastina (12 mg/m² svakih 6 nedjelja i 6 mg/m² svake 3 nedjelje). Docetaksel je pove</w:t>
      </w:r>
      <w:r w:rsidRPr="00D26BBC">
        <w:rPr>
          <w:rFonts w:eastAsia="TimesNewRoman"/>
          <w:sz w:val="22"/>
          <w:szCs w:val="22"/>
        </w:rPr>
        <w:t>ć</w:t>
      </w:r>
      <w:r w:rsidRPr="00D26BBC">
        <w:rPr>
          <w:sz w:val="22"/>
          <w:szCs w:val="22"/>
        </w:rPr>
        <w:t>ao stopu odgovora (33% prema 12%, p</w:t>
      </w:r>
      <w:r>
        <w:rPr>
          <w:sz w:val="22"/>
          <w:szCs w:val="22"/>
        </w:rPr>
        <w:t xml:space="preserve"> </w:t>
      </w:r>
      <w:r w:rsidRPr="00D26BBC">
        <w:rPr>
          <w:sz w:val="22"/>
          <w:szCs w:val="22"/>
        </w:rPr>
        <w:t>&lt;</w:t>
      </w:r>
      <w:r>
        <w:rPr>
          <w:sz w:val="22"/>
          <w:szCs w:val="22"/>
        </w:rPr>
        <w:t xml:space="preserve"> </w:t>
      </w:r>
      <w:r w:rsidRPr="00D26BBC">
        <w:rPr>
          <w:sz w:val="22"/>
          <w:szCs w:val="22"/>
        </w:rPr>
        <w:t>0,0001), produžio interval do progresije bolesti (19 nedjelja prema 11 nedjelja, p=0,0004) i produžio ukupno preživljavanje (11 mjeseci prema 9 mjeseci, p=0,001).</w:t>
      </w:r>
    </w:p>
    <w:p w14:paraId="709A11FE" w14:textId="77777777" w:rsidR="00F223ED" w:rsidRPr="00D26BBC" w:rsidRDefault="00F223ED" w:rsidP="00F223ED">
      <w:pPr>
        <w:autoSpaceDE w:val="0"/>
        <w:autoSpaceDN w:val="0"/>
        <w:adjustRightInd w:val="0"/>
        <w:rPr>
          <w:sz w:val="22"/>
          <w:szCs w:val="22"/>
        </w:rPr>
      </w:pPr>
    </w:p>
    <w:p w14:paraId="61B1414C" w14:textId="2627EA4D" w:rsidR="00F223ED" w:rsidRPr="00D26BBC" w:rsidRDefault="00F223ED" w:rsidP="00F223ED">
      <w:pPr>
        <w:autoSpaceDE w:val="0"/>
        <w:autoSpaceDN w:val="0"/>
        <w:adjustRightInd w:val="0"/>
        <w:rPr>
          <w:sz w:val="22"/>
          <w:szCs w:val="22"/>
        </w:rPr>
      </w:pPr>
      <w:r w:rsidRPr="00D26BBC">
        <w:rPr>
          <w:sz w:val="22"/>
          <w:szCs w:val="22"/>
        </w:rPr>
        <w:t xml:space="preserve">Tokom ove dvije studije faze III, bezbjednost primjene docetaksela se podudarala sa profilom bezbjednosti lijeka, registrovanim u ispitivanjima faze II (vidjeti </w:t>
      </w:r>
      <w:r w:rsidR="006A399E">
        <w:rPr>
          <w:sz w:val="22"/>
          <w:szCs w:val="22"/>
        </w:rPr>
        <w:t>dio</w:t>
      </w:r>
      <w:r w:rsidRPr="00D26BBC">
        <w:rPr>
          <w:sz w:val="22"/>
          <w:szCs w:val="22"/>
        </w:rPr>
        <w:t xml:space="preserve"> 4.8).</w:t>
      </w:r>
    </w:p>
    <w:p w14:paraId="6822DC8B" w14:textId="77777777" w:rsidR="00F223ED" w:rsidRPr="00D26BBC" w:rsidRDefault="00F223ED" w:rsidP="00F223ED">
      <w:pPr>
        <w:autoSpaceDE w:val="0"/>
        <w:autoSpaceDN w:val="0"/>
        <w:adjustRightInd w:val="0"/>
        <w:rPr>
          <w:sz w:val="22"/>
          <w:szCs w:val="22"/>
        </w:rPr>
      </w:pPr>
    </w:p>
    <w:p w14:paraId="1C73BBD5" w14:textId="77777777" w:rsidR="00F223ED" w:rsidRPr="00D26BBC" w:rsidRDefault="00F223ED" w:rsidP="00F223ED">
      <w:pPr>
        <w:autoSpaceDE w:val="0"/>
        <w:autoSpaceDN w:val="0"/>
        <w:adjustRightInd w:val="0"/>
        <w:rPr>
          <w:sz w:val="22"/>
          <w:szCs w:val="22"/>
        </w:rPr>
      </w:pPr>
      <w:r w:rsidRPr="00D26BBC">
        <w:rPr>
          <w:sz w:val="22"/>
          <w:szCs w:val="22"/>
        </w:rPr>
        <w:lastRenderedPageBreak/>
        <w:t>Otvorena, multicentri</w:t>
      </w:r>
      <w:r w:rsidRPr="00D26BBC">
        <w:rPr>
          <w:rFonts w:eastAsia="TimesNewRoman"/>
          <w:sz w:val="22"/>
          <w:szCs w:val="22"/>
        </w:rPr>
        <w:t>č</w:t>
      </w:r>
      <w:r w:rsidRPr="00D26BBC">
        <w:rPr>
          <w:sz w:val="22"/>
          <w:szCs w:val="22"/>
        </w:rPr>
        <w:t>na, randomizovana studija faze III sprovedena je sa ciljem da se izvrši pore</w:t>
      </w:r>
      <w:r w:rsidRPr="00D26BBC">
        <w:rPr>
          <w:rFonts w:eastAsia="TimesNewRoman"/>
          <w:sz w:val="22"/>
          <w:szCs w:val="22"/>
        </w:rPr>
        <w:t>đ</w:t>
      </w:r>
      <w:r w:rsidRPr="00D26BBC">
        <w:rPr>
          <w:sz w:val="22"/>
          <w:szCs w:val="22"/>
        </w:rPr>
        <w:t>enje</w:t>
      </w:r>
    </w:p>
    <w:p w14:paraId="1EF98D1C" w14:textId="77777777" w:rsidR="00F223ED" w:rsidRPr="00D26BBC" w:rsidRDefault="00F223ED" w:rsidP="00F223ED">
      <w:pPr>
        <w:autoSpaceDE w:val="0"/>
        <w:autoSpaceDN w:val="0"/>
        <w:adjustRightInd w:val="0"/>
        <w:rPr>
          <w:sz w:val="22"/>
          <w:szCs w:val="22"/>
        </w:rPr>
      </w:pPr>
      <w:r w:rsidRPr="00D26BBC">
        <w:rPr>
          <w:sz w:val="22"/>
          <w:szCs w:val="22"/>
        </w:rPr>
        <w:t>monoterapijske primjene docetaksela i paklitaksela u lije</w:t>
      </w:r>
      <w:r w:rsidRPr="00D26BBC">
        <w:rPr>
          <w:rFonts w:eastAsia="TimesNewRoman"/>
          <w:sz w:val="22"/>
          <w:szCs w:val="22"/>
        </w:rPr>
        <w:t>č</w:t>
      </w:r>
      <w:r w:rsidRPr="00D26BBC">
        <w:rPr>
          <w:sz w:val="22"/>
          <w:szCs w:val="22"/>
        </w:rPr>
        <w:t xml:space="preserve">enju uznapredovalog karcinoma dojke kod pacijenata, za koje je preduslov bio da su prethodno primali terapiju nekim antraciklinom. Ukupno 449 pacijenata je randomizovano tako da su primali monoterapiju docetakselom 100 mg/m² u jednosatnoj infuziji ili paklitaksel u dozi od 175 mg/m² u obliku trosatne infuzije. Oba terapijska režima su primjenjivana svake 3 nedjelje. </w:t>
      </w:r>
    </w:p>
    <w:p w14:paraId="66A71D86" w14:textId="77777777" w:rsidR="00F223ED" w:rsidRPr="00D26BBC" w:rsidRDefault="00F223ED" w:rsidP="00F223ED">
      <w:pPr>
        <w:autoSpaceDE w:val="0"/>
        <w:autoSpaceDN w:val="0"/>
        <w:adjustRightInd w:val="0"/>
        <w:rPr>
          <w:sz w:val="22"/>
          <w:szCs w:val="22"/>
        </w:rPr>
      </w:pPr>
    </w:p>
    <w:p w14:paraId="342479EB" w14:textId="77777777" w:rsidR="00F223ED" w:rsidRPr="00D26BBC" w:rsidRDefault="00F223ED" w:rsidP="00F223ED">
      <w:pPr>
        <w:autoSpaceDE w:val="0"/>
        <w:autoSpaceDN w:val="0"/>
        <w:adjustRightInd w:val="0"/>
        <w:rPr>
          <w:sz w:val="22"/>
          <w:szCs w:val="22"/>
        </w:rPr>
      </w:pPr>
      <w:r w:rsidRPr="00D26BBC">
        <w:rPr>
          <w:sz w:val="22"/>
          <w:szCs w:val="22"/>
        </w:rPr>
        <w:t>Ne uti</w:t>
      </w:r>
      <w:r w:rsidRPr="00D26BBC">
        <w:rPr>
          <w:rFonts w:eastAsia="TimesNewRoman"/>
          <w:sz w:val="22"/>
          <w:szCs w:val="22"/>
        </w:rPr>
        <w:t>č</w:t>
      </w:r>
      <w:r w:rsidRPr="00D26BBC">
        <w:rPr>
          <w:sz w:val="22"/>
          <w:szCs w:val="22"/>
        </w:rPr>
        <w:t>u</w:t>
      </w:r>
      <w:r w:rsidRPr="00D26BBC">
        <w:rPr>
          <w:rFonts w:eastAsia="TimesNewRoman"/>
          <w:sz w:val="22"/>
          <w:szCs w:val="22"/>
        </w:rPr>
        <w:t>ć</w:t>
      </w:r>
      <w:r w:rsidRPr="00D26BBC">
        <w:rPr>
          <w:sz w:val="22"/>
          <w:szCs w:val="22"/>
        </w:rPr>
        <w:t>i na primarni krajnji ishod ispitivanja, odnosno ukupnu stopu odgovora (32% prema 25%, p=0,10), docetaksel je produžio srednje vrijeme do progresije bolesti (24,6 nedjelja prema 15,6 nedjelja, p</w:t>
      </w:r>
      <w:r>
        <w:rPr>
          <w:sz w:val="22"/>
          <w:szCs w:val="22"/>
        </w:rPr>
        <w:t xml:space="preserve"> </w:t>
      </w:r>
      <w:r w:rsidRPr="00D26BBC">
        <w:rPr>
          <w:sz w:val="22"/>
          <w:szCs w:val="22"/>
        </w:rPr>
        <w:t>&lt;</w:t>
      </w:r>
      <w:r>
        <w:rPr>
          <w:sz w:val="22"/>
          <w:szCs w:val="22"/>
        </w:rPr>
        <w:t xml:space="preserve"> </w:t>
      </w:r>
      <w:r w:rsidRPr="00D26BBC">
        <w:rPr>
          <w:sz w:val="22"/>
          <w:szCs w:val="22"/>
        </w:rPr>
        <w:t xml:space="preserve">0,01), kao i srednje vrijeme preživljavanja (15,3 mjeseca prema 12,7 mjeseci, p=0,03). </w:t>
      </w:r>
    </w:p>
    <w:p w14:paraId="7665F6D9" w14:textId="77777777" w:rsidR="00F223ED" w:rsidRPr="00D26BBC" w:rsidRDefault="00F223ED" w:rsidP="00F223ED">
      <w:pPr>
        <w:autoSpaceDE w:val="0"/>
        <w:autoSpaceDN w:val="0"/>
        <w:adjustRightInd w:val="0"/>
        <w:rPr>
          <w:sz w:val="22"/>
          <w:szCs w:val="22"/>
        </w:rPr>
      </w:pPr>
    </w:p>
    <w:p w14:paraId="40BBD1CD" w14:textId="77777777" w:rsidR="00F223ED" w:rsidRPr="00D26BBC" w:rsidRDefault="00F223ED" w:rsidP="00F223ED">
      <w:pPr>
        <w:autoSpaceDE w:val="0"/>
        <w:autoSpaceDN w:val="0"/>
        <w:adjustRightInd w:val="0"/>
        <w:rPr>
          <w:sz w:val="22"/>
          <w:szCs w:val="22"/>
        </w:rPr>
      </w:pPr>
      <w:r w:rsidRPr="00D26BBC">
        <w:rPr>
          <w:sz w:val="22"/>
          <w:szCs w:val="22"/>
        </w:rPr>
        <w:t>Kod monoterapije docetakselom zabilježeno je više neželjenih dejstava 3. ili 4. stepena (55,4%), nego kod monoterapije paklitakselom (23,0%).</w:t>
      </w:r>
    </w:p>
    <w:p w14:paraId="006C7FC4" w14:textId="77777777" w:rsidR="00F223ED" w:rsidRPr="00D26BBC" w:rsidRDefault="00F223ED" w:rsidP="00F223ED">
      <w:pPr>
        <w:pStyle w:val="Header"/>
        <w:tabs>
          <w:tab w:val="left" w:pos="284"/>
        </w:tabs>
        <w:rPr>
          <w:sz w:val="22"/>
          <w:szCs w:val="22"/>
        </w:rPr>
      </w:pPr>
    </w:p>
    <w:p w14:paraId="5D6E30F5" w14:textId="29340C85" w:rsidR="00F223ED" w:rsidRPr="00D26BBC" w:rsidRDefault="009D254D" w:rsidP="00F223ED">
      <w:pPr>
        <w:autoSpaceDE w:val="0"/>
        <w:autoSpaceDN w:val="0"/>
        <w:adjustRightInd w:val="0"/>
        <w:rPr>
          <w:bCs/>
          <w:i/>
          <w:iCs/>
          <w:sz w:val="22"/>
          <w:szCs w:val="22"/>
        </w:rPr>
      </w:pPr>
      <w:r>
        <w:rPr>
          <w:bCs/>
          <w:i/>
          <w:iCs/>
          <w:sz w:val="22"/>
          <w:szCs w:val="22"/>
        </w:rPr>
        <w:t>Docetaxel Hospira</w:t>
      </w:r>
      <w:r w:rsidR="00F223ED" w:rsidRPr="00D26BBC">
        <w:rPr>
          <w:bCs/>
          <w:i/>
          <w:iCs/>
          <w:sz w:val="22"/>
          <w:szCs w:val="22"/>
        </w:rPr>
        <w:t xml:space="preserve"> u kombinaciji sa doksorubicinom</w:t>
      </w:r>
    </w:p>
    <w:p w14:paraId="67590E08" w14:textId="77777777" w:rsidR="00F223ED" w:rsidRPr="00D26BBC" w:rsidRDefault="00F223ED" w:rsidP="00F223ED">
      <w:pPr>
        <w:autoSpaceDE w:val="0"/>
        <w:autoSpaceDN w:val="0"/>
        <w:adjustRightInd w:val="0"/>
        <w:rPr>
          <w:i/>
          <w:iCs/>
          <w:sz w:val="22"/>
          <w:szCs w:val="22"/>
        </w:rPr>
      </w:pPr>
    </w:p>
    <w:p w14:paraId="5E7C24D7" w14:textId="77777777" w:rsidR="00F223ED" w:rsidRPr="00D26BBC" w:rsidRDefault="00F223ED" w:rsidP="00F223ED">
      <w:pPr>
        <w:autoSpaceDE w:val="0"/>
        <w:autoSpaceDN w:val="0"/>
        <w:adjustRightInd w:val="0"/>
        <w:rPr>
          <w:sz w:val="22"/>
          <w:szCs w:val="22"/>
        </w:rPr>
      </w:pPr>
      <w:r w:rsidRPr="00D26BBC">
        <w:rPr>
          <w:sz w:val="22"/>
          <w:szCs w:val="22"/>
        </w:rPr>
        <w:t>Jedna velika randomizovana studija faze III, u kojoj je u</w:t>
      </w:r>
      <w:r w:rsidRPr="00D26BBC">
        <w:rPr>
          <w:rFonts w:eastAsia="TimesNewRoman"/>
          <w:sz w:val="22"/>
          <w:szCs w:val="22"/>
        </w:rPr>
        <w:t>č</w:t>
      </w:r>
      <w:r w:rsidRPr="00D26BBC">
        <w:rPr>
          <w:sz w:val="22"/>
          <w:szCs w:val="22"/>
        </w:rPr>
        <w:t>estvovalo 429 pacijenata sa metastatskim</w:t>
      </w:r>
    </w:p>
    <w:p w14:paraId="5B9E4770" w14:textId="77777777" w:rsidR="00F223ED" w:rsidRPr="00D26BBC" w:rsidRDefault="00F223ED" w:rsidP="00F223ED">
      <w:pPr>
        <w:autoSpaceDE w:val="0"/>
        <w:autoSpaceDN w:val="0"/>
        <w:adjustRightInd w:val="0"/>
        <w:rPr>
          <w:sz w:val="22"/>
          <w:szCs w:val="22"/>
        </w:rPr>
      </w:pPr>
      <w:r w:rsidRPr="00D26BBC">
        <w:rPr>
          <w:sz w:val="22"/>
          <w:szCs w:val="22"/>
        </w:rPr>
        <w:t>karcinomom dojke, koji prethodno nisu primali terapiju, sprovedena je u cilju pore</w:t>
      </w:r>
      <w:r w:rsidRPr="00D26BBC">
        <w:rPr>
          <w:rFonts w:eastAsia="TimesNewRoman"/>
          <w:sz w:val="22"/>
          <w:szCs w:val="22"/>
        </w:rPr>
        <w:t>đ</w:t>
      </w:r>
      <w:r w:rsidRPr="00D26BBC">
        <w:rPr>
          <w:sz w:val="22"/>
          <w:szCs w:val="22"/>
        </w:rPr>
        <w:t>enja efikasnosti primjene doksorubicina (50 mg/m²) u kombinaciji sa docetakselom (75 mg/m²) (grupa AT) u odnosu na primjenu doksorubicina (60 mg/m²) u kombinaciji sa ciklofosfamidom (600 mg/m²) (grupa AC). Oba režima su primjenjivana prvog dana svake 3 nedjelje.</w:t>
      </w:r>
    </w:p>
    <w:p w14:paraId="62276CC7" w14:textId="77777777" w:rsidR="00F223ED" w:rsidRPr="00D26BBC" w:rsidRDefault="00F223ED" w:rsidP="00F223ED">
      <w:pPr>
        <w:autoSpaceDE w:val="0"/>
        <w:autoSpaceDN w:val="0"/>
        <w:adjustRightInd w:val="0"/>
        <w:rPr>
          <w:sz w:val="22"/>
          <w:szCs w:val="22"/>
        </w:rPr>
      </w:pPr>
    </w:p>
    <w:p w14:paraId="1D84E703" w14:textId="77777777" w:rsidR="00F223ED" w:rsidRPr="00973003" w:rsidRDefault="00F223ED" w:rsidP="00F223ED">
      <w:pPr>
        <w:pStyle w:val="ListParagraph"/>
        <w:numPr>
          <w:ilvl w:val="0"/>
          <w:numId w:val="26"/>
        </w:numPr>
        <w:autoSpaceDE w:val="0"/>
        <w:autoSpaceDN w:val="0"/>
        <w:adjustRightInd w:val="0"/>
        <w:rPr>
          <w:rFonts w:ascii="Times New Roman" w:hAnsi="Times New Roman"/>
          <w:sz w:val="22"/>
          <w:szCs w:val="22"/>
        </w:rPr>
      </w:pPr>
      <w:r w:rsidRPr="00973003">
        <w:rPr>
          <w:rFonts w:ascii="Times New Roman" w:hAnsi="Times New Roman"/>
          <w:sz w:val="22"/>
          <w:szCs w:val="22"/>
        </w:rPr>
        <w:t>Vrijeme do progresije bolesti (TTP) bilo je zna</w:t>
      </w:r>
      <w:r w:rsidRPr="00973003">
        <w:rPr>
          <w:rFonts w:ascii="Times New Roman" w:eastAsia="TimesNewRoman" w:hAnsi="Times New Roman"/>
          <w:sz w:val="22"/>
          <w:szCs w:val="22"/>
        </w:rPr>
        <w:t>č</w:t>
      </w:r>
      <w:r w:rsidRPr="00973003">
        <w:rPr>
          <w:rFonts w:ascii="Times New Roman" w:hAnsi="Times New Roman"/>
          <w:sz w:val="22"/>
          <w:szCs w:val="22"/>
        </w:rPr>
        <w:t>ajno duže u grupi AT nego u grupi AC, p=0,0138. U grupi AT srednje vrijeme do progresije bilo je 37,3 nedjelje (95% CI: 33,4-42,1), a u grupi AC 31,9 nedjelja (95% CI: 27,4-36,0).</w:t>
      </w:r>
    </w:p>
    <w:p w14:paraId="0E9F13F7" w14:textId="77777777" w:rsidR="00F223ED" w:rsidRPr="00D26BBC" w:rsidRDefault="00F223ED" w:rsidP="00F223ED">
      <w:pPr>
        <w:autoSpaceDE w:val="0"/>
        <w:autoSpaceDN w:val="0"/>
        <w:adjustRightInd w:val="0"/>
        <w:rPr>
          <w:sz w:val="22"/>
          <w:szCs w:val="22"/>
        </w:rPr>
      </w:pPr>
    </w:p>
    <w:p w14:paraId="07CDB537" w14:textId="77777777" w:rsidR="00F223ED" w:rsidRPr="00973003" w:rsidRDefault="00F223ED" w:rsidP="00F223ED">
      <w:pPr>
        <w:pStyle w:val="ListParagraph"/>
        <w:numPr>
          <w:ilvl w:val="0"/>
          <w:numId w:val="26"/>
        </w:numPr>
        <w:autoSpaceDE w:val="0"/>
        <w:autoSpaceDN w:val="0"/>
        <w:adjustRightInd w:val="0"/>
        <w:rPr>
          <w:rFonts w:ascii="Times New Roman" w:hAnsi="Times New Roman"/>
          <w:sz w:val="22"/>
          <w:szCs w:val="22"/>
        </w:rPr>
      </w:pPr>
      <w:r w:rsidRPr="00973003">
        <w:rPr>
          <w:rFonts w:ascii="Times New Roman" w:hAnsi="Times New Roman"/>
          <w:sz w:val="22"/>
          <w:szCs w:val="22"/>
        </w:rPr>
        <w:t>Ukupna stopa odgovora (ORR) u grupi AT bila je zna</w:t>
      </w:r>
      <w:r w:rsidRPr="00973003">
        <w:rPr>
          <w:rFonts w:ascii="Times New Roman" w:eastAsia="TimesNewRoman" w:hAnsi="Times New Roman"/>
          <w:sz w:val="22"/>
          <w:szCs w:val="22"/>
        </w:rPr>
        <w:t>č</w:t>
      </w:r>
      <w:r w:rsidRPr="00973003">
        <w:rPr>
          <w:rFonts w:ascii="Times New Roman" w:hAnsi="Times New Roman"/>
          <w:sz w:val="22"/>
          <w:szCs w:val="22"/>
        </w:rPr>
        <w:t>ajno viša nego u grupi AC, p=0,009. Ukupna stopa odgovora je u grupi AT bila 59,3% (95% CI: 52,8-65,9), a u grupi AC 46,5% (95% CI: 39,8-53,2).</w:t>
      </w:r>
    </w:p>
    <w:p w14:paraId="79ADA138" w14:textId="77777777" w:rsidR="00F223ED" w:rsidRPr="00F223ED" w:rsidRDefault="00F223ED" w:rsidP="00F223ED">
      <w:pPr>
        <w:pStyle w:val="Header"/>
        <w:tabs>
          <w:tab w:val="left" w:pos="284"/>
        </w:tabs>
        <w:rPr>
          <w:sz w:val="22"/>
          <w:szCs w:val="22"/>
          <w:lang w:val="de-DE"/>
        </w:rPr>
      </w:pPr>
    </w:p>
    <w:p w14:paraId="150EE1EC" w14:textId="77777777" w:rsidR="00F223ED" w:rsidRPr="00F223ED" w:rsidRDefault="00F223ED" w:rsidP="00F223ED">
      <w:pPr>
        <w:autoSpaceDE w:val="0"/>
        <w:autoSpaceDN w:val="0"/>
        <w:adjustRightInd w:val="0"/>
        <w:rPr>
          <w:sz w:val="22"/>
          <w:szCs w:val="22"/>
          <w:lang w:val="de-DE"/>
        </w:rPr>
      </w:pPr>
      <w:r w:rsidRPr="00F223ED">
        <w:rPr>
          <w:sz w:val="22"/>
          <w:szCs w:val="22"/>
          <w:lang w:val="de-DE"/>
        </w:rPr>
        <w:t>U ovoj studiji u grupi AT, u odnosu na grupu AC bila je viša u</w:t>
      </w:r>
      <w:r w:rsidRPr="00F223ED">
        <w:rPr>
          <w:rFonts w:eastAsia="TimesNewRoman"/>
          <w:sz w:val="22"/>
          <w:szCs w:val="22"/>
          <w:lang w:val="de-DE"/>
        </w:rPr>
        <w:t>č</w:t>
      </w:r>
      <w:r w:rsidRPr="00F223ED">
        <w:rPr>
          <w:sz w:val="22"/>
          <w:szCs w:val="22"/>
          <w:lang w:val="de-DE"/>
        </w:rPr>
        <w:t>estalost: teške neutropenije (90% prema 68,6%), febrilne neutropenije (33,3% prema 10%), infekcija (8% prema 2,4%), dijareje (7,5% prema 1,4%), astenije (8,5% prema 2,4%) i bola (2,8% prema 0%). U grupi AC je, s druge strane, u odnosu na grupu AT, bila ve</w:t>
      </w:r>
      <w:r w:rsidRPr="00F223ED">
        <w:rPr>
          <w:rFonts w:eastAsia="TimesNewRoman"/>
          <w:sz w:val="22"/>
          <w:szCs w:val="22"/>
          <w:lang w:val="de-DE"/>
        </w:rPr>
        <w:t>ć</w:t>
      </w:r>
      <w:r w:rsidRPr="00F223ED">
        <w:rPr>
          <w:sz w:val="22"/>
          <w:szCs w:val="22"/>
          <w:lang w:val="de-DE"/>
        </w:rPr>
        <w:t>a u</w:t>
      </w:r>
      <w:r w:rsidRPr="00F223ED">
        <w:rPr>
          <w:rFonts w:eastAsia="TimesNewRoman"/>
          <w:sz w:val="22"/>
          <w:szCs w:val="22"/>
          <w:lang w:val="de-DE"/>
        </w:rPr>
        <w:t>č</w:t>
      </w:r>
      <w:r w:rsidRPr="00F223ED">
        <w:rPr>
          <w:sz w:val="22"/>
          <w:szCs w:val="22"/>
          <w:lang w:val="de-DE"/>
        </w:rPr>
        <w:t>estalost teške anemije (15,8% prema 8,5%), kao i teške kardiotoksi</w:t>
      </w:r>
      <w:r w:rsidRPr="00F223ED">
        <w:rPr>
          <w:rFonts w:eastAsia="TimesNewRoman"/>
          <w:sz w:val="22"/>
          <w:szCs w:val="22"/>
          <w:lang w:val="de-DE"/>
        </w:rPr>
        <w:t>č</w:t>
      </w:r>
      <w:r w:rsidRPr="00F223ED">
        <w:rPr>
          <w:sz w:val="22"/>
          <w:szCs w:val="22"/>
          <w:lang w:val="de-DE"/>
        </w:rPr>
        <w:t>nosti: kongestivna sr</w:t>
      </w:r>
      <w:r w:rsidRPr="00F223ED">
        <w:rPr>
          <w:rFonts w:eastAsia="TimesNewRoman"/>
          <w:sz w:val="22"/>
          <w:szCs w:val="22"/>
          <w:lang w:val="de-DE"/>
        </w:rPr>
        <w:t>č</w:t>
      </w:r>
      <w:r w:rsidRPr="00F223ED">
        <w:rPr>
          <w:sz w:val="22"/>
          <w:szCs w:val="22"/>
          <w:lang w:val="de-DE"/>
        </w:rPr>
        <w:t xml:space="preserve">ana insuficijencija (3,8% prema 2,8%), apsolutni pad LVEF </w:t>
      </w:r>
      <w:r w:rsidRPr="00F223ED">
        <w:rPr>
          <w:rFonts w:eastAsia="TimesNewRoman"/>
          <w:sz w:val="22"/>
          <w:szCs w:val="22"/>
          <w:lang w:val="de-DE"/>
        </w:rPr>
        <w:t xml:space="preserve">≥ </w:t>
      </w:r>
      <w:r w:rsidRPr="00F223ED">
        <w:rPr>
          <w:sz w:val="22"/>
          <w:szCs w:val="22"/>
          <w:lang w:val="de-DE"/>
        </w:rPr>
        <w:t xml:space="preserve">20% (13,1% prema 6,1%), apsolutni pad LVEF </w:t>
      </w:r>
      <w:r w:rsidRPr="00F223ED">
        <w:rPr>
          <w:rFonts w:eastAsia="TimesNewRoman"/>
          <w:sz w:val="22"/>
          <w:szCs w:val="22"/>
          <w:lang w:val="de-DE"/>
        </w:rPr>
        <w:t xml:space="preserve">≥ </w:t>
      </w:r>
      <w:r w:rsidRPr="00F223ED">
        <w:rPr>
          <w:sz w:val="22"/>
          <w:szCs w:val="22"/>
          <w:lang w:val="de-DE"/>
        </w:rPr>
        <w:t>30%</w:t>
      </w:r>
    </w:p>
    <w:p w14:paraId="76FDE8E2" w14:textId="77777777" w:rsidR="00F223ED" w:rsidRPr="00F223ED" w:rsidRDefault="00F223ED" w:rsidP="00F223ED">
      <w:pPr>
        <w:autoSpaceDE w:val="0"/>
        <w:autoSpaceDN w:val="0"/>
        <w:adjustRightInd w:val="0"/>
        <w:rPr>
          <w:sz w:val="22"/>
          <w:szCs w:val="22"/>
          <w:lang w:val="de-DE"/>
        </w:rPr>
      </w:pPr>
      <w:r w:rsidRPr="00F223ED">
        <w:rPr>
          <w:sz w:val="22"/>
          <w:szCs w:val="22"/>
          <w:lang w:val="de-DE"/>
        </w:rPr>
        <w:t>(6,2% prema 1,1%). Smrt usljed toksi</w:t>
      </w:r>
      <w:r w:rsidRPr="00F223ED">
        <w:rPr>
          <w:rFonts w:eastAsia="TimesNewRoman"/>
          <w:sz w:val="22"/>
          <w:szCs w:val="22"/>
          <w:lang w:val="de-DE"/>
        </w:rPr>
        <w:t>č</w:t>
      </w:r>
      <w:r w:rsidRPr="00F223ED">
        <w:rPr>
          <w:sz w:val="22"/>
          <w:szCs w:val="22"/>
          <w:lang w:val="de-DE"/>
        </w:rPr>
        <w:t>nih efekata registrovana je kod 1 pacijenta u grupi AT (kongestivna sr</w:t>
      </w:r>
      <w:r w:rsidRPr="00F223ED">
        <w:rPr>
          <w:rFonts w:eastAsia="TimesNewRoman"/>
          <w:sz w:val="22"/>
          <w:szCs w:val="22"/>
          <w:lang w:val="de-DE"/>
        </w:rPr>
        <w:t>č</w:t>
      </w:r>
      <w:r w:rsidRPr="00F223ED">
        <w:rPr>
          <w:sz w:val="22"/>
          <w:szCs w:val="22"/>
          <w:lang w:val="de-DE"/>
        </w:rPr>
        <w:t>ana insuficijencija), i kod 4 pacijenta u grupi AC (1 kao posljedica septi</w:t>
      </w:r>
      <w:r w:rsidRPr="00F223ED">
        <w:rPr>
          <w:rFonts w:eastAsia="TimesNewRoman"/>
          <w:sz w:val="22"/>
          <w:szCs w:val="22"/>
          <w:lang w:val="de-DE"/>
        </w:rPr>
        <w:t>č</w:t>
      </w:r>
      <w:r w:rsidRPr="00F223ED">
        <w:rPr>
          <w:sz w:val="22"/>
          <w:szCs w:val="22"/>
          <w:lang w:val="de-DE"/>
        </w:rPr>
        <w:t>kog šoka, a 3 kao posljedica kongestivne sr</w:t>
      </w:r>
      <w:r w:rsidRPr="00F223ED">
        <w:rPr>
          <w:rFonts w:eastAsia="TimesNewRoman"/>
          <w:sz w:val="22"/>
          <w:szCs w:val="22"/>
          <w:lang w:val="de-DE"/>
        </w:rPr>
        <w:t>č</w:t>
      </w:r>
      <w:r w:rsidRPr="00F223ED">
        <w:rPr>
          <w:sz w:val="22"/>
          <w:szCs w:val="22"/>
          <w:lang w:val="de-DE"/>
        </w:rPr>
        <w:t>ane insuficijencije).</w:t>
      </w:r>
    </w:p>
    <w:p w14:paraId="05DC1141" w14:textId="77777777" w:rsidR="00F223ED" w:rsidRPr="00F223ED" w:rsidRDefault="00F223ED" w:rsidP="00F223ED">
      <w:pPr>
        <w:autoSpaceDE w:val="0"/>
        <w:autoSpaceDN w:val="0"/>
        <w:adjustRightInd w:val="0"/>
        <w:rPr>
          <w:sz w:val="22"/>
          <w:szCs w:val="22"/>
          <w:lang w:val="de-DE"/>
        </w:rPr>
      </w:pPr>
    </w:p>
    <w:p w14:paraId="668E947F" w14:textId="77777777" w:rsidR="00F223ED" w:rsidRPr="00F223ED" w:rsidRDefault="00F223ED" w:rsidP="00F223ED">
      <w:pPr>
        <w:autoSpaceDE w:val="0"/>
        <w:autoSpaceDN w:val="0"/>
        <w:adjustRightInd w:val="0"/>
        <w:rPr>
          <w:sz w:val="22"/>
          <w:szCs w:val="22"/>
          <w:lang w:val="de-DE"/>
        </w:rPr>
      </w:pPr>
      <w:r w:rsidRPr="00F223ED">
        <w:rPr>
          <w:sz w:val="22"/>
          <w:szCs w:val="22"/>
          <w:lang w:val="de-DE"/>
        </w:rPr>
        <w:t>U obje grupe kvalitet života, mjeren uz pomo</w:t>
      </w:r>
      <w:r w:rsidRPr="00F223ED">
        <w:rPr>
          <w:rFonts w:eastAsia="TimesNewRoman"/>
          <w:sz w:val="22"/>
          <w:szCs w:val="22"/>
          <w:lang w:val="de-DE"/>
        </w:rPr>
        <w:t xml:space="preserve">ć </w:t>
      </w:r>
      <w:r w:rsidRPr="00F223ED">
        <w:rPr>
          <w:sz w:val="22"/>
          <w:szCs w:val="22"/>
          <w:lang w:val="de-DE"/>
        </w:rPr>
        <w:t>EORTC upitnika, bio je sli</w:t>
      </w:r>
      <w:r w:rsidRPr="00F223ED">
        <w:rPr>
          <w:rFonts w:eastAsia="TimesNewRoman"/>
          <w:sz w:val="22"/>
          <w:szCs w:val="22"/>
          <w:lang w:val="de-DE"/>
        </w:rPr>
        <w:t>č</w:t>
      </w:r>
      <w:r w:rsidRPr="00F223ED">
        <w:rPr>
          <w:sz w:val="22"/>
          <w:szCs w:val="22"/>
          <w:lang w:val="de-DE"/>
        </w:rPr>
        <w:t>an i stabilan u toku terapije kao i u periodu kontrole i pra</w:t>
      </w:r>
      <w:r w:rsidRPr="00F223ED">
        <w:rPr>
          <w:rFonts w:eastAsia="TimesNewRoman"/>
          <w:sz w:val="22"/>
          <w:szCs w:val="22"/>
          <w:lang w:val="de-DE"/>
        </w:rPr>
        <w:t>ć</w:t>
      </w:r>
      <w:r w:rsidRPr="00F223ED">
        <w:rPr>
          <w:sz w:val="22"/>
          <w:szCs w:val="22"/>
          <w:lang w:val="de-DE"/>
        </w:rPr>
        <w:t>enja.</w:t>
      </w:r>
    </w:p>
    <w:p w14:paraId="06E3BA96" w14:textId="77777777" w:rsidR="00F223ED" w:rsidRPr="00F223ED" w:rsidRDefault="00F223ED" w:rsidP="00F223ED">
      <w:pPr>
        <w:autoSpaceDE w:val="0"/>
        <w:autoSpaceDN w:val="0"/>
        <w:adjustRightInd w:val="0"/>
        <w:rPr>
          <w:sz w:val="22"/>
          <w:szCs w:val="22"/>
          <w:lang w:val="de-DE"/>
        </w:rPr>
      </w:pPr>
    </w:p>
    <w:p w14:paraId="6979B5ED" w14:textId="77777777" w:rsidR="00F223ED" w:rsidRPr="00BB3077" w:rsidRDefault="00F223ED" w:rsidP="00F223ED">
      <w:pPr>
        <w:autoSpaceDE w:val="0"/>
        <w:autoSpaceDN w:val="0"/>
        <w:adjustRightInd w:val="0"/>
        <w:rPr>
          <w:bCs/>
          <w:i/>
          <w:iCs/>
          <w:sz w:val="22"/>
          <w:szCs w:val="22"/>
          <w:lang w:val="de-DE"/>
        </w:rPr>
      </w:pPr>
      <w:r w:rsidRPr="00BB3077">
        <w:rPr>
          <w:bCs/>
          <w:i/>
          <w:iCs/>
          <w:sz w:val="22"/>
          <w:szCs w:val="22"/>
          <w:lang w:val="de-DE"/>
        </w:rPr>
        <w:t>Docetaksel u kombinaciji sa trastuzumabom</w:t>
      </w:r>
    </w:p>
    <w:p w14:paraId="7D453018" w14:textId="77777777" w:rsidR="00F223ED" w:rsidRPr="00BB3077" w:rsidRDefault="00F223ED" w:rsidP="00F223ED">
      <w:pPr>
        <w:autoSpaceDE w:val="0"/>
        <w:autoSpaceDN w:val="0"/>
        <w:adjustRightInd w:val="0"/>
        <w:rPr>
          <w:b/>
          <w:bCs/>
          <w:i/>
          <w:iCs/>
          <w:sz w:val="22"/>
          <w:szCs w:val="22"/>
          <w:lang w:val="de-DE"/>
        </w:rPr>
      </w:pPr>
    </w:p>
    <w:p w14:paraId="22FDC05A" w14:textId="550CED49" w:rsidR="00F223ED" w:rsidRDefault="00F223ED" w:rsidP="00F223ED">
      <w:pPr>
        <w:autoSpaceDE w:val="0"/>
        <w:autoSpaceDN w:val="0"/>
        <w:adjustRightInd w:val="0"/>
        <w:rPr>
          <w:sz w:val="22"/>
          <w:szCs w:val="22"/>
        </w:rPr>
      </w:pPr>
      <w:r w:rsidRPr="00BB3077">
        <w:rPr>
          <w:sz w:val="22"/>
          <w:szCs w:val="22"/>
          <w:lang w:val="de-DE"/>
        </w:rPr>
        <w:t xml:space="preserve">Primjena docetaksela u kombinaciji sa trastuzumabom ispitivana je u terapiji pacijenata sa metastatskim karcinomom dojke, </w:t>
      </w:r>
      <w:r w:rsidRPr="00BB3077">
        <w:rPr>
          <w:rFonts w:eastAsia="TimesNewRoman"/>
          <w:sz w:val="22"/>
          <w:szCs w:val="22"/>
          <w:lang w:val="de-DE"/>
        </w:rPr>
        <w:t>č</w:t>
      </w:r>
      <w:r w:rsidRPr="00BB3077">
        <w:rPr>
          <w:sz w:val="22"/>
          <w:szCs w:val="22"/>
          <w:lang w:val="de-DE"/>
        </w:rPr>
        <w:t>iji tumor ima hipereksprimiran HER2, a koji ranije nisu dobijali hemioterapiju za metastatsku bolest. U ispitivanju je 186 pacijenata randomizovano tako da primaju docetaksel (100 mg/m²) sa trastuzumabom ili bez njega; 60% pacijenata prethodno je primilo adjuvantnu terapiju na bazi antraciklina. Kombinacija docetaksela sa trastuzumabom bila je djelotvorna, nezavisno od toga da li je prethodno primijenjena adjuvantna terapija antraciklinima. Glavni test za utvr</w:t>
      </w:r>
      <w:r w:rsidRPr="00BB3077">
        <w:rPr>
          <w:rFonts w:eastAsia="TimesNewRoman"/>
          <w:sz w:val="22"/>
          <w:szCs w:val="22"/>
          <w:lang w:val="de-DE"/>
        </w:rPr>
        <w:t>đ</w:t>
      </w:r>
      <w:r w:rsidRPr="00BB3077">
        <w:rPr>
          <w:sz w:val="22"/>
          <w:szCs w:val="22"/>
          <w:lang w:val="de-DE"/>
        </w:rPr>
        <w:t>ivanje HER2 pozitivnosti, koriš</w:t>
      </w:r>
      <w:r w:rsidRPr="00BB3077">
        <w:rPr>
          <w:rFonts w:eastAsia="TimesNewRoman"/>
          <w:sz w:val="22"/>
          <w:szCs w:val="22"/>
          <w:lang w:val="de-DE"/>
        </w:rPr>
        <w:t>ć</w:t>
      </w:r>
      <w:r w:rsidRPr="00BB3077">
        <w:rPr>
          <w:sz w:val="22"/>
          <w:szCs w:val="22"/>
          <w:lang w:val="de-DE"/>
        </w:rPr>
        <w:t>en u ovoj klju</w:t>
      </w:r>
      <w:r w:rsidRPr="00BB3077">
        <w:rPr>
          <w:rFonts w:eastAsia="TimesNewRoman"/>
          <w:sz w:val="22"/>
          <w:szCs w:val="22"/>
          <w:lang w:val="de-DE"/>
        </w:rPr>
        <w:t>č</w:t>
      </w:r>
      <w:r w:rsidRPr="00BB3077">
        <w:rPr>
          <w:sz w:val="22"/>
          <w:szCs w:val="22"/>
          <w:lang w:val="de-DE"/>
        </w:rPr>
        <w:t>noj studiji, bio je imunohistohemijski (IHC) metod. Za jedan manji dio pacijenata koriš</w:t>
      </w:r>
      <w:r w:rsidRPr="00BB3077">
        <w:rPr>
          <w:rFonts w:eastAsia="TimesNewRoman"/>
          <w:sz w:val="22"/>
          <w:szCs w:val="22"/>
          <w:lang w:val="de-DE"/>
        </w:rPr>
        <w:t>ć</w:t>
      </w:r>
      <w:r w:rsidRPr="00BB3077">
        <w:rPr>
          <w:sz w:val="22"/>
          <w:szCs w:val="22"/>
          <w:lang w:val="de-DE"/>
        </w:rPr>
        <w:t>en je metod fluorescentne hibridizacije in situ (FISH). U ovoj studiji 87% pacijenata je imalo bolest klasifikovanu kao IHC 3+, a 95% uklju</w:t>
      </w:r>
      <w:r w:rsidRPr="00BB3077">
        <w:rPr>
          <w:rFonts w:eastAsia="TimesNewRoman"/>
          <w:sz w:val="22"/>
          <w:szCs w:val="22"/>
          <w:lang w:val="de-DE"/>
        </w:rPr>
        <w:t>č</w:t>
      </w:r>
      <w:r w:rsidRPr="00BB3077">
        <w:rPr>
          <w:sz w:val="22"/>
          <w:szCs w:val="22"/>
          <w:lang w:val="de-DE"/>
        </w:rPr>
        <w:t xml:space="preserve">enih pacijenata imalo je bolest klasifikovanu kao IHC 3+ i/ili FISH-pozitivnu. </w:t>
      </w:r>
      <w:r w:rsidRPr="00D26BBC">
        <w:rPr>
          <w:sz w:val="22"/>
          <w:szCs w:val="22"/>
        </w:rPr>
        <w:t>U sljede</w:t>
      </w:r>
      <w:r w:rsidRPr="00D26BBC">
        <w:rPr>
          <w:rFonts w:eastAsia="TimesNewRoman"/>
          <w:sz w:val="22"/>
          <w:szCs w:val="22"/>
        </w:rPr>
        <w:t>ć</w:t>
      </w:r>
      <w:r w:rsidRPr="00D26BBC">
        <w:rPr>
          <w:sz w:val="22"/>
          <w:szCs w:val="22"/>
        </w:rPr>
        <w:t>oj tabeli dati su zbirni rezultati efikasnosti:</w:t>
      </w:r>
    </w:p>
    <w:p w14:paraId="6BF7E06F" w14:textId="1F69F724" w:rsidR="00F223ED" w:rsidRDefault="00F223ED" w:rsidP="00F223ED">
      <w:pPr>
        <w:autoSpaceDE w:val="0"/>
        <w:autoSpaceDN w:val="0"/>
        <w:adjustRightInd w:val="0"/>
        <w:rPr>
          <w:sz w:val="22"/>
          <w:szCs w:val="22"/>
        </w:rPr>
      </w:pPr>
    </w:p>
    <w:p w14:paraId="4FDB345C" w14:textId="77777777" w:rsidR="00F223ED" w:rsidRPr="00D26BBC" w:rsidRDefault="00F223ED" w:rsidP="00F223E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6"/>
        <w:gridCol w:w="3226"/>
        <w:gridCol w:w="3226"/>
      </w:tblGrid>
      <w:tr w:rsidR="00F223ED" w:rsidRPr="00B02007" w14:paraId="2FAE7F0E" w14:textId="77777777" w:rsidTr="002C66FC">
        <w:trPr>
          <w:trHeight w:val="511"/>
        </w:trPr>
        <w:tc>
          <w:tcPr>
            <w:tcW w:w="3226" w:type="dxa"/>
          </w:tcPr>
          <w:p w14:paraId="27748B4F" w14:textId="77777777" w:rsidR="00F223ED" w:rsidRPr="00973003" w:rsidRDefault="00F223ED" w:rsidP="002C66FC">
            <w:pPr>
              <w:autoSpaceDE w:val="0"/>
              <w:autoSpaceDN w:val="0"/>
              <w:adjustRightInd w:val="0"/>
              <w:rPr>
                <w:b/>
                <w:bCs/>
                <w:sz w:val="22"/>
                <w:szCs w:val="22"/>
              </w:rPr>
            </w:pPr>
            <w:r w:rsidRPr="00973003">
              <w:rPr>
                <w:b/>
                <w:bCs/>
                <w:sz w:val="22"/>
                <w:szCs w:val="22"/>
              </w:rPr>
              <w:t>Parametar</w:t>
            </w:r>
          </w:p>
        </w:tc>
        <w:tc>
          <w:tcPr>
            <w:tcW w:w="3226" w:type="dxa"/>
          </w:tcPr>
          <w:p w14:paraId="3D112007" w14:textId="77777777" w:rsidR="00F223ED" w:rsidRPr="00973003" w:rsidRDefault="00F223ED" w:rsidP="002C66FC">
            <w:pPr>
              <w:autoSpaceDE w:val="0"/>
              <w:autoSpaceDN w:val="0"/>
              <w:adjustRightInd w:val="0"/>
              <w:rPr>
                <w:b/>
                <w:bCs/>
                <w:sz w:val="22"/>
                <w:szCs w:val="22"/>
              </w:rPr>
            </w:pPr>
            <w:r w:rsidRPr="00973003">
              <w:rPr>
                <w:b/>
                <w:bCs/>
                <w:sz w:val="22"/>
                <w:szCs w:val="22"/>
              </w:rPr>
              <w:t>Docetaksel plus trastuzumab</w:t>
            </w:r>
            <w:r w:rsidRPr="00973003">
              <w:rPr>
                <w:b/>
                <w:bCs/>
                <w:sz w:val="22"/>
                <w:szCs w:val="22"/>
                <w:vertAlign w:val="superscript"/>
              </w:rPr>
              <w:t>1</w:t>
            </w:r>
          </w:p>
          <w:p w14:paraId="55068D93" w14:textId="77777777" w:rsidR="00F223ED" w:rsidRPr="00D26BBC" w:rsidRDefault="00F223ED" w:rsidP="002C66FC">
            <w:pPr>
              <w:autoSpaceDE w:val="0"/>
              <w:autoSpaceDN w:val="0"/>
              <w:adjustRightInd w:val="0"/>
              <w:rPr>
                <w:sz w:val="22"/>
                <w:szCs w:val="22"/>
              </w:rPr>
            </w:pPr>
            <w:r w:rsidRPr="00D26BBC">
              <w:rPr>
                <w:sz w:val="22"/>
                <w:szCs w:val="22"/>
              </w:rPr>
              <w:t>n=92</w:t>
            </w:r>
          </w:p>
        </w:tc>
        <w:tc>
          <w:tcPr>
            <w:tcW w:w="3226" w:type="dxa"/>
          </w:tcPr>
          <w:p w14:paraId="777222DB" w14:textId="77777777" w:rsidR="00F223ED" w:rsidRPr="00973003" w:rsidRDefault="00F223ED" w:rsidP="002C66FC">
            <w:pPr>
              <w:autoSpaceDE w:val="0"/>
              <w:autoSpaceDN w:val="0"/>
              <w:adjustRightInd w:val="0"/>
              <w:rPr>
                <w:b/>
                <w:bCs/>
                <w:sz w:val="22"/>
                <w:szCs w:val="22"/>
              </w:rPr>
            </w:pPr>
            <w:r w:rsidRPr="00973003">
              <w:rPr>
                <w:b/>
                <w:bCs/>
                <w:sz w:val="22"/>
                <w:szCs w:val="22"/>
              </w:rPr>
              <w:t>Docetaksel</w:t>
            </w:r>
            <w:r w:rsidRPr="00973003">
              <w:rPr>
                <w:b/>
                <w:bCs/>
                <w:sz w:val="22"/>
                <w:szCs w:val="22"/>
                <w:vertAlign w:val="superscript"/>
              </w:rPr>
              <w:t>1</w:t>
            </w:r>
          </w:p>
          <w:p w14:paraId="70B01F52" w14:textId="77777777" w:rsidR="00F223ED" w:rsidRPr="00D26BBC" w:rsidRDefault="00F223ED" w:rsidP="002C66FC">
            <w:pPr>
              <w:autoSpaceDE w:val="0"/>
              <w:autoSpaceDN w:val="0"/>
              <w:adjustRightInd w:val="0"/>
              <w:rPr>
                <w:sz w:val="22"/>
                <w:szCs w:val="22"/>
              </w:rPr>
            </w:pPr>
            <w:r w:rsidRPr="00D26BBC">
              <w:rPr>
                <w:sz w:val="22"/>
                <w:szCs w:val="22"/>
              </w:rPr>
              <w:t>n=94</w:t>
            </w:r>
          </w:p>
        </w:tc>
      </w:tr>
      <w:tr w:rsidR="00F223ED" w:rsidRPr="00B02007" w14:paraId="3F753CB3" w14:textId="77777777" w:rsidTr="002C66FC">
        <w:trPr>
          <w:trHeight w:val="511"/>
        </w:trPr>
        <w:tc>
          <w:tcPr>
            <w:tcW w:w="3226" w:type="dxa"/>
          </w:tcPr>
          <w:p w14:paraId="544D1613" w14:textId="77777777" w:rsidR="00F223ED" w:rsidRPr="00D26BBC" w:rsidRDefault="00F223ED" w:rsidP="002C66FC">
            <w:pPr>
              <w:autoSpaceDE w:val="0"/>
              <w:autoSpaceDN w:val="0"/>
              <w:adjustRightInd w:val="0"/>
              <w:rPr>
                <w:sz w:val="22"/>
                <w:szCs w:val="22"/>
              </w:rPr>
            </w:pPr>
            <w:r w:rsidRPr="00D26BBC">
              <w:rPr>
                <w:sz w:val="22"/>
                <w:szCs w:val="22"/>
              </w:rPr>
              <w:t>Stopa odgovora</w:t>
            </w:r>
          </w:p>
          <w:p w14:paraId="2C54B683" w14:textId="77777777" w:rsidR="00F223ED" w:rsidRPr="00D26BBC" w:rsidRDefault="00F223ED" w:rsidP="002C66FC">
            <w:pPr>
              <w:autoSpaceDE w:val="0"/>
              <w:autoSpaceDN w:val="0"/>
              <w:adjustRightInd w:val="0"/>
              <w:rPr>
                <w:sz w:val="22"/>
                <w:szCs w:val="22"/>
              </w:rPr>
            </w:pPr>
            <w:r w:rsidRPr="00D26BBC">
              <w:rPr>
                <w:sz w:val="22"/>
                <w:szCs w:val="22"/>
              </w:rPr>
              <w:t>(95% CI)</w:t>
            </w:r>
          </w:p>
        </w:tc>
        <w:tc>
          <w:tcPr>
            <w:tcW w:w="3226" w:type="dxa"/>
          </w:tcPr>
          <w:p w14:paraId="48EA90BD" w14:textId="77777777" w:rsidR="00F223ED" w:rsidRPr="00D26BBC" w:rsidRDefault="00F223ED" w:rsidP="002C66FC">
            <w:pPr>
              <w:autoSpaceDE w:val="0"/>
              <w:autoSpaceDN w:val="0"/>
              <w:adjustRightInd w:val="0"/>
              <w:rPr>
                <w:sz w:val="22"/>
                <w:szCs w:val="22"/>
              </w:rPr>
            </w:pPr>
            <w:r w:rsidRPr="00D26BBC">
              <w:rPr>
                <w:sz w:val="22"/>
                <w:szCs w:val="22"/>
              </w:rPr>
              <w:t>61%</w:t>
            </w:r>
          </w:p>
          <w:p w14:paraId="69BF71A2" w14:textId="77777777" w:rsidR="00F223ED" w:rsidRPr="00D26BBC" w:rsidRDefault="00F223ED" w:rsidP="002C66FC">
            <w:pPr>
              <w:autoSpaceDE w:val="0"/>
              <w:autoSpaceDN w:val="0"/>
              <w:adjustRightInd w:val="0"/>
              <w:rPr>
                <w:sz w:val="22"/>
                <w:szCs w:val="22"/>
              </w:rPr>
            </w:pPr>
            <w:r w:rsidRPr="00D26BBC">
              <w:rPr>
                <w:sz w:val="22"/>
                <w:szCs w:val="22"/>
              </w:rPr>
              <w:t>(50-70)</w:t>
            </w:r>
          </w:p>
        </w:tc>
        <w:tc>
          <w:tcPr>
            <w:tcW w:w="3226" w:type="dxa"/>
          </w:tcPr>
          <w:p w14:paraId="70773EEC" w14:textId="77777777" w:rsidR="00F223ED" w:rsidRPr="00D26BBC" w:rsidRDefault="00F223ED" w:rsidP="002C66FC">
            <w:pPr>
              <w:autoSpaceDE w:val="0"/>
              <w:autoSpaceDN w:val="0"/>
              <w:adjustRightInd w:val="0"/>
              <w:rPr>
                <w:sz w:val="22"/>
                <w:szCs w:val="22"/>
              </w:rPr>
            </w:pPr>
            <w:r w:rsidRPr="00D26BBC">
              <w:rPr>
                <w:sz w:val="22"/>
                <w:szCs w:val="22"/>
              </w:rPr>
              <w:t>34%</w:t>
            </w:r>
          </w:p>
          <w:p w14:paraId="29B5D33B" w14:textId="77777777" w:rsidR="00F223ED" w:rsidRPr="00D26BBC" w:rsidRDefault="00F223ED" w:rsidP="002C66FC">
            <w:pPr>
              <w:autoSpaceDE w:val="0"/>
              <w:autoSpaceDN w:val="0"/>
              <w:adjustRightInd w:val="0"/>
              <w:rPr>
                <w:sz w:val="22"/>
                <w:szCs w:val="22"/>
              </w:rPr>
            </w:pPr>
            <w:r w:rsidRPr="00D26BBC">
              <w:rPr>
                <w:sz w:val="22"/>
                <w:szCs w:val="22"/>
              </w:rPr>
              <w:t>(25-45)</w:t>
            </w:r>
          </w:p>
        </w:tc>
      </w:tr>
      <w:tr w:rsidR="00F223ED" w:rsidRPr="00B02007" w14:paraId="5E4AFB57" w14:textId="77777777" w:rsidTr="002C66FC">
        <w:trPr>
          <w:trHeight w:val="499"/>
        </w:trPr>
        <w:tc>
          <w:tcPr>
            <w:tcW w:w="3226" w:type="dxa"/>
          </w:tcPr>
          <w:p w14:paraId="0FA676B2" w14:textId="77777777" w:rsidR="00F223ED" w:rsidRPr="00D26BBC" w:rsidRDefault="00F223ED" w:rsidP="002C66FC">
            <w:pPr>
              <w:autoSpaceDE w:val="0"/>
              <w:autoSpaceDN w:val="0"/>
              <w:adjustRightInd w:val="0"/>
              <w:rPr>
                <w:sz w:val="22"/>
                <w:szCs w:val="22"/>
              </w:rPr>
            </w:pPr>
            <w:r w:rsidRPr="00D26BBC">
              <w:rPr>
                <w:sz w:val="22"/>
                <w:szCs w:val="22"/>
              </w:rPr>
              <w:t>Srednje trajanje odgovora</w:t>
            </w:r>
          </w:p>
          <w:p w14:paraId="00245213" w14:textId="77777777" w:rsidR="00F223ED" w:rsidRPr="00D26BBC" w:rsidRDefault="00F223ED" w:rsidP="002C66FC">
            <w:pPr>
              <w:autoSpaceDE w:val="0"/>
              <w:autoSpaceDN w:val="0"/>
              <w:adjustRightInd w:val="0"/>
              <w:rPr>
                <w:sz w:val="22"/>
                <w:szCs w:val="22"/>
              </w:rPr>
            </w:pPr>
            <w:r w:rsidRPr="00D26BBC">
              <w:rPr>
                <w:sz w:val="22"/>
                <w:szCs w:val="22"/>
              </w:rPr>
              <w:t>(95% CI)</w:t>
            </w:r>
          </w:p>
        </w:tc>
        <w:tc>
          <w:tcPr>
            <w:tcW w:w="3226" w:type="dxa"/>
          </w:tcPr>
          <w:p w14:paraId="0C6D5A5A" w14:textId="77777777" w:rsidR="00F223ED" w:rsidRPr="00D26BBC" w:rsidRDefault="00F223ED" w:rsidP="002C66FC">
            <w:pPr>
              <w:autoSpaceDE w:val="0"/>
              <w:autoSpaceDN w:val="0"/>
              <w:adjustRightInd w:val="0"/>
              <w:rPr>
                <w:sz w:val="22"/>
                <w:szCs w:val="22"/>
              </w:rPr>
            </w:pPr>
            <w:r w:rsidRPr="00D26BBC">
              <w:rPr>
                <w:sz w:val="22"/>
                <w:szCs w:val="22"/>
              </w:rPr>
              <w:t>11,4</w:t>
            </w:r>
          </w:p>
          <w:p w14:paraId="5A2FF20E" w14:textId="77777777" w:rsidR="00F223ED" w:rsidRPr="00D26BBC" w:rsidRDefault="00F223ED" w:rsidP="002C66FC">
            <w:pPr>
              <w:autoSpaceDE w:val="0"/>
              <w:autoSpaceDN w:val="0"/>
              <w:adjustRightInd w:val="0"/>
              <w:rPr>
                <w:sz w:val="22"/>
                <w:szCs w:val="22"/>
              </w:rPr>
            </w:pPr>
            <w:r w:rsidRPr="00D26BBC">
              <w:rPr>
                <w:sz w:val="22"/>
                <w:szCs w:val="22"/>
              </w:rPr>
              <w:t>(9,2-15,0)</w:t>
            </w:r>
          </w:p>
        </w:tc>
        <w:tc>
          <w:tcPr>
            <w:tcW w:w="3226" w:type="dxa"/>
          </w:tcPr>
          <w:p w14:paraId="7C65F69D" w14:textId="77777777" w:rsidR="00F223ED" w:rsidRPr="00D26BBC" w:rsidRDefault="00F223ED" w:rsidP="002C66FC">
            <w:pPr>
              <w:autoSpaceDE w:val="0"/>
              <w:autoSpaceDN w:val="0"/>
              <w:adjustRightInd w:val="0"/>
              <w:rPr>
                <w:sz w:val="22"/>
                <w:szCs w:val="22"/>
              </w:rPr>
            </w:pPr>
            <w:r w:rsidRPr="00D26BBC">
              <w:rPr>
                <w:sz w:val="22"/>
                <w:szCs w:val="22"/>
              </w:rPr>
              <w:t>5.1</w:t>
            </w:r>
          </w:p>
          <w:p w14:paraId="6EB2D965" w14:textId="77777777" w:rsidR="00F223ED" w:rsidRPr="00D26BBC" w:rsidRDefault="00F223ED" w:rsidP="002C66FC">
            <w:pPr>
              <w:autoSpaceDE w:val="0"/>
              <w:autoSpaceDN w:val="0"/>
              <w:adjustRightInd w:val="0"/>
              <w:rPr>
                <w:sz w:val="22"/>
                <w:szCs w:val="22"/>
              </w:rPr>
            </w:pPr>
            <w:r w:rsidRPr="00D26BBC">
              <w:rPr>
                <w:sz w:val="22"/>
                <w:szCs w:val="22"/>
              </w:rPr>
              <w:t>(4,4-6,2)</w:t>
            </w:r>
          </w:p>
        </w:tc>
      </w:tr>
      <w:tr w:rsidR="00F223ED" w:rsidRPr="00B02007" w14:paraId="53485103" w14:textId="77777777" w:rsidTr="002C66FC">
        <w:trPr>
          <w:trHeight w:val="511"/>
        </w:trPr>
        <w:tc>
          <w:tcPr>
            <w:tcW w:w="3226" w:type="dxa"/>
          </w:tcPr>
          <w:p w14:paraId="7D9917FC" w14:textId="77777777" w:rsidR="00F223ED" w:rsidRPr="00D26BBC" w:rsidRDefault="00F223ED" w:rsidP="002C66FC">
            <w:pPr>
              <w:autoSpaceDE w:val="0"/>
              <w:autoSpaceDN w:val="0"/>
              <w:adjustRightInd w:val="0"/>
              <w:rPr>
                <w:sz w:val="22"/>
                <w:szCs w:val="22"/>
              </w:rPr>
            </w:pPr>
            <w:r w:rsidRPr="00D26BBC">
              <w:rPr>
                <w:sz w:val="22"/>
                <w:szCs w:val="22"/>
              </w:rPr>
              <w:t>Srednje TTP (mjeseci)</w:t>
            </w:r>
          </w:p>
          <w:p w14:paraId="753A2783" w14:textId="77777777" w:rsidR="00F223ED" w:rsidRPr="00D26BBC" w:rsidRDefault="00F223ED" w:rsidP="002C66FC">
            <w:pPr>
              <w:autoSpaceDE w:val="0"/>
              <w:autoSpaceDN w:val="0"/>
              <w:adjustRightInd w:val="0"/>
              <w:rPr>
                <w:sz w:val="22"/>
                <w:szCs w:val="22"/>
              </w:rPr>
            </w:pPr>
            <w:r w:rsidRPr="00D26BBC">
              <w:rPr>
                <w:sz w:val="22"/>
                <w:szCs w:val="22"/>
              </w:rPr>
              <w:t>(95% CI)</w:t>
            </w:r>
          </w:p>
        </w:tc>
        <w:tc>
          <w:tcPr>
            <w:tcW w:w="3226" w:type="dxa"/>
          </w:tcPr>
          <w:p w14:paraId="530ACE4A" w14:textId="77777777" w:rsidR="00F223ED" w:rsidRPr="00D26BBC" w:rsidRDefault="00F223ED" w:rsidP="002C66FC">
            <w:pPr>
              <w:autoSpaceDE w:val="0"/>
              <w:autoSpaceDN w:val="0"/>
              <w:adjustRightInd w:val="0"/>
              <w:rPr>
                <w:sz w:val="22"/>
                <w:szCs w:val="22"/>
              </w:rPr>
            </w:pPr>
            <w:r w:rsidRPr="00D26BBC">
              <w:rPr>
                <w:sz w:val="22"/>
                <w:szCs w:val="22"/>
              </w:rPr>
              <w:t>10,6</w:t>
            </w:r>
          </w:p>
          <w:p w14:paraId="6098D6E8" w14:textId="77777777" w:rsidR="00F223ED" w:rsidRPr="00D26BBC" w:rsidRDefault="00F223ED" w:rsidP="002C66FC">
            <w:pPr>
              <w:autoSpaceDE w:val="0"/>
              <w:autoSpaceDN w:val="0"/>
              <w:adjustRightInd w:val="0"/>
              <w:rPr>
                <w:sz w:val="22"/>
                <w:szCs w:val="22"/>
              </w:rPr>
            </w:pPr>
            <w:r w:rsidRPr="00D26BBC">
              <w:rPr>
                <w:sz w:val="22"/>
                <w:szCs w:val="22"/>
              </w:rPr>
              <w:t>(7,6-12,9)</w:t>
            </w:r>
          </w:p>
        </w:tc>
        <w:tc>
          <w:tcPr>
            <w:tcW w:w="3226" w:type="dxa"/>
          </w:tcPr>
          <w:p w14:paraId="62795CF1" w14:textId="77777777" w:rsidR="00F223ED" w:rsidRPr="00D26BBC" w:rsidRDefault="00F223ED" w:rsidP="002C66FC">
            <w:pPr>
              <w:autoSpaceDE w:val="0"/>
              <w:autoSpaceDN w:val="0"/>
              <w:adjustRightInd w:val="0"/>
              <w:rPr>
                <w:sz w:val="22"/>
                <w:szCs w:val="22"/>
              </w:rPr>
            </w:pPr>
            <w:r w:rsidRPr="00D26BBC">
              <w:rPr>
                <w:sz w:val="22"/>
                <w:szCs w:val="22"/>
              </w:rPr>
              <w:t>5,7</w:t>
            </w:r>
          </w:p>
          <w:p w14:paraId="64EF8182" w14:textId="77777777" w:rsidR="00F223ED" w:rsidRPr="00D26BBC" w:rsidRDefault="00F223ED" w:rsidP="002C66FC">
            <w:pPr>
              <w:autoSpaceDE w:val="0"/>
              <w:autoSpaceDN w:val="0"/>
              <w:adjustRightInd w:val="0"/>
              <w:rPr>
                <w:sz w:val="22"/>
                <w:szCs w:val="22"/>
              </w:rPr>
            </w:pPr>
            <w:r w:rsidRPr="00D26BBC">
              <w:rPr>
                <w:sz w:val="22"/>
                <w:szCs w:val="22"/>
              </w:rPr>
              <w:t>(5,0-6,5)</w:t>
            </w:r>
          </w:p>
        </w:tc>
      </w:tr>
      <w:tr w:rsidR="00F223ED" w:rsidRPr="00B02007" w14:paraId="5019810B" w14:textId="77777777" w:rsidTr="002C66FC">
        <w:trPr>
          <w:trHeight w:val="499"/>
        </w:trPr>
        <w:tc>
          <w:tcPr>
            <w:tcW w:w="3226" w:type="dxa"/>
          </w:tcPr>
          <w:p w14:paraId="1858B270" w14:textId="77777777" w:rsidR="00F223ED" w:rsidRPr="00D26BBC" w:rsidRDefault="00F223ED" w:rsidP="002C66FC">
            <w:pPr>
              <w:autoSpaceDE w:val="0"/>
              <w:autoSpaceDN w:val="0"/>
              <w:adjustRightInd w:val="0"/>
              <w:rPr>
                <w:sz w:val="22"/>
                <w:szCs w:val="22"/>
              </w:rPr>
            </w:pPr>
            <w:r w:rsidRPr="00D26BBC">
              <w:rPr>
                <w:sz w:val="22"/>
                <w:szCs w:val="22"/>
              </w:rPr>
              <w:t>Srednje preživljavanje (mjeseci)</w:t>
            </w:r>
          </w:p>
          <w:p w14:paraId="1DC23E11" w14:textId="77777777" w:rsidR="00F223ED" w:rsidRPr="00D26BBC" w:rsidRDefault="00F223ED" w:rsidP="002C66FC">
            <w:pPr>
              <w:autoSpaceDE w:val="0"/>
              <w:autoSpaceDN w:val="0"/>
              <w:adjustRightInd w:val="0"/>
              <w:rPr>
                <w:sz w:val="22"/>
                <w:szCs w:val="22"/>
              </w:rPr>
            </w:pPr>
            <w:r w:rsidRPr="00D26BBC">
              <w:rPr>
                <w:sz w:val="22"/>
                <w:szCs w:val="22"/>
              </w:rPr>
              <w:t>(95% CI)</w:t>
            </w:r>
          </w:p>
        </w:tc>
        <w:tc>
          <w:tcPr>
            <w:tcW w:w="3226" w:type="dxa"/>
          </w:tcPr>
          <w:p w14:paraId="3FD3E1AD" w14:textId="77777777" w:rsidR="00F223ED" w:rsidRPr="00D26BBC" w:rsidRDefault="00F223ED" w:rsidP="002C66FC">
            <w:pPr>
              <w:autoSpaceDE w:val="0"/>
              <w:autoSpaceDN w:val="0"/>
              <w:adjustRightInd w:val="0"/>
              <w:rPr>
                <w:sz w:val="22"/>
                <w:szCs w:val="22"/>
                <w:vertAlign w:val="superscript"/>
              </w:rPr>
            </w:pPr>
            <w:r w:rsidRPr="00D26BBC">
              <w:rPr>
                <w:sz w:val="22"/>
                <w:szCs w:val="22"/>
              </w:rPr>
              <w:t>30,5</w:t>
            </w:r>
            <w:r w:rsidRPr="00D26BBC">
              <w:rPr>
                <w:sz w:val="22"/>
                <w:szCs w:val="22"/>
                <w:vertAlign w:val="superscript"/>
              </w:rPr>
              <w:t>2</w:t>
            </w:r>
          </w:p>
          <w:p w14:paraId="3E8578F9" w14:textId="77777777" w:rsidR="00F223ED" w:rsidRPr="00D26BBC" w:rsidRDefault="00F223ED" w:rsidP="002C66FC">
            <w:pPr>
              <w:autoSpaceDE w:val="0"/>
              <w:autoSpaceDN w:val="0"/>
              <w:adjustRightInd w:val="0"/>
              <w:rPr>
                <w:sz w:val="22"/>
                <w:szCs w:val="22"/>
              </w:rPr>
            </w:pPr>
            <w:r w:rsidRPr="00D26BBC">
              <w:rPr>
                <w:sz w:val="22"/>
                <w:szCs w:val="22"/>
              </w:rPr>
              <w:t>(26,8-ne)</w:t>
            </w:r>
          </w:p>
        </w:tc>
        <w:tc>
          <w:tcPr>
            <w:tcW w:w="3226" w:type="dxa"/>
          </w:tcPr>
          <w:p w14:paraId="217EBB1B" w14:textId="77777777" w:rsidR="00F223ED" w:rsidRPr="00D26BBC" w:rsidRDefault="00F223ED" w:rsidP="002C66FC">
            <w:pPr>
              <w:autoSpaceDE w:val="0"/>
              <w:autoSpaceDN w:val="0"/>
              <w:adjustRightInd w:val="0"/>
              <w:rPr>
                <w:sz w:val="22"/>
                <w:szCs w:val="22"/>
              </w:rPr>
            </w:pPr>
            <w:r w:rsidRPr="00D26BBC">
              <w:rPr>
                <w:sz w:val="22"/>
                <w:szCs w:val="22"/>
              </w:rPr>
              <w:t>22,1</w:t>
            </w:r>
            <w:r w:rsidRPr="00D26BBC">
              <w:rPr>
                <w:sz w:val="22"/>
                <w:szCs w:val="22"/>
                <w:vertAlign w:val="superscript"/>
              </w:rPr>
              <w:t>2</w:t>
            </w:r>
          </w:p>
          <w:p w14:paraId="15DCBBB3" w14:textId="77777777" w:rsidR="00F223ED" w:rsidRPr="00D26BBC" w:rsidRDefault="00F223ED" w:rsidP="002C66FC">
            <w:pPr>
              <w:autoSpaceDE w:val="0"/>
              <w:autoSpaceDN w:val="0"/>
              <w:adjustRightInd w:val="0"/>
              <w:rPr>
                <w:sz w:val="22"/>
                <w:szCs w:val="22"/>
              </w:rPr>
            </w:pPr>
            <w:r w:rsidRPr="00D26BBC">
              <w:rPr>
                <w:sz w:val="22"/>
                <w:szCs w:val="22"/>
              </w:rPr>
              <w:t>(17,6-28,9)</w:t>
            </w:r>
          </w:p>
        </w:tc>
      </w:tr>
    </w:tbl>
    <w:p w14:paraId="7D78539E" w14:textId="77777777" w:rsidR="00F223ED" w:rsidRPr="00D26BBC" w:rsidRDefault="00F223ED" w:rsidP="00F223ED">
      <w:pPr>
        <w:autoSpaceDE w:val="0"/>
        <w:autoSpaceDN w:val="0"/>
        <w:adjustRightInd w:val="0"/>
        <w:rPr>
          <w:sz w:val="22"/>
          <w:szCs w:val="22"/>
        </w:rPr>
      </w:pPr>
      <w:r w:rsidRPr="00D26BBC">
        <w:rPr>
          <w:sz w:val="22"/>
          <w:szCs w:val="22"/>
        </w:rPr>
        <w:t>TTP – vrijeme do progresije; „np“ ukazuje da se nije moglo procijeniti ili da još nije dostignuto</w:t>
      </w:r>
    </w:p>
    <w:p w14:paraId="0C2CBF53" w14:textId="77777777" w:rsidR="00F223ED" w:rsidRPr="00D26BBC" w:rsidRDefault="00F223ED" w:rsidP="00F223ED">
      <w:pPr>
        <w:autoSpaceDE w:val="0"/>
        <w:autoSpaceDN w:val="0"/>
        <w:adjustRightInd w:val="0"/>
        <w:rPr>
          <w:sz w:val="22"/>
          <w:szCs w:val="22"/>
        </w:rPr>
      </w:pPr>
      <w:r w:rsidRPr="00D26BBC">
        <w:rPr>
          <w:sz w:val="22"/>
          <w:szCs w:val="22"/>
          <w:vertAlign w:val="superscript"/>
        </w:rPr>
        <w:t>1</w:t>
      </w:r>
      <w:r w:rsidRPr="00D26BBC">
        <w:rPr>
          <w:sz w:val="22"/>
          <w:szCs w:val="22"/>
        </w:rPr>
        <w:t>Kompletna grupa za analizu (intent-to-treat analiza)</w:t>
      </w:r>
    </w:p>
    <w:p w14:paraId="2BB48E6C" w14:textId="77777777" w:rsidR="00F223ED" w:rsidRPr="00D26BBC" w:rsidRDefault="00F223ED" w:rsidP="00F223ED">
      <w:pPr>
        <w:autoSpaceDE w:val="0"/>
        <w:autoSpaceDN w:val="0"/>
        <w:adjustRightInd w:val="0"/>
        <w:rPr>
          <w:sz w:val="22"/>
          <w:szCs w:val="22"/>
        </w:rPr>
      </w:pPr>
      <w:r w:rsidRPr="00D26BBC">
        <w:rPr>
          <w:sz w:val="22"/>
          <w:szCs w:val="22"/>
          <w:vertAlign w:val="superscript"/>
        </w:rPr>
        <w:t>2</w:t>
      </w:r>
      <w:r w:rsidRPr="00D26BBC">
        <w:rPr>
          <w:sz w:val="22"/>
          <w:szCs w:val="22"/>
        </w:rPr>
        <w:t>Procjena srednjeg vremena preživljavanja</w:t>
      </w:r>
    </w:p>
    <w:p w14:paraId="48C892B6" w14:textId="0CC9D6B3" w:rsidR="00F223ED" w:rsidRPr="00D26BBC" w:rsidRDefault="009D254D" w:rsidP="00F223ED">
      <w:pPr>
        <w:autoSpaceDE w:val="0"/>
        <w:autoSpaceDN w:val="0"/>
        <w:adjustRightInd w:val="0"/>
        <w:rPr>
          <w:bCs/>
          <w:i/>
          <w:iCs/>
          <w:sz w:val="22"/>
          <w:szCs w:val="22"/>
        </w:rPr>
      </w:pPr>
      <w:r>
        <w:rPr>
          <w:bCs/>
          <w:i/>
          <w:iCs/>
          <w:sz w:val="22"/>
          <w:szCs w:val="22"/>
        </w:rPr>
        <w:t>Docetaxel Hospira</w:t>
      </w:r>
      <w:r w:rsidR="00F223ED" w:rsidRPr="00D26BBC">
        <w:rPr>
          <w:bCs/>
          <w:i/>
          <w:iCs/>
          <w:sz w:val="22"/>
          <w:szCs w:val="22"/>
        </w:rPr>
        <w:t xml:space="preserve"> u kombinaciji sa kapecitabinom</w:t>
      </w:r>
    </w:p>
    <w:p w14:paraId="51B122EA" w14:textId="77777777" w:rsidR="00F223ED" w:rsidRPr="00D26BBC" w:rsidRDefault="00F223ED" w:rsidP="00F223ED">
      <w:pPr>
        <w:autoSpaceDE w:val="0"/>
        <w:autoSpaceDN w:val="0"/>
        <w:adjustRightInd w:val="0"/>
        <w:rPr>
          <w:b/>
          <w:bCs/>
          <w:i/>
          <w:iCs/>
          <w:sz w:val="22"/>
          <w:szCs w:val="22"/>
        </w:rPr>
      </w:pPr>
    </w:p>
    <w:p w14:paraId="139539D6" w14:textId="77777777" w:rsidR="00F223ED" w:rsidRPr="00D26BBC" w:rsidRDefault="00F223ED" w:rsidP="00F223ED">
      <w:pPr>
        <w:autoSpaceDE w:val="0"/>
        <w:autoSpaceDN w:val="0"/>
        <w:adjustRightInd w:val="0"/>
        <w:rPr>
          <w:sz w:val="22"/>
          <w:szCs w:val="22"/>
        </w:rPr>
      </w:pPr>
      <w:r w:rsidRPr="00D26BBC">
        <w:rPr>
          <w:sz w:val="22"/>
          <w:szCs w:val="22"/>
        </w:rPr>
        <w:t>Podaci dobijeni iz jedne multicentri</w:t>
      </w:r>
      <w:r w:rsidRPr="00D26BBC">
        <w:rPr>
          <w:rFonts w:eastAsia="TimesNewRoman"/>
          <w:sz w:val="22"/>
          <w:szCs w:val="22"/>
        </w:rPr>
        <w:t>č</w:t>
      </w:r>
      <w:r w:rsidRPr="00D26BBC">
        <w:rPr>
          <w:sz w:val="22"/>
          <w:szCs w:val="22"/>
        </w:rPr>
        <w:t>ne, randomizovane, kontrolisane studije faze III govore u prilog primjeni docetaksela u kombinaciji sa kapecitabinom za lije</w:t>
      </w:r>
      <w:r w:rsidRPr="00D26BBC">
        <w:rPr>
          <w:rFonts w:eastAsia="TimesNewRoman"/>
          <w:sz w:val="22"/>
          <w:szCs w:val="22"/>
        </w:rPr>
        <w:t>č</w:t>
      </w:r>
      <w:r w:rsidRPr="00D26BBC">
        <w:rPr>
          <w:sz w:val="22"/>
          <w:szCs w:val="22"/>
        </w:rPr>
        <w:t>enje pacijenata sa lokalno uznapredovalim ili metastatskim karcinomom dojke, poslije neuspjeha citotoksi</w:t>
      </w:r>
      <w:r w:rsidRPr="00D26BBC">
        <w:rPr>
          <w:rFonts w:eastAsia="TimesNewRoman"/>
          <w:sz w:val="22"/>
          <w:szCs w:val="22"/>
        </w:rPr>
        <w:t>č</w:t>
      </w:r>
      <w:r w:rsidRPr="00D26BBC">
        <w:rPr>
          <w:sz w:val="22"/>
          <w:szCs w:val="22"/>
        </w:rPr>
        <w:t>ne hemioterapije, uklju</w:t>
      </w:r>
      <w:r w:rsidRPr="00D26BBC">
        <w:rPr>
          <w:rFonts w:eastAsia="TimesNewRoman"/>
          <w:sz w:val="22"/>
          <w:szCs w:val="22"/>
        </w:rPr>
        <w:t>č</w:t>
      </w:r>
      <w:r w:rsidRPr="00D26BBC">
        <w:rPr>
          <w:sz w:val="22"/>
          <w:szCs w:val="22"/>
        </w:rPr>
        <w:t>uju</w:t>
      </w:r>
      <w:r w:rsidRPr="00D26BBC">
        <w:rPr>
          <w:rFonts w:eastAsia="TimesNewRoman"/>
          <w:sz w:val="22"/>
          <w:szCs w:val="22"/>
        </w:rPr>
        <w:t>ć</w:t>
      </w:r>
      <w:r w:rsidRPr="00D26BBC">
        <w:rPr>
          <w:sz w:val="22"/>
          <w:szCs w:val="22"/>
        </w:rPr>
        <w:t>i antracikline. U toj studiji 255 pacijenata je randomizovano tako da primaju terapiju docetakselom (75 mg/m² kao jednosatna intravenska infuzija svake 3 nedjelje) i kapecitabinom (1250 mg/m² dva puta dnevno u periodu od dvije nedjelje, poslije kojih slijedi period od jedne nedjelje bez terapije). Na monoterapiju docetakselom (100 mg/m² u jednosatnoj intravenskoj infuziji svake 3 nedjelje) randomizovano je 256 pacijenata. Preživljavanje je bilo bolje u grupi koja je primala kombinaciju docetaksela i kapecitabina, (p=0,0126). Srednje vrijeme preživljavanja bilo je 442 dana (docetaksel+kapecitabin) prema 352 dana (samo docetaksel). Ukupna objektivna stopa odgovora u cjelokupnoj randomizovanoj populaciji pacijenata bila je (prema procjeni ispitiva</w:t>
      </w:r>
      <w:r w:rsidRPr="00D26BBC">
        <w:rPr>
          <w:rFonts w:eastAsia="TimesNewRoman"/>
          <w:sz w:val="22"/>
          <w:szCs w:val="22"/>
        </w:rPr>
        <w:t>č</w:t>
      </w:r>
      <w:r w:rsidRPr="00D26BBC">
        <w:rPr>
          <w:sz w:val="22"/>
          <w:szCs w:val="22"/>
        </w:rPr>
        <w:t>a) 41,6% grupi na kombinaciji docetaksel+kapecitabin, nasuprot 29,7% u grupi koja je primala samo docetaksel (p=0,0058). Vrijeme do progresije bolesti je bilo veće u grupi koja je primala docetaksel i kapecitabin (p</w:t>
      </w:r>
      <w:r>
        <w:rPr>
          <w:sz w:val="22"/>
          <w:szCs w:val="22"/>
        </w:rPr>
        <w:t xml:space="preserve"> </w:t>
      </w:r>
      <w:r w:rsidRPr="00D26BBC">
        <w:rPr>
          <w:sz w:val="22"/>
          <w:szCs w:val="22"/>
        </w:rPr>
        <w:t>&lt;</w:t>
      </w:r>
      <w:r>
        <w:rPr>
          <w:sz w:val="22"/>
          <w:szCs w:val="22"/>
        </w:rPr>
        <w:t xml:space="preserve"> </w:t>
      </w:r>
      <w:r w:rsidRPr="00D26BBC">
        <w:rPr>
          <w:sz w:val="22"/>
          <w:szCs w:val="22"/>
        </w:rPr>
        <w:t>0,0001). Srednje vrijeme do progresije bilo je 186 dana (docetaksel+kapecitabin) prema 128 dana (samo docetaksel).</w:t>
      </w:r>
    </w:p>
    <w:p w14:paraId="5ED87D83" w14:textId="77777777" w:rsidR="00F223ED" w:rsidRPr="00D26BBC" w:rsidRDefault="00F223ED" w:rsidP="00F223ED">
      <w:pPr>
        <w:autoSpaceDE w:val="0"/>
        <w:autoSpaceDN w:val="0"/>
        <w:adjustRightInd w:val="0"/>
        <w:rPr>
          <w:sz w:val="22"/>
          <w:szCs w:val="22"/>
          <w:u w:val="single"/>
        </w:rPr>
      </w:pPr>
    </w:p>
    <w:p w14:paraId="32540254" w14:textId="77777777" w:rsidR="00F223ED" w:rsidRPr="00D26BBC" w:rsidRDefault="00F223ED" w:rsidP="00F223ED">
      <w:pPr>
        <w:autoSpaceDE w:val="0"/>
        <w:autoSpaceDN w:val="0"/>
        <w:adjustRightInd w:val="0"/>
        <w:rPr>
          <w:bCs/>
          <w:i/>
          <w:iCs/>
          <w:sz w:val="22"/>
          <w:szCs w:val="22"/>
          <w:u w:val="single"/>
        </w:rPr>
      </w:pPr>
      <w:r w:rsidRPr="00D26BBC">
        <w:rPr>
          <w:bCs/>
          <w:i/>
          <w:iCs/>
          <w:sz w:val="22"/>
          <w:szCs w:val="22"/>
          <w:u w:val="single"/>
        </w:rPr>
        <w:t>Nemikrocelularni karcinom pluća</w:t>
      </w:r>
    </w:p>
    <w:p w14:paraId="5BEA0E08" w14:textId="77777777" w:rsidR="00F223ED" w:rsidRPr="00D26BBC" w:rsidRDefault="00F223ED" w:rsidP="00F223ED">
      <w:pPr>
        <w:autoSpaceDE w:val="0"/>
        <w:autoSpaceDN w:val="0"/>
        <w:adjustRightInd w:val="0"/>
        <w:rPr>
          <w:bCs/>
          <w:i/>
          <w:iCs/>
          <w:sz w:val="22"/>
          <w:szCs w:val="22"/>
        </w:rPr>
      </w:pPr>
    </w:p>
    <w:p w14:paraId="3D29279E" w14:textId="77777777" w:rsidR="00F223ED" w:rsidRPr="00D26BBC" w:rsidRDefault="00F223ED" w:rsidP="00F223ED">
      <w:pPr>
        <w:autoSpaceDE w:val="0"/>
        <w:autoSpaceDN w:val="0"/>
        <w:adjustRightInd w:val="0"/>
        <w:rPr>
          <w:bCs/>
          <w:i/>
          <w:iCs/>
          <w:sz w:val="22"/>
          <w:szCs w:val="22"/>
        </w:rPr>
      </w:pPr>
      <w:r w:rsidRPr="00D26BBC">
        <w:rPr>
          <w:bCs/>
          <w:i/>
          <w:iCs/>
          <w:sz w:val="22"/>
          <w:szCs w:val="22"/>
        </w:rPr>
        <w:t>Pacijenti prethodno liječeni hemioterapijom uz radioterapiju ili bez nje</w:t>
      </w:r>
    </w:p>
    <w:p w14:paraId="6EE1A2A6" w14:textId="77777777" w:rsidR="00F223ED" w:rsidRPr="00D26BBC" w:rsidRDefault="00F223ED" w:rsidP="00F223ED">
      <w:pPr>
        <w:autoSpaceDE w:val="0"/>
        <w:autoSpaceDN w:val="0"/>
        <w:adjustRightInd w:val="0"/>
        <w:rPr>
          <w:sz w:val="22"/>
          <w:szCs w:val="22"/>
        </w:rPr>
      </w:pPr>
    </w:p>
    <w:p w14:paraId="6129BABB" w14:textId="77777777" w:rsidR="00F223ED" w:rsidRPr="00D26BBC" w:rsidRDefault="00F223ED" w:rsidP="00F223ED">
      <w:pPr>
        <w:autoSpaceDE w:val="0"/>
        <w:autoSpaceDN w:val="0"/>
        <w:adjustRightInd w:val="0"/>
        <w:rPr>
          <w:sz w:val="22"/>
          <w:szCs w:val="22"/>
        </w:rPr>
      </w:pPr>
      <w:r w:rsidRPr="00D26BBC">
        <w:rPr>
          <w:sz w:val="22"/>
          <w:szCs w:val="22"/>
        </w:rPr>
        <w:t>U studiji faze III, kod prethodno lije</w:t>
      </w:r>
      <w:r w:rsidRPr="00D26BBC">
        <w:rPr>
          <w:rFonts w:eastAsia="TimesNewRoman"/>
          <w:sz w:val="22"/>
          <w:szCs w:val="22"/>
        </w:rPr>
        <w:t>č</w:t>
      </w:r>
      <w:r w:rsidRPr="00D26BBC">
        <w:rPr>
          <w:sz w:val="22"/>
          <w:szCs w:val="22"/>
        </w:rPr>
        <w:t>enih pacijenata, vrijeme do progresije (12,3 nedjelje prema 7 nedjelja) i ukupno preživljavanje bili su zna</w:t>
      </w:r>
      <w:r w:rsidRPr="00D26BBC">
        <w:rPr>
          <w:rFonts w:eastAsia="TimesNewRoman"/>
          <w:sz w:val="22"/>
          <w:szCs w:val="22"/>
        </w:rPr>
        <w:t>č</w:t>
      </w:r>
      <w:r w:rsidRPr="00D26BBC">
        <w:rPr>
          <w:sz w:val="22"/>
          <w:szCs w:val="22"/>
        </w:rPr>
        <w:t>ajno duži kod pacijenata koji su primali docetaksel u dozi od 75 mg/m², nego kod onih koji su dobijali najbolju suportivnu terapiju (BSC – Best supportive care). Stopa preživljavanja na nivou jedne godine bila je, tako</w:t>
      </w:r>
      <w:r w:rsidRPr="00D26BBC">
        <w:rPr>
          <w:rFonts w:eastAsia="TimesNewRoman"/>
          <w:sz w:val="22"/>
          <w:szCs w:val="22"/>
        </w:rPr>
        <w:t>đ</w:t>
      </w:r>
      <w:r w:rsidRPr="00D26BBC">
        <w:rPr>
          <w:sz w:val="22"/>
          <w:szCs w:val="22"/>
        </w:rPr>
        <w:t>e, zna</w:t>
      </w:r>
      <w:r w:rsidRPr="00D26BBC">
        <w:rPr>
          <w:rFonts w:eastAsia="TimesNewRoman"/>
          <w:sz w:val="22"/>
          <w:szCs w:val="22"/>
        </w:rPr>
        <w:t>č</w:t>
      </w:r>
      <w:r w:rsidRPr="00D26BBC">
        <w:rPr>
          <w:sz w:val="22"/>
          <w:szCs w:val="22"/>
        </w:rPr>
        <w:t xml:space="preserve">ajno viša u grupi na docetakselu (40%), nego u grupi na BSC (16%). </w:t>
      </w:r>
    </w:p>
    <w:p w14:paraId="18ED7EAA" w14:textId="77777777" w:rsidR="00F223ED" w:rsidRPr="00D26BBC" w:rsidRDefault="00F223ED" w:rsidP="00F223ED">
      <w:pPr>
        <w:autoSpaceDE w:val="0"/>
        <w:autoSpaceDN w:val="0"/>
        <w:adjustRightInd w:val="0"/>
        <w:rPr>
          <w:sz w:val="22"/>
          <w:szCs w:val="22"/>
        </w:rPr>
      </w:pPr>
    </w:p>
    <w:p w14:paraId="6A20F45B" w14:textId="77777777" w:rsidR="00F223ED" w:rsidRPr="00D26BBC" w:rsidRDefault="00F223ED" w:rsidP="00F223ED">
      <w:pPr>
        <w:autoSpaceDE w:val="0"/>
        <w:autoSpaceDN w:val="0"/>
        <w:adjustRightInd w:val="0"/>
        <w:rPr>
          <w:sz w:val="22"/>
          <w:szCs w:val="22"/>
        </w:rPr>
      </w:pPr>
      <w:r w:rsidRPr="00D26BBC">
        <w:rPr>
          <w:sz w:val="22"/>
          <w:szCs w:val="22"/>
        </w:rPr>
        <w:t>U odnosu na pacijente koji su dobijali najbolju suportivnu terapiju, pacijentima lije</w:t>
      </w:r>
      <w:r w:rsidRPr="00D26BBC">
        <w:rPr>
          <w:rFonts w:eastAsia="TimesNewRoman"/>
          <w:sz w:val="22"/>
          <w:szCs w:val="22"/>
        </w:rPr>
        <w:t>č</w:t>
      </w:r>
      <w:r w:rsidRPr="00D26BBC">
        <w:rPr>
          <w:sz w:val="22"/>
          <w:szCs w:val="22"/>
        </w:rPr>
        <w:t>enim docetakselom (75 mg/m²) bilo je potrebno manje morfinskih (p</w:t>
      </w:r>
      <w:r>
        <w:rPr>
          <w:sz w:val="22"/>
          <w:szCs w:val="22"/>
        </w:rPr>
        <w:t xml:space="preserve"> </w:t>
      </w:r>
      <w:r w:rsidRPr="00D26BBC">
        <w:rPr>
          <w:sz w:val="22"/>
          <w:szCs w:val="22"/>
        </w:rPr>
        <w:t>&lt;</w:t>
      </w:r>
      <w:r>
        <w:rPr>
          <w:sz w:val="22"/>
          <w:szCs w:val="22"/>
        </w:rPr>
        <w:t xml:space="preserve"> </w:t>
      </w:r>
      <w:r w:rsidRPr="00D26BBC">
        <w:rPr>
          <w:sz w:val="22"/>
          <w:szCs w:val="22"/>
        </w:rPr>
        <w:t>0,01) i ne-morfinskih analgetika (p</w:t>
      </w:r>
      <w:r>
        <w:rPr>
          <w:sz w:val="22"/>
          <w:szCs w:val="22"/>
        </w:rPr>
        <w:t xml:space="preserve"> </w:t>
      </w:r>
      <w:r w:rsidRPr="00D26BBC">
        <w:rPr>
          <w:sz w:val="22"/>
          <w:szCs w:val="22"/>
        </w:rPr>
        <w:t>&lt;</w:t>
      </w:r>
      <w:r>
        <w:rPr>
          <w:sz w:val="22"/>
          <w:szCs w:val="22"/>
        </w:rPr>
        <w:t xml:space="preserve"> </w:t>
      </w:r>
      <w:r w:rsidRPr="00D26BBC">
        <w:rPr>
          <w:sz w:val="22"/>
          <w:szCs w:val="22"/>
        </w:rPr>
        <w:t>0,01), drugih sa boleš</w:t>
      </w:r>
      <w:r w:rsidRPr="00D26BBC">
        <w:rPr>
          <w:rFonts w:eastAsia="TimesNewRoman"/>
          <w:sz w:val="22"/>
          <w:szCs w:val="22"/>
        </w:rPr>
        <w:t>ć</w:t>
      </w:r>
      <w:r w:rsidRPr="00D26BBC">
        <w:rPr>
          <w:sz w:val="22"/>
          <w:szCs w:val="22"/>
        </w:rPr>
        <w:t>u povezanih ljekova (p=0,06), kao i radioterapije (p</w:t>
      </w:r>
      <w:r>
        <w:rPr>
          <w:sz w:val="22"/>
          <w:szCs w:val="22"/>
        </w:rPr>
        <w:t xml:space="preserve"> </w:t>
      </w:r>
      <w:r w:rsidRPr="00D26BBC">
        <w:rPr>
          <w:sz w:val="22"/>
          <w:szCs w:val="22"/>
        </w:rPr>
        <w:t>&lt;</w:t>
      </w:r>
      <w:r>
        <w:rPr>
          <w:sz w:val="22"/>
          <w:szCs w:val="22"/>
        </w:rPr>
        <w:t xml:space="preserve"> </w:t>
      </w:r>
      <w:r w:rsidRPr="00D26BBC">
        <w:rPr>
          <w:sz w:val="22"/>
          <w:szCs w:val="22"/>
        </w:rPr>
        <w:t xml:space="preserve">0,01). </w:t>
      </w:r>
    </w:p>
    <w:p w14:paraId="0D4B3488" w14:textId="77777777" w:rsidR="00F223ED" w:rsidRPr="00D26BBC" w:rsidRDefault="00F223ED" w:rsidP="00F223ED">
      <w:pPr>
        <w:autoSpaceDE w:val="0"/>
        <w:autoSpaceDN w:val="0"/>
        <w:adjustRightInd w:val="0"/>
        <w:rPr>
          <w:sz w:val="22"/>
          <w:szCs w:val="22"/>
        </w:rPr>
      </w:pPr>
    </w:p>
    <w:p w14:paraId="192B0759" w14:textId="77777777" w:rsidR="00F223ED" w:rsidRPr="00D26BBC" w:rsidRDefault="00F223ED" w:rsidP="00F223ED">
      <w:pPr>
        <w:autoSpaceDE w:val="0"/>
        <w:autoSpaceDN w:val="0"/>
        <w:adjustRightInd w:val="0"/>
        <w:rPr>
          <w:sz w:val="22"/>
          <w:szCs w:val="22"/>
        </w:rPr>
      </w:pPr>
      <w:r w:rsidRPr="00D26BBC">
        <w:rPr>
          <w:sz w:val="22"/>
          <w:szCs w:val="22"/>
        </w:rPr>
        <w:t>Kod pacijenata podesnih za analizu i procjenu, ukupna stopa odgovora bila je 6,8%, a srednje vrijeme trajanja odgovora 26,1 nedjelje.</w:t>
      </w:r>
    </w:p>
    <w:p w14:paraId="22C58ED1" w14:textId="77777777" w:rsidR="00F223ED" w:rsidRPr="00D26BBC" w:rsidRDefault="00F223ED" w:rsidP="00F223ED">
      <w:pPr>
        <w:autoSpaceDE w:val="0"/>
        <w:autoSpaceDN w:val="0"/>
        <w:adjustRightInd w:val="0"/>
        <w:rPr>
          <w:i/>
          <w:iCs/>
          <w:sz w:val="22"/>
          <w:szCs w:val="22"/>
        </w:rPr>
      </w:pPr>
    </w:p>
    <w:p w14:paraId="1004A538" w14:textId="0FD96364" w:rsidR="00F223ED" w:rsidRPr="00D26BBC" w:rsidRDefault="009D254D" w:rsidP="00F223ED">
      <w:pPr>
        <w:autoSpaceDE w:val="0"/>
        <w:autoSpaceDN w:val="0"/>
        <w:adjustRightInd w:val="0"/>
        <w:rPr>
          <w:bCs/>
          <w:i/>
          <w:iCs/>
          <w:sz w:val="22"/>
          <w:szCs w:val="22"/>
        </w:rPr>
      </w:pPr>
      <w:r>
        <w:rPr>
          <w:bCs/>
          <w:i/>
          <w:iCs/>
          <w:sz w:val="22"/>
          <w:szCs w:val="22"/>
        </w:rPr>
        <w:t>Docetaxel Hospira</w:t>
      </w:r>
      <w:r w:rsidR="00F223ED" w:rsidRPr="00D26BBC">
        <w:rPr>
          <w:bCs/>
          <w:i/>
          <w:iCs/>
          <w:sz w:val="22"/>
          <w:szCs w:val="22"/>
        </w:rPr>
        <w:t xml:space="preserve"> u kombinaciji sa preparatima platine kod pacijenata koji nisu primali hemioterapiju</w:t>
      </w:r>
    </w:p>
    <w:p w14:paraId="1D431F27" w14:textId="77777777" w:rsidR="00F223ED" w:rsidRPr="00D26BBC" w:rsidRDefault="00F223ED" w:rsidP="00F223ED">
      <w:pPr>
        <w:autoSpaceDE w:val="0"/>
        <w:autoSpaceDN w:val="0"/>
        <w:adjustRightInd w:val="0"/>
        <w:rPr>
          <w:bCs/>
          <w:i/>
          <w:iCs/>
          <w:sz w:val="22"/>
          <w:szCs w:val="22"/>
        </w:rPr>
      </w:pPr>
    </w:p>
    <w:p w14:paraId="330ECB6C" w14:textId="77777777" w:rsidR="00F223ED" w:rsidRPr="00D26BBC" w:rsidRDefault="00F223ED" w:rsidP="00F223ED">
      <w:pPr>
        <w:autoSpaceDE w:val="0"/>
        <w:autoSpaceDN w:val="0"/>
        <w:adjustRightInd w:val="0"/>
        <w:rPr>
          <w:sz w:val="22"/>
          <w:szCs w:val="22"/>
        </w:rPr>
      </w:pPr>
      <w:r w:rsidRPr="00D26BBC">
        <w:rPr>
          <w:sz w:val="22"/>
          <w:szCs w:val="22"/>
        </w:rPr>
        <w:t>U studiji faze III 1218 pacijenata sa neresektabilnim nemikrocelularnim karcinomom plu</w:t>
      </w:r>
      <w:r w:rsidRPr="00D26BBC">
        <w:rPr>
          <w:rFonts w:eastAsia="TimesNewRoman"/>
          <w:sz w:val="22"/>
          <w:szCs w:val="22"/>
        </w:rPr>
        <w:t>ć</w:t>
      </w:r>
      <w:r w:rsidRPr="00D26BBC">
        <w:rPr>
          <w:sz w:val="22"/>
          <w:szCs w:val="22"/>
        </w:rPr>
        <w:t xml:space="preserve">a u stadijumu IIIB ili IV NSCLC i KPS od 70% i više, koji prethodno za tu bolest nisu primali hemioterapiju, randomizovano je ili za docetaksel (T) svake 3 nedjelje u dozi od 75 mg/m² u jednosatnoj infuziji, nakon koje je odmah slijedio cisplatin (Cis) 75 mg/m² tokom 30-60 minuta, </w:t>
      </w:r>
      <w:r w:rsidRPr="00D26BBC">
        <w:rPr>
          <w:sz w:val="22"/>
          <w:szCs w:val="22"/>
        </w:rPr>
        <w:lastRenderedPageBreak/>
        <w:t>docetaksel (75 mg/m²) svake 3 nedjelje (TCis) u jednosatnoj infuziji u kombinaciji sa karboplatinom (PIK 6 mg/m</w:t>
      </w:r>
      <w:r>
        <w:rPr>
          <w:sz w:val="22"/>
          <w:szCs w:val="22"/>
        </w:rPr>
        <w:t>l</w:t>
      </w:r>
      <w:r w:rsidRPr="00D26BBC">
        <w:rPr>
          <w:sz w:val="22"/>
          <w:szCs w:val="22"/>
        </w:rPr>
        <w:t>*min) tokom 30-60 minuta ili vinorelbin (V) u dozi od 25 mg/m² tokom 6-10 minuta 1, 8, 15. i 22. dana i cisplatin u dozi od 100 mg/m² primijenjen 1. dana ciklusa na svake 4 nedjelje (VCis).</w:t>
      </w:r>
    </w:p>
    <w:p w14:paraId="599EC72C" w14:textId="77777777" w:rsidR="00F223ED" w:rsidRPr="00D26BBC" w:rsidRDefault="00F223ED" w:rsidP="00F223ED">
      <w:pPr>
        <w:autoSpaceDE w:val="0"/>
        <w:autoSpaceDN w:val="0"/>
        <w:adjustRightInd w:val="0"/>
        <w:rPr>
          <w:sz w:val="22"/>
          <w:szCs w:val="22"/>
        </w:rPr>
      </w:pPr>
    </w:p>
    <w:p w14:paraId="3B4BD420" w14:textId="77777777" w:rsidR="00F223ED" w:rsidRPr="00D26BBC" w:rsidRDefault="00F223ED" w:rsidP="00F223ED">
      <w:pPr>
        <w:autoSpaceDE w:val="0"/>
        <w:autoSpaceDN w:val="0"/>
        <w:adjustRightInd w:val="0"/>
        <w:rPr>
          <w:sz w:val="22"/>
          <w:szCs w:val="22"/>
        </w:rPr>
      </w:pPr>
      <w:r w:rsidRPr="00D26BBC">
        <w:rPr>
          <w:sz w:val="22"/>
          <w:szCs w:val="22"/>
        </w:rPr>
        <w:t>Podaci o preživljavanju, srednjem vremenu do progresije i stopi odgovora za dvije grupe ovog ispitivanja dati su u sljede</w:t>
      </w:r>
      <w:r w:rsidRPr="00D26BBC">
        <w:rPr>
          <w:rFonts w:eastAsia="TimesNewRoman"/>
          <w:sz w:val="22"/>
          <w:szCs w:val="22"/>
        </w:rPr>
        <w:t>ć</w:t>
      </w:r>
      <w:r w:rsidRPr="00D26BBC">
        <w:rPr>
          <w:sz w:val="22"/>
          <w:szCs w:val="22"/>
        </w:rPr>
        <w:t>oj tabeli:</w:t>
      </w:r>
    </w:p>
    <w:p w14:paraId="6715B41A" w14:textId="77777777" w:rsidR="00F223ED" w:rsidRPr="00D26BBC" w:rsidRDefault="00F223ED" w:rsidP="00F223ED">
      <w:pPr>
        <w:autoSpaceDE w:val="0"/>
        <w:autoSpaceDN w:val="0"/>
        <w:adjustRightInd w:val="0"/>
        <w:rPr>
          <w:sz w:val="22"/>
          <w:szCs w:val="22"/>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2433"/>
        <w:gridCol w:w="2433"/>
        <w:gridCol w:w="2434"/>
      </w:tblGrid>
      <w:tr w:rsidR="00F223ED" w:rsidRPr="00B02007" w14:paraId="7F14D42A" w14:textId="77777777" w:rsidTr="002C66FC">
        <w:trPr>
          <w:trHeight w:val="766"/>
        </w:trPr>
        <w:tc>
          <w:tcPr>
            <w:tcW w:w="2433" w:type="dxa"/>
          </w:tcPr>
          <w:p w14:paraId="46AB398A" w14:textId="77777777" w:rsidR="00F223ED" w:rsidRPr="00D26BBC" w:rsidRDefault="00F223ED" w:rsidP="002C66FC">
            <w:pPr>
              <w:autoSpaceDE w:val="0"/>
              <w:autoSpaceDN w:val="0"/>
              <w:adjustRightInd w:val="0"/>
              <w:rPr>
                <w:sz w:val="22"/>
                <w:szCs w:val="22"/>
              </w:rPr>
            </w:pPr>
          </w:p>
        </w:tc>
        <w:tc>
          <w:tcPr>
            <w:tcW w:w="2433" w:type="dxa"/>
          </w:tcPr>
          <w:p w14:paraId="31CB32C8" w14:textId="77777777" w:rsidR="00F223ED" w:rsidRPr="00973003" w:rsidRDefault="00F223ED" w:rsidP="002C66FC">
            <w:pPr>
              <w:autoSpaceDE w:val="0"/>
              <w:autoSpaceDN w:val="0"/>
              <w:adjustRightInd w:val="0"/>
              <w:rPr>
                <w:b/>
                <w:bCs/>
                <w:sz w:val="22"/>
                <w:szCs w:val="22"/>
              </w:rPr>
            </w:pPr>
            <w:r w:rsidRPr="00973003">
              <w:rPr>
                <w:b/>
                <w:bCs/>
                <w:sz w:val="22"/>
                <w:szCs w:val="22"/>
              </w:rPr>
              <w:t>TCis</w:t>
            </w:r>
          </w:p>
          <w:p w14:paraId="5B67FFB7" w14:textId="77777777" w:rsidR="00F223ED" w:rsidRPr="00D26BBC" w:rsidRDefault="00F223ED" w:rsidP="002C66FC">
            <w:pPr>
              <w:autoSpaceDE w:val="0"/>
              <w:autoSpaceDN w:val="0"/>
              <w:adjustRightInd w:val="0"/>
              <w:rPr>
                <w:sz w:val="22"/>
                <w:szCs w:val="22"/>
              </w:rPr>
            </w:pPr>
            <w:r w:rsidRPr="00D26BBC">
              <w:rPr>
                <w:sz w:val="22"/>
                <w:szCs w:val="22"/>
              </w:rPr>
              <w:t>n=408</w:t>
            </w:r>
          </w:p>
          <w:p w14:paraId="3FCA003F" w14:textId="77777777" w:rsidR="00F223ED" w:rsidRPr="00D26BBC" w:rsidRDefault="00F223ED" w:rsidP="002C66FC">
            <w:pPr>
              <w:autoSpaceDE w:val="0"/>
              <w:autoSpaceDN w:val="0"/>
              <w:adjustRightInd w:val="0"/>
              <w:rPr>
                <w:sz w:val="22"/>
                <w:szCs w:val="22"/>
              </w:rPr>
            </w:pPr>
          </w:p>
        </w:tc>
        <w:tc>
          <w:tcPr>
            <w:tcW w:w="2433" w:type="dxa"/>
          </w:tcPr>
          <w:p w14:paraId="437858E3" w14:textId="77777777" w:rsidR="00F223ED" w:rsidRPr="00973003" w:rsidRDefault="00F223ED" w:rsidP="002C66FC">
            <w:pPr>
              <w:autoSpaceDE w:val="0"/>
              <w:autoSpaceDN w:val="0"/>
              <w:adjustRightInd w:val="0"/>
              <w:rPr>
                <w:b/>
                <w:bCs/>
                <w:sz w:val="22"/>
                <w:szCs w:val="22"/>
              </w:rPr>
            </w:pPr>
            <w:r w:rsidRPr="00973003">
              <w:rPr>
                <w:b/>
                <w:bCs/>
                <w:sz w:val="22"/>
                <w:szCs w:val="22"/>
              </w:rPr>
              <w:t>VCis</w:t>
            </w:r>
          </w:p>
          <w:p w14:paraId="7AF6DACC" w14:textId="77777777" w:rsidR="00F223ED" w:rsidRPr="00D26BBC" w:rsidRDefault="00F223ED" w:rsidP="002C66FC">
            <w:pPr>
              <w:autoSpaceDE w:val="0"/>
              <w:autoSpaceDN w:val="0"/>
              <w:adjustRightInd w:val="0"/>
              <w:rPr>
                <w:sz w:val="22"/>
                <w:szCs w:val="22"/>
              </w:rPr>
            </w:pPr>
            <w:r w:rsidRPr="00D26BBC">
              <w:rPr>
                <w:sz w:val="22"/>
                <w:szCs w:val="22"/>
              </w:rPr>
              <w:t>n=404</w:t>
            </w:r>
          </w:p>
          <w:p w14:paraId="6B34B83F" w14:textId="77777777" w:rsidR="00F223ED" w:rsidRPr="00D26BBC" w:rsidRDefault="00F223ED" w:rsidP="002C66FC">
            <w:pPr>
              <w:autoSpaceDE w:val="0"/>
              <w:autoSpaceDN w:val="0"/>
              <w:adjustRightInd w:val="0"/>
              <w:rPr>
                <w:sz w:val="22"/>
                <w:szCs w:val="22"/>
              </w:rPr>
            </w:pPr>
          </w:p>
        </w:tc>
        <w:tc>
          <w:tcPr>
            <w:tcW w:w="2434" w:type="dxa"/>
          </w:tcPr>
          <w:p w14:paraId="608D37B4" w14:textId="77777777" w:rsidR="00F223ED" w:rsidRPr="00973003" w:rsidRDefault="00F223ED" w:rsidP="002C66FC">
            <w:pPr>
              <w:autoSpaceDE w:val="0"/>
              <w:autoSpaceDN w:val="0"/>
              <w:adjustRightInd w:val="0"/>
              <w:rPr>
                <w:b/>
                <w:bCs/>
                <w:sz w:val="22"/>
                <w:szCs w:val="22"/>
              </w:rPr>
            </w:pPr>
            <w:r w:rsidRPr="00973003">
              <w:rPr>
                <w:b/>
                <w:bCs/>
                <w:sz w:val="22"/>
                <w:szCs w:val="22"/>
              </w:rPr>
              <w:t>Statisti</w:t>
            </w:r>
            <w:r w:rsidRPr="00973003">
              <w:rPr>
                <w:rFonts w:eastAsia="TimesNewRoman"/>
                <w:b/>
                <w:bCs/>
                <w:sz w:val="22"/>
                <w:szCs w:val="22"/>
              </w:rPr>
              <w:t>č</w:t>
            </w:r>
            <w:r w:rsidRPr="00973003">
              <w:rPr>
                <w:b/>
                <w:bCs/>
                <w:sz w:val="22"/>
                <w:szCs w:val="22"/>
              </w:rPr>
              <w:t>ka analiza</w:t>
            </w:r>
          </w:p>
          <w:p w14:paraId="249EE71C" w14:textId="77777777" w:rsidR="00F223ED" w:rsidRPr="00D26BBC" w:rsidRDefault="00F223ED" w:rsidP="002C66FC">
            <w:pPr>
              <w:autoSpaceDE w:val="0"/>
              <w:autoSpaceDN w:val="0"/>
              <w:adjustRightInd w:val="0"/>
              <w:rPr>
                <w:sz w:val="22"/>
                <w:szCs w:val="22"/>
              </w:rPr>
            </w:pPr>
          </w:p>
        </w:tc>
      </w:tr>
      <w:tr w:rsidR="00F223ED" w:rsidRPr="00B02007" w14:paraId="1A95F135" w14:textId="77777777" w:rsidTr="002C66FC">
        <w:trPr>
          <w:trHeight w:val="755"/>
        </w:trPr>
        <w:tc>
          <w:tcPr>
            <w:tcW w:w="2433" w:type="dxa"/>
          </w:tcPr>
          <w:p w14:paraId="5D1C5BE6" w14:textId="77777777" w:rsidR="00F223ED" w:rsidRPr="00D26BBC" w:rsidRDefault="00F223ED" w:rsidP="002C66FC">
            <w:pPr>
              <w:autoSpaceDE w:val="0"/>
              <w:autoSpaceDN w:val="0"/>
              <w:adjustRightInd w:val="0"/>
              <w:rPr>
                <w:sz w:val="22"/>
                <w:szCs w:val="22"/>
              </w:rPr>
            </w:pPr>
            <w:r w:rsidRPr="00D26BBC">
              <w:rPr>
                <w:sz w:val="22"/>
                <w:szCs w:val="22"/>
              </w:rPr>
              <w:t>Ukupno preživljavanje (primarni krajnji ishod)</w:t>
            </w:r>
          </w:p>
          <w:p w14:paraId="23FE5E26" w14:textId="77777777" w:rsidR="00F223ED" w:rsidRPr="00D26BBC" w:rsidRDefault="00F223ED" w:rsidP="002C66FC">
            <w:pPr>
              <w:autoSpaceDE w:val="0"/>
              <w:autoSpaceDN w:val="0"/>
              <w:adjustRightInd w:val="0"/>
              <w:rPr>
                <w:sz w:val="22"/>
                <w:szCs w:val="22"/>
              </w:rPr>
            </w:pPr>
          </w:p>
        </w:tc>
        <w:tc>
          <w:tcPr>
            <w:tcW w:w="2433" w:type="dxa"/>
          </w:tcPr>
          <w:p w14:paraId="706E983E" w14:textId="77777777" w:rsidR="00F223ED" w:rsidRPr="00D26BBC" w:rsidRDefault="00F223ED" w:rsidP="002C66FC">
            <w:pPr>
              <w:autoSpaceDE w:val="0"/>
              <w:autoSpaceDN w:val="0"/>
              <w:adjustRightInd w:val="0"/>
              <w:rPr>
                <w:sz w:val="22"/>
                <w:szCs w:val="22"/>
              </w:rPr>
            </w:pPr>
          </w:p>
          <w:p w14:paraId="5DD36474" w14:textId="77777777" w:rsidR="00F223ED" w:rsidRPr="00D26BBC" w:rsidRDefault="00F223ED" w:rsidP="002C66FC">
            <w:pPr>
              <w:autoSpaceDE w:val="0"/>
              <w:autoSpaceDN w:val="0"/>
              <w:adjustRightInd w:val="0"/>
              <w:rPr>
                <w:sz w:val="22"/>
                <w:szCs w:val="22"/>
              </w:rPr>
            </w:pPr>
          </w:p>
        </w:tc>
        <w:tc>
          <w:tcPr>
            <w:tcW w:w="2433" w:type="dxa"/>
          </w:tcPr>
          <w:p w14:paraId="11C19F91" w14:textId="77777777" w:rsidR="00F223ED" w:rsidRPr="00D26BBC" w:rsidRDefault="00F223ED" w:rsidP="002C66FC">
            <w:pPr>
              <w:autoSpaceDE w:val="0"/>
              <w:autoSpaceDN w:val="0"/>
              <w:adjustRightInd w:val="0"/>
              <w:rPr>
                <w:sz w:val="22"/>
                <w:szCs w:val="22"/>
              </w:rPr>
            </w:pPr>
          </w:p>
        </w:tc>
        <w:tc>
          <w:tcPr>
            <w:tcW w:w="2434" w:type="dxa"/>
          </w:tcPr>
          <w:p w14:paraId="4C1346F5" w14:textId="77777777" w:rsidR="00F223ED" w:rsidRPr="00D26BBC" w:rsidRDefault="00F223ED" w:rsidP="002C66FC">
            <w:pPr>
              <w:autoSpaceDE w:val="0"/>
              <w:autoSpaceDN w:val="0"/>
              <w:adjustRightInd w:val="0"/>
              <w:rPr>
                <w:sz w:val="22"/>
                <w:szCs w:val="22"/>
              </w:rPr>
            </w:pPr>
          </w:p>
        </w:tc>
      </w:tr>
      <w:tr w:rsidR="00F223ED" w:rsidRPr="00B02007" w14:paraId="2472EB11" w14:textId="77777777" w:rsidTr="002C66FC">
        <w:trPr>
          <w:trHeight w:val="766"/>
        </w:trPr>
        <w:tc>
          <w:tcPr>
            <w:tcW w:w="2433" w:type="dxa"/>
          </w:tcPr>
          <w:p w14:paraId="05534DAF" w14:textId="77777777" w:rsidR="00F223ED" w:rsidRPr="00D26BBC" w:rsidRDefault="00F223ED" w:rsidP="002C66FC">
            <w:pPr>
              <w:autoSpaceDE w:val="0"/>
              <w:autoSpaceDN w:val="0"/>
              <w:adjustRightInd w:val="0"/>
              <w:rPr>
                <w:sz w:val="22"/>
                <w:szCs w:val="22"/>
              </w:rPr>
            </w:pPr>
            <w:r w:rsidRPr="00D26BBC">
              <w:rPr>
                <w:sz w:val="22"/>
                <w:szCs w:val="22"/>
              </w:rPr>
              <w:t>Srednje vrijeme preživljavanja (mjeseci)</w:t>
            </w:r>
          </w:p>
        </w:tc>
        <w:tc>
          <w:tcPr>
            <w:tcW w:w="2433" w:type="dxa"/>
          </w:tcPr>
          <w:p w14:paraId="67D7D45D" w14:textId="77777777" w:rsidR="00F223ED" w:rsidRPr="00D26BBC" w:rsidRDefault="00F223ED" w:rsidP="002C66FC">
            <w:pPr>
              <w:autoSpaceDE w:val="0"/>
              <w:autoSpaceDN w:val="0"/>
              <w:adjustRightInd w:val="0"/>
              <w:rPr>
                <w:sz w:val="22"/>
                <w:szCs w:val="22"/>
              </w:rPr>
            </w:pPr>
            <w:r w:rsidRPr="00D26BBC">
              <w:rPr>
                <w:sz w:val="22"/>
                <w:szCs w:val="22"/>
              </w:rPr>
              <w:t>11,3</w:t>
            </w:r>
          </w:p>
          <w:p w14:paraId="5DFAF0EA" w14:textId="77777777" w:rsidR="00F223ED" w:rsidRPr="00D26BBC" w:rsidRDefault="00F223ED" w:rsidP="002C66FC">
            <w:pPr>
              <w:autoSpaceDE w:val="0"/>
              <w:autoSpaceDN w:val="0"/>
              <w:adjustRightInd w:val="0"/>
              <w:rPr>
                <w:sz w:val="22"/>
                <w:szCs w:val="22"/>
              </w:rPr>
            </w:pPr>
          </w:p>
        </w:tc>
        <w:tc>
          <w:tcPr>
            <w:tcW w:w="2433" w:type="dxa"/>
          </w:tcPr>
          <w:p w14:paraId="7EF927E1" w14:textId="77777777" w:rsidR="00F223ED" w:rsidRPr="00D26BBC" w:rsidRDefault="00F223ED" w:rsidP="002C66FC">
            <w:pPr>
              <w:autoSpaceDE w:val="0"/>
              <w:autoSpaceDN w:val="0"/>
              <w:adjustRightInd w:val="0"/>
              <w:rPr>
                <w:sz w:val="22"/>
                <w:szCs w:val="22"/>
              </w:rPr>
            </w:pPr>
            <w:r w:rsidRPr="00D26BBC">
              <w:rPr>
                <w:sz w:val="22"/>
                <w:szCs w:val="22"/>
              </w:rPr>
              <w:t>10,1</w:t>
            </w:r>
          </w:p>
        </w:tc>
        <w:tc>
          <w:tcPr>
            <w:tcW w:w="2434" w:type="dxa"/>
          </w:tcPr>
          <w:p w14:paraId="377BF201" w14:textId="77777777" w:rsidR="00F223ED" w:rsidRPr="00D26BBC" w:rsidRDefault="00F223ED" w:rsidP="002C66FC">
            <w:pPr>
              <w:autoSpaceDE w:val="0"/>
              <w:autoSpaceDN w:val="0"/>
              <w:adjustRightInd w:val="0"/>
              <w:rPr>
                <w:sz w:val="22"/>
                <w:szCs w:val="22"/>
              </w:rPr>
            </w:pPr>
            <w:r w:rsidRPr="00D26BBC">
              <w:rPr>
                <w:sz w:val="22"/>
                <w:szCs w:val="22"/>
              </w:rPr>
              <w:t>Indeks rizika: 1,122</w:t>
            </w:r>
          </w:p>
          <w:p w14:paraId="28FFCF3B" w14:textId="77777777" w:rsidR="00F223ED" w:rsidRPr="00D26BBC" w:rsidRDefault="00F223ED" w:rsidP="002C66FC">
            <w:pPr>
              <w:autoSpaceDE w:val="0"/>
              <w:autoSpaceDN w:val="0"/>
              <w:adjustRightInd w:val="0"/>
              <w:rPr>
                <w:sz w:val="22"/>
                <w:szCs w:val="22"/>
              </w:rPr>
            </w:pPr>
            <w:r w:rsidRPr="00D26BBC">
              <w:rPr>
                <w:sz w:val="22"/>
                <w:szCs w:val="22"/>
              </w:rPr>
              <w:t>[97,2 CI: 0,937;1,342]*</w:t>
            </w:r>
          </w:p>
          <w:p w14:paraId="78BDCD1E" w14:textId="77777777" w:rsidR="00F223ED" w:rsidRPr="00D26BBC" w:rsidRDefault="00F223ED" w:rsidP="002C66FC">
            <w:pPr>
              <w:autoSpaceDE w:val="0"/>
              <w:autoSpaceDN w:val="0"/>
              <w:adjustRightInd w:val="0"/>
              <w:rPr>
                <w:sz w:val="22"/>
                <w:szCs w:val="22"/>
              </w:rPr>
            </w:pPr>
          </w:p>
        </w:tc>
      </w:tr>
      <w:tr w:rsidR="00F223ED" w:rsidRPr="00B02007" w14:paraId="02A81548" w14:textId="77777777" w:rsidTr="002C66FC">
        <w:trPr>
          <w:trHeight w:val="766"/>
        </w:trPr>
        <w:tc>
          <w:tcPr>
            <w:tcW w:w="2433" w:type="dxa"/>
          </w:tcPr>
          <w:p w14:paraId="67B0A5B1" w14:textId="77777777" w:rsidR="00F223ED" w:rsidRPr="00D26BBC" w:rsidRDefault="00F223ED" w:rsidP="002C66FC">
            <w:pPr>
              <w:autoSpaceDE w:val="0"/>
              <w:autoSpaceDN w:val="0"/>
              <w:adjustRightInd w:val="0"/>
              <w:rPr>
                <w:sz w:val="22"/>
                <w:szCs w:val="22"/>
              </w:rPr>
            </w:pPr>
            <w:r w:rsidRPr="00D26BBC">
              <w:rPr>
                <w:sz w:val="22"/>
                <w:szCs w:val="22"/>
              </w:rPr>
              <w:t>Jednogodišnje preživljavanje (%)</w:t>
            </w:r>
          </w:p>
          <w:p w14:paraId="7ED1722E" w14:textId="77777777" w:rsidR="00F223ED" w:rsidRPr="00D26BBC" w:rsidRDefault="00F223ED" w:rsidP="002C66FC">
            <w:pPr>
              <w:autoSpaceDE w:val="0"/>
              <w:autoSpaceDN w:val="0"/>
              <w:adjustRightInd w:val="0"/>
              <w:rPr>
                <w:sz w:val="22"/>
                <w:szCs w:val="22"/>
              </w:rPr>
            </w:pPr>
          </w:p>
        </w:tc>
        <w:tc>
          <w:tcPr>
            <w:tcW w:w="2433" w:type="dxa"/>
          </w:tcPr>
          <w:p w14:paraId="44164AB8" w14:textId="77777777" w:rsidR="00F223ED" w:rsidRPr="00D26BBC" w:rsidRDefault="00F223ED" w:rsidP="002C66FC">
            <w:pPr>
              <w:autoSpaceDE w:val="0"/>
              <w:autoSpaceDN w:val="0"/>
              <w:adjustRightInd w:val="0"/>
              <w:rPr>
                <w:sz w:val="22"/>
                <w:szCs w:val="22"/>
              </w:rPr>
            </w:pPr>
            <w:r w:rsidRPr="00D26BBC">
              <w:rPr>
                <w:sz w:val="22"/>
                <w:szCs w:val="22"/>
              </w:rPr>
              <w:t>46</w:t>
            </w:r>
          </w:p>
        </w:tc>
        <w:tc>
          <w:tcPr>
            <w:tcW w:w="2433" w:type="dxa"/>
          </w:tcPr>
          <w:p w14:paraId="263D4000" w14:textId="77777777" w:rsidR="00F223ED" w:rsidRPr="00D26BBC" w:rsidRDefault="00F223ED" w:rsidP="002C66FC">
            <w:pPr>
              <w:autoSpaceDE w:val="0"/>
              <w:autoSpaceDN w:val="0"/>
              <w:adjustRightInd w:val="0"/>
              <w:rPr>
                <w:sz w:val="22"/>
                <w:szCs w:val="22"/>
              </w:rPr>
            </w:pPr>
            <w:r w:rsidRPr="00D26BBC">
              <w:rPr>
                <w:sz w:val="22"/>
                <w:szCs w:val="22"/>
              </w:rPr>
              <w:t>41</w:t>
            </w:r>
          </w:p>
        </w:tc>
        <w:tc>
          <w:tcPr>
            <w:tcW w:w="2434" w:type="dxa"/>
          </w:tcPr>
          <w:p w14:paraId="16CCFA99" w14:textId="77777777" w:rsidR="00F223ED" w:rsidRPr="00D26BBC" w:rsidRDefault="00F223ED" w:rsidP="002C66FC">
            <w:pPr>
              <w:autoSpaceDE w:val="0"/>
              <w:autoSpaceDN w:val="0"/>
              <w:adjustRightInd w:val="0"/>
              <w:rPr>
                <w:sz w:val="22"/>
                <w:szCs w:val="22"/>
              </w:rPr>
            </w:pPr>
            <w:r w:rsidRPr="00D26BBC">
              <w:rPr>
                <w:sz w:val="22"/>
                <w:szCs w:val="22"/>
              </w:rPr>
              <w:t>Razlika terapija: 5,4%</w:t>
            </w:r>
          </w:p>
          <w:p w14:paraId="50B674B5" w14:textId="77777777" w:rsidR="00F223ED" w:rsidRPr="00D26BBC" w:rsidRDefault="00F223ED" w:rsidP="002C66FC">
            <w:pPr>
              <w:autoSpaceDE w:val="0"/>
              <w:autoSpaceDN w:val="0"/>
              <w:adjustRightInd w:val="0"/>
              <w:rPr>
                <w:sz w:val="22"/>
                <w:szCs w:val="22"/>
              </w:rPr>
            </w:pPr>
            <w:r w:rsidRPr="00D26BBC">
              <w:rPr>
                <w:sz w:val="22"/>
                <w:szCs w:val="22"/>
              </w:rPr>
              <w:t>[95% CI: -1,1; 12,0]</w:t>
            </w:r>
          </w:p>
        </w:tc>
      </w:tr>
      <w:tr w:rsidR="00F223ED" w:rsidRPr="00B02007" w14:paraId="2BE215B2" w14:textId="77777777" w:rsidTr="002C66FC">
        <w:trPr>
          <w:trHeight w:val="766"/>
        </w:trPr>
        <w:tc>
          <w:tcPr>
            <w:tcW w:w="2433" w:type="dxa"/>
          </w:tcPr>
          <w:p w14:paraId="05451040" w14:textId="77777777" w:rsidR="00F223ED" w:rsidRPr="00D26BBC" w:rsidRDefault="00F223ED" w:rsidP="002C66FC">
            <w:pPr>
              <w:autoSpaceDE w:val="0"/>
              <w:autoSpaceDN w:val="0"/>
              <w:adjustRightInd w:val="0"/>
              <w:rPr>
                <w:sz w:val="22"/>
                <w:szCs w:val="22"/>
              </w:rPr>
            </w:pPr>
            <w:r w:rsidRPr="00D26BBC">
              <w:rPr>
                <w:sz w:val="22"/>
                <w:szCs w:val="22"/>
              </w:rPr>
              <w:t>Dvogodišnje preživljavanje (%)</w:t>
            </w:r>
          </w:p>
          <w:p w14:paraId="458D175B" w14:textId="77777777" w:rsidR="00F223ED" w:rsidRPr="00D26BBC" w:rsidRDefault="00F223ED" w:rsidP="002C66FC">
            <w:pPr>
              <w:autoSpaceDE w:val="0"/>
              <w:autoSpaceDN w:val="0"/>
              <w:adjustRightInd w:val="0"/>
              <w:rPr>
                <w:sz w:val="22"/>
                <w:szCs w:val="22"/>
              </w:rPr>
            </w:pPr>
          </w:p>
        </w:tc>
        <w:tc>
          <w:tcPr>
            <w:tcW w:w="2433" w:type="dxa"/>
          </w:tcPr>
          <w:p w14:paraId="50C5E00E" w14:textId="77777777" w:rsidR="00F223ED" w:rsidRPr="00D26BBC" w:rsidRDefault="00F223ED" w:rsidP="002C66FC">
            <w:pPr>
              <w:autoSpaceDE w:val="0"/>
              <w:autoSpaceDN w:val="0"/>
              <w:adjustRightInd w:val="0"/>
              <w:rPr>
                <w:sz w:val="22"/>
                <w:szCs w:val="22"/>
              </w:rPr>
            </w:pPr>
            <w:r w:rsidRPr="00D26BBC">
              <w:rPr>
                <w:sz w:val="22"/>
                <w:szCs w:val="22"/>
              </w:rPr>
              <w:t>21</w:t>
            </w:r>
          </w:p>
        </w:tc>
        <w:tc>
          <w:tcPr>
            <w:tcW w:w="2433" w:type="dxa"/>
          </w:tcPr>
          <w:p w14:paraId="52315A1E" w14:textId="77777777" w:rsidR="00F223ED" w:rsidRPr="00D26BBC" w:rsidRDefault="00F223ED" w:rsidP="002C66FC">
            <w:pPr>
              <w:autoSpaceDE w:val="0"/>
              <w:autoSpaceDN w:val="0"/>
              <w:adjustRightInd w:val="0"/>
              <w:rPr>
                <w:sz w:val="22"/>
                <w:szCs w:val="22"/>
              </w:rPr>
            </w:pPr>
            <w:r w:rsidRPr="00D26BBC">
              <w:rPr>
                <w:sz w:val="22"/>
                <w:szCs w:val="22"/>
              </w:rPr>
              <w:t>14</w:t>
            </w:r>
          </w:p>
        </w:tc>
        <w:tc>
          <w:tcPr>
            <w:tcW w:w="2434" w:type="dxa"/>
          </w:tcPr>
          <w:p w14:paraId="4A5B135B" w14:textId="77777777" w:rsidR="00F223ED" w:rsidRPr="00D26BBC" w:rsidRDefault="00F223ED" w:rsidP="002C66FC">
            <w:pPr>
              <w:autoSpaceDE w:val="0"/>
              <w:autoSpaceDN w:val="0"/>
              <w:adjustRightInd w:val="0"/>
              <w:rPr>
                <w:sz w:val="22"/>
                <w:szCs w:val="22"/>
              </w:rPr>
            </w:pPr>
            <w:r w:rsidRPr="00D26BBC">
              <w:rPr>
                <w:sz w:val="22"/>
                <w:szCs w:val="22"/>
              </w:rPr>
              <w:t>Razlika terapija: 6,2%</w:t>
            </w:r>
          </w:p>
          <w:p w14:paraId="23025776" w14:textId="77777777" w:rsidR="00F223ED" w:rsidRPr="00D26BBC" w:rsidRDefault="00F223ED" w:rsidP="002C66FC">
            <w:pPr>
              <w:autoSpaceDE w:val="0"/>
              <w:autoSpaceDN w:val="0"/>
              <w:adjustRightInd w:val="0"/>
              <w:rPr>
                <w:sz w:val="22"/>
                <w:szCs w:val="22"/>
              </w:rPr>
            </w:pPr>
            <w:r w:rsidRPr="00D26BBC">
              <w:rPr>
                <w:sz w:val="22"/>
                <w:szCs w:val="22"/>
              </w:rPr>
              <w:t>[95% CI: 0,2; 12,3]</w:t>
            </w:r>
          </w:p>
        </w:tc>
      </w:tr>
      <w:tr w:rsidR="00F223ED" w:rsidRPr="00B02007" w14:paraId="3F8EA5A2" w14:textId="77777777" w:rsidTr="002C66FC">
        <w:trPr>
          <w:trHeight w:val="755"/>
        </w:trPr>
        <w:tc>
          <w:tcPr>
            <w:tcW w:w="2433" w:type="dxa"/>
          </w:tcPr>
          <w:p w14:paraId="1B67209D" w14:textId="77777777" w:rsidR="00F223ED" w:rsidRPr="00D26BBC" w:rsidRDefault="00F223ED" w:rsidP="002C66FC">
            <w:pPr>
              <w:autoSpaceDE w:val="0"/>
              <w:autoSpaceDN w:val="0"/>
              <w:adjustRightInd w:val="0"/>
              <w:rPr>
                <w:sz w:val="22"/>
                <w:szCs w:val="22"/>
              </w:rPr>
            </w:pPr>
            <w:r w:rsidRPr="00D26BBC">
              <w:rPr>
                <w:sz w:val="22"/>
                <w:szCs w:val="22"/>
              </w:rPr>
              <w:t xml:space="preserve">Srednje vrijeme do progresije (nedjelje) </w:t>
            </w:r>
          </w:p>
          <w:p w14:paraId="5E5ADD6E" w14:textId="77777777" w:rsidR="00F223ED" w:rsidRPr="00D26BBC" w:rsidRDefault="00F223ED" w:rsidP="002C66FC">
            <w:pPr>
              <w:autoSpaceDE w:val="0"/>
              <w:autoSpaceDN w:val="0"/>
              <w:adjustRightInd w:val="0"/>
              <w:rPr>
                <w:sz w:val="22"/>
                <w:szCs w:val="22"/>
              </w:rPr>
            </w:pPr>
          </w:p>
        </w:tc>
        <w:tc>
          <w:tcPr>
            <w:tcW w:w="2433" w:type="dxa"/>
          </w:tcPr>
          <w:p w14:paraId="5EEDC037" w14:textId="77777777" w:rsidR="00F223ED" w:rsidRPr="00D26BBC" w:rsidRDefault="00F223ED" w:rsidP="002C66FC">
            <w:pPr>
              <w:autoSpaceDE w:val="0"/>
              <w:autoSpaceDN w:val="0"/>
              <w:adjustRightInd w:val="0"/>
              <w:rPr>
                <w:sz w:val="22"/>
                <w:szCs w:val="22"/>
              </w:rPr>
            </w:pPr>
            <w:r w:rsidRPr="00D26BBC">
              <w:rPr>
                <w:sz w:val="22"/>
                <w:szCs w:val="22"/>
              </w:rPr>
              <w:t>22,0</w:t>
            </w:r>
          </w:p>
        </w:tc>
        <w:tc>
          <w:tcPr>
            <w:tcW w:w="2433" w:type="dxa"/>
          </w:tcPr>
          <w:p w14:paraId="61F3F677" w14:textId="77777777" w:rsidR="00F223ED" w:rsidRPr="00D26BBC" w:rsidRDefault="00F223ED" w:rsidP="002C66FC">
            <w:pPr>
              <w:autoSpaceDE w:val="0"/>
              <w:autoSpaceDN w:val="0"/>
              <w:adjustRightInd w:val="0"/>
              <w:rPr>
                <w:sz w:val="22"/>
                <w:szCs w:val="22"/>
              </w:rPr>
            </w:pPr>
            <w:r w:rsidRPr="00D26BBC">
              <w:rPr>
                <w:sz w:val="22"/>
                <w:szCs w:val="22"/>
              </w:rPr>
              <w:t>23,0</w:t>
            </w:r>
          </w:p>
        </w:tc>
        <w:tc>
          <w:tcPr>
            <w:tcW w:w="2434" w:type="dxa"/>
          </w:tcPr>
          <w:p w14:paraId="67431011" w14:textId="77777777" w:rsidR="00F223ED" w:rsidRPr="00D26BBC" w:rsidRDefault="00F223ED" w:rsidP="002C66FC">
            <w:pPr>
              <w:autoSpaceDE w:val="0"/>
              <w:autoSpaceDN w:val="0"/>
              <w:adjustRightInd w:val="0"/>
              <w:rPr>
                <w:sz w:val="22"/>
                <w:szCs w:val="22"/>
              </w:rPr>
            </w:pPr>
            <w:r w:rsidRPr="00D26BBC">
              <w:rPr>
                <w:sz w:val="22"/>
                <w:szCs w:val="22"/>
              </w:rPr>
              <w:t>Indeks rizika: 1,032</w:t>
            </w:r>
          </w:p>
          <w:p w14:paraId="12CC380A" w14:textId="77777777" w:rsidR="00F223ED" w:rsidRPr="00D26BBC" w:rsidRDefault="00F223ED" w:rsidP="002C66FC">
            <w:pPr>
              <w:autoSpaceDE w:val="0"/>
              <w:autoSpaceDN w:val="0"/>
              <w:adjustRightInd w:val="0"/>
              <w:rPr>
                <w:sz w:val="22"/>
                <w:szCs w:val="22"/>
              </w:rPr>
            </w:pPr>
            <w:r w:rsidRPr="00D26BBC">
              <w:rPr>
                <w:sz w:val="22"/>
                <w:szCs w:val="22"/>
              </w:rPr>
              <w:t>[95% CI: 0,876; 1,216]</w:t>
            </w:r>
          </w:p>
        </w:tc>
      </w:tr>
      <w:tr w:rsidR="00F223ED" w:rsidRPr="00B02007" w14:paraId="5182C35F" w14:textId="77777777" w:rsidTr="002C66FC">
        <w:trPr>
          <w:trHeight w:val="766"/>
        </w:trPr>
        <w:tc>
          <w:tcPr>
            <w:tcW w:w="2433" w:type="dxa"/>
          </w:tcPr>
          <w:p w14:paraId="5E751510" w14:textId="77777777" w:rsidR="00F223ED" w:rsidRPr="00D26BBC" w:rsidRDefault="00F223ED" w:rsidP="002C66FC">
            <w:pPr>
              <w:autoSpaceDE w:val="0"/>
              <w:autoSpaceDN w:val="0"/>
              <w:adjustRightInd w:val="0"/>
              <w:rPr>
                <w:sz w:val="22"/>
                <w:szCs w:val="22"/>
              </w:rPr>
            </w:pPr>
            <w:r w:rsidRPr="00D26BBC">
              <w:rPr>
                <w:sz w:val="22"/>
                <w:szCs w:val="22"/>
              </w:rPr>
              <w:t>Ukupna stopa odgovora (%)</w:t>
            </w:r>
          </w:p>
          <w:p w14:paraId="4CB5DF27" w14:textId="77777777" w:rsidR="00F223ED" w:rsidRPr="00D26BBC" w:rsidRDefault="00F223ED" w:rsidP="002C66FC">
            <w:pPr>
              <w:autoSpaceDE w:val="0"/>
              <w:autoSpaceDN w:val="0"/>
              <w:adjustRightInd w:val="0"/>
              <w:rPr>
                <w:sz w:val="22"/>
                <w:szCs w:val="22"/>
              </w:rPr>
            </w:pPr>
          </w:p>
        </w:tc>
        <w:tc>
          <w:tcPr>
            <w:tcW w:w="2433" w:type="dxa"/>
          </w:tcPr>
          <w:p w14:paraId="783EBAEC" w14:textId="77777777" w:rsidR="00F223ED" w:rsidRPr="00D26BBC" w:rsidRDefault="00F223ED" w:rsidP="002C66FC">
            <w:pPr>
              <w:autoSpaceDE w:val="0"/>
              <w:autoSpaceDN w:val="0"/>
              <w:adjustRightInd w:val="0"/>
              <w:rPr>
                <w:sz w:val="22"/>
                <w:szCs w:val="22"/>
              </w:rPr>
            </w:pPr>
            <w:r w:rsidRPr="00D26BBC">
              <w:rPr>
                <w:sz w:val="22"/>
                <w:szCs w:val="22"/>
              </w:rPr>
              <w:t>31,6</w:t>
            </w:r>
          </w:p>
        </w:tc>
        <w:tc>
          <w:tcPr>
            <w:tcW w:w="2433" w:type="dxa"/>
          </w:tcPr>
          <w:p w14:paraId="1995F52F" w14:textId="77777777" w:rsidR="00F223ED" w:rsidRPr="00D26BBC" w:rsidRDefault="00F223ED" w:rsidP="002C66FC">
            <w:pPr>
              <w:autoSpaceDE w:val="0"/>
              <w:autoSpaceDN w:val="0"/>
              <w:adjustRightInd w:val="0"/>
              <w:rPr>
                <w:sz w:val="22"/>
                <w:szCs w:val="22"/>
              </w:rPr>
            </w:pPr>
            <w:r w:rsidRPr="00D26BBC">
              <w:rPr>
                <w:sz w:val="22"/>
                <w:szCs w:val="22"/>
              </w:rPr>
              <w:t>24,5</w:t>
            </w:r>
          </w:p>
        </w:tc>
        <w:tc>
          <w:tcPr>
            <w:tcW w:w="2434" w:type="dxa"/>
          </w:tcPr>
          <w:p w14:paraId="28EBD2E2" w14:textId="77777777" w:rsidR="00F223ED" w:rsidRPr="00D26BBC" w:rsidRDefault="00F223ED" w:rsidP="002C66FC">
            <w:pPr>
              <w:autoSpaceDE w:val="0"/>
              <w:autoSpaceDN w:val="0"/>
              <w:adjustRightInd w:val="0"/>
              <w:rPr>
                <w:sz w:val="22"/>
                <w:szCs w:val="22"/>
              </w:rPr>
            </w:pPr>
            <w:r w:rsidRPr="00D26BBC">
              <w:rPr>
                <w:sz w:val="22"/>
                <w:szCs w:val="22"/>
              </w:rPr>
              <w:t>Razlika terapija: 7,1%</w:t>
            </w:r>
          </w:p>
          <w:p w14:paraId="7A05F486" w14:textId="77777777" w:rsidR="00F223ED" w:rsidRPr="00D26BBC" w:rsidRDefault="00F223ED" w:rsidP="002C66FC">
            <w:pPr>
              <w:autoSpaceDE w:val="0"/>
              <w:autoSpaceDN w:val="0"/>
              <w:adjustRightInd w:val="0"/>
              <w:rPr>
                <w:sz w:val="22"/>
                <w:szCs w:val="22"/>
              </w:rPr>
            </w:pPr>
            <w:r w:rsidRPr="00D26BBC">
              <w:rPr>
                <w:sz w:val="22"/>
                <w:szCs w:val="22"/>
              </w:rPr>
              <w:t>[95% CI: 0,7; 13,5]</w:t>
            </w:r>
          </w:p>
        </w:tc>
      </w:tr>
    </w:tbl>
    <w:p w14:paraId="208DF5BF" w14:textId="77777777" w:rsidR="00F223ED" w:rsidRDefault="00F223ED" w:rsidP="00F223ED">
      <w:pPr>
        <w:autoSpaceDE w:val="0"/>
        <w:autoSpaceDN w:val="0"/>
        <w:adjustRightInd w:val="0"/>
        <w:rPr>
          <w:sz w:val="22"/>
          <w:szCs w:val="22"/>
        </w:rPr>
      </w:pPr>
    </w:p>
    <w:p w14:paraId="011958E3" w14:textId="77777777" w:rsidR="00F223ED" w:rsidRPr="00D26BBC" w:rsidRDefault="00F223ED" w:rsidP="00F223ED">
      <w:pPr>
        <w:autoSpaceDE w:val="0"/>
        <w:autoSpaceDN w:val="0"/>
        <w:adjustRightInd w:val="0"/>
        <w:rPr>
          <w:sz w:val="22"/>
          <w:szCs w:val="22"/>
        </w:rPr>
      </w:pPr>
      <w:r w:rsidRPr="00D26BBC">
        <w:rPr>
          <w:sz w:val="22"/>
          <w:szCs w:val="22"/>
        </w:rPr>
        <w:t>*: Korigovano za višestruka pore</w:t>
      </w:r>
      <w:r w:rsidRPr="00D26BBC">
        <w:rPr>
          <w:rFonts w:eastAsia="TimesNewRoman"/>
          <w:sz w:val="22"/>
          <w:szCs w:val="22"/>
        </w:rPr>
        <w:t>đ</w:t>
      </w:r>
      <w:r w:rsidRPr="00D26BBC">
        <w:rPr>
          <w:sz w:val="22"/>
          <w:szCs w:val="22"/>
        </w:rPr>
        <w:t>enja i prilago</w:t>
      </w:r>
      <w:r w:rsidRPr="00D26BBC">
        <w:rPr>
          <w:rFonts w:eastAsia="TimesNewRoman"/>
          <w:sz w:val="22"/>
          <w:szCs w:val="22"/>
        </w:rPr>
        <w:t>đ</w:t>
      </w:r>
      <w:r w:rsidRPr="00D26BBC">
        <w:rPr>
          <w:sz w:val="22"/>
          <w:szCs w:val="22"/>
        </w:rPr>
        <w:t>eno za faktore stratifikacije (stadijum bolesti i tretirana regija), na osnovu populacije pacijenata podesnih za analizu.</w:t>
      </w:r>
    </w:p>
    <w:p w14:paraId="4473AE4B" w14:textId="77777777" w:rsidR="00F223ED" w:rsidRPr="00D26BBC" w:rsidRDefault="00F223ED" w:rsidP="00F223ED">
      <w:pPr>
        <w:autoSpaceDE w:val="0"/>
        <w:autoSpaceDN w:val="0"/>
        <w:adjustRightInd w:val="0"/>
        <w:rPr>
          <w:sz w:val="22"/>
          <w:szCs w:val="22"/>
        </w:rPr>
      </w:pPr>
    </w:p>
    <w:p w14:paraId="24F24512" w14:textId="77777777" w:rsidR="00F223ED" w:rsidRPr="00D26BBC" w:rsidRDefault="00F223ED" w:rsidP="00F223ED">
      <w:pPr>
        <w:autoSpaceDE w:val="0"/>
        <w:autoSpaceDN w:val="0"/>
        <w:adjustRightInd w:val="0"/>
        <w:rPr>
          <w:sz w:val="22"/>
          <w:szCs w:val="22"/>
        </w:rPr>
      </w:pPr>
      <w:r w:rsidRPr="00D26BBC">
        <w:rPr>
          <w:sz w:val="22"/>
          <w:szCs w:val="22"/>
        </w:rPr>
        <w:t>Sekundarni krajnji ishodi obuhvatali su promjenu (intenziteta) bola, cjelokupnu ocjenu kvaliteta života na osnovu EuroQoL-5D, skale za ocjenu simptoma karcinoma plu</w:t>
      </w:r>
      <w:r w:rsidRPr="00D26BBC">
        <w:rPr>
          <w:rFonts w:eastAsia="TimesNewRoman"/>
          <w:sz w:val="22"/>
          <w:szCs w:val="22"/>
        </w:rPr>
        <w:t>ć</w:t>
      </w:r>
      <w:r w:rsidRPr="00D26BBC">
        <w:rPr>
          <w:sz w:val="22"/>
          <w:szCs w:val="22"/>
        </w:rPr>
        <w:t>a i promjena Karnofsky statusa performanse (KPS). Rezultati dobijeni za ove krajnje ishode potvr</w:t>
      </w:r>
      <w:r w:rsidRPr="00D26BBC">
        <w:rPr>
          <w:rFonts w:eastAsia="TimesNewRoman"/>
          <w:sz w:val="22"/>
          <w:szCs w:val="22"/>
        </w:rPr>
        <w:t>đ</w:t>
      </w:r>
      <w:r w:rsidRPr="00D26BBC">
        <w:rPr>
          <w:sz w:val="22"/>
          <w:szCs w:val="22"/>
        </w:rPr>
        <w:t>ivali su rezultate dobijene za primarni krajnji ishod.</w:t>
      </w:r>
    </w:p>
    <w:p w14:paraId="7D508FF6" w14:textId="77777777" w:rsidR="00F223ED" w:rsidRPr="00D26BBC" w:rsidRDefault="00F223ED" w:rsidP="00F223ED">
      <w:pPr>
        <w:autoSpaceDE w:val="0"/>
        <w:autoSpaceDN w:val="0"/>
        <w:adjustRightInd w:val="0"/>
        <w:rPr>
          <w:sz w:val="22"/>
          <w:szCs w:val="22"/>
        </w:rPr>
      </w:pPr>
    </w:p>
    <w:p w14:paraId="16AFDB10" w14:textId="77777777" w:rsidR="00F223ED" w:rsidRPr="00D26BBC" w:rsidRDefault="00F223ED" w:rsidP="00F223ED">
      <w:pPr>
        <w:autoSpaceDE w:val="0"/>
        <w:autoSpaceDN w:val="0"/>
        <w:adjustRightInd w:val="0"/>
        <w:rPr>
          <w:sz w:val="22"/>
          <w:szCs w:val="22"/>
        </w:rPr>
      </w:pPr>
      <w:r w:rsidRPr="00D26BBC">
        <w:rPr>
          <w:sz w:val="22"/>
          <w:szCs w:val="22"/>
        </w:rPr>
        <w:t>Za kombinaciju docetaksel/karboplatin, u pore</w:t>
      </w:r>
      <w:r w:rsidRPr="00D26BBC">
        <w:rPr>
          <w:rFonts w:eastAsia="TimesNewRoman"/>
          <w:sz w:val="22"/>
          <w:szCs w:val="22"/>
        </w:rPr>
        <w:t>đ</w:t>
      </w:r>
      <w:r w:rsidRPr="00D26BBC">
        <w:rPr>
          <w:sz w:val="22"/>
          <w:szCs w:val="22"/>
        </w:rPr>
        <w:t>enju sa referentnom terapijskom kombinacijom VCis, nije mogla da se dokaže ni ekvivalentna ni neinferiorna efikasnost.</w:t>
      </w:r>
    </w:p>
    <w:p w14:paraId="7373B0AD" w14:textId="77777777" w:rsidR="00F223ED" w:rsidRPr="00D26BBC" w:rsidRDefault="00F223ED" w:rsidP="00F223ED">
      <w:pPr>
        <w:autoSpaceDE w:val="0"/>
        <w:autoSpaceDN w:val="0"/>
        <w:adjustRightInd w:val="0"/>
        <w:rPr>
          <w:b/>
          <w:bCs/>
          <w:sz w:val="22"/>
          <w:szCs w:val="22"/>
        </w:rPr>
      </w:pPr>
    </w:p>
    <w:p w14:paraId="384DE212" w14:textId="77777777" w:rsidR="00F223ED" w:rsidRPr="00F223ED" w:rsidRDefault="00F223ED" w:rsidP="00F223ED">
      <w:pPr>
        <w:autoSpaceDE w:val="0"/>
        <w:autoSpaceDN w:val="0"/>
        <w:adjustRightInd w:val="0"/>
        <w:rPr>
          <w:bCs/>
          <w:i/>
          <w:iCs/>
          <w:sz w:val="22"/>
          <w:szCs w:val="22"/>
          <w:u w:val="single"/>
          <w:lang w:val="de-DE"/>
        </w:rPr>
      </w:pPr>
      <w:r w:rsidRPr="00F223ED">
        <w:rPr>
          <w:bCs/>
          <w:i/>
          <w:iCs/>
          <w:sz w:val="22"/>
          <w:szCs w:val="22"/>
          <w:u w:val="single"/>
          <w:lang w:val="de-DE"/>
        </w:rPr>
        <w:t>Karcinom prostate</w:t>
      </w:r>
    </w:p>
    <w:p w14:paraId="1EE6A4E2" w14:textId="77777777" w:rsidR="00F223ED" w:rsidRPr="00F223ED" w:rsidRDefault="00F223ED" w:rsidP="00F223ED">
      <w:pPr>
        <w:autoSpaceDE w:val="0"/>
        <w:autoSpaceDN w:val="0"/>
        <w:adjustRightInd w:val="0"/>
        <w:rPr>
          <w:sz w:val="22"/>
          <w:szCs w:val="22"/>
          <w:lang w:val="de-DE"/>
        </w:rPr>
      </w:pPr>
    </w:p>
    <w:p w14:paraId="11502B80" w14:textId="77777777" w:rsidR="00F223ED" w:rsidRPr="00F223ED" w:rsidRDefault="00F223ED" w:rsidP="00F223ED">
      <w:pPr>
        <w:autoSpaceDE w:val="0"/>
        <w:autoSpaceDN w:val="0"/>
        <w:adjustRightInd w:val="0"/>
        <w:rPr>
          <w:sz w:val="22"/>
          <w:szCs w:val="22"/>
          <w:lang w:val="de-DE"/>
        </w:rPr>
      </w:pPr>
      <w:r w:rsidRPr="00F223ED">
        <w:rPr>
          <w:bCs/>
          <w:i/>
          <w:iCs/>
          <w:sz w:val="22"/>
          <w:szCs w:val="22"/>
          <w:lang w:val="de-DE"/>
        </w:rPr>
        <w:t>Metastatski karcinom prostate rezistentan na kastraciju</w:t>
      </w:r>
    </w:p>
    <w:p w14:paraId="4BA18638" w14:textId="77777777" w:rsidR="00F223ED" w:rsidRPr="00F223ED" w:rsidRDefault="00F223ED" w:rsidP="00F223ED">
      <w:pPr>
        <w:autoSpaceDE w:val="0"/>
        <w:autoSpaceDN w:val="0"/>
        <w:adjustRightInd w:val="0"/>
        <w:rPr>
          <w:sz w:val="22"/>
          <w:szCs w:val="22"/>
          <w:lang w:val="de-DE"/>
        </w:rPr>
      </w:pPr>
      <w:r w:rsidRPr="00F223ED">
        <w:rPr>
          <w:sz w:val="22"/>
          <w:szCs w:val="22"/>
          <w:lang w:val="de-DE"/>
        </w:rPr>
        <w:t>Bezbjednost i efikasnost docetaksela u kombinaciji sa prednizonom ili prednizolonom kod pacijenata sa</w:t>
      </w:r>
    </w:p>
    <w:p w14:paraId="0EA6FF71" w14:textId="77777777" w:rsidR="00F223ED" w:rsidRPr="00F223ED" w:rsidRDefault="00F223ED" w:rsidP="00F223ED">
      <w:pPr>
        <w:autoSpaceDE w:val="0"/>
        <w:autoSpaceDN w:val="0"/>
        <w:adjustRightInd w:val="0"/>
        <w:rPr>
          <w:sz w:val="22"/>
          <w:szCs w:val="22"/>
          <w:lang w:val="de-DE"/>
        </w:rPr>
      </w:pPr>
      <w:r w:rsidRPr="00F223ED">
        <w:rPr>
          <w:sz w:val="22"/>
          <w:szCs w:val="22"/>
          <w:lang w:val="de-DE"/>
        </w:rPr>
        <w:t>metastatskim karcinomom prostate rezistentnim na kastraciju procijenjivani su u randomizovanoj, multicentri</w:t>
      </w:r>
      <w:r w:rsidRPr="00F223ED">
        <w:rPr>
          <w:rFonts w:eastAsia="TimesNewRoman"/>
          <w:sz w:val="22"/>
          <w:szCs w:val="22"/>
          <w:lang w:val="de-DE"/>
        </w:rPr>
        <w:t>č</w:t>
      </w:r>
      <w:r w:rsidRPr="00F223ED">
        <w:rPr>
          <w:sz w:val="22"/>
          <w:szCs w:val="22"/>
          <w:lang w:val="de-DE"/>
        </w:rPr>
        <w:t xml:space="preserve">noj studiji faze III (TAX 327). Ukupno 1006 pacijenata sa KPS </w:t>
      </w:r>
      <w:r w:rsidRPr="00F223ED">
        <w:rPr>
          <w:rFonts w:eastAsia="TimesNewRoman"/>
          <w:sz w:val="22"/>
          <w:szCs w:val="22"/>
          <w:lang w:val="de-DE"/>
        </w:rPr>
        <w:t>≥</w:t>
      </w:r>
      <w:r w:rsidRPr="00F223ED">
        <w:rPr>
          <w:sz w:val="22"/>
          <w:szCs w:val="22"/>
          <w:lang w:val="de-DE"/>
        </w:rPr>
        <w:t>60 bilo je randomizovano u sljede</w:t>
      </w:r>
      <w:r w:rsidRPr="00F223ED">
        <w:rPr>
          <w:rFonts w:eastAsia="TimesNewRoman"/>
          <w:sz w:val="22"/>
          <w:szCs w:val="22"/>
          <w:lang w:val="de-DE"/>
        </w:rPr>
        <w:t>ć</w:t>
      </w:r>
      <w:r w:rsidRPr="00F223ED">
        <w:rPr>
          <w:sz w:val="22"/>
          <w:szCs w:val="22"/>
          <w:lang w:val="de-DE"/>
        </w:rPr>
        <w:t>e terapijske grupe:</w:t>
      </w:r>
    </w:p>
    <w:p w14:paraId="37A25783"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docetaksel 75 mg/m², svake 3 nedjelje, tokom 10 ciklusa;</w:t>
      </w:r>
    </w:p>
    <w:p w14:paraId="6A03FEAD"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docetaksel 30 mg/m², jednom nedjeljno tokom prvih 5 nedjelja u ciklusima od 6 nedjelja, tokom 5 ciklusa;</w:t>
      </w:r>
    </w:p>
    <w:p w14:paraId="364E14A1"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mitoksantron 12 mg/m² svake 3 nedjelje, 10 ciklusa.</w:t>
      </w:r>
    </w:p>
    <w:p w14:paraId="6C7A3FE6" w14:textId="77777777" w:rsidR="00F223ED" w:rsidRPr="00F223ED" w:rsidRDefault="00F223ED" w:rsidP="00F223ED">
      <w:pPr>
        <w:autoSpaceDE w:val="0"/>
        <w:autoSpaceDN w:val="0"/>
        <w:adjustRightInd w:val="0"/>
        <w:rPr>
          <w:sz w:val="22"/>
          <w:szCs w:val="22"/>
          <w:lang w:val="sr-Latn-ME"/>
        </w:rPr>
      </w:pPr>
    </w:p>
    <w:p w14:paraId="28F24B79" w14:textId="77777777" w:rsidR="00F223ED" w:rsidRPr="00F223ED" w:rsidRDefault="00F223ED" w:rsidP="00F223ED">
      <w:pPr>
        <w:autoSpaceDE w:val="0"/>
        <w:autoSpaceDN w:val="0"/>
        <w:adjustRightInd w:val="0"/>
        <w:rPr>
          <w:sz w:val="22"/>
          <w:szCs w:val="22"/>
          <w:lang w:val="sr-Latn-ME"/>
        </w:rPr>
      </w:pPr>
      <w:r w:rsidRPr="006D6C77">
        <w:rPr>
          <w:sz w:val="22"/>
          <w:szCs w:val="22"/>
        </w:rPr>
        <w:t>Sva</w:t>
      </w:r>
      <w:r w:rsidRPr="00F223ED">
        <w:rPr>
          <w:sz w:val="22"/>
          <w:szCs w:val="22"/>
          <w:lang w:val="sr-Latn-ME"/>
        </w:rPr>
        <w:t xml:space="preserve"> 3 </w:t>
      </w:r>
      <w:r w:rsidRPr="006D6C77">
        <w:rPr>
          <w:sz w:val="22"/>
          <w:szCs w:val="22"/>
        </w:rPr>
        <w:t>re</w:t>
      </w:r>
      <w:r w:rsidRPr="00F223ED">
        <w:rPr>
          <w:sz w:val="22"/>
          <w:szCs w:val="22"/>
          <w:lang w:val="sr-Latn-ME"/>
        </w:rPr>
        <w:t>ž</w:t>
      </w:r>
      <w:r w:rsidRPr="006D6C77">
        <w:rPr>
          <w:sz w:val="22"/>
          <w:szCs w:val="22"/>
        </w:rPr>
        <w:t>ima</w:t>
      </w:r>
      <w:r w:rsidRPr="00F223ED">
        <w:rPr>
          <w:sz w:val="22"/>
          <w:szCs w:val="22"/>
          <w:lang w:val="sr-Latn-ME"/>
        </w:rPr>
        <w:t xml:space="preserve"> </w:t>
      </w:r>
      <w:r w:rsidRPr="006D6C77">
        <w:rPr>
          <w:sz w:val="22"/>
          <w:szCs w:val="22"/>
        </w:rPr>
        <w:t>su</w:t>
      </w:r>
      <w:r w:rsidRPr="00F223ED">
        <w:rPr>
          <w:sz w:val="22"/>
          <w:szCs w:val="22"/>
          <w:lang w:val="sr-Latn-ME"/>
        </w:rPr>
        <w:t xml:space="preserve"> </w:t>
      </w:r>
      <w:r w:rsidRPr="006D6C77">
        <w:rPr>
          <w:sz w:val="22"/>
          <w:szCs w:val="22"/>
        </w:rPr>
        <w:t>primjenjivana</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kombinaciji</w:t>
      </w:r>
      <w:r w:rsidRPr="00F223ED">
        <w:rPr>
          <w:sz w:val="22"/>
          <w:szCs w:val="22"/>
          <w:lang w:val="sr-Latn-ME"/>
        </w:rPr>
        <w:t xml:space="preserve"> </w:t>
      </w:r>
      <w:r w:rsidRPr="006D6C77">
        <w:rPr>
          <w:sz w:val="22"/>
          <w:szCs w:val="22"/>
        </w:rPr>
        <w:t>sa</w:t>
      </w:r>
      <w:r w:rsidRPr="00F223ED">
        <w:rPr>
          <w:sz w:val="22"/>
          <w:szCs w:val="22"/>
          <w:lang w:val="sr-Latn-ME"/>
        </w:rPr>
        <w:t xml:space="preserve"> </w:t>
      </w:r>
      <w:r w:rsidRPr="006D6C77">
        <w:rPr>
          <w:sz w:val="22"/>
          <w:szCs w:val="22"/>
        </w:rPr>
        <w:t>kontinuiranom</w:t>
      </w:r>
      <w:r w:rsidRPr="00F223ED">
        <w:rPr>
          <w:sz w:val="22"/>
          <w:szCs w:val="22"/>
          <w:lang w:val="sr-Latn-ME"/>
        </w:rPr>
        <w:t xml:space="preserve"> </w:t>
      </w:r>
      <w:r w:rsidRPr="006D6C77">
        <w:rPr>
          <w:sz w:val="22"/>
          <w:szCs w:val="22"/>
        </w:rPr>
        <w:t>primjenom</w:t>
      </w:r>
      <w:r w:rsidRPr="00F223ED">
        <w:rPr>
          <w:sz w:val="22"/>
          <w:szCs w:val="22"/>
          <w:lang w:val="sr-Latn-ME"/>
        </w:rPr>
        <w:t xml:space="preserve"> 5 </w:t>
      </w:r>
      <w:r w:rsidRPr="006D6C77">
        <w:rPr>
          <w:sz w:val="22"/>
          <w:szCs w:val="22"/>
        </w:rPr>
        <w:t>mg</w:t>
      </w:r>
      <w:r w:rsidRPr="00F223ED">
        <w:rPr>
          <w:sz w:val="22"/>
          <w:szCs w:val="22"/>
          <w:lang w:val="sr-Latn-ME"/>
        </w:rPr>
        <w:t xml:space="preserve"> </w:t>
      </w:r>
      <w:r w:rsidRPr="006D6C77">
        <w:rPr>
          <w:sz w:val="22"/>
          <w:szCs w:val="22"/>
        </w:rPr>
        <w:t>prednizona</w:t>
      </w:r>
      <w:r w:rsidRPr="00F223ED">
        <w:rPr>
          <w:sz w:val="22"/>
          <w:szCs w:val="22"/>
          <w:lang w:val="sr-Latn-ME"/>
        </w:rPr>
        <w:t xml:space="preserve"> </w:t>
      </w:r>
      <w:r w:rsidRPr="006D6C77">
        <w:rPr>
          <w:sz w:val="22"/>
          <w:szCs w:val="22"/>
        </w:rPr>
        <w:t>ili</w:t>
      </w:r>
      <w:r w:rsidRPr="00F223ED">
        <w:rPr>
          <w:sz w:val="22"/>
          <w:szCs w:val="22"/>
          <w:lang w:val="sr-Latn-ME"/>
        </w:rPr>
        <w:t xml:space="preserve"> </w:t>
      </w:r>
      <w:r w:rsidRPr="006D6C77">
        <w:rPr>
          <w:sz w:val="22"/>
          <w:szCs w:val="22"/>
        </w:rPr>
        <w:t>prednizolona</w:t>
      </w:r>
      <w:r w:rsidRPr="00F223ED">
        <w:rPr>
          <w:sz w:val="22"/>
          <w:szCs w:val="22"/>
          <w:lang w:val="sr-Latn-ME"/>
        </w:rPr>
        <w:t xml:space="preserve">, </w:t>
      </w:r>
      <w:r w:rsidRPr="006D6C77">
        <w:rPr>
          <w:sz w:val="22"/>
          <w:szCs w:val="22"/>
        </w:rPr>
        <w:t>dva</w:t>
      </w:r>
      <w:r w:rsidRPr="00F223ED">
        <w:rPr>
          <w:sz w:val="22"/>
          <w:szCs w:val="22"/>
          <w:lang w:val="sr-Latn-ME"/>
        </w:rPr>
        <w:t xml:space="preserve"> </w:t>
      </w:r>
      <w:r w:rsidRPr="006D6C77">
        <w:rPr>
          <w:sz w:val="22"/>
          <w:szCs w:val="22"/>
        </w:rPr>
        <w:t>puta</w:t>
      </w:r>
      <w:r w:rsidRPr="00F223ED">
        <w:rPr>
          <w:sz w:val="22"/>
          <w:szCs w:val="22"/>
          <w:lang w:val="sr-Latn-ME"/>
        </w:rPr>
        <w:t xml:space="preserve"> </w:t>
      </w:r>
      <w:r w:rsidRPr="006D6C77">
        <w:rPr>
          <w:sz w:val="22"/>
          <w:szCs w:val="22"/>
        </w:rPr>
        <w:t>dnevno</w:t>
      </w:r>
      <w:r w:rsidRPr="00F223ED">
        <w:rPr>
          <w:sz w:val="22"/>
          <w:szCs w:val="22"/>
          <w:lang w:val="sr-Latn-ME"/>
        </w:rPr>
        <w:t>.</w:t>
      </w:r>
    </w:p>
    <w:p w14:paraId="7246309A" w14:textId="77777777" w:rsidR="00F223ED" w:rsidRPr="00F223ED" w:rsidRDefault="00F223ED" w:rsidP="00F223ED">
      <w:pPr>
        <w:autoSpaceDE w:val="0"/>
        <w:autoSpaceDN w:val="0"/>
        <w:adjustRightInd w:val="0"/>
        <w:rPr>
          <w:sz w:val="22"/>
          <w:szCs w:val="22"/>
          <w:lang w:val="sr-Latn-ME"/>
        </w:rPr>
      </w:pPr>
    </w:p>
    <w:p w14:paraId="09C38760" w14:textId="77777777" w:rsidR="00F223ED" w:rsidRPr="00F223ED" w:rsidRDefault="00F223ED" w:rsidP="00F223ED">
      <w:pPr>
        <w:autoSpaceDE w:val="0"/>
        <w:autoSpaceDN w:val="0"/>
        <w:adjustRightInd w:val="0"/>
        <w:rPr>
          <w:sz w:val="22"/>
          <w:szCs w:val="22"/>
          <w:lang w:val="sr-Latn-ME"/>
        </w:rPr>
      </w:pPr>
      <w:r w:rsidRPr="006D6C77">
        <w:rPr>
          <w:sz w:val="22"/>
          <w:szCs w:val="22"/>
        </w:rPr>
        <w:lastRenderedPageBreak/>
        <w:t>Pacijenti</w:t>
      </w:r>
      <w:r w:rsidRPr="00F223ED">
        <w:rPr>
          <w:sz w:val="22"/>
          <w:szCs w:val="22"/>
          <w:lang w:val="sr-Latn-ME"/>
        </w:rPr>
        <w:t xml:space="preserve"> </w:t>
      </w:r>
      <w:r w:rsidRPr="006D6C77">
        <w:rPr>
          <w:sz w:val="22"/>
          <w:szCs w:val="22"/>
        </w:rPr>
        <w:t>koji</w:t>
      </w:r>
      <w:r w:rsidRPr="00F223ED">
        <w:rPr>
          <w:sz w:val="22"/>
          <w:szCs w:val="22"/>
          <w:lang w:val="sr-Latn-ME"/>
        </w:rPr>
        <w:t xml:space="preserve"> </w:t>
      </w:r>
      <w:r w:rsidRPr="006D6C77">
        <w:rPr>
          <w:sz w:val="22"/>
          <w:szCs w:val="22"/>
        </w:rPr>
        <w:t>su</w:t>
      </w:r>
      <w:r w:rsidRPr="00F223ED">
        <w:rPr>
          <w:sz w:val="22"/>
          <w:szCs w:val="22"/>
          <w:lang w:val="sr-Latn-ME"/>
        </w:rPr>
        <w:t xml:space="preserve"> </w:t>
      </w:r>
      <w:r w:rsidRPr="006D6C77">
        <w:rPr>
          <w:sz w:val="22"/>
          <w:szCs w:val="22"/>
        </w:rPr>
        <w:t>primali</w:t>
      </w:r>
      <w:r w:rsidRPr="00F223ED">
        <w:rPr>
          <w:sz w:val="22"/>
          <w:szCs w:val="22"/>
          <w:lang w:val="sr-Latn-ME"/>
        </w:rPr>
        <w:t xml:space="preserve"> </w:t>
      </w:r>
      <w:r w:rsidRPr="006D6C77">
        <w:rPr>
          <w:sz w:val="22"/>
          <w:szCs w:val="22"/>
        </w:rPr>
        <w:t>docetaksel</w:t>
      </w:r>
      <w:r w:rsidRPr="00F223ED">
        <w:rPr>
          <w:sz w:val="22"/>
          <w:szCs w:val="22"/>
          <w:lang w:val="sr-Latn-ME"/>
        </w:rPr>
        <w:t xml:space="preserve"> </w:t>
      </w:r>
      <w:r w:rsidRPr="006D6C77">
        <w:rPr>
          <w:sz w:val="22"/>
          <w:szCs w:val="22"/>
        </w:rPr>
        <w:t>svake</w:t>
      </w:r>
      <w:r w:rsidRPr="00F223ED">
        <w:rPr>
          <w:sz w:val="22"/>
          <w:szCs w:val="22"/>
          <w:lang w:val="sr-Latn-ME"/>
        </w:rPr>
        <w:t xml:space="preserve"> </w:t>
      </w:r>
      <w:r w:rsidRPr="006D6C77">
        <w:rPr>
          <w:sz w:val="22"/>
          <w:szCs w:val="22"/>
        </w:rPr>
        <w:t>tri</w:t>
      </w:r>
      <w:r w:rsidRPr="00F223ED">
        <w:rPr>
          <w:sz w:val="22"/>
          <w:szCs w:val="22"/>
          <w:lang w:val="sr-Latn-ME"/>
        </w:rPr>
        <w:t xml:space="preserve"> </w:t>
      </w:r>
      <w:r w:rsidRPr="006D6C77">
        <w:rPr>
          <w:sz w:val="22"/>
          <w:szCs w:val="22"/>
        </w:rPr>
        <w:t>nedjelje</w:t>
      </w:r>
      <w:r w:rsidRPr="00F223ED">
        <w:rPr>
          <w:sz w:val="22"/>
          <w:szCs w:val="22"/>
          <w:lang w:val="sr-Latn-ME"/>
        </w:rPr>
        <w:t xml:space="preserve"> </w:t>
      </w:r>
      <w:r w:rsidRPr="006D6C77">
        <w:rPr>
          <w:sz w:val="22"/>
          <w:szCs w:val="22"/>
        </w:rPr>
        <w:t>pokazali</w:t>
      </w:r>
      <w:r w:rsidRPr="00F223ED">
        <w:rPr>
          <w:sz w:val="22"/>
          <w:szCs w:val="22"/>
          <w:lang w:val="sr-Latn-ME"/>
        </w:rPr>
        <w:t xml:space="preserve"> </w:t>
      </w:r>
      <w:r w:rsidRPr="006D6C77">
        <w:rPr>
          <w:sz w:val="22"/>
          <w:szCs w:val="22"/>
        </w:rPr>
        <w:t>su</w:t>
      </w:r>
      <w:r w:rsidRPr="00F223ED">
        <w:rPr>
          <w:sz w:val="22"/>
          <w:szCs w:val="22"/>
          <w:lang w:val="sr-Latn-ME"/>
        </w:rPr>
        <w:t xml:space="preserve"> </w:t>
      </w:r>
      <w:r w:rsidRPr="006D6C77">
        <w:rPr>
          <w:sz w:val="22"/>
          <w:szCs w:val="22"/>
        </w:rPr>
        <w:t>znatno</w:t>
      </w:r>
      <w:r w:rsidRPr="00F223ED">
        <w:rPr>
          <w:sz w:val="22"/>
          <w:szCs w:val="22"/>
          <w:lang w:val="sr-Latn-ME"/>
        </w:rPr>
        <w:t xml:space="preserve"> </w:t>
      </w:r>
      <w:r w:rsidRPr="006D6C77">
        <w:rPr>
          <w:sz w:val="22"/>
          <w:szCs w:val="22"/>
        </w:rPr>
        <w:t>du</w:t>
      </w:r>
      <w:r w:rsidRPr="00F223ED">
        <w:rPr>
          <w:sz w:val="22"/>
          <w:szCs w:val="22"/>
          <w:lang w:val="sr-Latn-ME"/>
        </w:rPr>
        <w:t>ž</w:t>
      </w:r>
      <w:r w:rsidRPr="006D6C77">
        <w:rPr>
          <w:sz w:val="22"/>
          <w:szCs w:val="22"/>
        </w:rPr>
        <w:t>e</w:t>
      </w:r>
      <w:r w:rsidRPr="00F223ED">
        <w:rPr>
          <w:sz w:val="22"/>
          <w:szCs w:val="22"/>
          <w:lang w:val="sr-Latn-ME"/>
        </w:rPr>
        <w:t xml:space="preserve"> </w:t>
      </w:r>
      <w:r w:rsidRPr="006D6C77">
        <w:rPr>
          <w:sz w:val="22"/>
          <w:szCs w:val="22"/>
        </w:rPr>
        <w:t>vrijeme</w:t>
      </w:r>
      <w:r w:rsidRPr="00F223ED">
        <w:rPr>
          <w:sz w:val="22"/>
          <w:szCs w:val="22"/>
          <w:lang w:val="sr-Latn-ME"/>
        </w:rPr>
        <w:t xml:space="preserve"> </w:t>
      </w:r>
      <w:r w:rsidRPr="006D6C77">
        <w:rPr>
          <w:sz w:val="22"/>
          <w:szCs w:val="22"/>
        </w:rPr>
        <w:t>pre</w:t>
      </w:r>
      <w:r w:rsidRPr="00F223ED">
        <w:rPr>
          <w:sz w:val="22"/>
          <w:szCs w:val="22"/>
          <w:lang w:val="sr-Latn-ME"/>
        </w:rPr>
        <w:t>ž</w:t>
      </w:r>
      <w:r w:rsidRPr="006D6C77">
        <w:rPr>
          <w:sz w:val="22"/>
          <w:szCs w:val="22"/>
        </w:rPr>
        <w:t>ivljavanja</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odnosu</w:t>
      </w:r>
      <w:r w:rsidRPr="00F223ED">
        <w:rPr>
          <w:sz w:val="22"/>
          <w:szCs w:val="22"/>
          <w:lang w:val="sr-Latn-ME"/>
        </w:rPr>
        <w:t xml:space="preserve"> </w:t>
      </w:r>
      <w:r w:rsidRPr="006D6C77">
        <w:rPr>
          <w:sz w:val="22"/>
          <w:szCs w:val="22"/>
        </w:rPr>
        <w:t>na</w:t>
      </w:r>
      <w:r w:rsidRPr="00F223ED">
        <w:rPr>
          <w:sz w:val="22"/>
          <w:szCs w:val="22"/>
          <w:lang w:val="sr-Latn-ME"/>
        </w:rPr>
        <w:t xml:space="preserve"> </w:t>
      </w:r>
      <w:r w:rsidRPr="006D6C77">
        <w:rPr>
          <w:sz w:val="22"/>
          <w:szCs w:val="22"/>
        </w:rPr>
        <w:t>one</w:t>
      </w:r>
      <w:r w:rsidRPr="00F223ED">
        <w:rPr>
          <w:sz w:val="22"/>
          <w:szCs w:val="22"/>
          <w:lang w:val="sr-Latn-ME"/>
        </w:rPr>
        <w:t xml:space="preserve"> </w:t>
      </w:r>
      <w:r w:rsidRPr="006D6C77">
        <w:rPr>
          <w:sz w:val="22"/>
          <w:szCs w:val="22"/>
        </w:rPr>
        <w:t>koji</w:t>
      </w:r>
      <w:r w:rsidRPr="00F223ED">
        <w:rPr>
          <w:sz w:val="22"/>
          <w:szCs w:val="22"/>
          <w:lang w:val="sr-Latn-ME"/>
        </w:rPr>
        <w:t xml:space="preserve"> </w:t>
      </w:r>
      <w:r w:rsidRPr="006D6C77">
        <w:rPr>
          <w:sz w:val="22"/>
          <w:szCs w:val="22"/>
        </w:rPr>
        <w:t>su</w:t>
      </w:r>
      <w:r w:rsidRPr="00F223ED">
        <w:rPr>
          <w:sz w:val="22"/>
          <w:szCs w:val="22"/>
          <w:lang w:val="sr-Latn-ME"/>
        </w:rPr>
        <w:t xml:space="preserve"> </w:t>
      </w:r>
      <w:r w:rsidRPr="006D6C77">
        <w:rPr>
          <w:sz w:val="22"/>
          <w:szCs w:val="22"/>
        </w:rPr>
        <w:t>dobijali</w:t>
      </w:r>
      <w:r w:rsidRPr="00F223ED">
        <w:rPr>
          <w:sz w:val="22"/>
          <w:szCs w:val="22"/>
          <w:lang w:val="sr-Latn-ME"/>
        </w:rPr>
        <w:t xml:space="preserve"> </w:t>
      </w:r>
      <w:r w:rsidRPr="006D6C77">
        <w:rPr>
          <w:sz w:val="22"/>
          <w:szCs w:val="22"/>
        </w:rPr>
        <w:t>mitoksantron</w:t>
      </w:r>
      <w:r w:rsidRPr="00F223ED">
        <w:rPr>
          <w:sz w:val="22"/>
          <w:szCs w:val="22"/>
          <w:lang w:val="sr-Latn-ME"/>
        </w:rPr>
        <w:t xml:space="preserve">. </w:t>
      </w:r>
      <w:r w:rsidRPr="006D6C77">
        <w:rPr>
          <w:sz w:val="22"/>
          <w:szCs w:val="22"/>
        </w:rPr>
        <w:t>Produ</w:t>
      </w:r>
      <w:r w:rsidRPr="00F223ED">
        <w:rPr>
          <w:sz w:val="22"/>
          <w:szCs w:val="22"/>
          <w:lang w:val="sr-Latn-ME"/>
        </w:rPr>
        <w:t>ž</w:t>
      </w:r>
      <w:r w:rsidRPr="006D6C77">
        <w:rPr>
          <w:sz w:val="22"/>
          <w:szCs w:val="22"/>
        </w:rPr>
        <w:t>enje</w:t>
      </w:r>
      <w:r w:rsidRPr="00F223ED">
        <w:rPr>
          <w:sz w:val="22"/>
          <w:szCs w:val="22"/>
          <w:lang w:val="sr-Latn-ME"/>
        </w:rPr>
        <w:t xml:space="preserve"> </w:t>
      </w:r>
      <w:r w:rsidRPr="006D6C77">
        <w:rPr>
          <w:sz w:val="22"/>
          <w:szCs w:val="22"/>
        </w:rPr>
        <w:t>pre</w:t>
      </w:r>
      <w:r w:rsidRPr="00F223ED">
        <w:rPr>
          <w:sz w:val="22"/>
          <w:szCs w:val="22"/>
          <w:lang w:val="sr-Latn-ME"/>
        </w:rPr>
        <w:t>ž</w:t>
      </w:r>
      <w:r w:rsidRPr="006D6C77">
        <w:rPr>
          <w:sz w:val="22"/>
          <w:szCs w:val="22"/>
        </w:rPr>
        <w:t>ivljavanja</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grupi</w:t>
      </w:r>
      <w:r w:rsidRPr="00F223ED">
        <w:rPr>
          <w:sz w:val="22"/>
          <w:szCs w:val="22"/>
          <w:lang w:val="sr-Latn-ME"/>
        </w:rPr>
        <w:t xml:space="preserve"> </w:t>
      </w:r>
      <w:r w:rsidRPr="006D6C77">
        <w:rPr>
          <w:sz w:val="22"/>
          <w:szCs w:val="22"/>
        </w:rPr>
        <w:t>koja</w:t>
      </w:r>
      <w:r w:rsidRPr="00F223ED">
        <w:rPr>
          <w:sz w:val="22"/>
          <w:szCs w:val="22"/>
          <w:lang w:val="sr-Latn-ME"/>
        </w:rPr>
        <w:t xml:space="preserve"> </w:t>
      </w:r>
      <w:r w:rsidRPr="006D6C77">
        <w:rPr>
          <w:sz w:val="22"/>
          <w:szCs w:val="22"/>
        </w:rPr>
        <w:t>je</w:t>
      </w:r>
      <w:r w:rsidRPr="00F223ED">
        <w:rPr>
          <w:sz w:val="22"/>
          <w:szCs w:val="22"/>
          <w:lang w:val="sr-Latn-ME"/>
        </w:rPr>
        <w:t xml:space="preserve"> </w:t>
      </w:r>
      <w:r w:rsidRPr="006D6C77">
        <w:rPr>
          <w:sz w:val="22"/>
          <w:szCs w:val="22"/>
        </w:rPr>
        <w:t>dobijala</w:t>
      </w:r>
      <w:r w:rsidRPr="00F223ED">
        <w:rPr>
          <w:sz w:val="22"/>
          <w:szCs w:val="22"/>
          <w:lang w:val="sr-Latn-ME"/>
        </w:rPr>
        <w:t xml:space="preserve"> </w:t>
      </w:r>
      <w:r w:rsidRPr="006D6C77">
        <w:rPr>
          <w:sz w:val="22"/>
          <w:szCs w:val="22"/>
        </w:rPr>
        <w:t>docetaksel</w:t>
      </w:r>
      <w:r w:rsidRPr="00F223ED">
        <w:rPr>
          <w:sz w:val="22"/>
          <w:szCs w:val="22"/>
          <w:lang w:val="sr-Latn-ME"/>
        </w:rPr>
        <w:t xml:space="preserve"> </w:t>
      </w:r>
      <w:r w:rsidRPr="006D6C77">
        <w:rPr>
          <w:sz w:val="22"/>
          <w:szCs w:val="22"/>
        </w:rPr>
        <w:t>jednom</w:t>
      </w:r>
      <w:r w:rsidRPr="00F223ED">
        <w:rPr>
          <w:sz w:val="22"/>
          <w:szCs w:val="22"/>
          <w:lang w:val="sr-Latn-ME"/>
        </w:rPr>
        <w:t xml:space="preserve"> </w:t>
      </w:r>
      <w:r w:rsidRPr="006D6C77">
        <w:rPr>
          <w:sz w:val="22"/>
          <w:szCs w:val="22"/>
        </w:rPr>
        <w:t>nedjeljno</w:t>
      </w:r>
      <w:r w:rsidRPr="00F223ED">
        <w:rPr>
          <w:sz w:val="22"/>
          <w:szCs w:val="22"/>
          <w:lang w:val="sr-Latn-ME"/>
        </w:rPr>
        <w:t xml:space="preserve"> </w:t>
      </w:r>
      <w:r w:rsidRPr="006D6C77">
        <w:rPr>
          <w:sz w:val="22"/>
          <w:szCs w:val="22"/>
        </w:rPr>
        <w:t>nije</w:t>
      </w:r>
      <w:r w:rsidRPr="00F223ED">
        <w:rPr>
          <w:sz w:val="22"/>
          <w:szCs w:val="22"/>
          <w:lang w:val="sr-Latn-ME"/>
        </w:rPr>
        <w:t xml:space="preserve"> </w:t>
      </w:r>
      <w:r w:rsidRPr="006D6C77">
        <w:rPr>
          <w:sz w:val="22"/>
          <w:szCs w:val="22"/>
        </w:rPr>
        <w:t>bilo</w:t>
      </w:r>
      <w:r w:rsidRPr="00F223ED">
        <w:rPr>
          <w:sz w:val="22"/>
          <w:szCs w:val="22"/>
          <w:lang w:val="sr-Latn-ME"/>
        </w:rPr>
        <w:t xml:space="preserve"> </w:t>
      </w:r>
      <w:r w:rsidRPr="006D6C77">
        <w:rPr>
          <w:sz w:val="22"/>
          <w:szCs w:val="22"/>
        </w:rPr>
        <w:t>statisti</w:t>
      </w:r>
      <w:r w:rsidRPr="00F223ED">
        <w:rPr>
          <w:rFonts w:eastAsia="TimesNewRoman"/>
          <w:sz w:val="22"/>
          <w:szCs w:val="22"/>
          <w:lang w:val="sr-Latn-ME"/>
        </w:rPr>
        <w:t>č</w:t>
      </w:r>
      <w:r w:rsidRPr="006D6C77">
        <w:rPr>
          <w:sz w:val="22"/>
          <w:szCs w:val="22"/>
        </w:rPr>
        <w:t>ki</w:t>
      </w:r>
      <w:r w:rsidRPr="00F223ED">
        <w:rPr>
          <w:sz w:val="22"/>
          <w:szCs w:val="22"/>
          <w:lang w:val="sr-Latn-ME"/>
        </w:rPr>
        <w:t xml:space="preserve"> </w:t>
      </w:r>
      <w:r w:rsidRPr="006D6C77">
        <w:rPr>
          <w:sz w:val="22"/>
          <w:szCs w:val="22"/>
        </w:rPr>
        <w:t>zna</w:t>
      </w:r>
      <w:r w:rsidRPr="00F223ED">
        <w:rPr>
          <w:rFonts w:eastAsia="TimesNewRoman"/>
          <w:sz w:val="22"/>
          <w:szCs w:val="22"/>
          <w:lang w:val="sr-Latn-ME"/>
        </w:rPr>
        <w:t>č</w:t>
      </w:r>
      <w:r w:rsidRPr="006D6C77">
        <w:rPr>
          <w:sz w:val="22"/>
          <w:szCs w:val="22"/>
        </w:rPr>
        <w:t>ajno</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odnosu</w:t>
      </w:r>
      <w:r w:rsidRPr="00F223ED">
        <w:rPr>
          <w:sz w:val="22"/>
          <w:szCs w:val="22"/>
          <w:lang w:val="sr-Latn-ME"/>
        </w:rPr>
        <w:t xml:space="preserve"> </w:t>
      </w:r>
      <w:r w:rsidRPr="006D6C77">
        <w:rPr>
          <w:sz w:val="22"/>
          <w:szCs w:val="22"/>
        </w:rPr>
        <w:t>na</w:t>
      </w:r>
      <w:r w:rsidRPr="00F223ED">
        <w:rPr>
          <w:sz w:val="22"/>
          <w:szCs w:val="22"/>
          <w:lang w:val="sr-Latn-ME"/>
        </w:rPr>
        <w:t xml:space="preserve"> </w:t>
      </w:r>
      <w:r w:rsidRPr="006D6C77">
        <w:rPr>
          <w:sz w:val="22"/>
          <w:szCs w:val="22"/>
        </w:rPr>
        <w:t>kontrolnu</w:t>
      </w:r>
      <w:r w:rsidRPr="00F223ED">
        <w:rPr>
          <w:sz w:val="22"/>
          <w:szCs w:val="22"/>
          <w:lang w:val="sr-Latn-ME"/>
        </w:rPr>
        <w:t xml:space="preserve"> </w:t>
      </w:r>
      <w:r w:rsidRPr="006D6C77">
        <w:rPr>
          <w:sz w:val="22"/>
          <w:szCs w:val="22"/>
        </w:rPr>
        <w:t>grupu</w:t>
      </w:r>
      <w:r w:rsidRPr="00F223ED">
        <w:rPr>
          <w:sz w:val="22"/>
          <w:szCs w:val="22"/>
          <w:lang w:val="sr-Latn-ME"/>
        </w:rPr>
        <w:t xml:space="preserve"> </w:t>
      </w:r>
      <w:r w:rsidRPr="006D6C77">
        <w:rPr>
          <w:sz w:val="22"/>
          <w:szCs w:val="22"/>
        </w:rPr>
        <w:t>na</w:t>
      </w:r>
      <w:r w:rsidRPr="00F223ED">
        <w:rPr>
          <w:sz w:val="22"/>
          <w:szCs w:val="22"/>
          <w:lang w:val="sr-Latn-ME"/>
        </w:rPr>
        <w:t xml:space="preserve"> </w:t>
      </w:r>
      <w:r w:rsidRPr="006D6C77">
        <w:rPr>
          <w:sz w:val="22"/>
          <w:szCs w:val="22"/>
        </w:rPr>
        <w:t>mitoksantronu</w:t>
      </w:r>
      <w:r w:rsidRPr="00F223ED">
        <w:rPr>
          <w:sz w:val="22"/>
          <w:szCs w:val="22"/>
          <w:lang w:val="sr-Latn-ME"/>
        </w:rPr>
        <w:t xml:space="preserve">. </w:t>
      </w:r>
      <w:r w:rsidRPr="006D6C77">
        <w:rPr>
          <w:sz w:val="22"/>
          <w:szCs w:val="22"/>
        </w:rPr>
        <w:t>Krajnji</w:t>
      </w:r>
      <w:r w:rsidRPr="00F223ED">
        <w:rPr>
          <w:sz w:val="22"/>
          <w:szCs w:val="22"/>
          <w:lang w:val="sr-Latn-ME"/>
        </w:rPr>
        <w:t xml:space="preserve"> </w:t>
      </w:r>
      <w:r w:rsidRPr="006D6C77">
        <w:rPr>
          <w:sz w:val="22"/>
          <w:szCs w:val="22"/>
        </w:rPr>
        <w:t>ishodi</w:t>
      </w:r>
      <w:r w:rsidRPr="00F223ED">
        <w:rPr>
          <w:sz w:val="22"/>
          <w:szCs w:val="22"/>
          <w:lang w:val="sr-Latn-ME"/>
        </w:rPr>
        <w:t xml:space="preserve"> </w:t>
      </w:r>
      <w:r w:rsidRPr="006D6C77">
        <w:rPr>
          <w:sz w:val="22"/>
          <w:szCs w:val="22"/>
        </w:rPr>
        <w:t>efikasnosti</w:t>
      </w:r>
      <w:r w:rsidRPr="00F223ED">
        <w:rPr>
          <w:sz w:val="22"/>
          <w:szCs w:val="22"/>
          <w:lang w:val="sr-Latn-ME"/>
        </w:rPr>
        <w:t xml:space="preserve"> </w:t>
      </w:r>
      <w:r w:rsidRPr="006D6C77">
        <w:rPr>
          <w:sz w:val="22"/>
          <w:szCs w:val="22"/>
        </w:rPr>
        <w:t>za</w:t>
      </w:r>
      <w:r w:rsidRPr="00F223ED">
        <w:rPr>
          <w:sz w:val="22"/>
          <w:szCs w:val="22"/>
          <w:lang w:val="sr-Latn-ME"/>
        </w:rPr>
        <w:t xml:space="preserve"> </w:t>
      </w:r>
      <w:r w:rsidRPr="006D6C77">
        <w:rPr>
          <w:sz w:val="22"/>
          <w:szCs w:val="22"/>
        </w:rPr>
        <w:t>grupe</w:t>
      </w:r>
      <w:r w:rsidRPr="00F223ED">
        <w:rPr>
          <w:sz w:val="22"/>
          <w:szCs w:val="22"/>
          <w:lang w:val="sr-Latn-ME"/>
        </w:rPr>
        <w:t xml:space="preserve"> </w:t>
      </w:r>
      <w:r w:rsidRPr="006D6C77">
        <w:rPr>
          <w:sz w:val="22"/>
          <w:szCs w:val="22"/>
        </w:rPr>
        <w:t>na</w:t>
      </w:r>
      <w:r w:rsidRPr="00F223ED">
        <w:rPr>
          <w:sz w:val="22"/>
          <w:szCs w:val="22"/>
          <w:lang w:val="sr-Latn-ME"/>
        </w:rPr>
        <w:t xml:space="preserve"> </w:t>
      </w:r>
      <w:r w:rsidRPr="006D6C77">
        <w:rPr>
          <w:sz w:val="22"/>
          <w:szCs w:val="22"/>
        </w:rPr>
        <w:t>docetakselu</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odnosu</w:t>
      </w:r>
      <w:r w:rsidRPr="00F223ED">
        <w:rPr>
          <w:sz w:val="22"/>
          <w:szCs w:val="22"/>
          <w:lang w:val="sr-Latn-ME"/>
        </w:rPr>
        <w:t xml:space="preserve"> </w:t>
      </w:r>
      <w:r w:rsidRPr="006D6C77">
        <w:rPr>
          <w:sz w:val="22"/>
          <w:szCs w:val="22"/>
        </w:rPr>
        <w:t>na</w:t>
      </w:r>
      <w:r w:rsidRPr="00F223ED">
        <w:rPr>
          <w:sz w:val="22"/>
          <w:szCs w:val="22"/>
          <w:lang w:val="sr-Latn-ME"/>
        </w:rPr>
        <w:t xml:space="preserve"> </w:t>
      </w:r>
      <w:r w:rsidRPr="006D6C77">
        <w:rPr>
          <w:sz w:val="22"/>
          <w:szCs w:val="22"/>
        </w:rPr>
        <w:t>kontrolnu</w:t>
      </w:r>
      <w:r w:rsidRPr="00F223ED">
        <w:rPr>
          <w:sz w:val="22"/>
          <w:szCs w:val="22"/>
          <w:lang w:val="sr-Latn-ME"/>
        </w:rPr>
        <w:t xml:space="preserve"> </w:t>
      </w:r>
      <w:r w:rsidRPr="006D6C77">
        <w:rPr>
          <w:sz w:val="22"/>
          <w:szCs w:val="22"/>
        </w:rPr>
        <w:t>grupu</w:t>
      </w:r>
      <w:r w:rsidRPr="00F223ED">
        <w:rPr>
          <w:sz w:val="22"/>
          <w:szCs w:val="22"/>
          <w:lang w:val="sr-Latn-ME"/>
        </w:rPr>
        <w:t xml:space="preserve">, </w:t>
      </w:r>
      <w:r w:rsidRPr="006D6C77">
        <w:rPr>
          <w:sz w:val="22"/>
          <w:szCs w:val="22"/>
        </w:rPr>
        <w:t>prikazani</w:t>
      </w:r>
      <w:r w:rsidRPr="00F223ED">
        <w:rPr>
          <w:sz w:val="22"/>
          <w:szCs w:val="22"/>
          <w:lang w:val="sr-Latn-ME"/>
        </w:rPr>
        <w:t xml:space="preserve"> </w:t>
      </w:r>
      <w:r w:rsidRPr="006D6C77">
        <w:rPr>
          <w:sz w:val="22"/>
          <w:szCs w:val="22"/>
        </w:rPr>
        <w:t>su</w:t>
      </w:r>
      <w:r w:rsidRPr="00F223ED">
        <w:rPr>
          <w:sz w:val="22"/>
          <w:szCs w:val="22"/>
          <w:lang w:val="sr-Latn-ME"/>
        </w:rPr>
        <w:t xml:space="preserve"> </w:t>
      </w:r>
      <w:r w:rsidRPr="006D6C77">
        <w:rPr>
          <w:sz w:val="22"/>
          <w:szCs w:val="22"/>
        </w:rPr>
        <w:t>u</w:t>
      </w:r>
      <w:r w:rsidRPr="00F223ED">
        <w:rPr>
          <w:sz w:val="22"/>
          <w:szCs w:val="22"/>
          <w:lang w:val="sr-Latn-ME"/>
        </w:rPr>
        <w:t xml:space="preserve"> </w:t>
      </w:r>
      <w:r w:rsidRPr="006D6C77">
        <w:rPr>
          <w:sz w:val="22"/>
          <w:szCs w:val="22"/>
        </w:rPr>
        <w:t>sljede</w:t>
      </w:r>
      <w:r w:rsidRPr="00F223ED">
        <w:rPr>
          <w:rFonts w:eastAsia="TimesNewRoman"/>
          <w:sz w:val="22"/>
          <w:szCs w:val="22"/>
          <w:lang w:val="sr-Latn-ME"/>
        </w:rPr>
        <w:t>ć</w:t>
      </w:r>
      <w:r w:rsidRPr="006D6C77">
        <w:rPr>
          <w:sz w:val="22"/>
          <w:szCs w:val="22"/>
        </w:rPr>
        <w:t>oj</w:t>
      </w:r>
      <w:r w:rsidRPr="00F223ED">
        <w:rPr>
          <w:sz w:val="22"/>
          <w:szCs w:val="22"/>
          <w:lang w:val="sr-Latn-ME"/>
        </w:rPr>
        <w:t xml:space="preserve"> </w:t>
      </w:r>
      <w:r w:rsidRPr="006D6C77">
        <w:rPr>
          <w:sz w:val="22"/>
          <w:szCs w:val="22"/>
        </w:rPr>
        <w:t>tabeli</w:t>
      </w:r>
      <w:r w:rsidRPr="00F223ED">
        <w:rPr>
          <w:sz w:val="22"/>
          <w:szCs w:val="22"/>
          <w:lang w:val="sr-Latn-ME"/>
        </w:rPr>
        <w:t>:</w:t>
      </w:r>
    </w:p>
    <w:p w14:paraId="2D2D1211" w14:textId="77777777" w:rsidR="00F223ED" w:rsidRPr="00F223ED" w:rsidRDefault="00F223ED" w:rsidP="00F223ED">
      <w:pPr>
        <w:autoSpaceDE w:val="0"/>
        <w:autoSpaceDN w:val="0"/>
        <w:adjustRightInd w:val="0"/>
        <w:rPr>
          <w:sz w:val="22"/>
          <w:szCs w:val="22"/>
          <w:lang w:val="sr-Latn-ME"/>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9"/>
        <w:gridCol w:w="1692"/>
        <w:gridCol w:w="2445"/>
        <w:gridCol w:w="2446"/>
      </w:tblGrid>
      <w:tr w:rsidR="00F223ED" w:rsidRPr="00B02007" w14:paraId="1A6EA674" w14:textId="77777777" w:rsidTr="002C66FC">
        <w:trPr>
          <w:trHeight w:val="769"/>
        </w:trPr>
        <w:tc>
          <w:tcPr>
            <w:tcW w:w="3199" w:type="dxa"/>
          </w:tcPr>
          <w:p w14:paraId="351AE5C0" w14:textId="77777777" w:rsidR="00F223ED" w:rsidRPr="00973003" w:rsidRDefault="00F223ED" w:rsidP="002C66FC">
            <w:pPr>
              <w:autoSpaceDE w:val="0"/>
              <w:autoSpaceDN w:val="0"/>
              <w:adjustRightInd w:val="0"/>
              <w:rPr>
                <w:b/>
                <w:bCs/>
                <w:sz w:val="22"/>
                <w:szCs w:val="22"/>
              </w:rPr>
            </w:pPr>
            <w:r w:rsidRPr="00973003">
              <w:rPr>
                <w:b/>
                <w:bCs/>
                <w:sz w:val="22"/>
                <w:szCs w:val="22"/>
              </w:rPr>
              <w:t xml:space="preserve">Krajnji ishod </w:t>
            </w:r>
          </w:p>
          <w:p w14:paraId="63ECCCD7" w14:textId="77777777" w:rsidR="00F223ED" w:rsidRPr="00973003" w:rsidRDefault="00F223ED" w:rsidP="002C66FC">
            <w:pPr>
              <w:autoSpaceDE w:val="0"/>
              <w:autoSpaceDN w:val="0"/>
              <w:adjustRightInd w:val="0"/>
              <w:rPr>
                <w:b/>
                <w:bCs/>
                <w:sz w:val="22"/>
                <w:szCs w:val="22"/>
              </w:rPr>
            </w:pPr>
          </w:p>
        </w:tc>
        <w:tc>
          <w:tcPr>
            <w:tcW w:w="1692" w:type="dxa"/>
          </w:tcPr>
          <w:p w14:paraId="0E7B48FF" w14:textId="77777777" w:rsidR="00F223ED" w:rsidRPr="00973003" w:rsidRDefault="00F223ED" w:rsidP="002C66FC">
            <w:pPr>
              <w:autoSpaceDE w:val="0"/>
              <w:autoSpaceDN w:val="0"/>
              <w:adjustRightInd w:val="0"/>
              <w:jc w:val="center"/>
              <w:rPr>
                <w:b/>
                <w:bCs/>
                <w:sz w:val="22"/>
                <w:szCs w:val="22"/>
              </w:rPr>
            </w:pPr>
            <w:r w:rsidRPr="00973003">
              <w:rPr>
                <w:b/>
                <w:bCs/>
                <w:sz w:val="22"/>
                <w:szCs w:val="22"/>
              </w:rPr>
              <w:t>Docetaksel svake 3</w:t>
            </w:r>
          </w:p>
          <w:p w14:paraId="2AAC1FE7" w14:textId="77777777" w:rsidR="00F223ED" w:rsidRPr="00973003" w:rsidRDefault="00F223ED" w:rsidP="002C66FC">
            <w:pPr>
              <w:pStyle w:val="Header"/>
              <w:tabs>
                <w:tab w:val="left" w:pos="284"/>
              </w:tabs>
              <w:jc w:val="center"/>
              <w:rPr>
                <w:b/>
                <w:bCs/>
                <w:sz w:val="22"/>
                <w:szCs w:val="22"/>
              </w:rPr>
            </w:pPr>
            <w:r w:rsidRPr="00973003">
              <w:rPr>
                <w:b/>
                <w:bCs/>
                <w:sz w:val="22"/>
                <w:szCs w:val="22"/>
              </w:rPr>
              <w:t>nedjelje</w:t>
            </w:r>
          </w:p>
        </w:tc>
        <w:tc>
          <w:tcPr>
            <w:tcW w:w="2445" w:type="dxa"/>
          </w:tcPr>
          <w:p w14:paraId="28509C6A" w14:textId="77777777" w:rsidR="00F223ED" w:rsidRPr="00973003" w:rsidRDefault="00F223ED" w:rsidP="002C66FC">
            <w:pPr>
              <w:autoSpaceDE w:val="0"/>
              <w:autoSpaceDN w:val="0"/>
              <w:adjustRightInd w:val="0"/>
              <w:jc w:val="center"/>
              <w:rPr>
                <w:b/>
                <w:bCs/>
                <w:sz w:val="22"/>
                <w:szCs w:val="22"/>
              </w:rPr>
            </w:pPr>
            <w:r w:rsidRPr="00973003">
              <w:rPr>
                <w:b/>
                <w:bCs/>
                <w:sz w:val="22"/>
                <w:szCs w:val="22"/>
              </w:rPr>
              <w:t>Docetaksel svake</w:t>
            </w:r>
          </w:p>
          <w:p w14:paraId="378D4A87" w14:textId="77777777" w:rsidR="00F223ED" w:rsidRPr="00973003" w:rsidRDefault="00F223ED" w:rsidP="002C66FC">
            <w:pPr>
              <w:autoSpaceDE w:val="0"/>
              <w:autoSpaceDN w:val="0"/>
              <w:adjustRightInd w:val="0"/>
              <w:jc w:val="center"/>
              <w:rPr>
                <w:b/>
                <w:bCs/>
                <w:sz w:val="22"/>
                <w:szCs w:val="22"/>
              </w:rPr>
            </w:pPr>
            <w:r w:rsidRPr="00973003">
              <w:rPr>
                <w:b/>
                <w:bCs/>
                <w:sz w:val="22"/>
                <w:szCs w:val="22"/>
              </w:rPr>
              <w:t>nedjelje</w:t>
            </w:r>
          </w:p>
          <w:p w14:paraId="4270E37A" w14:textId="77777777" w:rsidR="00F223ED" w:rsidRPr="00973003" w:rsidRDefault="00F223ED" w:rsidP="002C66FC">
            <w:pPr>
              <w:pStyle w:val="Header"/>
              <w:tabs>
                <w:tab w:val="left" w:pos="284"/>
              </w:tabs>
              <w:jc w:val="center"/>
              <w:rPr>
                <w:b/>
                <w:bCs/>
                <w:sz w:val="22"/>
                <w:szCs w:val="22"/>
              </w:rPr>
            </w:pPr>
          </w:p>
        </w:tc>
        <w:tc>
          <w:tcPr>
            <w:tcW w:w="2446" w:type="dxa"/>
          </w:tcPr>
          <w:p w14:paraId="7FD38F44" w14:textId="77777777" w:rsidR="00F223ED" w:rsidRPr="00973003" w:rsidRDefault="00F223ED" w:rsidP="002C66FC">
            <w:pPr>
              <w:autoSpaceDE w:val="0"/>
              <w:autoSpaceDN w:val="0"/>
              <w:adjustRightInd w:val="0"/>
              <w:jc w:val="center"/>
              <w:rPr>
                <w:b/>
                <w:bCs/>
                <w:sz w:val="22"/>
                <w:szCs w:val="22"/>
              </w:rPr>
            </w:pPr>
            <w:r w:rsidRPr="00973003">
              <w:rPr>
                <w:b/>
                <w:bCs/>
                <w:sz w:val="22"/>
                <w:szCs w:val="22"/>
              </w:rPr>
              <w:t>Mitoksantron svake</w:t>
            </w:r>
          </w:p>
          <w:p w14:paraId="722C1CA2" w14:textId="77777777" w:rsidR="00F223ED" w:rsidRPr="00973003" w:rsidRDefault="00F223ED" w:rsidP="002C66FC">
            <w:pPr>
              <w:autoSpaceDE w:val="0"/>
              <w:autoSpaceDN w:val="0"/>
              <w:adjustRightInd w:val="0"/>
              <w:jc w:val="center"/>
              <w:rPr>
                <w:b/>
                <w:bCs/>
                <w:sz w:val="22"/>
                <w:szCs w:val="22"/>
              </w:rPr>
            </w:pPr>
            <w:r w:rsidRPr="00973003">
              <w:rPr>
                <w:b/>
                <w:bCs/>
                <w:sz w:val="22"/>
                <w:szCs w:val="22"/>
              </w:rPr>
              <w:t>3 nedjelje</w:t>
            </w:r>
          </w:p>
          <w:p w14:paraId="215379A6" w14:textId="77777777" w:rsidR="00F223ED" w:rsidRPr="00973003" w:rsidRDefault="00F223ED" w:rsidP="002C66FC">
            <w:pPr>
              <w:pStyle w:val="Header"/>
              <w:tabs>
                <w:tab w:val="left" w:pos="284"/>
              </w:tabs>
              <w:jc w:val="center"/>
              <w:rPr>
                <w:b/>
                <w:bCs/>
                <w:sz w:val="22"/>
                <w:szCs w:val="22"/>
              </w:rPr>
            </w:pPr>
          </w:p>
        </w:tc>
      </w:tr>
      <w:tr w:rsidR="00F223ED" w:rsidRPr="00B02007" w14:paraId="5259B03F" w14:textId="77777777" w:rsidTr="002C66FC">
        <w:trPr>
          <w:trHeight w:val="1014"/>
        </w:trPr>
        <w:tc>
          <w:tcPr>
            <w:tcW w:w="3199" w:type="dxa"/>
          </w:tcPr>
          <w:p w14:paraId="21F47F1E" w14:textId="77777777" w:rsidR="00F223ED" w:rsidRPr="00AD576E" w:rsidRDefault="00F223ED" w:rsidP="002C66FC">
            <w:pPr>
              <w:autoSpaceDE w:val="0"/>
              <w:autoSpaceDN w:val="0"/>
              <w:adjustRightInd w:val="0"/>
              <w:rPr>
                <w:sz w:val="22"/>
                <w:szCs w:val="22"/>
              </w:rPr>
            </w:pPr>
            <w:r w:rsidRPr="00AD576E">
              <w:rPr>
                <w:sz w:val="22"/>
                <w:szCs w:val="22"/>
              </w:rPr>
              <w:t xml:space="preserve">Broj pacijenata   </w:t>
            </w:r>
          </w:p>
          <w:p w14:paraId="3BBD669C" w14:textId="77777777" w:rsidR="00F223ED" w:rsidRPr="00AD576E" w:rsidRDefault="00F223ED" w:rsidP="002C66FC">
            <w:pPr>
              <w:autoSpaceDE w:val="0"/>
              <w:autoSpaceDN w:val="0"/>
              <w:adjustRightInd w:val="0"/>
              <w:rPr>
                <w:sz w:val="22"/>
                <w:szCs w:val="22"/>
              </w:rPr>
            </w:pPr>
            <w:r w:rsidRPr="00AD576E">
              <w:rPr>
                <w:sz w:val="22"/>
                <w:szCs w:val="22"/>
              </w:rPr>
              <w:t xml:space="preserve">Srednje preživljavanje (mjeseci) </w:t>
            </w:r>
          </w:p>
          <w:p w14:paraId="6C1637CD" w14:textId="77777777" w:rsidR="00F223ED" w:rsidRPr="00AD576E" w:rsidRDefault="00F223ED" w:rsidP="002C66FC">
            <w:pPr>
              <w:autoSpaceDE w:val="0"/>
              <w:autoSpaceDN w:val="0"/>
              <w:adjustRightInd w:val="0"/>
              <w:rPr>
                <w:sz w:val="22"/>
                <w:szCs w:val="22"/>
              </w:rPr>
            </w:pPr>
            <w:r w:rsidRPr="00AD576E">
              <w:rPr>
                <w:sz w:val="22"/>
                <w:szCs w:val="22"/>
              </w:rPr>
              <w:t xml:space="preserve">95% CI </w:t>
            </w:r>
          </w:p>
          <w:p w14:paraId="2B67981A" w14:textId="77777777" w:rsidR="00F223ED" w:rsidRPr="00AD576E" w:rsidRDefault="00F223ED" w:rsidP="002C66FC">
            <w:pPr>
              <w:autoSpaceDE w:val="0"/>
              <w:autoSpaceDN w:val="0"/>
              <w:adjustRightInd w:val="0"/>
              <w:rPr>
                <w:sz w:val="22"/>
                <w:szCs w:val="22"/>
              </w:rPr>
            </w:pPr>
            <w:r w:rsidRPr="00AD576E">
              <w:rPr>
                <w:sz w:val="22"/>
                <w:szCs w:val="22"/>
              </w:rPr>
              <w:t xml:space="preserve">Indeks rizika </w:t>
            </w:r>
          </w:p>
          <w:p w14:paraId="4042F530" w14:textId="77777777" w:rsidR="00F223ED" w:rsidRPr="00AD576E" w:rsidRDefault="00F223ED" w:rsidP="002C66FC">
            <w:pPr>
              <w:autoSpaceDE w:val="0"/>
              <w:autoSpaceDN w:val="0"/>
              <w:adjustRightInd w:val="0"/>
              <w:rPr>
                <w:sz w:val="22"/>
                <w:szCs w:val="22"/>
              </w:rPr>
            </w:pPr>
            <w:r w:rsidRPr="00AD576E">
              <w:rPr>
                <w:sz w:val="22"/>
                <w:szCs w:val="22"/>
              </w:rPr>
              <w:t xml:space="preserve">95% CI </w:t>
            </w:r>
          </w:p>
          <w:p w14:paraId="63C500D0" w14:textId="77777777" w:rsidR="00F223ED" w:rsidRPr="00AD576E" w:rsidRDefault="00F223ED" w:rsidP="002C66FC">
            <w:pPr>
              <w:autoSpaceDE w:val="0"/>
              <w:autoSpaceDN w:val="0"/>
              <w:adjustRightInd w:val="0"/>
              <w:rPr>
                <w:sz w:val="22"/>
                <w:szCs w:val="22"/>
              </w:rPr>
            </w:pPr>
            <w:r w:rsidRPr="00AD576E">
              <w:rPr>
                <w:sz w:val="22"/>
                <w:szCs w:val="22"/>
              </w:rPr>
              <w:t xml:space="preserve">p- vrijednost†* </w:t>
            </w:r>
          </w:p>
        </w:tc>
        <w:tc>
          <w:tcPr>
            <w:tcW w:w="1692" w:type="dxa"/>
          </w:tcPr>
          <w:p w14:paraId="17BD0541" w14:textId="77777777" w:rsidR="00F223ED" w:rsidRPr="00AD576E" w:rsidRDefault="00F223ED" w:rsidP="002C66FC">
            <w:pPr>
              <w:pStyle w:val="Header"/>
              <w:tabs>
                <w:tab w:val="left" w:pos="284"/>
              </w:tabs>
              <w:jc w:val="center"/>
              <w:rPr>
                <w:sz w:val="22"/>
                <w:szCs w:val="22"/>
              </w:rPr>
            </w:pPr>
            <w:r w:rsidRPr="00AD576E">
              <w:rPr>
                <w:sz w:val="22"/>
                <w:szCs w:val="22"/>
              </w:rPr>
              <w:t>335</w:t>
            </w:r>
          </w:p>
          <w:p w14:paraId="497F5259" w14:textId="77777777" w:rsidR="00F223ED" w:rsidRPr="00AD576E" w:rsidRDefault="00F223ED" w:rsidP="002C66FC">
            <w:pPr>
              <w:pStyle w:val="Header"/>
              <w:tabs>
                <w:tab w:val="left" w:pos="284"/>
              </w:tabs>
              <w:jc w:val="center"/>
              <w:rPr>
                <w:sz w:val="22"/>
                <w:szCs w:val="22"/>
              </w:rPr>
            </w:pPr>
            <w:r w:rsidRPr="00AD576E">
              <w:rPr>
                <w:sz w:val="22"/>
                <w:szCs w:val="22"/>
              </w:rPr>
              <w:t>18,9</w:t>
            </w:r>
          </w:p>
          <w:p w14:paraId="348701F7" w14:textId="77777777" w:rsidR="00F223ED" w:rsidRPr="00AD576E" w:rsidRDefault="00F223ED" w:rsidP="002C66FC">
            <w:pPr>
              <w:pStyle w:val="Header"/>
              <w:tabs>
                <w:tab w:val="left" w:pos="284"/>
              </w:tabs>
              <w:jc w:val="center"/>
              <w:rPr>
                <w:sz w:val="22"/>
                <w:szCs w:val="22"/>
              </w:rPr>
            </w:pPr>
            <w:r w:rsidRPr="00AD576E">
              <w:rPr>
                <w:sz w:val="22"/>
                <w:szCs w:val="22"/>
              </w:rPr>
              <w:t>(17,0-21,2)</w:t>
            </w:r>
          </w:p>
          <w:p w14:paraId="3A632E35" w14:textId="77777777" w:rsidR="00F223ED" w:rsidRPr="00AD576E" w:rsidRDefault="00F223ED" w:rsidP="002C66FC">
            <w:pPr>
              <w:pStyle w:val="Header"/>
              <w:tabs>
                <w:tab w:val="left" w:pos="284"/>
              </w:tabs>
              <w:jc w:val="center"/>
              <w:rPr>
                <w:sz w:val="22"/>
                <w:szCs w:val="22"/>
              </w:rPr>
            </w:pPr>
            <w:r w:rsidRPr="00AD576E">
              <w:rPr>
                <w:sz w:val="22"/>
                <w:szCs w:val="22"/>
              </w:rPr>
              <w:t>0,761</w:t>
            </w:r>
          </w:p>
          <w:p w14:paraId="09F07A0E" w14:textId="77777777" w:rsidR="00F223ED" w:rsidRPr="00AD576E" w:rsidRDefault="00F223ED" w:rsidP="002C66FC">
            <w:pPr>
              <w:pStyle w:val="Header"/>
              <w:tabs>
                <w:tab w:val="left" w:pos="284"/>
              </w:tabs>
              <w:jc w:val="center"/>
              <w:rPr>
                <w:sz w:val="22"/>
                <w:szCs w:val="22"/>
              </w:rPr>
            </w:pPr>
            <w:r w:rsidRPr="00AD576E">
              <w:rPr>
                <w:sz w:val="22"/>
                <w:szCs w:val="22"/>
              </w:rPr>
              <w:t>(0,619-0,936)</w:t>
            </w:r>
          </w:p>
          <w:p w14:paraId="6987138C" w14:textId="77777777" w:rsidR="00F223ED" w:rsidRPr="00AD576E" w:rsidRDefault="00F223ED" w:rsidP="002C66FC">
            <w:pPr>
              <w:pStyle w:val="Header"/>
              <w:tabs>
                <w:tab w:val="left" w:pos="284"/>
              </w:tabs>
              <w:jc w:val="center"/>
              <w:rPr>
                <w:sz w:val="22"/>
                <w:szCs w:val="22"/>
              </w:rPr>
            </w:pPr>
            <w:r w:rsidRPr="00AD576E">
              <w:rPr>
                <w:sz w:val="22"/>
                <w:szCs w:val="22"/>
              </w:rPr>
              <w:t>0,0094</w:t>
            </w:r>
          </w:p>
        </w:tc>
        <w:tc>
          <w:tcPr>
            <w:tcW w:w="2445" w:type="dxa"/>
          </w:tcPr>
          <w:p w14:paraId="7E05BEFE" w14:textId="77777777" w:rsidR="00F223ED" w:rsidRPr="00AD576E" w:rsidRDefault="00F223ED" w:rsidP="002C66FC">
            <w:pPr>
              <w:pStyle w:val="Header"/>
              <w:tabs>
                <w:tab w:val="left" w:pos="284"/>
              </w:tabs>
              <w:jc w:val="center"/>
              <w:rPr>
                <w:sz w:val="22"/>
                <w:szCs w:val="22"/>
              </w:rPr>
            </w:pPr>
            <w:r w:rsidRPr="00AD576E">
              <w:rPr>
                <w:sz w:val="22"/>
                <w:szCs w:val="22"/>
              </w:rPr>
              <w:t>334</w:t>
            </w:r>
          </w:p>
          <w:p w14:paraId="3D7D0E02" w14:textId="77777777" w:rsidR="00F223ED" w:rsidRPr="00AD576E" w:rsidRDefault="00F223ED" w:rsidP="002C66FC">
            <w:pPr>
              <w:pStyle w:val="Header"/>
              <w:tabs>
                <w:tab w:val="left" w:pos="284"/>
              </w:tabs>
              <w:jc w:val="center"/>
              <w:rPr>
                <w:sz w:val="22"/>
                <w:szCs w:val="22"/>
              </w:rPr>
            </w:pPr>
            <w:r w:rsidRPr="00AD576E">
              <w:rPr>
                <w:sz w:val="22"/>
                <w:szCs w:val="22"/>
              </w:rPr>
              <w:t>17,4</w:t>
            </w:r>
          </w:p>
          <w:p w14:paraId="018F46C3" w14:textId="77777777" w:rsidR="00F223ED" w:rsidRPr="00AD576E" w:rsidRDefault="00F223ED" w:rsidP="002C66FC">
            <w:pPr>
              <w:pStyle w:val="Header"/>
              <w:tabs>
                <w:tab w:val="left" w:pos="284"/>
              </w:tabs>
              <w:jc w:val="center"/>
              <w:rPr>
                <w:sz w:val="22"/>
                <w:szCs w:val="22"/>
              </w:rPr>
            </w:pPr>
            <w:r w:rsidRPr="00AD576E">
              <w:rPr>
                <w:sz w:val="22"/>
                <w:szCs w:val="22"/>
              </w:rPr>
              <w:t>(15,7-19,0)</w:t>
            </w:r>
          </w:p>
          <w:p w14:paraId="709A46C2" w14:textId="77777777" w:rsidR="00F223ED" w:rsidRPr="00AD576E" w:rsidRDefault="00F223ED" w:rsidP="002C66FC">
            <w:pPr>
              <w:pStyle w:val="Header"/>
              <w:tabs>
                <w:tab w:val="left" w:pos="284"/>
              </w:tabs>
              <w:jc w:val="center"/>
              <w:rPr>
                <w:sz w:val="22"/>
                <w:szCs w:val="22"/>
              </w:rPr>
            </w:pPr>
            <w:r w:rsidRPr="00AD576E">
              <w:rPr>
                <w:sz w:val="22"/>
                <w:szCs w:val="22"/>
              </w:rPr>
              <w:t>0,912</w:t>
            </w:r>
          </w:p>
          <w:p w14:paraId="699968DA" w14:textId="77777777" w:rsidR="00F223ED" w:rsidRPr="00AD576E" w:rsidRDefault="00F223ED" w:rsidP="002C66FC">
            <w:pPr>
              <w:pStyle w:val="Header"/>
              <w:tabs>
                <w:tab w:val="left" w:pos="284"/>
              </w:tabs>
              <w:jc w:val="center"/>
              <w:rPr>
                <w:sz w:val="22"/>
                <w:szCs w:val="22"/>
              </w:rPr>
            </w:pPr>
            <w:r w:rsidRPr="00AD576E">
              <w:rPr>
                <w:sz w:val="22"/>
                <w:szCs w:val="22"/>
              </w:rPr>
              <w:t>(0,747-1,113)</w:t>
            </w:r>
          </w:p>
          <w:p w14:paraId="3D58599F" w14:textId="77777777" w:rsidR="00F223ED" w:rsidRPr="00AD576E" w:rsidRDefault="00F223ED" w:rsidP="002C66FC">
            <w:pPr>
              <w:pStyle w:val="Header"/>
              <w:tabs>
                <w:tab w:val="left" w:pos="284"/>
              </w:tabs>
              <w:jc w:val="center"/>
              <w:rPr>
                <w:sz w:val="22"/>
                <w:szCs w:val="22"/>
              </w:rPr>
            </w:pPr>
            <w:r w:rsidRPr="00AD576E">
              <w:rPr>
                <w:sz w:val="22"/>
                <w:szCs w:val="22"/>
              </w:rPr>
              <w:t>0,3624</w:t>
            </w:r>
          </w:p>
        </w:tc>
        <w:tc>
          <w:tcPr>
            <w:tcW w:w="2446" w:type="dxa"/>
          </w:tcPr>
          <w:p w14:paraId="01730E38" w14:textId="77777777" w:rsidR="00F223ED" w:rsidRPr="00AD576E" w:rsidRDefault="00F223ED" w:rsidP="002C66FC">
            <w:pPr>
              <w:pStyle w:val="Header"/>
              <w:tabs>
                <w:tab w:val="left" w:pos="284"/>
              </w:tabs>
              <w:jc w:val="center"/>
              <w:rPr>
                <w:sz w:val="22"/>
                <w:szCs w:val="22"/>
              </w:rPr>
            </w:pPr>
            <w:r w:rsidRPr="00AD576E">
              <w:rPr>
                <w:sz w:val="22"/>
                <w:szCs w:val="22"/>
              </w:rPr>
              <w:t>337</w:t>
            </w:r>
          </w:p>
          <w:p w14:paraId="35F52B93" w14:textId="77777777" w:rsidR="00F223ED" w:rsidRPr="00AD576E" w:rsidRDefault="00F223ED" w:rsidP="002C66FC">
            <w:pPr>
              <w:pStyle w:val="Header"/>
              <w:tabs>
                <w:tab w:val="left" w:pos="284"/>
              </w:tabs>
              <w:jc w:val="center"/>
              <w:rPr>
                <w:sz w:val="22"/>
                <w:szCs w:val="22"/>
              </w:rPr>
            </w:pPr>
            <w:r w:rsidRPr="00AD576E">
              <w:rPr>
                <w:sz w:val="22"/>
                <w:szCs w:val="22"/>
              </w:rPr>
              <w:t>16,5</w:t>
            </w:r>
          </w:p>
          <w:p w14:paraId="199566D8" w14:textId="77777777" w:rsidR="00F223ED" w:rsidRPr="00AD576E" w:rsidRDefault="00F223ED" w:rsidP="002C66FC">
            <w:pPr>
              <w:pStyle w:val="Header"/>
              <w:tabs>
                <w:tab w:val="left" w:pos="284"/>
              </w:tabs>
              <w:jc w:val="center"/>
              <w:rPr>
                <w:sz w:val="22"/>
                <w:szCs w:val="22"/>
              </w:rPr>
            </w:pPr>
            <w:r w:rsidRPr="00AD576E">
              <w:rPr>
                <w:sz w:val="22"/>
                <w:szCs w:val="22"/>
              </w:rPr>
              <w:t>(14,4-18,6)</w:t>
            </w:r>
          </w:p>
          <w:p w14:paraId="13973381" w14:textId="77777777" w:rsidR="00F223ED" w:rsidRPr="00AD576E" w:rsidRDefault="00F223ED" w:rsidP="002C66FC">
            <w:pPr>
              <w:pStyle w:val="Header"/>
              <w:tabs>
                <w:tab w:val="left" w:pos="284"/>
              </w:tabs>
              <w:jc w:val="center"/>
              <w:rPr>
                <w:sz w:val="22"/>
                <w:szCs w:val="22"/>
              </w:rPr>
            </w:pPr>
            <w:r w:rsidRPr="00AD576E">
              <w:rPr>
                <w:sz w:val="22"/>
                <w:szCs w:val="22"/>
              </w:rPr>
              <w:t>- -</w:t>
            </w:r>
          </w:p>
          <w:p w14:paraId="2A9F96D5" w14:textId="77777777" w:rsidR="00F223ED" w:rsidRPr="00AD576E" w:rsidRDefault="00F223ED" w:rsidP="002C66FC">
            <w:pPr>
              <w:pStyle w:val="Header"/>
              <w:tabs>
                <w:tab w:val="left" w:pos="284"/>
              </w:tabs>
              <w:jc w:val="center"/>
              <w:rPr>
                <w:sz w:val="22"/>
                <w:szCs w:val="22"/>
              </w:rPr>
            </w:pPr>
            <w:r w:rsidRPr="00AD576E">
              <w:rPr>
                <w:sz w:val="22"/>
                <w:szCs w:val="22"/>
              </w:rPr>
              <w:t>- -</w:t>
            </w:r>
          </w:p>
          <w:p w14:paraId="476A4158" w14:textId="77777777" w:rsidR="00F223ED" w:rsidRPr="00AD576E" w:rsidRDefault="00F223ED" w:rsidP="002C66FC">
            <w:pPr>
              <w:pStyle w:val="Header"/>
              <w:tabs>
                <w:tab w:val="left" w:pos="284"/>
              </w:tabs>
              <w:jc w:val="center"/>
              <w:rPr>
                <w:sz w:val="22"/>
                <w:szCs w:val="22"/>
              </w:rPr>
            </w:pPr>
            <w:r w:rsidRPr="00AD576E">
              <w:rPr>
                <w:sz w:val="22"/>
                <w:szCs w:val="22"/>
              </w:rPr>
              <w:t>- -</w:t>
            </w:r>
          </w:p>
        </w:tc>
      </w:tr>
      <w:tr w:rsidR="00F223ED" w:rsidRPr="00B02007" w14:paraId="69F89048" w14:textId="77777777" w:rsidTr="002C66FC">
        <w:trPr>
          <w:trHeight w:val="1014"/>
        </w:trPr>
        <w:tc>
          <w:tcPr>
            <w:tcW w:w="3199" w:type="dxa"/>
          </w:tcPr>
          <w:p w14:paraId="55CB5493" w14:textId="77777777" w:rsidR="00F223ED" w:rsidRPr="00AD576E" w:rsidRDefault="00F223ED" w:rsidP="002C66FC">
            <w:pPr>
              <w:autoSpaceDE w:val="0"/>
              <w:autoSpaceDN w:val="0"/>
              <w:adjustRightInd w:val="0"/>
              <w:rPr>
                <w:sz w:val="22"/>
                <w:szCs w:val="22"/>
              </w:rPr>
            </w:pPr>
            <w:r w:rsidRPr="00AD576E">
              <w:rPr>
                <w:sz w:val="22"/>
                <w:szCs w:val="22"/>
              </w:rPr>
              <w:t xml:space="preserve">Broj pacijenata   </w:t>
            </w:r>
          </w:p>
          <w:p w14:paraId="7478769F" w14:textId="77777777" w:rsidR="00F223ED" w:rsidRPr="00AD576E" w:rsidRDefault="00F223ED" w:rsidP="002C66FC">
            <w:pPr>
              <w:autoSpaceDE w:val="0"/>
              <w:autoSpaceDN w:val="0"/>
              <w:adjustRightInd w:val="0"/>
              <w:rPr>
                <w:sz w:val="22"/>
                <w:szCs w:val="22"/>
              </w:rPr>
            </w:pPr>
            <w:r w:rsidRPr="00AD576E">
              <w:rPr>
                <w:sz w:val="22"/>
                <w:szCs w:val="22"/>
              </w:rPr>
              <w:t>Stopa odgovora PSA** (%)</w:t>
            </w:r>
          </w:p>
          <w:p w14:paraId="4C6BAF31" w14:textId="77777777" w:rsidR="00F223ED" w:rsidRPr="00AD576E" w:rsidRDefault="00F223ED" w:rsidP="002C66FC">
            <w:pPr>
              <w:autoSpaceDE w:val="0"/>
              <w:autoSpaceDN w:val="0"/>
              <w:adjustRightInd w:val="0"/>
              <w:rPr>
                <w:sz w:val="22"/>
                <w:szCs w:val="22"/>
              </w:rPr>
            </w:pPr>
            <w:r w:rsidRPr="00AD576E">
              <w:rPr>
                <w:sz w:val="22"/>
                <w:szCs w:val="22"/>
              </w:rPr>
              <w:t xml:space="preserve">95% CI  </w:t>
            </w:r>
          </w:p>
          <w:p w14:paraId="5A2CC756" w14:textId="77777777" w:rsidR="00F223ED" w:rsidRPr="00AD576E" w:rsidRDefault="00F223ED" w:rsidP="002C66FC">
            <w:pPr>
              <w:autoSpaceDE w:val="0"/>
              <w:autoSpaceDN w:val="0"/>
              <w:adjustRightInd w:val="0"/>
              <w:rPr>
                <w:sz w:val="22"/>
                <w:szCs w:val="22"/>
              </w:rPr>
            </w:pPr>
            <w:r w:rsidRPr="00AD576E">
              <w:rPr>
                <w:sz w:val="22"/>
                <w:szCs w:val="22"/>
              </w:rPr>
              <w:t xml:space="preserve">p-vrijednost*  </w:t>
            </w:r>
          </w:p>
        </w:tc>
        <w:tc>
          <w:tcPr>
            <w:tcW w:w="1692" w:type="dxa"/>
          </w:tcPr>
          <w:p w14:paraId="02E81499" w14:textId="77777777" w:rsidR="00F223ED" w:rsidRPr="00AD576E" w:rsidRDefault="00F223ED" w:rsidP="002C66FC">
            <w:pPr>
              <w:pStyle w:val="Header"/>
              <w:tabs>
                <w:tab w:val="left" w:pos="284"/>
              </w:tabs>
              <w:jc w:val="center"/>
              <w:rPr>
                <w:sz w:val="22"/>
                <w:szCs w:val="22"/>
              </w:rPr>
            </w:pPr>
            <w:r w:rsidRPr="00AD576E">
              <w:rPr>
                <w:sz w:val="22"/>
                <w:szCs w:val="22"/>
              </w:rPr>
              <w:t>291</w:t>
            </w:r>
          </w:p>
          <w:p w14:paraId="1C6AE9B5" w14:textId="77777777" w:rsidR="00F223ED" w:rsidRPr="00AD576E" w:rsidRDefault="00F223ED" w:rsidP="002C66FC">
            <w:pPr>
              <w:pStyle w:val="Header"/>
              <w:tabs>
                <w:tab w:val="left" w:pos="284"/>
              </w:tabs>
              <w:jc w:val="center"/>
              <w:rPr>
                <w:sz w:val="22"/>
                <w:szCs w:val="22"/>
              </w:rPr>
            </w:pPr>
            <w:r w:rsidRPr="00AD576E">
              <w:rPr>
                <w:sz w:val="22"/>
                <w:szCs w:val="22"/>
              </w:rPr>
              <w:t>45,4</w:t>
            </w:r>
          </w:p>
          <w:p w14:paraId="4C947A1B" w14:textId="77777777" w:rsidR="00F223ED" w:rsidRPr="00AD576E" w:rsidRDefault="00F223ED" w:rsidP="002C66FC">
            <w:pPr>
              <w:pStyle w:val="Header"/>
              <w:tabs>
                <w:tab w:val="left" w:pos="284"/>
              </w:tabs>
              <w:jc w:val="center"/>
              <w:rPr>
                <w:sz w:val="22"/>
                <w:szCs w:val="22"/>
              </w:rPr>
            </w:pPr>
            <w:r w:rsidRPr="00AD576E">
              <w:rPr>
                <w:sz w:val="22"/>
                <w:szCs w:val="22"/>
              </w:rPr>
              <w:t>(39,5-51,3)</w:t>
            </w:r>
          </w:p>
          <w:p w14:paraId="771D34DF" w14:textId="77777777" w:rsidR="00F223ED" w:rsidRPr="00AD576E" w:rsidRDefault="00F223ED" w:rsidP="002C66FC">
            <w:pPr>
              <w:pStyle w:val="Header"/>
              <w:tabs>
                <w:tab w:val="left" w:pos="284"/>
              </w:tabs>
              <w:jc w:val="center"/>
              <w:rPr>
                <w:sz w:val="22"/>
                <w:szCs w:val="22"/>
              </w:rPr>
            </w:pPr>
            <w:r w:rsidRPr="00AD576E">
              <w:rPr>
                <w:sz w:val="22"/>
                <w:szCs w:val="22"/>
              </w:rPr>
              <w:t>0,0005</w:t>
            </w:r>
          </w:p>
        </w:tc>
        <w:tc>
          <w:tcPr>
            <w:tcW w:w="2445" w:type="dxa"/>
          </w:tcPr>
          <w:p w14:paraId="368251C3" w14:textId="77777777" w:rsidR="00F223ED" w:rsidRPr="00AD576E" w:rsidRDefault="00F223ED" w:rsidP="002C66FC">
            <w:pPr>
              <w:pStyle w:val="Header"/>
              <w:tabs>
                <w:tab w:val="left" w:pos="284"/>
              </w:tabs>
              <w:jc w:val="center"/>
              <w:rPr>
                <w:sz w:val="22"/>
                <w:szCs w:val="22"/>
              </w:rPr>
            </w:pPr>
            <w:r w:rsidRPr="00AD576E">
              <w:rPr>
                <w:sz w:val="22"/>
                <w:szCs w:val="22"/>
              </w:rPr>
              <w:t>282</w:t>
            </w:r>
          </w:p>
          <w:p w14:paraId="40877E55" w14:textId="77777777" w:rsidR="00F223ED" w:rsidRPr="00AD576E" w:rsidRDefault="00F223ED" w:rsidP="002C66FC">
            <w:pPr>
              <w:pStyle w:val="Header"/>
              <w:tabs>
                <w:tab w:val="left" w:pos="284"/>
              </w:tabs>
              <w:jc w:val="center"/>
              <w:rPr>
                <w:sz w:val="22"/>
                <w:szCs w:val="22"/>
              </w:rPr>
            </w:pPr>
            <w:r w:rsidRPr="00AD576E">
              <w:rPr>
                <w:sz w:val="22"/>
                <w:szCs w:val="22"/>
              </w:rPr>
              <w:t>47,9</w:t>
            </w:r>
          </w:p>
          <w:p w14:paraId="29064A36" w14:textId="77777777" w:rsidR="00F223ED" w:rsidRPr="00AD576E" w:rsidRDefault="00F223ED" w:rsidP="002C66FC">
            <w:pPr>
              <w:pStyle w:val="Header"/>
              <w:tabs>
                <w:tab w:val="left" w:pos="284"/>
              </w:tabs>
              <w:jc w:val="center"/>
              <w:rPr>
                <w:sz w:val="22"/>
                <w:szCs w:val="22"/>
              </w:rPr>
            </w:pPr>
            <w:r w:rsidRPr="00AD576E">
              <w:rPr>
                <w:sz w:val="22"/>
                <w:szCs w:val="22"/>
              </w:rPr>
              <w:t>(41,9-53,9)</w:t>
            </w:r>
          </w:p>
          <w:p w14:paraId="7159D075" w14:textId="77777777" w:rsidR="00F223ED" w:rsidRPr="00AD576E" w:rsidRDefault="00F223ED" w:rsidP="002C66FC">
            <w:pPr>
              <w:pStyle w:val="Header"/>
              <w:tabs>
                <w:tab w:val="left" w:pos="284"/>
              </w:tabs>
              <w:jc w:val="center"/>
              <w:rPr>
                <w:sz w:val="22"/>
                <w:szCs w:val="22"/>
              </w:rPr>
            </w:pPr>
            <w:r w:rsidRPr="00AD576E">
              <w:rPr>
                <w:sz w:val="22"/>
                <w:szCs w:val="22"/>
              </w:rPr>
              <w:t>&lt;0,0001</w:t>
            </w:r>
          </w:p>
        </w:tc>
        <w:tc>
          <w:tcPr>
            <w:tcW w:w="2446" w:type="dxa"/>
          </w:tcPr>
          <w:p w14:paraId="1D9F065A" w14:textId="77777777" w:rsidR="00F223ED" w:rsidRPr="00AD576E" w:rsidRDefault="00F223ED" w:rsidP="002C66FC">
            <w:pPr>
              <w:pStyle w:val="Header"/>
              <w:tabs>
                <w:tab w:val="left" w:pos="284"/>
              </w:tabs>
              <w:jc w:val="center"/>
              <w:rPr>
                <w:sz w:val="22"/>
                <w:szCs w:val="22"/>
              </w:rPr>
            </w:pPr>
            <w:r w:rsidRPr="00AD576E">
              <w:rPr>
                <w:sz w:val="22"/>
                <w:szCs w:val="22"/>
              </w:rPr>
              <w:t>300</w:t>
            </w:r>
          </w:p>
          <w:p w14:paraId="78C36942" w14:textId="77777777" w:rsidR="00F223ED" w:rsidRPr="00AD576E" w:rsidRDefault="00F223ED" w:rsidP="002C66FC">
            <w:pPr>
              <w:pStyle w:val="Header"/>
              <w:tabs>
                <w:tab w:val="left" w:pos="284"/>
              </w:tabs>
              <w:jc w:val="center"/>
              <w:rPr>
                <w:sz w:val="22"/>
                <w:szCs w:val="22"/>
              </w:rPr>
            </w:pPr>
            <w:r w:rsidRPr="00AD576E">
              <w:rPr>
                <w:sz w:val="22"/>
                <w:szCs w:val="22"/>
              </w:rPr>
              <w:t>31,7</w:t>
            </w:r>
          </w:p>
          <w:p w14:paraId="7BA9FC83" w14:textId="77777777" w:rsidR="00F223ED" w:rsidRPr="00AD576E" w:rsidRDefault="00F223ED" w:rsidP="002C66FC">
            <w:pPr>
              <w:pStyle w:val="Header"/>
              <w:tabs>
                <w:tab w:val="left" w:pos="284"/>
              </w:tabs>
              <w:jc w:val="center"/>
              <w:rPr>
                <w:sz w:val="22"/>
                <w:szCs w:val="22"/>
              </w:rPr>
            </w:pPr>
            <w:r w:rsidRPr="00AD576E">
              <w:rPr>
                <w:sz w:val="22"/>
                <w:szCs w:val="22"/>
              </w:rPr>
              <w:t>(26,4-37,3)</w:t>
            </w:r>
          </w:p>
          <w:p w14:paraId="43493164" w14:textId="77777777" w:rsidR="00F223ED" w:rsidRPr="00AD576E" w:rsidRDefault="00F223ED" w:rsidP="002C66FC">
            <w:pPr>
              <w:pStyle w:val="Header"/>
              <w:tabs>
                <w:tab w:val="left" w:pos="284"/>
              </w:tabs>
              <w:jc w:val="center"/>
              <w:rPr>
                <w:sz w:val="22"/>
                <w:szCs w:val="22"/>
              </w:rPr>
            </w:pPr>
            <w:r w:rsidRPr="00AD576E">
              <w:rPr>
                <w:sz w:val="22"/>
                <w:szCs w:val="22"/>
              </w:rPr>
              <w:t>- -</w:t>
            </w:r>
          </w:p>
        </w:tc>
      </w:tr>
      <w:tr w:rsidR="00F223ED" w:rsidRPr="00B02007" w14:paraId="2F55C90E" w14:textId="77777777" w:rsidTr="002C66FC">
        <w:trPr>
          <w:trHeight w:val="1026"/>
        </w:trPr>
        <w:tc>
          <w:tcPr>
            <w:tcW w:w="3199" w:type="dxa"/>
          </w:tcPr>
          <w:p w14:paraId="7FC41AE1" w14:textId="77777777" w:rsidR="00F223ED" w:rsidRPr="00AD576E" w:rsidRDefault="00F223ED" w:rsidP="002C66FC">
            <w:pPr>
              <w:autoSpaceDE w:val="0"/>
              <w:autoSpaceDN w:val="0"/>
              <w:adjustRightInd w:val="0"/>
              <w:rPr>
                <w:sz w:val="22"/>
                <w:szCs w:val="22"/>
              </w:rPr>
            </w:pPr>
            <w:r w:rsidRPr="00AD576E">
              <w:rPr>
                <w:sz w:val="22"/>
                <w:szCs w:val="22"/>
              </w:rPr>
              <w:t xml:space="preserve">Broj pacijenata   </w:t>
            </w:r>
          </w:p>
          <w:p w14:paraId="21482C31" w14:textId="77777777" w:rsidR="00F223ED" w:rsidRPr="00AD576E" w:rsidRDefault="00F223ED" w:rsidP="002C66FC">
            <w:pPr>
              <w:autoSpaceDE w:val="0"/>
              <w:autoSpaceDN w:val="0"/>
              <w:adjustRightInd w:val="0"/>
              <w:rPr>
                <w:sz w:val="22"/>
                <w:szCs w:val="22"/>
              </w:rPr>
            </w:pPr>
            <w:r w:rsidRPr="00AD576E">
              <w:rPr>
                <w:sz w:val="22"/>
                <w:szCs w:val="22"/>
              </w:rPr>
              <w:t>Stopa odgovora na bol (%)</w:t>
            </w:r>
          </w:p>
          <w:p w14:paraId="68D4106A" w14:textId="77777777" w:rsidR="00F223ED" w:rsidRPr="00AD576E" w:rsidRDefault="00F223ED" w:rsidP="002C66FC">
            <w:pPr>
              <w:autoSpaceDE w:val="0"/>
              <w:autoSpaceDN w:val="0"/>
              <w:adjustRightInd w:val="0"/>
              <w:rPr>
                <w:sz w:val="22"/>
                <w:szCs w:val="22"/>
              </w:rPr>
            </w:pPr>
            <w:r w:rsidRPr="00AD576E">
              <w:rPr>
                <w:sz w:val="22"/>
                <w:szCs w:val="22"/>
              </w:rPr>
              <w:t xml:space="preserve">95%CI </w:t>
            </w:r>
          </w:p>
          <w:p w14:paraId="2A86B0B0" w14:textId="77777777" w:rsidR="00F223ED" w:rsidRPr="00AD576E" w:rsidRDefault="00F223ED" w:rsidP="002C66FC">
            <w:pPr>
              <w:autoSpaceDE w:val="0"/>
              <w:autoSpaceDN w:val="0"/>
              <w:adjustRightInd w:val="0"/>
              <w:rPr>
                <w:sz w:val="22"/>
                <w:szCs w:val="22"/>
              </w:rPr>
            </w:pPr>
            <w:r w:rsidRPr="00AD576E">
              <w:rPr>
                <w:sz w:val="22"/>
                <w:szCs w:val="22"/>
              </w:rPr>
              <w:t>p-vrijednost*</w:t>
            </w:r>
          </w:p>
        </w:tc>
        <w:tc>
          <w:tcPr>
            <w:tcW w:w="1692" w:type="dxa"/>
          </w:tcPr>
          <w:p w14:paraId="0C352549" w14:textId="77777777" w:rsidR="00F223ED" w:rsidRPr="00AD576E" w:rsidRDefault="00F223ED" w:rsidP="002C66FC">
            <w:pPr>
              <w:pStyle w:val="Header"/>
              <w:tabs>
                <w:tab w:val="left" w:pos="284"/>
              </w:tabs>
              <w:jc w:val="center"/>
              <w:rPr>
                <w:sz w:val="22"/>
                <w:szCs w:val="22"/>
              </w:rPr>
            </w:pPr>
            <w:r w:rsidRPr="00AD576E">
              <w:rPr>
                <w:sz w:val="22"/>
                <w:szCs w:val="22"/>
              </w:rPr>
              <w:t>153</w:t>
            </w:r>
          </w:p>
          <w:p w14:paraId="6DE410B9" w14:textId="77777777" w:rsidR="00F223ED" w:rsidRPr="00AD576E" w:rsidRDefault="00F223ED" w:rsidP="002C66FC">
            <w:pPr>
              <w:pStyle w:val="Header"/>
              <w:tabs>
                <w:tab w:val="left" w:pos="284"/>
              </w:tabs>
              <w:jc w:val="center"/>
              <w:rPr>
                <w:sz w:val="22"/>
                <w:szCs w:val="22"/>
              </w:rPr>
            </w:pPr>
            <w:r w:rsidRPr="00AD576E">
              <w:rPr>
                <w:sz w:val="22"/>
                <w:szCs w:val="22"/>
              </w:rPr>
              <w:t>34,6</w:t>
            </w:r>
          </w:p>
          <w:p w14:paraId="616273AE" w14:textId="77777777" w:rsidR="00F223ED" w:rsidRPr="00AD576E" w:rsidRDefault="00F223ED" w:rsidP="002C66FC">
            <w:pPr>
              <w:pStyle w:val="Header"/>
              <w:tabs>
                <w:tab w:val="left" w:pos="284"/>
              </w:tabs>
              <w:jc w:val="center"/>
              <w:rPr>
                <w:sz w:val="22"/>
                <w:szCs w:val="22"/>
              </w:rPr>
            </w:pPr>
            <w:r w:rsidRPr="00AD576E">
              <w:rPr>
                <w:sz w:val="22"/>
                <w:szCs w:val="22"/>
              </w:rPr>
              <w:t>(27,1-42,7)</w:t>
            </w:r>
          </w:p>
          <w:p w14:paraId="18FCB866" w14:textId="77777777" w:rsidR="00F223ED" w:rsidRPr="00AD576E" w:rsidRDefault="00F223ED" w:rsidP="002C66FC">
            <w:pPr>
              <w:pStyle w:val="Header"/>
              <w:tabs>
                <w:tab w:val="left" w:pos="284"/>
              </w:tabs>
              <w:jc w:val="center"/>
              <w:rPr>
                <w:sz w:val="22"/>
                <w:szCs w:val="22"/>
              </w:rPr>
            </w:pPr>
            <w:r w:rsidRPr="00AD576E">
              <w:rPr>
                <w:sz w:val="22"/>
                <w:szCs w:val="22"/>
              </w:rPr>
              <w:t>0,0107</w:t>
            </w:r>
          </w:p>
        </w:tc>
        <w:tc>
          <w:tcPr>
            <w:tcW w:w="2445" w:type="dxa"/>
          </w:tcPr>
          <w:p w14:paraId="323AE0E5" w14:textId="77777777" w:rsidR="00F223ED" w:rsidRPr="00AD576E" w:rsidRDefault="00F223ED" w:rsidP="002C66FC">
            <w:pPr>
              <w:pStyle w:val="Header"/>
              <w:tabs>
                <w:tab w:val="left" w:pos="284"/>
              </w:tabs>
              <w:jc w:val="center"/>
              <w:rPr>
                <w:sz w:val="22"/>
                <w:szCs w:val="22"/>
              </w:rPr>
            </w:pPr>
            <w:r w:rsidRPr="00AD576E">
              <w:rPr>
                <w:sz w:val="22"/>
                <w:szCs w:val="22"/>
              </w:rPr>
              <w:t>154</w:t>
            </w:r>
          </w:p>
          <w:p w14:paraId="17D281BE" w14:textId="77777777" w:rsidR="00F223ED" w:rsidRPr="00AD576E" w:rsidRDefault="00F223ED" w:rsidP="002C66FC">
            <w:pPr>
              <w:pStyle w:val="Header"/>
              <w:tabs>
                <w:tab w:val="left" w:pos="284"/>
              </w:tabs>
              <w:jc w:val="center"/>
              <w:rPr>
                <w:sz w:val="22"/>
                <w:szCs w:val="22"/>
              </w:rPr>
            </w:pPr>
            <w:r w:rsidRPr="00AD576E">
              <w:rPr>
                <w:sz w:val="22"/>
                <w:szCs w:val="22"/>
              </w:rPr>
              <w:t>31,2</w:t>
            </w:r>
          </w:p>
          <w:p w14:paraId="01C8139E" w14:textId="77777777" w:rsidR="00F223ED" w:rsidRPr="00AD576E" w:rsidRDefault="00F223ED" w:rsidP="002C66FC">
            <w:pPr>
              <w:pStyle w:val="Header"/>
              <w:tabs>
                <w:tab w:val="left" w:pos="284"/>
              </w:tabs>
              <w:jc w:val="center"/>
              <w:rPr>
                <w:sz w:val="22"/>
                <w:szCs w:val="22"/>
              </w:rPr>
            </w:pPr>
            <w:r w:rsidRPr="00AD576E">
              <w:rPr>
                <w:sz w:val="22"/>
                <w:szCs w:val="22"/>
              </w:rPr>
              <w:t>(24,0-39,1)</w:t>
            </w:r>
          </w:p>
          <w:p w14:paraId="73A553B6" w14:textId="77777777" w:rsidR="00F223ED" w:rsidRPr="00AD576E" w:rsidRDefault="00F223ED" w:rsidP="002C66FC">
            <w:pPr>
              <w:pStyle w:val="Header"/>
              <w:tabs>
                <w:tab w:val="left" w:pos="284"/>
              </w:tabs>
              <w:jc w:val="center"/>
              <w:rPr>
                <w:sz w:val="22"/>
                <w:szCs w:val="22"/>
              </w:rPr>
            </w:pPr>
            <w:r w:rsidRPr="00AD576E">
              <w:rPr>
                <w:sz w:val="22"/>
                <w:szCs w:val="22"/>
              </w:rPr>
              <w:t>0,0798</w:t>
            </w:r>
          </w:p>
        </w:tc>
        <w:tc>
          <w:tcPr>
            <w:tcW w:w="2446" w:type="dxa"/>
          </w:tcPr>
          <w:p w14:paraId="2889599E" w14:textId="77777777" w:rsidR="00F223ED" w:rsidRPr="00AD576E" w:rsidRDefault="00F223ED" w:rsidP="002C66FC">
            <w:pPr>
              <w:pStyle w:val="Header"/>
              <w:tabs>
                <w:tab w:val="left" w:pos="284"/>
              </w:tabs>
              <w:jc w:val="center"/>
              <w:rPr>
                <w:sz w:val="22"/>
                <w:szCs w:val="22"/>
              </w:rPr>
            </w:pPr>
            <w:r w:rsidRPr="00AD576E">
              <w:rPr>
                <w:sz w:val="22"/>
                <w:szCs w:val="22"/>
              </w:rPr>
              <w:t>157</w:t>
            </w:r>
          </w:p>
          <w:p w14:paraId="383FCD8D" w14:textId="77777777" w:rsidR="00F223ED" w:rsidRPr="00AD576E" w:rsidRDefault="00F223ED" w:rsidP="002C66FC">
            <w:pPr>
              <w:pStyle w:val="Header"/>
              <w:tabs>
                <w:tab w:val="left" w:pos="284"/>
              </w:tabs>
              <w:jc w:val="center"/>
              <w:rPr>
                <w:sz w:val="22"/>
                <w:szCs w:val="22"/>
              </w:rPr>
            </w:pPr>
            <w:r w:rsidRPr="00AD576E">
              <w:rPr>
                <w:sz w:val="22"/>
                <w:szCs w:val="22"/>
              </w:rPr>
              <w:t>21,7</w:t>
            </w:r>
          </w:p>
          <w:p w14:paraId="02BD7B2F" w14:textId="77777777" w:rsidR="00F223ED" w:rsidRPr="00AD576E" w:rsidRDefault="00F223ED" w:rsidP="002C66FC">
            <w:pPr>
              <w:pStyle w:val="Header"/>
              <w:tabs>
                <w:tab w:val="left" w:pos="284"/>
              </w:tabs>
              <w:jc w:val="center"/>
              <w:rPr>
                <w:sz w:val="22"/>
                <w:szCs w:val="22"/>
              </w:rPr>
            </w:pPr>
            <w:r w:rsidRPr="00AD576E">
              <w:rPr>
                <w:sz w:val="22"/>
                <w:szCs w:val="22"/>
              </w:rPr>
              <w:t>(15,5-28,9)</w:t>
            </w:r>
          </w:p>
          <w:p w14:paraId="3A2B6F33" w14:textId="77777777" w:rsidR="00F223ED" w:rsidRPr="00AD576E" w:rsidRDefault="00F223ED" w:rsidP="002C66FC">
            <w:pPr>
              <w:pStyle w:val="Header"/>
              <w:tabs>
                <w:tab w:val="left" w:pos="284"/>
              </w:tabs>
              <w:jc w:val="center"/>
              <w:rPr>
                <w:sz w:val="22"/>
                <w:szCs w:val="22"/>
              </w:rPr>
            </w:pPr>
            <w:r w:rsidRPr="00AD576E">
              <w:rPr>
                <w:sz w:val="22"/>
                <w:szCs w:val="22"/>
              </w:rPr>
              <w:t>- -</w:t>
            </w:r>
          </w:p>
        </w:tc>
      </w:tr>
      <w:tr w:rsidR="00F223ED" w:rsidRPr="00B02007" w14:paraId="0A96DC75" w14:textId="77777777" w:rsidTr="002C66FC">
        <w:trPr>
          <w:trHeight w:val="1026"/>
        </w:trPr>
        <w:tc>
          <w:tcPr>
            <w:tcW w:w="3199" w:type="dxa"/>
          </w:tcPr>
          <w:p w14:paraId="090EDA2F" w14:textId="77777777" w:rsidR="00F223ED" w:rsidRPr="00F223ED" w:rsidRDefault="00F223ED" w:rsidP="002C66FC">
            <w:pPr>
              <w:autoSpaceDE w:val="0"/>
              <w:autoSpaceDN w:val="0"/>
              <w:adjustRightInd w:val="0"/>
              <w:rPr>
                <w:sz w:val="22"/>
                <w:szCs w:val="22"/>
                <w:lang w:val="de-DE"/>
              </w:rPr>
            </w:pPr>
            <w:r w:rsidRPr="00F223ED">
              <w:rPr>
                <w:sz w:val="22"/>
                <w:szCs w:val="22"/>
                <w:lang w:val="de-DE"/>
              </w:rPr>
              <w:t xml:space="preserve">Broj pacijenata   </w:t>
            </w:r>
          </w:p>
          <w:p w14:paraId="19D4E41D" w14:textId="77777777" w:rsidR="00F223ED" w:rsidRPr="00F223ED" w:rsidRDefault="00F223ED" w:rsidP="002C66FC">
            <w:pPr>
              <w:autoSpaceDE w:val="0"/>
              <w:autoSpaceDN w:val="0"/>
              <w:adjustRightInd w:val="0"/>
              <w:rPr>
                <w:sz w:val="22"/>
                <w:szCs w:val="22"/>
                <w:lang w:val="de-DE"/>
              </w:rPr>
            </w:pPr>
            <w:r w:rsidRPr="00F223ED">
              <w:rPr>
                <w:sz w:val="22"/>
                <w:szCs w:val="22"/>
                <w:lang w:val="de-DE"/>
              </w:rPr>
              <w:t>Stopa tumorskog odgovora (%)</w:t>
            </w:r>
          </w:p>
          <w:p w14:paraId="173FF85E" w14:textId="77777777" w:rsidR="00F223ED" w:rsidRPr="00AD576E" w:rsidRDefault="00F223ED" w:rsidP="002C66FC">
            <w:pPr>
              <w:autoSpaceDE w:val="0"/>
              <w:autoSpaceDN w:val="0"/>
              <w:adjustRightInd w:val="0"/>
              <w:rPr>
                <w:sz w:val="22"/>
                <w:szCs w:val="22"/>
              </w:rPr>
            </w:pPr>
            <w:r w:rsidRPr="00AD576E">
              <w:rPr>
                <w:sz w:val="22"/>
                <w:szCs w:val="22"/>
              </w:rPr>
              <w:t xml:space="preserve">95% CI </w:t>
            </w:r>
          </w:p>
          <w:p w14:paraId="0C27DABC" w14:textId="77777777" w:rsidR="00F223ED" w:rsidRPr="00AD576E" w:rsidRDefault="00F223ED" w:rsidP="002C66FC">
            <w:pPr>
              <w:autoSpaceDE w:val="0"/>
              <w:autoSpaceDN w:val="0"/>
              <w:adjustRightInd w:val="0"/>
              <w:rPr>
                <w:sz w:val="22"/>
                <w:szCs w:val="22"/>
              </w:rPr>
            </w:pPr>
            <w:r w:rsidRPr="00AD576E">
              <w:rPr>
                <w:sz w:val="22"/>
                <w:szCs w:val="22"/>
              </w:rPr>
              <w:t>p-vrijednost*</w:t>
            </w:r>
          </w:p>
        </w:tc>
        <w:tc>
          <w:tcPr>
            <w:tcW w:w="1692" w:type="dxa"/>
          </w:tcPr>
          <w:p w14:paraId="6FFF14B1" w14:textId="77777777" w:rsidR="00F223ED" w:rsidRPr="00AD576E" w:rsidRDefault="00F223ED" w:rsidP="002C66FC">
            <w:pPr>
              <w:pStyle w:val="Header"/>
              <w:tabs>
                <w:tab w:val="left" w:pos="284"/>
              </w:tabs>
              <w:jc w:val="center"/>
              <w:rPr>
                <w:sz w:val="22"/>
                <w:szCs w:val="22"/>
              </w:rPr>
            </w:pPr>
            <w:r w:rsidRPr="00AD576E">
              <w:rPr>
                <w:sz w:val="22"/>
                <w:szCs w:val="22"/>
              </w:rPr>
              <w:t>141</w:t>
            </w:r>
          </w:p>
          <w:p w14:paraId="27C9C58F" w14:textId="77777777" w:rsidR="00F223ED" w:rsidRPr="00AD576E" w:rsidRDefault="00F223ED" w:rsidP="002C66FC">
            <w:pPr>
              <w:pStyle w:val="Header"/>
              <w:tabs>
                <w:tab w:val="left" w:pos="284"/>
              </w:tabs>
              <w:jc w:val="center"/>
              <w:rPr>
                <w:sz w:val="22"/>
                <w:szCs w:val="22"/>
              </w:rPr>
            </w:pPr>
            <w:r w:rsidRPr="00AD576E">
              <w:rPr>
                <w:sz w:val="22"/>
                <w:szCs w:val="22"/>
              </w:rPr>
              <w:t>12,1</w:t>
            </w:r>
          </w:p>
          <w:p w14:paraId="02ACD126" w14:textId="77777777" w:rsidR="00F223ED" w:rsidRPr="00AD576E" w:rsidRDefault="00F223ED" w:rsidP="002C66FC">
            <w:pPr>
              <w:pStyle w:val="Header"/>
              <w:tabs>
                <w:tab w:val="left" w:pos="284"/>
              </w:tabs>
              <w:jc w:val="center"/>
              <w:rPr>
                <w:sz w:val="22"/>
                <w:szCs w:val="22"/>
              </w:rPr>
            </w:pPr>
            <w:r w:rsidRPr="00AD576E">
              <w:rPr>
                <w:sz w:val="22"/>
                <w:szCs w:val="22"/>
              </w:rPr>
              <w:t>(7,2-18,6)</w:t>
            </w:r>
          </w:p>
          <w:p w14:paraId="3AE05C3F" w14:textId="77777777" w:rsidR="00F223ED" w:rsidRPr="00AD576E" w:rsidRDefault="00F223ED" w:rsidP="002C66FC">
            <w:pPr>
              <w:pStyle w:val="Header"/>
              <w:tabs>
                <w:tab w:val="left" w:pos="284"/>
              </w:tabs>
              <w:jc w:val="center"/>
              <w:rPr>
                <w:sz w:val="22"/>
                <w:szCs w:val="22"/>
              </w:rPr>
            </w:pPr>
            <w:r w:rsidRPr="00AD576E">
              <w:rPr>
                <w:sz w:val="22"/>
                <w:szCs w:val="22"/>
              </w:rPr>
              <w:t>0,1112</w:t>
            </w:r>
          </w:p>
        </w:tc>
        <w:tc>
          <w:tcPr>
            <w:tcW w:w="2445" w:type="dxa"/>
          </w:tcPr>
          <w:p w14:paraId="4C3FB4A1" w14:textId="77777777" w:rsidR="00F223ED" w:rsidRPr="00AD576E" w:rsidRDefault="00F223ED" w:rsidP="002C66FC">
            <w:pPr>
              <w:pStyle w:val="Header"/>
              <w:tabs>
                <w:tab w:val="left" w:pos="284"/>
              </w:tabs>
              <w:jc w:val="center"/>
              <w:rPr>
                <w:sz w:val="22"/>
                <w:szCs w:val="22"/>
              </w:rPr>
            </w:pPr>
            <w:r w:rsidRPr="00AD576E">
              <w:rPr>
                <w:sz w:val="22"/>
                <w:szCs w:val="22"/>
              </w:rPr>
              <w:t>134</w:t>
            </w:r>
          </w:p>
          <w:p w14:paraId="430169DE" w14:textId="77777777" w:rsidR="00F223ED" w:rsidRPr="00AD576E" w:rsidRDefault="00F223ED" w:rsidP="002C66FC">
            <w:pPr>
              <w:pStyle w:val="Header"/>
              <w:tabs>
                <w:tab w:val="left" w:pos="284"/>
              </w:tabs>
              <w:jc w:val="center"/>
              <w:rPr>
                <w:sz w:val="22"/>
                <w:szCs w:val="22"/>
              </w:rPr>
            </w:pPr>
            <w:r w:rsidRPr="00AD576E">
              <w:rPr>
                <w:sz w:val="22"/>
                <w:szCs w:val="22"/>
              </w:rPr>
              <w:t>8,2</w:t>
            </w:r>
          </w:p>
          <w:p w14:paraId="28473A46" w14:textId="77777777" w:rsidR="00F223ED" w:rsidRPr="00AD576E" w:rsidRDefault="00F223ED" w:rsidP="002C66FC">
            <w:pPr>
              <w:pStyle w:val="Header"/>
              <w:tabs>
                <w:tab w:val="left" w:pos="284"/>
              </w:tabs>
              <w:jc w:val="center"/>
              <w:rPr>
                <w:sz w:val="22"/>
                <w:szCs w:val="22"/>
              </w:rPr>
            </w:pPr>
            <w:r w:rsidRPr="00AD576E">
              <w:rPr>
                <w:sz w:val="22"/>
                <w:szCs w:val="22"/>
              </w:rPr>
              <w:t>(4,2-14,2)</w:t>
            </w:r>
          </w:p>
          <w:p w14:paraId="4F9353FD" w14:textId="77777777" w:rsidR="00F223ED" w:rsidRPr="00AD576E" w:rsidRDefault="00F223ED" w:rsidP="002C66FC">
            <w:pPr>
              <w:pStyle w:val="Header"/>
              <w:tabs>
                <w:tab w:val="left" w:pos="284"/>
              </w:tabs>
              <w:jc w:val="center"/>
              <w:rPr>
                <w:sz w:val="22"/>
                <w:szCs w:val="22"/>
              </w:rPr>
            </w:pPr>
            <w:r w:rsidRPr="00AD576E">
              <w:rPr>
                <w:sz w:val="22"/>
                <w:szCs w:val="22"/>
              </w:rPr>
              <w:t>0,5853</w:t>
            </w:r>
          </w:p>
        </w:tc>
        <w:tc>
          <w:tcPr>
            <w:tcW w:w="2446" w:type="dxa"/>
          </w:tcPr>
          <w:p w14:paraId="6209F277" w14:textId="77777777" w:rsidR="00F223ED" w:rsidRPr="00AD576E" w:rsidRDefault="00F223ED" w:rsidP="002C66FC">
            <w:pPr>
              <w:pStyle w:val="Header"/>
              <w:tabs>
                <w:tab w:val="left" w:pos="284"/>
              </w:tabs>
              <w:jc w:val="center"/>
              <w:rPr>
                <w:sz w:val="22"/>
                <w:szCs w:val="22"/>
              </w:rPr>
            </w:pPr>
            <w:r w:rsidRPr="00AD576E">
              <w:rPr>
                <w:sz w:val="22"/>
                <w:szCs w:val="22"/>
              </w:rPr>
              <w:t>137</w:t>
            </w:r>
          </w:p>
          <w:p w14:paraId="32A7AC1A" w14:textId="77777777" w:rsidR="00F223ED" w:rsidRPr="00AD576E" w:rsidRDefault="00F223ED" w:rsidP="002C66FC">
            <w:pPr>
              <w:pStyle w:val="Header"/>
              <w:tabs>
                <w:tab w:val="left" w:pos="284"/>
              </w:tabs>
              <w:jc w:val="center"/>
              <w:rPr>
                <w:sz w:val="22"/>
                <w:szCs w:val="22"/>
              </w:rPr>
            </w:pPr>
            <w:r w:rsidRPr="00AD576E">
              <w:rPr>
                <w:sz w:val="22"/>
                <w:szCs w:val="22"/>
              </w:rPr>
              <w:t>6,6</w:t>
            </w:r>
          </w:p>
          <w:p w14:paraId="6582385C" w14:textId="77777777" w:rsidR="00F223ED" w:rsidRPr="00AD576E" w:rsidRDefault="00F223ED" w:rsidP="002C66FC">
            <w:pPr>
              <w:pStyle w:val="Header"/>
              <w:tabs>
                <w:tab w:val="left" w:pos="284"/>
              </w:tabs>
              <w:jc w:val="center"/>
              <w:rPr>
                <w:sz w:val="22"/>
                <w:szCs w:val="22"/>
              </w:rPr>
            </w:pPr>
            <w:r w:rsidRPr="00AD576E">
              <w:rPr>
                <w:sz w:val="22"/>
                <w:szCs w:val="22"/>
              </w:rPr>
              <w:t>(3,0-12,1)</w:t>
            </w:r>
          </w:p>
          <w:p w14:paraId="4FB9163C" w14:textId="77777777" w:rsidR="00F223ED" w:rsidRPr="00AD576E" w:rsidRDefault="00F223ED" w:rsidP="002C66FC">
            <w:pPr>
              <w:pStyle w:val="Header"/>
              <w:tabs>
                <w:tab w:val="left" w:pos="284"/>
              </w:tabs>
              <w:jc w:val="center"/>
              <w:rPr>
                <w:sz w:val="22"/>
                <w:szCs w:val="22"/>
              </w:rPr>
            </w:pPr>
            <w:r w:rsidRPr="00AD576E">
              <w:rPr>
                <w:sz w:val="22"/>
                <w:szCs w:val="22"/>
              </w:rPr>
              <w:t>- -</w:t>
            </w:r>
          </w:p>
        </w:tc>
      </w:tr>
    </w:tbl>
    <w:p w14:paraId="5894341E" w14:textId="77777777" w:rsidR="00F223ED" w:rsidRPr="00AD576E" w:rsidRDefault="00F223ED" w:rsidP="00F223ED">
      <w:pPr>
        <w:autoSpaceDE w:val="0"/>
        <w:autoSpaceDN w:val="0"/>
        <w:adjustRightInd w:val="0"/>
        <w:rPr>
          <w:sz w:val="22"/>
          <w:szCs w:val="22"/>
        </w:rPr>
      </w:pPr>
      <w:r w:rsidRPr="00AD576E">
        <w:rPr>
          <w:sz w:val="22"/>
          <w:szCs w:val="22"/>
        </w:rPr>
        <w:t>† Stratifikovani log-rang test</w:t>
      </w:r>
    </w:p>
    <w:p w14:paraId="48A044E8" w14:textId="77777777" w:rsidR="00F223ED" w:rsidRPr="00AD576E" w:rsidRDefault="00F223ED" w:rsidP="00F223ED">
      <w:pPr>
        <w:autoSpaceDE w:val="0"/>
        <w:autoSpaceDN w:val="0"/>
        <w:adjustRightInd w:val="0"/>
        <w:rPr>
          <w:sz w:val="22"/>
          <w:szCs w:val="22"/>
        </w:rPr>
      </w:pPr>
      <w:r w:rsidRPr="00AD576E">
        <w:rPr>
          <w:sz w:val="22"/>
          <w:szCs w:val="22"/>
        </w:rPr>
        <w:t>*Prag statisti</w:t>
      </w:r>
      <w:r w:rsidRPr="00AD576E">
        <w:rPr>
          <w:rFonts w:eastAsia="TimesNewRoman"/>
          <w:sz w:val="22"/>
          <w:szCs w:val="22"/>
        </w:rPr>
        <w:t>č</w:t>
      </w:r>
      <w:r w:rsidRPr="00AD576E">
        <w:rPr>
          <w:sz w:val="22"/>
          <w:szCs w:val="22"/>
        </w:rPr>
        <w:t>ke zna</w:t>
      </w:r>
      <w:r w:rsidRPr="00AD576E">
        <w:rPr>
          <w:rFonts w:eastAsia="TimesNewRoman"/>
          <w:sz w:val="22"/>
          <w:szCs w:val="22"/>
        </w:rPr>
        <w:t>č</w:t>
      </w:r>
      <w:r w:rsidRPr="00AD576E">
        <w:rPr>
          <w:sz w:val="22"/>
          <w:szCs w:val="22"/>
        </w:rPr>
        <w:t>ajnosti = 0,0175</w:t>
      </w:r>
    </w:p>
    <w:p w14:paraId="4780423C" w14:textId="77777777" w:rsidR="00F223ED" w:rsidRPr="00AD576E" w:rsidRDefault="00F223ED" w:rsidP="00F223ED">
      <w:pPr>
        <w:autoSpaceDE w:val="0"/>
        <w:autoSpaceDN w:val="0"/>
        <w:adjustRightInd w:val="0"/>
        <w:rPr>
          <w:sz w:val="22"/>
          <w:szCs w:val="22"/>
        </w:rPr>
      </w:pPr>
      <w:r w:rsidRPr="00AD576E">
        <w:rPr>
          <w:sz w:val="22"/>
          <w:szCs w:val="22"/>
        </w:rPr>
        <w:t>** PSA – antigen specifi</w:t>
      </w:r>
      <w:r w:rsidRPr="00AD576E">
        <w:rPr>
          <w:rFonts w:eastAsia="TimesNewRoman"/>
          <w:sz w:val="22"/>
          <w:szCs w:val="22"/>
        </w:rPr>
        <w:t>č</w:t>
      </w:r>
      <w:r w:rsidRPr="00AD576E">
        <w:rPr>
          <w:sz w:val="22"/>
          <w:szCs w:val="22"/>
        </w:rPr>
        <w:t>an za prostatu</w:t>
      </w:r>
    </w:p>
    <w:p w14:paraId="1E79DC5A" w14:textId="77777777" w:rsidR="00F223ED" w:rsidRPr="00AD576E" w:rsidRDefault="00F223ED" w:rsidP="00F223ED">
      <w:pPr>
        <w:autoSpaceDE w:val="0"/>
        <w:autoSpaceDN w:val="0"/>
        <w:adjustRightInd w:val="0"/>
        <w:rPr>
          <w:sz w:val="22"/>
          <w:szCs w:val="22"/>
        </w:rPr>
      </w:pPr>
    </w:p>
    <w:p w14:paraId="44073965" w14:textId="77777777" w:rsidR="00F223ED" w:rsidRPr="00AD576E" w:rsidRDefault="00F223ED" w:rsidP="00F223ED">
      <w:pPr>
        <w:autoSpaceDE w:val="0"/>
        <w:autoSpaceDN w:val="0"/>
        <w:adjustRightInd w:val="0"/>
        <w:rPr>
          <w:sz w:val="22"/>
          <w:szCs w:val="22"/>
        </w:rPr>
      </w:pPr>
      <w:r w:rsidRPr="00AD576E">
        <w:rPr>
          <w:sz w:val="22"/>
          <w:szCs w:val="22"/>
        </w:rPr>
        <w:t>S obzirom na to da je docetaksel primijenjen jednom nedjeljno pokazao nešto bolji profil bezbjednosti nego docetaksel primijenjen svake 3 nedjelje, mogu</w:t>
      </w:r>
      <w:r w:rsidRPr="00AD576E">
        <w:rPr>
          <w:rFonts w:eastAsia="TimesNewRoman"/>
          <w:sz w:val="22"/>
          <w:szCs w:val="22"/>
        </w:rPr>
        <w:t>ć</w:t>
      </w:r>
      <w:r w:rsidRPr="00AD576E">
        <w:rPr>
          <w:sz w:val="22"/>
          <w:szCs w:val="22"/>
        </w:rPr>
        <w:t>e je da bi odre</w:t>
      </w:r>
      <w:r w:rsidRPr="00AD576E">
        <w:rPr>
          <w:rFonts w:eastAsia="TimesNewRoman"/>
          <w:sz w:val="22"/>
          <w:szCs w:val="22"/>
        </w:rPr>
        <w:t>đ</w:t>
      </w:r>
      <w:r w:rsidRPr="00AD576E">
        <w:rPr>
          <w:sz w:val="22"/>
          <w:szCs w:val="22"/>
        </w:rPr>
        <w:t>enim pacijentima mogla koristiti primjena docetaksela jednom nedjeljno.</w:t>
      </w:r>
    </w:p>
    <w:p w14:paraId="6431A338" w14:textId="77777777" w:rsidR="00F223ED" w:rsidRPr="00AD576E" w:rsidRDefault="00F223ED" w:rsidP="00F223ED">
      <w:pPr>
        <w:autoSpaceDE w:val="0"/>
        <w:autoSpaceDN w:val="0"/>
        <w:adjustRightInd w:val="0"/>
        <w:rPr>
          <w:sz w:val="22"/>
          <w:szCs w:val="22"/>
        </w:rPr>
      </w:pPr>
    </w:p>
    <w:p w14:paraId="5F4F78C7" w14:textId="77777777" w:rsidR="00F223ED" w:rsidRPr="00B02007" w:rsidRDefault="00F223ED" w:rsidP="00F223ED">
      <w:pPr>
        <w:autoSpaceDE w:val="0"/>
        <w:autoSpaceDN w:val="0"/>
        <w:adjustRightInd w:val="0"/>
        <w:rPr>
          <w:sz w:val="22"/>
          <w:szCs w:val="22"/>
        </w:rPr>
      </w:pPr>
      <w:r w:rsidRPr="00AD576E">
        <w:rPr>
          <w:sz w:val="22"/>
          <w:szCs w:val="22"/>
        </w:rPr>
        <w:t>Terapijske grupe se me</w:t>
      </w:r>
      <w:r w:rsidRPr="00AD576E">
        <w:rPr>
          <w:rFonts w:eastAsia="TimesNewRoman"/>
          <w:sz w:val="22"/>
          <w:szCs w:val="22"/>
        </w:rPr>
        <w:t>đ</w:t>
      </w:r>
      <w:r w:rsidRPr="00AD576E">
        <w:rPr>
          <w:sz w:val="22"/>
          <w:szCs w:val="22"/>
        </w:rPr>
        <w:t>usobno nisu statisti</w:t>
      </w:r>
      <w:r w:rsidRPr="00AD576E">
        <w:rPr>
          <w:rFonts w:eastAsia="TimesNewRoman"/>
          <w:sz w:val="22"/>
          <w:szCs w:val="22"/>
        </w:rPr>
        <w:t>č</w:t>
      </w:r>
      <w:r w:rsidRPr="00AD576E">
        <w:rPr>
          <w:sz w:val="22"/>
          <w:szCs w:val="22"/>
        </w:rPr>
        <w:t>ki razlikovale u pogledu ocjene ukupnog kvaliteta života.</w:t>
      </w:r>
    </w:p>
    <w:p w14:paraId="06D9578B" w14:textId="77777777" w:rsidR="00F223ED" w:rsidRPr="00AD576E" w:rsidRDefault="00F223ED" w:rsidP="00F223ED">
      <w:pPr>
        <w:autoSpaceDE w:val="0"/>
        <w:autoSpaceDN w:val="0"/>
        <w:adjustRightInd w:val="0"/>
        <w:rPr>
          <w:sz w:val="22"/>
          <w:szCs w:val="22"/>
        </w:rPr>
      </w:pPr>
      <w:r w:rsidRPr="00AD576E">
        <w:rPr>
          <w:i/>
          <w:sz w:val="22"/>
          <w:szCs w:val="22"/>
        </w:rPr>
        <w:t>Metastatski karcinom prostate osjetljiv na hormone</w:t>
      </w:r>
    </w:p>
    <w:p w14:paraId="5B001C87" w14:textId="77777777" w:rsidR="00F223ED" w:rsidRDefault="00F223ED" w:rsidP="00F223ED">
      <w:pPr>
        <w:autoSpaceDE w:val="0"/>
        <w:autoSpaceDN w:val="0"/>
        <w:adjustRightInd w:val="0"/>
        <w:rPr>
          <w:i/>
          <w:sz w:val="22"/>
          <w:szCs w:val="22"/>
        </w:rPr>
      </w:pPr>
    </w:p>
    <w:p w14:paraId="2E534741" w14:textId="77777777" w:rsidR="00F223ED" w:rsidRDefault="00F223ED" w:rsidP="00F223ED">
      <w:pPr>
        <w:autoSpaceDE w:val="0"/>
        <w:autoSpaceDN w:val="0"/>
        <w:adjustRightInd w:val="0"/>
        <w:rPr>
          <w:sz w:val="22"/>
          <w:szCs w:val="22"/>
        </w:rPr>
      </w:pPr>
      <w:r w:rsidRPr="00AD576E">
        <w:rPr>
          <w:i/>
          <w:sz w:val="22"/>
          <w:szCs w:val="22"/>
        </w:rPr>
        <w:t>Studija STAMPEDE</w:t>
      </w:r>
    </w:p>
    <w:p w14:paraId="4BE144C8" w14:textId="77777777" w:rsidR="00F223ED" w:rsidRPr="00AD576E" w:rsidRDefault="00F223ED" w:rsidP="00F223ED">
      <w:pPr>
        <w:autoSpaceDE w:val="0"/>
        <w:autoSpaceDN w:val="0"/>
        <w:adjustRightInd w:val="0"/>
        <w:rPr>
          <w:sz w:val="22"/>
          <w:szCs w:val="22"/>
        </w:rPr>
      </w:pPr>
      <w:r w:rsidRPr="00AD576E">
        <w:rPr>
          <w:sz w:val="22"/>
          <w:szCs w:val="22"/>
        </w:rPr>
        <w:t>Bezbjednost i efikasnost docetaksela koji je istovremeno primijenjen sa standardom liječenja (</w:t>
      </w:r>
      <w:r>
        <w:rPr>
          <w:sz w:val="22"/>
          <w:szCs w:val="22"/>
        </w:rPr>
        <w:t>terapija</w:t>
      </w:r>
      <w:r w:rsidRPr="00416799">
        <w:rPr>
          <w:sz w:val="22"/>
          <w:szCs w:val="22"/>
        </w:rPr>
        <w:t xml:space="preserve"> androgene deprivacije</w:t>
      </w:r>
      <w:r>
        <w:rPr>
          <w:sz w:val="22"/>
          <w:szCs w:val="22"/>
        </w:rPr>
        <w:t xml:space="preserve">, </w:t>
      </w:r>
      <w:r w:rsidRPr="00AD576E">
        <w:rPr>
          <w:sz w:val="22"/>
          <w:szCs w:val="22"/>
        </w:rPr>
        <w:t>ADT)</w:t>
      </w:r>
      <w:r w:rsidRPr="00AD576E">
        <w:rPr>
          <w:b/>
          <w:sz w:val="22"/>
          <w:szCs w:val="22"/>
        </w:rPr>
        <w:t xml:space="preserve"> </w:t>
      </w:r>
      <w:r w:rsidRPr="00AD576E">
        <w:rPr>
          <w:sz w:val="22"/>
          <w:szCs w:val="22"/>
        </w:rPr>
        <w:t>kod pacijenata sa</w:t>
      </w:r>
      <w:r w:rsidRPr="00AD576E">
        <w:rPr>
          <w:b/>
          <w:sz w:val="22"/>
          <w:szCs w:val="22"/>
        </w:rPr>
        <w:t xml:space="preserve"> </w:t>
      </w:r>
      <w:r w:rsidRPr="00AD576E">
        <w:rPr>
          <w:sz w:val="22"/>
          <w:szCs w:val="22"/>
        </w:rPr>
        <w:t>visokorizičnim</w:t>
      </w:r>
      <w:r w:rsidRPr="00AD576E">
        <w:rPr>
          <w:b/>
          <w:sz w:val="22"/>
          <w:szCs w:val="22"/>
        </w:rPr>
        <w:t xml:space="preserve"> </w:t>
      </w:r>
      <w:r w:rsidRPr="00AD576E">
        <w:rPr>
          <w:sz w:val="22"/>
          <w:szCs w:val="22"/>
        </w:rPr>
        <w:t>lokalno uznapredovalim ili metastatskim karcinomom prostate osjetljivim na hormone procijenjeni su u okviru randomizovane, multicentrične studije, sa više grupa i više faza (</w:t>
      </w:r>
      <w:r w:rsidRPr="00E558A7">
        <w:rPr>
          <w:sz w:val="22"/>
          <w:szCs w:val="22"/>
        </w:rPr>
        <w:t>engl. multi-arm multi-stage,</w:t>
      </w:r>
      <w:r w:rsidRPr="00AD576E">
        <w:rPr>
          <w:sz w:val="22"/>
          <w:szCs w:val="22"/>
        </w:rPr>
        <w:t xml:space="preserve"> MAMS) sa dizajnom objedinjene faze II/III (STAMPEDE – MRC PR08). Ukupno 1776 muških pacijenata je bilo raspodijeljeno u sljedeće terapijske grupe:</w:t>
      </w:r>
    </w:p>
    <w:p w14:paraId="1C188107"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Standard liječenja + docetaksel 75 mg/m², primijenjen na svake 3 nedjelje tokom 6 ciklusa.</w:t>
      </w:r>
    </w:p>
    <w:p w14:paraId="731AB13F"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Samo standard liječenja.</w:t>
      </w:r>
    </w:p>
    <w:p w14:paraId="620EB792" w14:textId="77777777" w:rsidR="00F223ED" w:rsidRPr="00AD576E" w:rsidRDefault="00F223ED" w:rsidP="00F223ED">
      <w:pPr>
        <w:autoSpaceDE w:val="0"/>
        <w:autoSpaceDN w:val="0"/>
        <w:adjustRightInd w:val="0"/>
        <w:rPr>
          <w:sz w:val="22"/>
          <w:szCs w:val="22"/>
        </w:rPr>
      </w:pPr>
    </w:p>
    <w:p w14:paraId="69A53547" w14:textId="5B986E6A" w:rsidR="00F223ED" w:rsidRPr="00AD576E" w:rsidRDefault="00F223ED" w:rsidP="00F223ED">
      <w:pPr>
        <w:autoSpaceDE w:val="0"/>
        <w:autoSpaceDN w:val="0"/>
        <w:adjustRightInd w:val="0"/>
        <w:rPr>
          <w:sz w:val="22"/>
          <w:szCs w:val="22"/>
        </w:rPr>
      </w:pPr>
      <w:r w:rsidRPr="00AD576E">
        <w:rPr>
          <w:sz w:val="22"/>
          <w:szCs w:val="22"/>
        </w:rPr>
        <w:t xml:space="preserve">Terapija lijekom </w:t>
      </w:r>
      <w:r w:rsidR="009D254D">
        <w:rPr>
          <w:sz w:val="22"/>
          <w:szCs w:val="22"/>
        </w:rPr>
        <w:t>Docetaxel Hospira</w:t>
      </w:r>
      <w:r w:rsidRPr="00AD576E">
        <w:rPr>
          <w:sz w:val="22"/>
          <w:szCs w:val="22"/>
        </w:rPr>
        <w:t xml:space="preserve"> </w:t>
      </w:r>
      <w:r w:rsidRPr="005F707A">
        <w:rPr>
          <w:sz w:val="22"/>
          <w:szCs w:val="22"/>
        </w:rPr>
        <w:t>je prim</w:t>
      </w:r>
      <w:r w:rsidRPr="00AD576E">
        <w:rPr>
          <w:sz w:val="22"/>
          <w:szCs w:val="22"/>
        </w:rPr>
        <w:t>jenjivana kontinuirano u kombinaciji sa prednizonom ili prednizolonom u dozi od 5 mg dva puta dnevno.</w:t>
      </w:r>
    </w:p>
    <w:p w14:paraId="01F9CB73" w14:textId="77777777" w:rsidR="00F223ED" w:rsidRPr="00AD576E" w:rsidRDefault="00F223ED" w:rsidP="00F223ED">
      <w:pPr>
        <w:autoSpaceDE w:val="0"/>
        <w:autoSpaceDN w:val="0"/>
        <w:adjustRightInd w:val="0"/>
        <w:rPr>
          <w:sz w:val="22"/>
          <w:szCs w:val="22"/>
        </w:rPr>
      </w:pPr>
    </w:p>
    <w:p w14:paraId="66FEA868" w14:textId="77777777" w:rsidR="00F223ED" w:rsidRPr="00AD576E" w:rsidRDefault="00F223ED" w:rsidP="00F223ED">
      <w:pPr>
        <w:autoSpaceDE w:val="0"/>
        <w:autoSpaceDN w:val="0"/>
        <w:adjustRightInd w:val="0"/>
        <w:rPr>
          <w:sz w:val="22"/>
          <w:szCs w:val="22"/>
        </w:rPr>
      </w:pPr>
      <w:r w:rsidRPr="00AD576E">
        <w:rPr>
          <w:sz w:val="22"/>
          <w:szCs w:val="22"/>
        </w:rPr>
        <w:t>Od 1776 randomizovanih pacijenata, 1086 (61%) imalo je metastatski oblik bolesti, 362 je bilo randomizovano u grupu koja je primala docetaksel u kombinaciji sa standardom liječenja, dok je 724 primalo samo standard liječenja.</w:t>
      </w:r>
    </w:p>
    <w:p w14:paraId="528F8F60" w14:textId="77777777" w:rsidR="00F223ED" w:rsidRPr="00AD576E" w:rsidRDefault="00F223ED" w:rsidP="00F223ED">
      <w:pPr>
        <w:autoSpaceDE w:val="0"/>
        <w:autoSpaceDN w:val="0"/>
        <w:adjustRightInd w:val="0"/>
        <w:rPr>
          <w:sz w:val="22"/>
          <w:szCs w:val="22"/>
        </w:rPr>
      </w:pPr>
    </w:p>
    <w:p w14:paraId="687C2E70" w14:textId="77777777" w:rsidR="00F223ED" w:rsidRPr="00AD576E" w:rsidRDefault="00F223ED" w:rsidP="00F223ED">
      <w:pPr>
        <w:autoSpaceDE w:val="0"/>
        <w:autoSpaceDN w:val="0"/>
        <w:adjustRightInd w:val="0"/>
        <w:rPr>
          <w:sz w:val="22"/>
          <w:szCs w:val="22"/>
        </w:rPr>
      </w:pPr>
      <w:r w:rsidRPr="00AD576E">
        <w:rPr>
          <w:sz w:val="22"/>
          <w:szCs w:val="22"/>
        </w:rPr>
        <w:t>Kod pacijenata sa metastatskim karcinomom prostate, medijana ukupnog preživlj</w:t>
      </w:r>
      <w:r>
        <w:rPr>
          <w:sz w:val="22"/>
          <w:szCs w:val="22"/>
        </w:rPr>
        <w:t>ava</w:t>
      </w:r>
      <w:r w:rsidRPr="00AD576E">
        <w:rPr>
          <w:sz w:val="22"/>
          <w:szCs w:val="22"/>
        </w:rPr>
        <w:t xml:space="preserve">nja bila je značajno duža u grupi koja je primala docetaksel u odnosu na grupu koja ja primala samo standard </w:t>
      </w:r>
      <w:r w:rsidRPr="00AD576E">
        <w:rPr>
          <w:sz w:val="22"/>
          <w:szCs w:val="22"/>
        </w:rPr>
        <w:lastRenderedPageBreak/>
        <w:t>liječenja, sa 19 mjeseci dužom medijanom ukupnog preživlj</w:t>
      </w:r>
      <w:r>
        <w:rPr>
          <w:sz w:val="22"/>
          <w:szCs w:val="22"/>
        </w:rPr>
        <w:t>ava</w:t>
      </w:r>
      <w:r w:rsidRPr="00AD576E">
        <w:rPr>
          <w:sz w:val="22"/>
          <w:szCs w:val="22"/>
        </w:rPr>
        <w:t>nja uz dodatak docetaksela standardu liječenja (</w:t>
      </w:r>
      <w:r>
        <w:rPr>
          <w:sz w:val="22"/>
          <w:szCs w:val="22"/>
        </w:rPr>
        <w:t>indeks rizika</w:t>
      </w:r>
      <w:r w:rsidRPr="00AD576E">
        <w:rPr>
          <w:sz w:val="22"/>
          <w:szCs w:val="22"/>
        </w:rPr>
        <w:t xml:space="preserve"> (HR = 0,76, 95% CI = 0,62-0,92, p=</w:t>
      </w:r>
      <w:r>
        <w:rPr>
          <w:sz w:val="22"/>
          <w:szCs w:val="22"/>
        </w:rPr>
        <w:t xml:space="preserve"> </w:t>
      </w:r>
      <w:r w:rsidRPr="00AD576E">
        <w:rPr>
          <w:sz w:val="22"/>
          <w:szCs w:val="22"/>
        </w:rPr>
        <w:t>0,005).</w:t>
      </w:r>
    </w:p>
    <w:p w14:paraId="7F0E7359" w14:textId="77777777" w:rsidR="00F223ED" w:rsidRPr="00AD576E" w:rsidRDefault="00F223ED" w:rsidP="00F223ED">
      <w:pPr>
        <w:autoSpaceDE w:val="0"/>
        <w:autoSpaceDN w:val="0"/>
        <w:adjustRightInd w:val="0"/>
        <w:rPr>
          <w:sz w:val="22"/>
          <w:szCs w:val="22"/>
        </w:rPr>
      </w:pPr>
    </w:p>
    <w:p w14:paraId="686C166A" w14:textId="77777777" w:rsidR="00F223ED" w:rsidRPr="00AD576E" w:rsidRDefault="00F223ED" w:rsidP="00F223ED">
      <w:pPr>
        <w:autoSpaceDE w:val="0"/>
        <w:autoSpaceDN w:val="0"/>
        <w:adjustRightInd w:val="0"/>
        <w:rPr>
          <w:sz w:val="22"/>
          <w:szCs w:val="22"/>
        </w:rPr>
      </w:pPr>
      <w:r w:rsidRPr="00AD576E">
        <w:rPr>
          <w:sz w:val="22"/>
          <w:szCs w:val="22"/>
        </w:rPr>
        <w:t>Rezultati efikasnosti kod pacijenata sa metastatskim karcinomom prostate u grupi koja je primala docetaksel u odnosu na kontrolnu grupu prikazani su u sljedećoj tabeli:</w:t>
      </w:r>
    </w:p>
    <w:p w14:paraId="15A4CEBB" w14:textId="77777777" w:rsidR="00F223ED" w:rsidRPr="00AD576E" w:rsidRDefault="00F223ED" w:rsidP="00F223ED">
      <w:pPr>
        <w:autoSpaceDE w:val="0"/>
        <w:autoSpaceDN w:val="0"/>
        <w:adjustRightInd w:val="0"/>
        <w:rPr>
          <w:b/>
          <w:bCs/>
          <w:sz w:val="22"/>
          <w:szCs w:val="22"/>
        </w:rPr>
      </w:pPr>
    </w:p>
    <w:p w14:paraId="6E9B96D3" w14:textId="77777777" w:rsidR="00F223ED" w:rsidRPr="00AD576E" w:rsidRDefault="00F223ED" w:rsidP="00F223ED">
      <w:pPr>
        <w:autoSpaceDE w:val="0"/>
        <w:autoSpaceDN w:val="0"/>
        <w:adjustRightInd w:val="0"/>
        <w:rPr>
          <w:sz w:val="22"/>
          <w:szCs w:val="22"/>
          <w:u w:val="single"/>
        </w:rPr>
      </w:pPr>
      <w:r w:rsidRPr="00AD576E">
        <w:rPr>
          <w:sz w:val="22"/>
          <w:szCs w:val="22"/>
          <w:u w:val="single"/>
        </w:rPr>
        <w:t>Efikasnost docetaksela u kombinaciji sa prednizonom ili prednizolonom i standardom liječenja u liječenju pacijenata sa metastatskim karcinomom prostate osjetljivim na hormone (STAMPEDE)</w:t>
      </w:r>
    </w:p>
    <w:p w14:paraId="61F61403" w14:textId="77777777" w:rsidR="00F223ED" w:rsidRPr="00AD576E" w:rsidRDefault="00F223ED" w:rsidP="00F223ED">
      <w:pPr>
        <w:autoSpaceDE w:val="0"/>
        <w:autoSpaceDN w:val="0"/>
        <w:adjustRightInd w:val="0"/>
        <w:rPr>
          <w:b/>
          <w:bCs/>
          <w:sz w:val="22"/>
          <w:szCs w:val="22"/>
        </w:rPr>
      </w:pPr>
    </w:p>
    <w:tbl>
      <w:tblPr>
        <w:tblW w:w="8706" w:type="dxa"/>
        <w:tblInd w:w="184" w:type="dxa"/>
        <w:tblLayout w:type="fixed"/>
        <w:tblCellMar>
          <w:top w:w="27" w:type="dxa"/>
          <w:left w:w="107" w:type="dxa"/>
          <w:right w:w="53" w:type="dxa"/>
        </w:tblCellMar>
        <w:tblLook w:val="0400" w:firstRow="0" w:lastRow="0" w:firstColumn="0" w:lastColumn="0" w:noHBand="0" w:noVBand="1"/>
      </w:tblPr>
      <w:tblGrid>
        <w:gridCol w:w="3253"/>
        <w:gridCol w:w="2943"/>
        <w:gridCol w:w="2510"/>
      </w:tblGrid>
      <w:tr w:rsidR="00F223ED" w:rsidRPr="00B02007" w14:paraId="25E7053B" w14:textId="77777777" w:rsidTr="002C66FC">
        <w:trPr>
          <w:trHeight w:val="696"/>
        </w:trPr>
        <w:tc>
          <w:tcPr>
            <w:tcW w:w="3253" w:type="dxa"/>
            <w:tcBorders>
              <w:top w:val="single" w:sz="4" w:space="0" w:color="000000"/>
              <w:left w:val="single" w:sz="4" w:space="0" w:color="000000"/>
              <w:bottom w:val="single" w:sz="4" w:space="0" w:color="000000"/>
              <w:right w:val="single" w:sz="4" w:space="0" w:color="000000"/>
            </w:tcBorders>
            <w:shd w:val="clear" w:color="auto" w:fill="auto"/>
          </w:tcPr>
          <w:p w14:paraId="386A9E91" w14:textId="77777777" w:rsidR="00F223ED" w:rsidRPr="00AD576E" w:rsidRDefault="00F223ED" w:rsidP="002C66FC">
            <w:pPr>
              <w:autoSpaceDE w:val="0"/>
              <w:autoSpaceDN w:val="0"/>
              <w:adjustRightInd w:val="0"/>
              <w:rPr>
                <w:b/>
                <w:sz w:val="22"/>
                <w:szCs w:val="22"/>
              </w:rPr>
            </w:pPr>
            <w:r w:rsidRPr="00AD576E">
              <w:rPr>
                <w:b/>
                <w:sz w:val="22"/>
                <w:szCs w:val="22"/>
              </w:rPr>
              <w:t>Krajnji ishod</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6D51F498" w14:textId="77777777" w:rsidR="00F223ED" w:rsidRPr="00AD576E" w:rsidRDefault="00F223ED" w:rsidP="002C66FC">
            <w:pPr>
              <w:autoSpaceDE w:val="0"/>
              <w:autoSpaceDN w:val="0"/>
              <w:adjustRightInd w:val="0"/>
              <w:rPr>
                <w:b/>
                <w:sz w:val="22"/>
                <w:szCs w:val="22"/>
              </w:rPr>
            </w:pPr>
            <w:r w:rsidRPr="00AD576E">
              <w:rPr>
                <w:b/>
                <w:sz w:val="22"/>
                <w:szCs w:val="22"/>
              </w:rPr>
              <w:t>Docetaksel</w:t>
            </w:r>
            <w:r w:rsidRPr="00AD576E">
              <w:rPr>
                <w:b/>
                <w:i/>
                <w:sz w:val="22"/>
                <w:szCs w:val="22"/>
              </w:rPr>
              <w:t xml:space="preserve"> </w:t>
            </w:r>
            <w:r w:rsidRPr="00AD576E">
              <w:rPr>
                <w:b/>
                <w:sz w:val="22"/>
                <w:szCs w:val="22"/>
              </w:rPr>
              <w:t>+ standard liječenja</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14:paraId="7C2155D7" w14:textId="77777777" w:rsidR="00F223ED" w:rsidRPr="00AD576E" w:rsidRDefault="00F223ED" w:rsidP="002C66FC">
            <w:pPr>
              <w:autoSpaceDE w:val="0"/>
              <w:autoSpaceDN w:val="0"/>
              <w:adjustRightInd w:val="0"/>
              <w:rPr>
                <w:b/>
                <w:sz w:val="22"/>
                <w:szCs w:val="22"/>
              </w:rPr>
            </w:pPr>
            <w:r w:rsidRPr="00AD576E">
              <w:rPr>
                <w:b/>
                <w:sz w:val="22"/>
                <w:szCs w:val="22"/>
              </w:rPr>
              <w:t>Samo standard liječenja</w:t>
            </w:r>
          </w:p>
        </w:tc>
      </w:tr>
      <w:tr w:rsidR="00F223ED" w:rsidRPr="00B02007" w14:paraId="7CD5A0CA" w14:textId="77777777" w:rsidTr="002C66FC">
        <w:trPr>
          <w:trHeight w:val="1128"/>
        </w:trPr>
        <w:tc>
          <w:tcPr>
            <w:tcW w:w="3253" w:type="dxa"/>
            <w:tcBorders>
              <w:top w:val="single" w:sz="4" w:space="0" w:color="000000"/>
              <w:left w:val="single" w:sz="4" w:space="0" w:color="000000"/>
              <w:bottom w:val="nil"/>
              <w:right w:val="single" w:sz="4" w:space="0" w:color="000000"/>
            </w:tcBorders>
            <w:shd w:val="clear" w:color="auto" w:fill="auto"/>
          </w:tcPr>
          <w:p w14:paraId="2AC0601B" w14:textId="77777777" w:rsidR="00F223ED" w:rsidRPr="00416799" w:rsidRDefault="00F223ED" w:rsidP="002C66FC">
            <w:pPr>
              <w:autoSpaceDE w:val="0"/>
              <w:autoSpaceDN w:val="0"/>
              <w:adjustRightInd w:val="0"/>
              <w:rPr>
                <w:sz w:val="22"/>
                <w:szCs w:val="22"/>
              </w:rPr>
            </w:pPr>
            <w:r w:rsidRPr="00416799">
              <w:rPr>
                <w:sz w:val="22"/>
                <w:szCs w:val="22"/>
              </w:rPr>
              <w:t>Broj pacijenata sa metastatskim karcinomom prostate</w:t>
            </w:r>
          </w:p>
          <w:p w14:paraId="3133C413" w14:textId="77777777" w:rsidR="00F223ED" w:rsidRPr="00416799" w:rsidRDefault="00F223ED" w:rsidP="002C66FC">
            <w:pPr>
              <w:autoSpaceDE w:val="0"/>
              <w:autoSpaceDN w:val="0"/>
              <w:adjustRightInd w:val="0"/>
              <w:rPr>
                <w:sz w:val="22"/>
                <w:szCs w:val="22"/>
              </w:rPr>
            </w:pPr>
            <w:r w:rsidRPr="00416799">
              <w:rPr>
                <w:sz w:val="22"/>
                <w:szCs w:val="22"/>
              </w:rPr>
              <w:t>Medijana ukupnog preživljavanja (mjeseci)</w:t>
            </w:r>
          </w:p>
          <w:p w14:paraId="29F5E5B2" w14:textId="77777777" w:rsidR="00F223ED" w:rsidRPr="00416799" w:rsidRDefault="00F223ED" w:rsidP="002C66FC">
            <w:pPr>
              <w:autoSpaceDE w:val="0"/>
              <w:autoSpaceDN w:val="0"/>
              <w:adjustRightInd w:val="0"/>
              <w:rPr>
                <w:sz w:val="22"/>
                <w:szCs w:val="22"/>
              </w:rPr>
            </w:pPr>
            <w:r w:rsidRPr="00416799">
              <w:rPr>
                <w:sz w:val="22"/>
                <w:szCs w:val="22"/>
              </w:rPr>
              <w:t>95% CI</w:t>
            </w:r>
            <w:r w:rsidRPr="00416799">
              <w:rPr>
                <w:b/>
                <w:i/>
                <w:sz w:val="22"/>
                <w:szCs w:val="22"/>
              </w:rPr>
              <w:t xml:space="preserve"> </w:t>
            </w:r>
          </w:p>
        </w:tc>
        <w:tc>
          <w:tcPr>
            <w:tcW w:w="2943" w:type="dxa"/>
            <w:tcBorders>
              <w:top w:val="single" w:sz="4" w:space="0" w:color="000000"/>
              <w:left w:val="single" w:sz="4" w:space="0" w:color="000000"/>
              <w:bottom w:val="nil"/>
              <w:right w:val="single" w:sz="4" w:space="0" w:color="000000"/>
            </w:tcBorders>
            <w:shd w:val="clear" w:color="auto" w:fill="auto"/>
          </w:tcPr>
          <w:p w14:paraId="59799A81" w14:textId="77777777" w:rsidR="00F223ED" w:rsidRPr="00416799" w:rsidRDefault="00F223ED" w:rsidP="002C66FC">
            <w:pPr>
              <w:autoSpaceDE w:val="0"/>
              <w:autoSpaceDN w:val="0"/>
              <w:adjustRightInd w:val="0"/>
              <w:jc w:val="center"/>
              <w:rPr>
                <w:sz w:val="22"/>
                <w:szCs w:val="22"/>
              </w:rPr>
            </w:pPr>
            <w:r w:rsidRPr="00416799">
              <w:rPr>
                <w:sz w:val="22"/>
                <w:szCs w:val="22"/>
              </w:rPr>
              <w:t>362</w:t>
            </w:r>
          </w:p>
          <w:p w14:paraId="29293396" w14:textId="77777777" w:rsidR="00F223ED" w:rsidRPr="00416799" w:rsidRDefault="00F223ED" w:rsidP="002C66FC">
            <w:pPr>
              <w:autoSpaceDE w:val="0"/>
              <w:autoSpaceDN w:val="0"/>
              <w:adjustRightInd w:val="0"/>
              <w:jc w:val="center"/>
              <w:rPr>
                <w:sz w:val="22"/>
                <w:szCs w:val="22"/>
              </w:rPr>
            </w:pPr>
          </w:p>
          <w:p w14:paraId="2CACCA79" w14:textId="77777777" w:rsidR="00F223ED" w:rsidRPr="00416799" w:rsidRDefault="00F223ED" w:rsidP="002C66FC">
            <w:pPr>
              <w:autoSpaceDE w:val="0"/>
              <w:autoSpaceDN w:val="0"/>
              <w:adjustRightInd w:val="0"/>
              <w:jc w:val="center"/>
              <w:rPr>
                <w:sz w:val="22"/>
                <w:szCs w:val="22"/>
              </w:rPr>
            </w:pPr>
            <w:r w:rsidRPr="00416799">
              <w:rPr>
                <w:sz w:val="22"/>
                <w:szCs w:val="22"/>
              </w:rPr>
              <w:t>62</w:t>
            </w:r>
          </w:p>
          <w:p w14:paraId="7BE05AA5" w14:textId="77777777" w:rsidR="00F223ED" w:rsidRPr="00416799" w:rsidRDefault="00F223ED" w:rsidP="002C66FC">
            <w:pPr>
              <w:autoSpaceDE w:val="0"/>
              <w:autoSpaceDN w:val="0"/>
              <w:adjustRightInd w:val="0"/>
              <w:jc w:val="center"/>
              <w:rPr>
                <w:sz w:val="22"/>
                <w:szCs w:val="22"/>
              </w:rPr>
            </w:pPr>
            <w:r w:rsidRPr="00416799">
              <w:rPr>
                <w:sz w:val="22"/>
                <w:szCs w:val="22"/>
              </w:rPr>
              <w:t>51–73</w:t>
            </w:r>
          </w:p>
        </w:tc>
        <w:tc>
          <w:tcPr>
            <w:tcW w:w="2510" w:type="dxa"/>
            <w:tcBorders>
              <w:top w:val="single" w:sz="4" w:space="0" w:color="000000"/>
              <w:left w:val="single" w:sz="4" w:space="0" w:color="000000"/>
              <w:bottom w:val="nil"/>
              <w:right w:val="single" w:sz="4" w:space="0" w:color="000000"/>
            </w:tcBorders>
            <w:shd w:val="clear" w:color="auto" w:fill="auto"/>
          </w:tcPr>
          <w:p w14:paraId="69027236" w14:textId="77777777" w:rsidR="00F223ED" w:rsidRPr="00416799" w:rsidRDefault="00F223ED" w:rsidP="002C66FC">
            <w:pPr>
              <w:autoSpaceDE w:val="0"/>
              <w:autoSpaceDN w:val="0"/>
              <w:adjustRightInd w:val="0"/>
              <w:jc w:val="center"/>
              <w:rPr>
                <w:sz w:val="22"/>
                <w:szCs w:val="22"/>
              </w:rPr>
            </w:pPr>
            <w:r w:rsidRPr="00416799">
              <w:rPr>
                <w:sz w:val="22"/>
                <w:szCs w:val="22"/>
              </w:rPr>
              <w:t>724</w:t>
            </w:r>
          </w:p>
          <w:p w14:paraId="1DE46EA4" w14:textId="77777777" w:rsidR="00F223ED" w:rsidRPr="00416799" w:rsidRDefault="00F223ED" w:rsidP="002C66FC">
            <w:pPr>
              <w:autoSpaceDE w:val="0"/>
              <w:autoSpaceDN w:val="0"/>
              <w:adjustRightInd w:val="0"/>
              <w:jc w:val="center"/>
              <w:rPr>
                <w:sz w:val="22"/>
                <w:szCs w:val="22"/>
              </w:rPr>
            </w:pPr>
          </w:p>
          <w:p w14:paraId="5F754811" w14:textId="77777777" w:rsidR="00F223ED" w:rsidRPr="00416799" w:rsidRDefault="00F223ED" w:rsidP="002C66FC">
            <w:pPr>
              <w:autoSpaceDE w:val="0"/>
              <w:autoSpaceDN w:val="0"/>
              <w:adjustRightInd w:val="0"/>
              <w:jc w:val="center"/>
              <w:rPr>
                <w:sz w:val="22"/>
                <w:szCs w:val="22"/>
              </w:rPr>
            </w:pPr>
            <w:r w:rsidRPr="00416799">
              <w:rPr>
                <w:sz w:val="22"/>
                <w:szCs w:val="22"/>
              </w:rPr>
              <w:t>43</w:t>
            </w:r>
          </w:p>
          <w:p w14:paraId="315AA0C0" w14:textId="77777777" w:rsidR="00F223ED" w:rsidRPr="00416799" w:rsidRDefault="00F223ED" w:rsidP="002C66FC">
            <w:pPr>
              <w:autoSpaceDE w:val="0"/>
              <w:autoSpaceDN w:val="0"/>
              <w:adjustRightInd w:val="0"/>
              <w:jc w:val="center"/>
              <w:rPr>
                <w:sz w:val="22"/>
                <w:szCs w:val="22"/>
              </w:rPr>
            </w:pPr>
            <w:r w:rsidRPr="00416799">
              <w:rPr>
                <w:sz w:val="22"/>
                <w:szCs w:val="22"/>
              </w:rPr>
              <w:t>40–48</w:t>
            </w:r>
          </w:p>
        </w:tc>
      </w:tr>
      <w:tr w:rsidR="00F223ED" w:rsidRPr="00B02007" w14:paraId="55933E2D" w14:textId="77777777" w:rsidTr="002C66FC">
        <w:trPr>
          <w:trHeight w:val="882"/>
        </w:trPr>
        <w:tc>
          <w:tcPr>
            <w:tcW w:w="3253" w:type="dxa"/>
            <w:tcBorders>
              <w:top w:val="nil"/>
              <w:left w:val="single" w:sz="4" w:space="0" w:color="000000"/>
              <w:bottom w:val="single" w:sz="4" w:space="0" w:color="000000"/>
              <w:right w:val="single" w:sz="4" w:space="0" w:color="000000"/>
            </w:tcBorders>
            <w:shd w:val="clear" w:color="auto" w:fill="auto"/>
          </w:tcPr>
          <w:p w14:paraId="2A866AAF" w14:textId="77777777" w:rsidR="00F223ED" w:rsidRPr="00416799" w:rsidRDefault="00F223ED" w:rsidP="002C66FC">
            <w:pPr>
              <w:autoSpaceDE w:val="0"/>
              <w:autoSpaceDN w:val="0"/>
              <w:adjustRightInd w:val="0"/>
              <w:rPr>
                <w:sz w:val="22"/>
                <w:szCs w:val="22"/>
              </w:rPr>
            </w:pPr>
            <w:r w:rsidRPr="00416799">
              <w:rPr>
                <w:sz w:val="22"/>
                <w:szCs w:val="22"/>
              </w:rPr>
              <w:t xml:space="preserve">Prilagođeni </w:t>
            </w:r>
            <w:r>
              <w:rPr>
                <w:sz w:val="22"/>
                <w:szCs w:val="22"/>
              </w:rPr>
              <w:t>indeks rizika</w:t>
            </w:r>
          </w:p>
          <w:p w14:paraId="01B77473" w14:textId="77777777" w:rsidR="00F223ED" w:rsidRPr="00416799" w:rsidRDefault="00F223ED" w:rsidP="002C66FC">
            <w:pPr>
              <w:autoSpaceDE w:val="0"/>
              <w:autoSpaceDN w:val="0"/>
              <w:adjustRightInd w:val="0"/>
              <w:rPr>
                <w:sz w:val="22"/>
                <w:szCs w:val="22"/>
              </w:rPr>
            </w:pPr>
            <w:r w:rsidRPr="00416799">
              <w:rPr>
                <w:sz w:val="22"/>
                <w:szCs w:val="22"/>
              </w:rPr>
              <w:t>95% CI p</w:t>
            </w:r>
            <w:r w:rsidRPr="00416799">
              <w:rPr>
                <w:sz w:val="22"/>
                <w:szCs w:val="22"/>
              </w:rPr>
              <w:noBreakHyphen/>
              <w:t>vrijednost</w:t>
            </w:r>
            <w:r w:rsidRPr="00416799">
              <w:rPr>
                <w:i/>
                <w:sz w:val="22"/>
                <w:szCs w:val="22"/>
                <w:vertAlign w:val="superscript"/>
              </w:rPr>
              <w:t>a</w:t>
            </w:r>
            <w:r w:rsidRPr="00416799">
              <w:rPr>
                <w:sz w:val="22"/>
                <w:szCs w:val="22"/>
              </w:rPr>
              <w:t xml:space="preserve"> </w:t>
            </w:r>
          </w:p>
        </w:tc>
        <w:tc>
          <w:tcPr>
            <w:tcW w:w="5453" w:type="dxa"/>
            <w:gridSpan w:val="2"/>
            <w:tcBorders>
              <w:top w:val="nil"/>
              <w:left w:val="single" w:sz="4" w:space="0" w:color="000000"/>
              <w:bottom w:val="single" w:sz="4" w:space="0" w:color="000000"/>
              <w:right w:val="single" w:sz="4" w:space="0" w:color="000000"/>
            </w:tcBorders>
            <w:shd w:val="clear" w:color="auto" w:fill="auto"/>
          </w:tcPr>
          <w:p w14:paraId="75FB0E14" w14:textId="77777777" w:rsidR="00F223ED" w:rsidRPr="00416799" w:rsidRDefault="00F223ED" w:rsidP="002C66FC">
            <w:pPr>
              <w:autoSpaceDE w:val="0"/>
              <w:autoSpaceDN w:val="0"/>
              <w:adjustRightInd w:val="0"/>
              <w:jc w:val="center"/>
              <w:rPr>
                <w:sz w:val="22"/>
                <w:szCs w:val="22"/>
              </w:rPr>
            </w:pPr>
            <w:r w:rsidRPr="00416799">
              <w:rPr>
                <w:sz w:val="22"/>
                <w:szCs w:val="22"/>
              </w:rPr>
              <w:t>0,76</w:t>
            </w:r>
          </w:p>
          <w:p w14:paraId="3B581F36" w14:textId="77777777" w:rsidR="00F223ED" w:rsidRPr="00416799" w:rsidRDefault="00F223ED" w:rsidP="002C66FC">
            <w:pPr>
              <w:autoSpaceDE w:val="0"/>
              <w:autoSpaceDN w:val="0"/>
              <w:adjustRightInd w:val="0"/>
              <w:jc w:val="center"/>
              <w:rPr>
                <w:sz w:val="22"/>
                <w:szCs w:val="22"/>
              </w:rPr>
            </w:pPr>
            <w:r w:rsidRPr="00416799">
              <w:rPr>
                <w:sz w:val="22"/>
                <w:szCs w:val="22"/>
              </w:rPr>
              <w:t>(0,62–0,92)</w:t>
            </w:r>
          </w:p>
          <w:p w14:paraId="3EB23475" w14:textId="77777777" w:rsidR="00F223ED" w:rsidRPr="00416799" w:rsidRDefault="00F223ED" w:rsidP="002C66FC">
            <w:pPr>
              <w:autoSpaceDE w:val="0"/>
              <w:autoSpaceDN w:val="0"/>
              <w:adjustRightInd w:val="0"/>
              <w:jc w:val="center"/>
              <w:rPr>
                <w:sz w:val="22"/>
                <w:szCs w:val="22"/>
              </w:rPr>
            </w:pPr>
            <w:r w:rsidRPr="00416799">
              <w:rPr>
                <w:sz w:val="22"/>
                <w:szCs w:val="22"/>
              </w:rPr>
              <w:t>0,005</w:t>
            </w:r>
          </w:p>
        </w:tc>
      </w:tr>
      <w:tr w:rsidR="00F223ED" w:rsidRPr="00B02007" w14:paraId="0251C3F3" w14:textId="77777777" w:rsidTr="002C66FC">
        <w:trPr>
          <w:trHeight w:val="851"/>
        </w:trPr>
        <w:tc>
          <w:tcPr>
            <w:tcW w:w="3253" w:type="dxa"/>
            <w:tcBorders>
              <w:top w:val="single" w:sz="4" w:space="0" w:color="000000"/>
              <w:left w:val="single" w:sz="4" w:space="0" w:color="000000"/>
              <w:bottom w:val="nil"/>
              <w:right w:val="single" w:sz="4" w:space="0" w:color="000000"/>
            </w:tcBorders>
            <w:shd w:val="clear" w:color="auto" w:fill="auto"/>
          </w:tcPr>
          <w:p w14:paraId="0CC51DBE" w14:textId="77777777" w:rsidR="00F223ED" w:rsidRPr="00416799" w:rsidRDefault="00F223ED" w:rsidP="002C66FC">
            <w:pPr>
              <w:autoSpaceDE w:val="0"/>
              <w:autoSpaceDN w:val="0"/>
              <w:adjustRightInd w:val="0"/>
              <w:rPr>
                <w:sz w:val="22"/>
                <w:szCs w:val="22"/>
              </w:rPr>
            </w:pPr>
            <w:r w:rsidRPr="00416799">
              <w:rPr>
                <w:sz w:val="22"/>
                <w:szCs w:val="22"/>
              </w:rPr>
              <w:t>Preživljavanje bez neuspjeha</w:t>
            </w:r>
            <w:r w:rsidRPr="00416799">
              <w:rPr>
                <w:i/>
                <w:sz w:val="22"/>
                <w:szCs w:val="22"/>
                <w:vertAlign w:val="superscript"/>
              </w:rPr>
              <w:t>b</w:t>
            </w:r>
            <w:r w:rsidRPr="00416799">
              <w:rPr>
                <w:sz w:val="22"/>
                <w:szCs w:val="22"/>
              </w:rPr>
              <w:t xml:space="preserve"> </w:t>
            </w:r>
          </w:p>
          <w:p w14:paraId="0112A9E4" w14:textId="77777777" w:rsidR="00F223ED" w:rsidRPr="00416799" w:rsidRDefault="00F223ED" w:rsidP="002C66FC">
            <w:pPr>
              <w:autoSpaceDE w:val="0"/>
              <w:autoSpaceDN w:val="0"/>
              <w:adjustRightInd w:val="0"/>
              <w:rPr>
                <w:sz w:val="22"/>
                <w:szCs w:val="22"/>
              </w:rPr>
            </w:pPr>
            <w:r w:rsidRPr="00416799">
              <w:rPr>
                <w:sz w:val="22"/>
                <w:szCs w:val="22"/>
              </w:rPr>
              <w:t xml:space="preserve">Medijana (mjeseci) </w:t>
            </w:r>
          </w:p>
          <w:p w14:paraId="440C3538" w14:textId="77777777" w:rsidR="00F223ED" w:rsidRPr="00416799" w:rsidRDefault="00F223ED" w:rsidP="002C66FC">
            <w:pPr>
              <w:autoSpaceDE w:val="0"/>
              <w:autoSpaceDN w:val="0"/>
              <w:adjustRightInd w:val="0"/>
              <w:rPr>
                <w:sz w:val="22"/>
                <w:szCs w:val="22"/>
              </w:rPr>
            </w:pPr>
            <w:r w:rsidRPr="00416799">
              <w:rPr>
                <w:sz w:val="22"/>
                <w:szCs w:val="22"/>
              </w:rPr>
              <w:t>95% CI</w:t>
            </w:r>
            <w:r w:rsidRPr="00416799">
              <w:rPr>
                <w:b/>
                <w:i/>
                <w:sz w:val="22"/>
                <w:szCs w:val="22"/>
              </w:rPr>
              <w:t xml:space="preserve"> </w:t>
            </w:r>
          </w:p>
        </w:tc>
        <w:tc>
          <w:tcPr>
            <w:tcW w:w="2943" w:type="dxa"/>
            <w:tcBorders>
              <w:top w:val="single" w:sz="4" w:space="0" w:color="000000"/>
              <w:left w:val="single" w:sz="4" w:space="0" w:color="000000"/>
              <w:bottom w:val="nil"/>
              <w:right w:val="single" w:sz="4" w:space="0" w:color="000000"/>
            </w:tcBorders>
            <w:shd w:val="clear" w:color="auto" w:fill="auto"/>
          </w:tcPr>
          <w:p w14:paraId="23627153" w14:textId="77777777" w:rsidR="00F223ED" w:rsidRPr="00416799" w:rsidRDefault="00F223ED" w:rsidP="002C66FC">
            <w:pPr>
              <w:autoSpaceDE w:val="0"/>
              <w:autoSpaceDN w:val="0"/>
              <w:adjustRightInd w:val="0"/>
              <w:jc w:val="center"/>
              <w:rPr>
                <w:sz w:val="22"/>
                <w:szCs w:val="22"/>
              </w:rPr>
            </w:pPr>
          </w:p>
          <w:p w14:paraId="12A24323" w14:textId="77777777" w:rsidR="00F223ED" w:rsidRPr="00416799" w:rsidRDefault="00F223ED" w:rsidP="002C66FC">
            <w:pPr>
              <w:autoSpaceDE w:val="0"/>
              <w:autoSpaceDN w:val="0"/>
              <w:adjustRightInd w:val="0"/>
              <w:jc w:val="center"/>
              <w:rPr>
                <w:sz w:val="22"/>
                <w:szCs w:val="22"/>
              </w:rPr>
            </w:pPr>
            <w:r w:rsidRPr="00416799">
              <w:rPr>
                <w:sz w:val="22"/>
                <w:szCs w:val="22"/>
              </w:rPr>
              <w:t>20,4</w:t>
            </w:r>
          </w:p>
          <w:p w14:paraId="75F66237" w14:textId="77777777" w:rsidR="00F223ED" w:rsidRPr="00416799" w:rsidRDefault="00F223ED" w:rsidP="002C66FC">
            <w:pPr>
              <w:autoSpaceDE w:val="0"/>
              <w:autoSpaceDN w:val="0"/>
              <w:adjustRightInd w:val="0"/>
              <w:jc w:val="center"/>
              <w:rPr>
                <w:sz w:val="22"/>
                <w:szCs w:val="22"/>
              </w:rPr>
            </w:pPr>
            <w:r w:rsidRPr="00416799">
              <w:rPr>
                <w:sz w:val="22"/>
                <w:szCs w:val="22"/>
              </w:rPr>
              <w:t>16,8–25,2</w:t>
            </w:r>
          </w:p>
        </w:tc>
        <w:tc>
          <w:tcPr>
            <w:tcW w:w="2510" w:type="dxa"/>
            <w:tcBorders>
              <w:top w:val="single" w:sz="4" w:space="0" w:color="000000"/>
              <w:left w:val="single" w:sz="4" w:space="0" w:color="000000"/>
              <w:bottom w:val="nil"/>
              <w:right w:val="single" w:sz="4" w:space="0" w:color="000000"/>
            </w:tcBorders>
            <w:shd w:val="clear" w:color="auto" w:fill="auto"/>
          </w:tcPr>
          <w:p w14:paraId="0822C348" w14:textId="77777777" w:rsidR="00F223ED" w:rsidRPr="00416799" w:rsidRDefault="00F223ED" w:rsidP="002C66FC">
            <w:pPr>
              <w:autoSpaceDE w:val="0"/>
              <w:autoSpaceDN w:val="0"/>
              <w:adjustRightInd w:val="0"/>
              <w:rPr>
                <w:sz w:val="22"/>
                <w:szCs w:val="22"/>
              </w:rPr>
            </w:pPr>
            <w:r w:rsidRPr="00416799">
              <w:rPr>
                <w:sz w:val="22"/>
                <w:szCs w:val="22"/>
              </w:rPr>
              <w:t xml:space="preserve"> </w:t>
            </w:r>
          </w:p>
          <w:p w14:paraId="38AA58D4" w14:textId="77777777" w:rsidR="00F223ED" w:rsidRPr="00416799" w:rsidRDefault="00F223ED" w:rsidP="002C66FC">
            <w:pPr>
              <w:autoSpaceDE w:val="0"/>
              <w:autoSpaceDN w:val="0"/>
              <w:adjustRightInd w:val="0"/>
              <w:rPr>
                <w:sz w:val="22"/>
                <w:szCs w:val="22"/>
              </w:rPr>
            </w:pPr>
            <w:r w:rsidRPr="00416799">
              <w:rPr>
                <w:sz w:val="22"/>
                <w:szCs w:val="22"/>
              </w:rPr>
              <w:t xml:space="preserve">12 </w:t>
            </w:r>
          </w:p>
          <w:p w14:paraId="7A1E9547" w14:textId="77777777" w:rsidR="00F223ED" w:rsidRPr="00416799" w:rsidRDefault="00F223ED" w:rsidP="002C66FC">
            <w:pPr>
              <w:autoSpaceDE w:val="0"/>
              <w:autoSpaceDN w:val="0"/>
              <w:adjustRightInd w:val="0"/>
              <w:rPr>
                <w:sz w:val="22"/>
                <w:szCs w:val="22"/>
              </w:rPr>
            </w:pPr>
            <w:r w:rsidRPr="00416799">
              <w:rPr>
                <w:sz w:val="22"/>
                <w:szCs w:val="22"/>
              </w:rPr>
              <w:t xml:space="preserve">9,6–12 </w:t>
            </w:r>
          </w:p>
        </w:tc>
      </w:tr>
      <w:tr w:rsidR="00F223ED" w:rsidRPr="00B02007" w14:paraId="40AE37EC" w14:textId="77777777" w:rsidTr="002C66FC">
        <w:trPr>
          <w:trHeight w:val="802"/>
        </w:trPr>
        <w:tc>
          <w:tcPr>
            <w:tcW w:w="3253" w:type="dxa"/>
            <w:tcBorders>
              <w:top w:val="nil"/>
              <w:left w:val="single" w:sz="4" w:space="0" w:color="000000"/>
              <w:bottom w:val="single" w:sz="4" w:space="0" w:color="000000"/>
              <w:right w:val="single" w:sz="4" w:space="0" w:color="000000"/>
            </w:tcBorders>
            <w:shd w:val="clear" w:color="auto" w:fill="auto"/>
          </w:tcPr>
          <w:p w14:paraId="15D6FE32" w14:textId="77777777" w:rsidR="00F223ED" w:rsidRPr="00416799" w:rsidRDefault="00F223ED" w:rsidP="002C66FC">
            <w:pPr>
              <w:autoSpaceDE w:val="0"/>
              <w:autoSpaceDN w:val="0"/>
              <w:adjustRightInd w:val="0"/>
              <w:rPr>
                <w:sz w:val="22"/>
                <w:szCs w:val="22"/>
              </w:rPr>
            </w:pPr>
            <w:r w:rsidRPr="00416799">
              <w:rPr>
                <w:sz w:val="22"/>
                <w:szCs w:val="22"/>
              </w:rPr>
              <w:t xml:space="preserve">Prilagođeni </w:t>
            </w:r>
            <w:r>
              <w:rPr>
                <w:sz w:val="22"/>
                <w:szCs w:val="22"/>
              </w:rPr>
              <w:t>indeks rizika</w:t>
            </w:r>
          </w:p>
          <w:p w14:paraId="73E2917D" w14:textId="77777777" w:rsidR="00F223ED" w:rsidRPr="00416799" w:rsidRDefault="00F223ED" w:rsidP="002C66FC">
            <w:pPr>
              <w:autoSpaceDE w:val="0"/>
              <w:autoSpaceDN w:val="0"/>
              <w:adjustRightInd w:val="0"/>
              <w:rPr>
                <w:sz w:val="22"/>
                <w:szCs w:val="22"/>
              </w:rPr>
            </w:pPr>
            <w:r w:rsidRPr="00416799">
              <w:rPr>
                <w:sz w:val="22"/>
                <w:szCs w:val="22"/>
              </w:rPr>
              <w:t>95% CI p</w:t>
            </w:r>
            <w:r w:rsidRPr="00416799">
              <w:rPr>
                <w:sz w:val="22"/>
                <w:szCs w:val="22"/>
              </w:rPr>
              <w:noBreakHyphen/>
              <w:t>vrijednost</w:t>
            </w:r>
            <w:r w:rsidRPr="00416799">
              <w:rPr>
                <w:i/>
                <w:sz w:val="22"/>
                <w:szCs w:val="22"/>
                <w:vertAlign w:val="superscript"/>
              </w:rPr>
              <w:t>a</w:t>
            </w:r>
            <w:r w:rsidRPr="00416799">
              <w:rPr>
                <w:sz w:val="22"/>
                <w:szCs w:val="22"/>
              </w:rPr>
              <w:t xml:space="preserve"> </w:t>
            </w:r>
          </w:p>
        </w:tc>
        <w:tc>
          <w:tcPr>
            <w:tcW w:w="5453" w:type="dxa"/>
            <w:gridSpan w:val="2"/>
            <w:tcBorders>
              <w:top w:val="nil"/>
              <w:left w:val="single" w:sz="4" w:space="0" w:color="000000"/>
              <w:bottom w:val="single" w:sz="4" w:space="0" w:color="000000"/>
              <w:right w:val="single" w:sz="4" w:space="0" w:color="000000"/>
            </w:tcBorders>
            <w:shd w:val="clear" w:color="auto" w:fill="auto"/>
          </w:tcPr>
          <w:p w14:paraId="55F46AA2" w14:textId="77777777" w:rsidR="00F223ED" w:rsidRPr="00416799" w:rsidRDefault="00F223ED" w:rsidP="002C66FC">
            <w:pPr>
              <w:autoSpaceDE w:val="0"/>
              <w:autoSpaceDN w:val="0"/>
              <w:adjustRightInd w:val="0"/>
              <w:jc w:val="center"/>
              <w:rPr>
                <w:sz w:val="22"/>
                <w:szCs w:val="22"/>
              </w:rPr>
            </w:pPr>
            <w:r w:rsidRPr="00416799">
              <w:rPr>
                <w:sz w:val="22"/>
                <w:szCs w:val="22"/>
              </w:rPr>
              <w:t>0,66</w:t>
            </w:r>
          </w:p>
          <w:p w14:paraId="1CABBD5E" w14:textId="77777777" w:rsidR="00F223ED" w:rsidRPr="00416799" w:rsidRDefault="00F223ED" w:rsidP="002C66FC">
            <w:pPr>
              <w:autoSpaceDE w:val="0"/>
              <w:autoSpaceDN w:val="0"/>
              <w:adjustRightInd w:val="0"/>
              <w:jc w:val="center"/>
              <w:rPr>
                <w:sz w:val="22"/>
                <w:szCs w:val="22"/>
              </w:rPr>
            </w:pPr>
            <w:r w:rsidRPr="00416799">
              <w:rPr>
                <w:sz w:val="22"/>
                <w:szCs w:val="22"/>
              </w:rPr>
              <w:t>(0,57–0,76)</w:t>
            </w:r>
          </w:p>
          <w:p w14:paraId="038C83F0" w14:textId="77777777" w:rsidR="00F223ED" w:rsidRPr="00416799" w:rsidRDefault="00F223ED" w:rsidP="002C66FC">
            <w:pPr>
              <w:autoSpaceDE w:val="0"/>
              <w:autoSpaceDN w:val="0"/>
              <w:adjustRightInd w:val="0"/>
              <w:jc w:val="center"/>
              <w:rPr>
                <w:sz w:val="22"/>
                <w:szCs w:val="22"/>
              </w:rPr>
            </w:pPr>
            <w:r w:rsidRPr="00416799">
              <w:rPr>
                <w:sz w:val="22"/>
                <w:szCs w:val="22"/>
              </w:rPr>
              <w:t>&lt; 0,001</w:t>
            </w:r>
          </w:p>
        </w:tc>
      </w:tr>
    </w:tbl>
    <w:p w14:paraId="76A4393D" w14:textId="77777777" w:rsidR="00F223ED" w:rsidRPr="00416799" w:rsidRDefault="00F223ED" w:rsidP="00F223ED">
      <w:pPr>
        <w:autoSpaceDE w:val="0"/>
        <w:autoSpaceDN w:val="0"/>
        <w:adjustRightInd w:val="0"/>
        <w:rPr>
          <w:sz w:val="22"/>
          <w:szCs w:val="22"/>
        </w:rPr>
      </w:pPr>
      <w:r w:rsidRPr="00416799">
        <w:rPr>
          <w:i/>
          <w:sz w:val="22"/>
          <w:szCs w:val="22"/>
          <w:vertAlign w:val="superscript"/>
        </w:rPr>
        <w:t>a</w:t>
      </w:r>
      <w:r w:rsidRPr="00416799">
        <w:rPr>
          <w:sz w:val="22"/>
          <w:szCs w:val="22"/>
        </w:rPr>
        <w:t>p-vrijednost izračunata iz testa odnosa vjerovatnoće i prilagođena za sve faktore stratifikacije (osim za centar i planiranu hormonsku terapiju) i stratifikovana prema periodu studije.</w:t>
      </w:r>
    </w:p>
    <w:p w14:paraId="1534D791" w14:textId="77777777" w:rsidR="00F223ED" w:rsidRPr="00416799" w:rsidRDefault="00F223ED" w:rsidP="00F223ED">
      <w:pPr>
        <w:autoSpaceDE w:val="0"/>
        <w:autoSpaceDN w:val="0"/>
        <w:adjustRightInd w:val="0"/>
        <w:rPr>
          <w:sz w:val="22"/>
          <w:szCs w:val="22"/>
        </w:rPr>
      </w:pPr>
      <w:r w:rsidRPr="00416799">
        <w:rPr>
          <w:i/>
          <w:sz w:val="22"/>
          <w:szCs w:val="22"/>
          <w:vertAlign w:val="superscript"/>
        </w:rPr>
        <w:t>b</w:t>
      </w:r>
      <w:r w:rsidRPr="00416799">
        <w:rPr>
          <w:rFonts w:eastAsiaTheme="minorEastAsia"/>
          <w:sz w:val="22"/>
          <w:szCs w:val="22"/>
        </w:rPr>
        <w:t xml:space="preserve"> </w:t>
      </w:r>
      <w:r w:rsidRPr="00416799">
        <w:rPr>
          <w:sz w:val="22"/>
          <w:szCs w:val="22"/>
        </w:rPr>
        <w:t>Preživljavanje bez neuspjeha: vrijeme od randomizacije do prvog dokaza barem jednog od sljedećeg: biohemijski neuspjeh (definisan kao rast PSA od 50% iznad najniže vrijednosti unutar 24 nedjelje i preko 4 ng/ml, potvrđen ponovnim testom ili liječenjem); lokalna progresija bolesti, u limfnim čvorovima ili u udaljenim metastazama; događaj povezan sa skeletnim sistemom; ili smrt zbog raka prostate.</w:t>
      </w:r>
    </w:p>
    <w:p w14:paraId="273E99A3" w14:textId="77777777" w:rsidR="00F223ED" w:rsidRPr="00416799" w:rsidRDefault="00F223ED" w:rsidP="00F223ED">
      <w:pPr>
        <w:autoSpaceDE w:val="0"/>
        <w:autoSpaceDN w:val="0"/>
        <w:adjustRightInd w:val="0"/>
        <w:rPr>
          <w:b/>
          <w:bCs/>
          <w:sz w:val="22"/>
          <w:szCs w:val="22"/>
        </w:rPr>
      </w:pPr>
    </w:p>
    <w:p w14:paraId="2798D264" w14:textId="77777777" w:rsidR="00F223ED" w:rsidRDefault="00F223ED" w:rsidP="00F223ED">
      <w:pPr>
        <w:autoSpaceDE w:val="0"/>
        <w:autoSpaceDN w:val="0"/>
        <w:adjustRightInd w:val="0"/>
        <w:rPr>
          <w:sz w:val="22"/>
          <w:szCs w:val="22"/>
        </w:rPr>
      </w:pPr>
      <w:r w:rsidRPr="00416799">
        <w:rPr>
          <w:i/>
          <w:sz w:val="22"/>
          <w:szCs w:val="22"/>
        </w:rPr>
        <w:t>Studija CHAARTED</w:t>
      </w:r>
    </w:p>
    <w:p w14:paraId="2CCC0771" w14:textId="77777777" w:rsidR="00F223ED" w:rsidRPr="00416799" w:rsidRDefault="00F223ED" w:rsidP="00F223ED">
      <w:pPr>
        <w:autoSpaceDE w:val="0"/>
        <w:autoSpaceDN w:val="0"/>
        <w:adjustRightInd w:val="0"/>
        <w:rPr>
          <w:i/>
          <w:sz w:val="22"/>
          <w:szCs w:val="22"/>
        </w:rPr>
      </w:pPr>
      <w:r w:rsidRPr="00416799">
        <w:rPr>
          <w:sz w:val="22"/>
          <w:szCs w:val="22"/>
        </w:rPr>
        <w:t>Bezbjednost i efikasnost docetaksela primijenjenog na početku terapije androgene deprivacije (ADT) kod pacijenata sa metastatskim karcinomom prostate osjetljivim na hormone procijenjene su u randomizovanoj multicentričnoj studiji faze III (CHAARTED). Ukupno 790 muških pacijenata bilo je podijeljeno u 2 terapijske grupe:</w:t>
      </w:r>
    </w:p>
    <w:p w14:paraId="2A464DF9"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Terapija androgene deprivacije (ADT) + docetaksel 75 mg/m² primijenjen na početku terapije ADT-om, na svake 3 nedjelje tokom 6 ciklusa.</w:t>
      </w:r>
    </w:p>
    <w:p w14:paraId="662A0DB7" w14:textId="77777777" w:rsidR="00F223ED" w:rsidRPr="00973003" w:rsidRDefault="00F223ED" w:rsidP="00F223ED">
      <w:pPr>
        <w:pStyle w:val="ListParagraph"/>
        <w:numPr>
          <w:ilvl w:val="0"/>
          <w:numId w:val="29"/>
        </w:numPr>
        <w:autoSpaceDE w:val="0"/>
        <w:autoSpaceDN w:val="0"/>
        <w:adjustRightInd w:val="0"/>
        <w:rPr>
          <w:rFonts w:ascii="Times New Roman" w:hAnsi="Times New Roman"/>
          <w:sz w:val="22"/>
          <w:szCs w:val="22"/>
        </w:rPr>
      </w:pPr>
      <w:r w:rsidRPr="00973003">
        <w:rPr>
          <w:rFonts w:ascii="Times New Roman" w:hAnsi="Times New Roman"/>
          <w:sz w:val="22"/>
          <w:szCs w:val="22"/>
        </w:rPr>
        <w:t>Samo terapija androgene deprivacije (ADT).</w:t>
      </w:r>
    </w:p>
    <w:p w14:paraId="765D1186" w14:textId="77777777" w:rsidR="00F223ED" w:rsidRPr="00F223ED" w:rsidRDefault="00F223ED" w:rsidP="00F223ED">
      <w:pPr>
        <w:autoSpaceDE w:val="0"/>
        <w:autoSpaceDN w:val="0"/>
        <w:adjustRightInd w:val="0"/>
        <w:rPr>
          <w:sz w:val="22"/>
          <w:szCs w:val="22"/>
          <w:lang w:val="de-DE"/>
        </w:rPr>
      </w:pPr>
    </w:p>
    <w:p w14:paraId="6B763F08" w14:textId="77777777" w:rsidR="00F223ED" w:rsidRPr="00F223ED" w:rsidRDefault="00F223ED" w:rsidP="00F223ED">
      <w:pPr>
        <w:autoSpaceDE w:val="0"/>
        <w:autoSpaceDN w:val="0"/>
        <w:adjustRightInd w:val="0"/>
        <w:rPr>
          <w:sz w:val="22"/>
          <w:szCs w:val="22"/>
          <w:lang w:val="de-DE"/>
        </w:rPr>
      </w:pPr>
      <w:r w:rsidRPr="00F223ED">
        <w:rPr>
          <w:sz w:val="22"/>
          <w:szCs w:val="22"/>
          <w:lang w:val="de-DE"/>
        </w:rPr>
        <w:t>Medijana ukupnog preživljavanja bila je značajno duža u grupi koja je primala docetaksel nego u grupi koja je primala terapiju androgene deprivacije (ADT), pri čemu je medijana ukupnog preživljavanja bila duža za 13,6 mjeseci uz dodatak docetaksela terapiji androgene deprivacije (ADT) (indeks rizika = 0,61; 95% interval pouzdanosti (CI) = 0,47-0,80; p=0,0003).</w:t>
      </w:r>
    </w:p>
    <w:p w14:paraId="325D11C4" w14:textId="77777777" w:rsidR="00F223ED" w:rsidRPr="00F223ED" w:rsidRDefault="00F223ED" w:rsidP="00F223ED">
      <w:pPr>
        <w:autoSpaceDE w:val="0"/>
        <w:autoSpaceDN w:val="0"/>
        <w:adjustRightInd w:val="0"/>
        <w:rPr>
          <w:sz w:val="22"/>
          <w:szCs w:val="22"/>
          <w:lang w:val="de-DE"/>
        </w:rPr>
      </w:pPr>
    </w:p>
    <w:p w14:paraId="377F496C" w14:textId="77777777" w:rsidR="00F223ED" w:rsidRPr="00F223ED" w:rsidRDefault="00F223ED" w:rsidP="00F223ED">
      <w:pPr>
        <w:autoSpaceDE w:val="0"/>
        <w:autoSpaceDN w:val="0"/>
        <w:adjustRightInd w:val="0"/>
        <w:rPr>
          <w:sz w:val="22"/>
          <w:szCs w:val="22"/>
          <w:lang w:val="de-DE"/>
        </w:rPr>
      </w:pPr>
      <w:r w:rsidRPr="00F223ED">
        <w:rPr>
          <w:sz w:val="22"/>
          <w:szCs w:val="22"/>
          <w:lang w:val="de-DE"/>
        </w:rPr>
        <w:t>Rezultati efikasnosti u grupi koja je primala docetaksel u odnosu na kontrolnu grupu prikazani su u sljedećoj tabeli:</w:t>
      </w:r>
    </w:p>
    <w:p w14:paraId="29307712" w14:textId="77777777" w:rsidR="00F223ED" w:rsidRPr="00F223ED" w:rsidRDefault="00F223ED" w:rsidP="00F223ED">
      <w:pPr>
        <w:autoSpaceDE w:val="0"/>
        <w:autoSpaceDN w:val="0"/>
        <w:adjustRightInd w:val="0"/>
        <w:rPr>
          <w:sz w:val="22"/>
          <w:szCs w:val="22"/>
          <w:lang w:val="de-DE"/>
        </w:rPr>
      </w:pPr>
    </w:p>
    <w:p w14:paraId="4354C847" w14:textId="77777777" w:rsidR="00F223ED" w:rsidRPr="00F223ED" w:rsidRDefault="00F223ED" w:rsidP="00F223ED">
      <w:pPr>
        <w:autoSpaceDE w:val="0"/>
        <w:autoSpaceDN w:val="0"/>
        <w:adjustRightInd w:val="0"/>
        <w:rPr>
          <w:sz w:val="22"/>
          <w:szCs w:val="22"/>
          <w:u w:val="single"/>
          <w:lang w:val="de-DE"/>
        </w:rPr>
      </w:pPr>
      <w:r w:rsidRPr="00F223ED">
        <w:rPr>
          <w:sz w:val="22"/>
          <w:szCs w:val="22"/>
          <w:u w:val="single"/>
          <w:lang w:val="de-DE"/>
        </w:rPr>
        <w:t>Efikasnost docetaksela i terapije androgene deprivacije (ADT) u liječenju pacijenata sa metastatskim karcinomom prostate osjetljivim na hormone (CHAARTED)</w:t>
      </w:r>
    </w:p>
    <w:p w14:paraId="2694245C" w14:textId="77777777" w:rsidR="00F223ED" w:rsidRPr="00F223ED" w:rsidRDefault="00F223ED" w:rsidP="00F223ED">
      <w:pPr>
        <w:autoSpaceDE w:val="0"/>
        <w:autoSpaceDN w:val="0"/>
        <w:adjustRightInd w:val="0"/>
        <w:rPr>
          <w:sz w:val="22"/>
          <w:szCs w:val="22"/>
          <w:lang w:val="de-DE"/>
        </w:rPr>
      </w:pPr>
    </w:p>
    <w:tbl>
      <w:tblPr>
        <w:tblW w:w="9286" w:type="dxa"/>
        <w:tblLayout w:type="fixed"/>
        <w:tblCellMar>
          <w:top w:w="26" w:type="dxa"/>
          <w:left w:w="107" w:type="dxa"/>
          <w:right w:w="115" w:type="dxa"/>
        </w:tblCellMar>
        <w:tblLook w:val="0400" w:firstRow="0" w:lastRow="0" w:firstColumn="0" w:lastColumn="0" w:noHBand="0" w:noVBand="1"/>
      </w:tblPr>
      <w:tblGrid>
        <w:gridCol w:w="4936"/>
        <w:gridCol w:w="2675"/>
        <w:gridCol w:w="1675"/>
      </w:tblGrid>
      <w:tr w:rsidR="00F223ED" w:rsidRPr="00B02007" w14:paraId="7EFCE8C1" w14:textId="77777777" w:rsidTr="002C66FC">
        <w:trPr>
          <w:cantSplit/>
          <w:trHeight w:val="455"/>
          <w:tblHeader/>
        </w:trPr>
        <w:tc>
          <w:tcPr>
            <w:tcW w:w="4936" w:type="dxa"/>
            <w:tcBorders>
              <w:top w:val="single" w:sz="4" w:space="0" w:color="000000"/>
              <w:left w:val="single" w:sz="4" w:space="0" w:color="000000"/>
              <w:bottom w:val="single" w:sz="4" w:space="0" w:color="000000"/>
              <w:right w:val="single" w:sz="4" w:space="0" w:color="000000"/>
            </w:tcBorders>
            <w:shd w:val="clear" w:color="auto" w:fill="auto"/>
          </w:tcPr>
          <w:p w14:paraId="1C43ABB9" w14:textId="77777777" w:rsidR="00F223ED" w:rsidRPr="00257A34" w:rsidRDefault="00F223ED" w:rsidP="002C66FC">
            <w:pPr>
              <w:autoSpaceDE w:val="0"/>
              <w:autoSpaceDN w:val="0"/>
              <w:adjustRightInd w:val="0"/>
              <w:rPr>
                <w:sz w:val="22"/>
                <w:szCs w:val="22"/>
              </w:rPr>
            </w:pPr>
            <w:r w:rsidRPr="00257A34">
              <w:rPr>
                <w:b/>
                <w:sz w:val="22"/>
                <w:szCs w:val="22"/>
              </w:rPr>
              <w:lastRenderedPageBreak/>
              <w:t xml:space="preserve">Krajnji ishod </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6B1FAAED" w14:textId="77777777" w:rsidR="00F223ED" w:rsidRPr="00257A34" w:rsidRDefault="00F223ED" w:rsidP="002C66FC">
            <w:pPr>
              <w:autoSpaceDE w:val="0"/>
              <w:autoSpaceDN w:val="0"/>
              <w:adjustRightInd w:val="0"/>
              <w:rPr>
                <w:sz w:val="22"/>
                <w:szCs w:val="22"/>
              </w:rPr>
            </w:pPr>
            <w:r w:rsidRPr="00257A34">
              <w:rPr>
                <w:b/>
                <w:sz w:val="22"/>
                <w:szCs w:val="22"/>
              </w:rPr>
              <w:t>Docetaksel</w:t>
            </w:r>
            <w:r w:rsidRPr="00257A34">
              <w:rPr>
                <w:b/>
                <w:i/>
                <w:sz w:val="22"/>
                <w:szCs w:val="22"/>
              </w:rPr>
              <w:t xml:space="preserve"> </w:t>
            </w:r>
            <w:r w:rsidRPr="00257A34">
              <w:rPr>
                <w:b/>
                <w:sz w:val="22"/>
                <w:szCs w:val="22"/>
              </w:rPr>
              <w:t>+ ADT</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8ED3451" w14:textId="77777777" w:rsidR="00F223ED" w:rsidRPr="00257A34" w:rsidRDefault="00F223ED" w:rsidP="002C66FC">
            <w:pPr>
              <w:autoSpaceDE w:val="0"/>
              <w:autoSpaceDN w:val="0"/>
              <w:adjustRightInd w:val="0"/>
              <w:rPr>
                <w:sz w:val="22"/>
                <w:szCs w:val="22"/>
              </w:rPr>
            </w:pPr>
            <w:r w:rsidRPr="00257A34">
              <w:rPr>
                <w:b/>
                <w:sz w:val="22"/>
                <w:szCs w:val="22"/>
              </w:rPr>
              <w:t>Samo ADT</w:t>
            </w:r>
          </w:p>
        </w:tc>
      </w:tr>
      <w:tr w:rsidR="00F223ED" w:rsidRPr="00B02007" w14:paraId="3EC366F1" w14:textId="77777777" w:rsidTr="002C66FC">
        <w:trPr>
          <w:trHeight w:val="1297"/>
        </w:trPr>
        <w:tc>
          <w:tcPr>
            <w:tcW w:w="4936" w:type="dxa"/>
            <w:tcBorders>
              <w:top w:val="single" w:sz="4" w:space="0" w:color="000000"/>
              <w:left w:val="single" w:sz="4" w:space="0" w:color="000000"/>
              <w:bottom w:val="single" w:sz="4" w:space="0" w:color="auto"/>
              <w:right w:val="single" w:sz="4" w:space="0" w:color="000000"/>
            </w:tcBorders>
            <w:shd w:val="clear" w:color="auto" w:fill="auto"/>
          </w:tcPr>
          <w:p w14:paraId="477A3271" w14:textId="77777777" w:rsidR="00F223ED" w:rsidRPr="00257A34" w:rsidRDefault="00F223ED" w:rsidP="002C66FC">
            <w:pPr>
              <w:autoSpaceDE w:val="0"/>
              <w:autoSpaceDN w:val="0"/>
              <w:adjustRightInd w:val="0"/>
              <w:rPr>
                <w:sz w:val="22"/>
                <w:szCs w:val="22"/>
              </w:rPr>
            </w:pPr>
            <w:r w:rsidRPr="00257A34">
              <w:rPr>
                <w:sz w:val="22"/>
                <w:szCs w:val="22"/>
              </w:rPr>
              <w:t>Broj pacijenata</w:t>
            </w:r>
          </w:p>
          <w:p w14:paraId="35EDFC7B" w14:textId="77777777" w:rsidR="00F223ED" w:rsidRPr="00257A34" w:rsidRDefault="00F223ED" w:rsidP="002C66FC">
            <w:pPr>
              <w:autoSpaceDE w:val="0"/>
              <w:autoSpaceDN w:val="0"/>
              <w:adjustRightInd w:val="0"/>
              <w:rPr>
                <w:sz w:val="22"/>
                <w:szCs w:val="22"/>
              </w:rPr>
            </w:pPr>
            <w:r w:rsidRPr="00257A34">
              <w:rPr>
                <w:sz w:val="22"/>
                <w:szCs w:val="22"/>
              </w:rPr>
              <w:t xml:space="preserve">Medijana ukupnog preživljavanja (mjeseci) </w:t>
            </w:r>
          </w:p>
          <w:p w14:paraId="05FBD5F3" w14:textId="77777777" w:rsidR="00F223ED" w:rsidRPr="00257A34" w:rsidRDefault="00F223ED" w:rsidP="002C66FC">
            <w:pPr>
              <w:autoSpaceDE w:val="0"/>
              <w:autoSpaceDN w:val="0"/>
              <w:adjustRightInd w:val="0"/>
              <w:rPr>
                <w:sz w:val="22"/>
                <w:szCs w:val="22"/>
              </w:rPr>
            </w:pPr>
            <w:r w:rsidRPr="00257A34">
              <w:rPr>
                <w:sz w:val="22"/>
                <w:szCs w:val="22"/>
              </w:rPr>
              <w:t>Svi pacijenti</w:t>
            </w:r>
          </w:p>
          <w:p w14:paraId="294B87E5" w14:textId="77777777" w:rsidR="00F223ED" w:rsidRPr="00257A34" w:rsidRDefault="00F223ED" w:rsidP="002C66FC">
            <w:pPr>
              <w:autoSpaceDE w:val="0"/>
              <w:autoSpaceDN w:val="0"/>
              <w:adjustRightInd w:val="0"/>
              <w:rPr>
                <w:b/>
                <w:i/>
                <w:sz w:val="22"/>
                <w:szCs w:val="22"/>
              </w:rPr>
            </w:pPr>
            <w:r w:rsidRPr="00257A34">
              <w:rPr>
                <w:b/>
                <w:i/>
                <w:sz w:val="22"/>
                <w:szCs w:val="22"/>
              </w:rPr>
              <w:t>95% CI</w:t>
            </w:r>
          </w:p>
          <w:p w14:paraId="51A93402" w14:textId="77777777" w:rsidR="00F223ED" w:rsidRPr="00257A34" w:rsidRDefault="00F223ED" w:rsidP="002C66FC">
            <w:pPr>
              <w:autoSpaceDE w:val="0"/>
              <w:autoSpaceDN w:val="0"/>
              <w:adjustRightInd w:val="0"/>
              <w:rPr>
                <w:sz w:val="22"/>
                <w:szCs w:val="22"/>
              </w:rPr>
            </w:pPr>
            <w:r w:rsidRPr="00257A34">
              <w:rPr>
                <w:sz w:val="22"/>
                <w:szCs w:val="22"/>
              </w:rPr>
              <w:t xml:space="preserve">Prilagođeni </w:t>
            </w:r>
            <w:r>
              <w:rPr>
                <w:sz w:val="22"/>
                <w:szCs w:val="22"/>
              </w:rPr>
              <w:t>indeks rizika</w:t>
            </w:r>
            <w:r w:rsidRPr="00257A34">
              <w:rPr>
                <w:sz w:val="22"/>
                <w:szCs w:val="22"/>
              </w:rPr>
              <w:t xml:space="preserve"> </w:t>
            </w:r>
          </w:p>
        </w:tc>
        <w:tc>
          <w:tcPr>
            <w:tcW w:w="2675" w:type="dxa"/>
            <w:tcBorders>
              <w:top w:val="single" w:sz="4" w:space="0" w:color="000000"/>
              <w:left w:val="single" w:sz="4" w:space="0" w:color="000000"/>
              <w:bottom w:val="single" w:sz="4" w:space="0" w:color="auto"/>
              <w:right w:val="single" w:sz="4" w:space="0" w:color="000000"/>
            </w:tcBorders>
            <w:shd w:val="clear" w:color="auto" w:fill="auto"/>
          </w:tcPr>
          <w:p w14:paraId="633D0611" w14:textId="77777777" w:rsidR="00F223ED" w:rsidRPr="00257A34" w:rsidRDefault="00F223ED" w:rsidP="002C66FC">
            <w:pPr>
              <w:autoSpaceDE w:val="0"/>
              <w:autoSpaceDN w:val="0"/>
              <w:adjustRightInd w:val="0"/>
              <w:jc w:val="center"/>
              <w:rPr>
                <w:sz w:val="22"/>
                <w:szCs w:val="22"/>
              </w:rPr>
            </w:pPr>
            <w:r w:rsidRPr="00257A34">
              <w:rPr>
                <w:sz w:val="22"/>
                <w:szCs w:val="22"/>
              </w:rPr>
              <w:t>397</w:t>
            </w:r>
          </w:p>
          <w:p w14:paraId="371EB61C" w14:textId="77777777" w:rsidR="00F223ED" w:rsidRPr="00257A34" w:rsidRDefault="00F223ED" w:rsidP="002C66FC">
            <w:pPr>
              <w:autoSpaceDE w:val="0"/>
              <w:autoSpaceDN w:val="0"/>
              <w:adjustRightInd w:val="0"/>
              <w:jc w:val="center"/>
              <w:rPr>
                <w:sz w:val="22"/>
                <w:szCs w:val="22"/>
              </w:rPr>
            </w:pPr>
          </w:p>
          <w:p w14:paraId="303D1448" w14:textId="77777777" w:rsidR="00F223ED" w:rsidRPr="00257A34" w:rsidRDefault="00F223ED" w:rsidP="002C66FC">
            <w:pPr>
              <w:autoSpaceDE w:val="0"/>
              <w:autoSpaceDN w:val="0"/>
              <w:adjustRightInd w:val="0"/>
              <w:jc w:val="center"/>
              <w:rPr>
                <w:sz w:val="22"/>
                <w:szCs w:val="22"/>
              </w:rPr>
            </w:pPr>
            <w:r w:rsidRPr="00257A34">
              <w:rPr>
                <w:sz w:val="22"/>
                <w:szCs w:val="22"/>
              </w:rPr>
              <w:t>57,6</w:t>
            </w:r>
          </w:p>
          <w:p w14:paraId="323FEC44" w14:textId="77777777" w:rsidR="00F223ED" w:rsidRPr="00257A34" w:rsidRDefault="00F223ED" w:rsidP="002C66FC">
            <w:pPr>
              <w:autoSpaceDE w:val="0"/>
              <w:autoSpaceDN w:val="0"/>
              <w:adjustRightInd w:val="0"/>
              <w:jc w:val="center"/>
              <w:rPr>
                <w:sz w:val="22"/>
                <w:szCs w:val="22"/>
              </w:rPr>
            </w:pPr>
            <w:r w:rsidRPr="00257A34">
              <w:rPr>
                <w:sz w:val="22"/>
                <w:szCs w:val="22"/>
              </w:rPr>
              <w:t>49,1–72,8</w:t>
            </w:r>
          </w:p>
          <w:p w14:paraId="5957CBF0" w14:textId="77777777" w:rsidR="00F223ED" w:rsidRPr="00257A34" w:rsidRDefault="00F223ED" w:rsidP="002C66FC">
            <w:pPr>
              <w:autoSpaceDE w:val="0"/>
              <w:autoSpaceDN w:val="0"/>
              <w:adjustRightInd w:val="0"/>
              <w:jc w:val="center"/>
              <w:rPr>
                <w:sz w:val="22"/>
                <w:szCs w:val="22"/>
              </w:rPr>
            </w:pPr>
            <w:r w:rsidRPr="00257A34">
              <w:rPr>
                <w:sz w:val="22"/>
                <w:szCs w:val="22"/>
              </w:rPr>
              <w:t>0,61</w:t>
            </w:r>
          </w:p>
        </w:tc>
        <w:tc>
          <w:tcPr>
            <w:tcW w:w="1675" w:type="dxa"/>
            <w:tcBorders>
              <w:top w:val="single" w:sz="4" w:space="0" w:color="000000"/>
              <w:left w:val="single" w:sz="4" w:space="0" w:color="000000"/>
              <w:bottom w:val="single" w:sz="4" w:space="0" w:color="auto"/>
              <w:right w:val="single" w:sz="4" w:space="0" w:color="000000"/>
            </w:tcBorders>
            <w:shd w:val="clear" w:color="auto" w:fill="auto"/>
          </w:tcPr>
          <w:p w14:paraId="18378ADC" w14:textId="77777777" w:rsidR="00F223ED" w:rsidRPr="00257A34" w:rsidRDefault="00F223ED" w:rsidP="002C66FC">
            <w:pPr>
              <w:autoSpaceDE w:val="0"/>
              <w:autoSpaceDN w:val="0"/>
              <w:adjustRightInd w:val="0"/>
              <w:jc w:val="center"/>
              <w:rPr>
                <w:sz w:val="22"/>
                <w:szCs w:val="22"/>
              </w:rPr>
            </w:pPr>
            <w:r w:rsidRPr="00257A34">
              <w:rPr>
                <w:sz w:val="22"/>
                <w:szCs w:val="22"/>
              </w:rPr>
              <w:t>393</w:t>
            </w:r>
          </w:p>
          <w:p w14:paraId="25D6D724" w14:textId="77777777" w:rsidR="00F223ED" w:rsidRPr="00257A34" w:rsidRDefault="00F223ED" w:rsidP="002C66FC">
            <w:pPr>
              <w:autoSpaceDE w:val="0"/>
              <w:autoSpaceDN w:val="0"/>
              <w:adjustRightInd w:val="0"/>
              <w:jc w:val="center"/>
              <w:rPr>
                <w:sz w:val="22"/>
                <w:szCs w:val="22"/>
              </w:rPr>
            </w:pPr>
          </w:p>
          <w:p w14:paraId="3E0842EA" w14:textId="77777777" w:rsidR="00F223ED" w:rsidRPr="00257A34" w:rsidRDefault="00F223ED" w:rsidP="002C66FC">
            <w:pPr>
              <w:autoSpaceDE w:val="0"/>
              <w:autoSpaceDN w:val="0"/>
              <w:adjustRightInd w:val="0"/>
              <w:jc w:val="center"/>
              <w:rPr>
                <w:sz w:val="22"/>
                <w:szCs w:val="22"/>
              </w:rPr>
            </w:pPr>
            <w:r w:rsidRPr="00257A34">
              <w:rPr>
                <w:sz w:val="22"/>
                <w:szCs w:val="22"/>
              </w:rPr>
              <w:t>44,0</w:t>
            </w:r>
          </w:p>
          <w:p w14:paraId="5DFBE5BF" w14:textId="77777777" w:rsidR="00F223ED" w:rsidRPr="00257A34" w:rsidRDefault="00F223ED" w:rsidP="002C66FC">
            <w:pPr>
              <w:autoSpaceDE w:val="0"/>
              <w:autoSpaceDN w:val="0"/>
              <w:adjustRightInd w:val="0"/>
              <w:jc w:val="center"/>
              <w:rPr>
                <w:sz w:val="22"/>
                <w:szCs w:val="22"/>
              </w:rPr>
            </w:pPr>
            <w:r w:rsidRPr="00257A34">
              <w:rPr>
                <w:sz w:val="22"/>
                <w:szCs w:val="22"/>
              </w:rPr>
              <w:t>34,4–49,1</w:t>
            </w:r>
          </w:p>
          <w:p w14:paraId="23A9A8F4"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1912B34B" w14:textId="77777777" w:rsidTr="002C66FC">
        <w:trPr>
          <w:trHeight w:val="231"/>
        </w:trPr>
        <w:tc>
          <w:tcPr>
            <w:tcW w:w="4936" w:type="dxa"/>
            <w:tcBorders>
              <w:top w:val="single" w:sz="4" w:space="0" w:color="auto"/>
              <w:left w:val="single" w:sz="4" w:space="0" w:color="000000"/>
              <w:bottom w:val="nil"/>
              <w:right w:val="single" w:sz="4" w:space="0" w:color="000000"/>
            </w:tcBorders>
            <w:shd w:val="clear" w:color="auto" w:fill="auto"/>
          </w:tcPr>
          <w:p w14:paraId="6950FE45"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tc>
        <w:tc>
          <w:tcPr>
            <w:tcW w:w="2675" w:type="dxa"/>
            <w:tcBorders>
              <w:top w:val="single" w:sz="4" w:space="0" w:color="auto"/>
              <w:left w:val="single" w:sz="4" w:space="0" w:color="000000"/>
              <w:bottom w:val="nil"/>
              <w:right w:val="single" w:sz="4" w:space="0" w:color="000000"/>
            </w:tcBorders>
            <w:shd w:val="clear" w:color="auto" w:fill="auto"/>
          </w:tcPr>
          <w:p w14:paraId="63378B49" w14:textId="77777777" w:rsidR="00F223ED" w:rsidRPr="00257A34" w:rsidRDefault="00F223ED" w:rsidP="002C66FC">
            <w:pPr>
              <w:autoSpaceDE w:val="0"/>
              <w:autoSpaceDN w:val="0"/>
              <w:adjustRightInd w:val="0"/>
              <w:jc w:val="center"/>
              <w:rPr>
                <w:sz w:val="22"/>
                <w:szCs w:val="22"/>
              </w:rPr>
            </w:pPr>
            <w:r w:rsidRPr="00257A34">
              <w:rPr>
                <w:sz w:val="22"/>
                <w:szCs w:val="22"/>
              </w:rPr>
              <w:t>(0,47–0,80)</w:t>
            </w:r>
          </w:p>
        </w:tc>
        <w:tc>
          <w:tcPr>
            <w:tcW w:w="1675" w:type="dxa"/>
            <w:tcBorders>
              <w:top w:val="single" w:sz="4" w:space="0" w:color="auto"/>
              <w:left w:val="single" w:sz="4" w:space="0" w:color="000000"/>
              <w:bottom w:val="nil"/>
              <w:right w:val="single" w:sz="4" w:space="0" w:color="000000"/>
            </w:tcBorders>
            <w:shd w:val="clear" w:color="auto" w:fill="auto"/>
          </w:tcPr>
          <w:p w14:paraId="64E750C6"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59712EC9" w14:textId="77777777" w:rsidTr="002C66FC">
        <w:trPr>
          <w:trHeight w:val="313"/>
        </w:trPr>
        <w:tc>
          <w:tcPr>
            <w:tcW w:w="4936" w:type="dxa"/>
            <w:tcBorders>
              <w:top w:val="nil"/>
              <w:left w:val="single" w:sz="4" w:space="0" w:color="000000"/>
              <w:bottom w:val="single" w:sz="4" w:space="0" w:color="000000"/>
              <w:right w:val="single" w:sz="4" w:space="0" w:color="000000"/>
            </w:tcBorders>
            <w:shd w:val="clear" w:color="auto" w:fill="auto"/>
          </w:tcPr>
          <w:p w14:paraId="7D750548" w14:textId="77777777" w:rsidR="00F223ED" w:rsidRPr="00257A34" w:rsidRDefault="00F223ED" w:rsidP="002C66FC">
            <w:pPr>
              <w:autoSpaceDE w:val="0"/>
              <w:autoSpaceDN w:val="0"/>
              <w:adjustRightInd w:val="0"/>
              <w:rPr>
                <w:sz w:val="22"/>
                <w:szCs w:val="22"/>
              </w:rPr>
            </w:pPr>
            <w:r w:rsidRPr="00257A34">
              <w:rPr>
                <w:sz w:val="22"/>
                <w:szCs w:val="22"/>
              </w:rPr>
              <w:t>p-vrijednost</w:t>
            </w:r>
            <w:r w:rsidRPr="00257A34">
              <w:rPr>
                <w:i/>
                <w:sz w:val="22"/>
                <w:szCs w:val="22"/>
                <w:vertAlign w:val="superscript"/>
              </w:rPr>
              <w:t>a</w:t>
            </w:r>
            <w:r w:rsidRPr="00257A34">
              <w:rPr>
                <w:sz w:val="22"/>
                <w:szCs w:val="22"/>
              </w:rPr>
              <w:t xml:space="preserve"> </w:t>
            </w:r>
          </w:p>
        </w:tc>
        <w:tc>
          <w:tcPr>
            <w:tcW w:w="2675" w:type="dxa"/>
            <w:tcBorders>
              <w:top w:val="nil"/>
              <w:left w:val="single" w:sz="4" w:space="0" w:color="000000"/>
              <w:bottom w:val="single" w:sz="4" w:space="0" w:color="000000"/>
              <w:right w:val="single" w:sz="4" w:space="0" w:color="000000"/>
            </w:tcBorders>
            <w:shd w:val="clear" w:color="auto" w:fill="auto"/>
          </w:tcPr>
          <w:p w14:paraId="0D588E79" w14:textId="77777777" w:rsidR="00F223ED" w:rsidRPr="00257A34" w:rsidRDefault="00F223ED" w:rsidP="002C66FC">
            <w:pPr>
              <w:autoSpaceDE w:val="0"/>
              <w:autoSpaceDN w:val="0"/>
              <w:adjustRightInd w:val="0"/>
              <w:jc w:val="center"/>
              <w:rPr>
                <w:sz w:val="22"/>
                <w:szCs w:val="22"/>
              </w:rPr>
            </w:pPr>
            <w:r w:rsidRPr="00257A34">
              <w:rPr>
                <w:sz w:val="22"/>
                <w:szCs w:val="22"/>
              </w:rPr>
              <w:t>0,0003</w:t>
            </w:r>
          </w:p>
        </w:tc>
        <w:tc>
          <w:tcPr>
            <w:tcW w:w="1675" w:type="dxa"/>
            <w:tcBorders>
              <w:top w:val="nil"/>
              <w:left w:val="single" w:sz="4" w:space="0" w:color="000000"/>
              <w:bottom w:val="single" w:sz="4" w:space="0" w:color="000000"/>
              <w:right w:val="single" w:sz="4" w:space="0" w:color="000000"/>
            </w:tcBorders>
            <w:shd w:val="clear" w:color="auto" w:fill="auto"/>
          </w:tcPr>
          <w:p w14:paraId="195E806A"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54B57DAB" w14:textId="77777777" w:rsidTr="002C66FC">
        <w:trPr>
          <w:trHeight w:val="1552"/>
        </w:trPr>
        <w:tc>
          <w:tcPr>
            <w:tcW w:w="4936" w:type="dxa"/>
            <w:tcBorders>
              <w:top w:val="single" w:sz="4" w:space="0" w:color="000000"/>
              <w:left w:val="single" w:sz="4" w:space="0" w:color="000000"/>
              <w:bottom w:val="single" w:sz="4" w:space="0" w:color="000000"/>
              <w:right w:val="single" w:sz="4" w:space="0" w:color="000000"/>
            </w:tcBorders>
            <w:shd w:val="clear" w:color="auto" w:fill="auto"/>
          </w:tcPr>
          <w:p w14:paraId="661CAB69" w14:textId="77777777" w:rsidR="00F223ED" w:rsidRPr="00257A34" w:rsidRDefault="00F223ED" w:rsidP="002C66FC">
            <w:pPr>
              <w:autoSpaceDE w:val="0"/>
              <w:autoSpaceDN w:val="0"/>
              <w:adjustRightInd w:val="0"/>
              <w:rPr>
                <w:sz w:val="22"/>
                <w:szCs w:val="22"/>
              </w:rPr>
            </w:pPr>
            <w:r w:rsidRPr="00257A34">
              <w:rPr>
                <w:sz w:val="22"/>
                <w:szCs w:val="22"/>
              </w:rPr>
              <w:t>Preživljavanje bez napretka</w:t>
            </w:r>
          </w:p>
          <w:p w14:paraId="74E8C58A" w14:textId="77777777" w:rsidR="00F223ED" w:rsidRPr="00257A34" w:rsidRDefault="00F223ED" w:rsidP="002C66FC">
            <w:pPr>
              <w:autoSpaceDE w:val="0"/>
              <w:autoSpaceDN w:val="0"/>
              <w:adjustRightInd w:val="0"/>
              <w:rPr>
                <w:sz w:val="22"/>
                <w:szCs w:val="22"/>
              </w:rPr>
            </w:pPr>
            <w:r w:rsidRPr="00257A34">
              <w:rPr>
                <w:sz w:val="22"/>
                <w:szCs w:val="22"/>
              </w:rPr>
              <w:t>Medijana (mjeseci)</w:t>
            </w:r>
          </w:p>
          <w:p w14:paraId="20EF3CA4" w14:textId="77777777" w:rsidR="00F223ED" w:rsidRPr="00257A34" w:rsidRDefault="00F223ED" w:rsidP="002C66FC">
            <w:pPr>
              <w:autoSpaceDE w:val="0"/>
              <w:autoSpaceDN w:val="0"/>
              <w:adjustRightInd w:val="0"/>
              <w:rPr>
                <w:sz w:val="22"/>
                <w:szCs w:val="22"/>
              </w:rPr>
            </w:pPr>
            <w:r w:rsidRPr="00257A34">
              <w:rPr>
                <w:sz w:val="22"/>
                <w:szCs w:val="22"/>
              </w:rPr>
              <w:t>95% CI</w:t>
            </w:r>
          </w:p>
          <w:p w14:paraId="14F61CA6" w14:textId="77777777" w:rsidR="00F223ED" w:rsidRPr="00257A34" w:rsidRDefault="00F223ED" w:rsidP="002C66FC">
            <w:pPr>
              <w:autoSpaceDE w:val="0"/>
              <w:autoSpaceDN w:val="0"/>
              <w:adjustRightInd w:val="0"/>
              <w:rPr>
                <w:sz w:val="22"/>
                <w:szCs w:val="22"/>
              </w:rPr>
            </w:pPr>
            <w:r w:rsidRPr="00257A34">
              <w:rPr>
                <w:sz w:val="22"/>
                <w:szCs w:val="22"/>
              </w:rPr>
              <w:t xml:space="preserve">Prilagođeni </w:t>
            </w:r>
            <w:r>
              <w:rPr>
                <w:sz w:val="22"/>
                <w:szCs w:val="22"/>
              </w:rPr>
              <w:t>indeks rizika</w:t>
            </w:r>
          </w:p>
          <w:p w14:paraId="40B5C134" w14:textId="77777777" w:rsidR="00F223ED" w:rsidRPr="00257A34" w:rsidRDefault="00F223ED" w:rsidP="002C66FC">
            <w:pPr>
              <w:autoSpaceDE w:val="0"/>
              <w:autoSpaceDN w:val="0"/>
              <w:adjustRightInd w:val="0"/>
              <w:rPr>
                <w:sz w:val="22"/>
                <w:szCs w:val="22"/>
              </w:rPr>
            </w:pPr>
            <w:r w:rsidRPr="00257A34">
              <w:rPr>
                <w:sz w:val="22"/>
                <w:szCs w:val="22"/>
              </w:rPr>
              <w:t>95% CI</w:t>
            </w:r>
          </w:p>
          <w:p w14:paraId="17C1CAE0" w14:textId="77777777" w:rsidR="00F223ED" w:rsidRPr="00257A34" w:rsidRDefault="00F223ED" w:rsidP="002C66FC">
            <w:pPr>
              <w:autoSpaceDE w:val="0"/>
              <w:autoSpaceDN w:val="0"/>
              <w:adjustRightInd w:val="0"/>
              <w:rPr>
                <w:sz w:val="22"/>
                <w:szCs w:val="22"/>
              </w:rPr>
            </w:pPr>
            <w:r w:rsidRPr="00257A34">
              <w:rPr>
                <w:sz w:val="22"/>
                <w:szCs w:val="22"/>
              </w:rPr>
              <w:t xml:space="preserve">p-vrijednost* </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0090A4D5" w14:textId="77777777" w:rsidR="00F223ED" w:rsidRPr="00257A34" w:rsidRDefault="00F223ED" w:rsidP="002C66FC">
            <w:pPr>
              <w:autoSpaceDE w:val="0"/>
              <w:autoSpaceDN w:val="0"/>
              <w:adjustRightInd w:val="0"/>
              <w:jc w:val="center"/>
              <w:rPr>
                <w:sz w:val="22"/>
                <w:szCs w:val="22"/>
              </w:rPr>
            </w:pPr>
          </w:p>
          <w:p w14:paraId="48102E5C" w14:textId="77777777" w:rsidR="00F223ED" w:rsidRPr="00257A34" w:rsidRDefault="00F223ED" w:rsidP="002C66FC">
            <w:pPr>
              <w:autoSpaceDE w:val="0"/>
              <w:autoSpaceDN w:val="0"/>
              <w:adjustRightInd w:val="0"/>
              <w:jc w:val="center"/>
              <w:rPr>
                <w:sz w:val="22"/>
                <w:szCs w:val="22"/>
              </w:rPr>
            </w:pPr>
            <w:r w:rsidRPr="00257A34">
              <w:rPr>
                <w:sz w:val="22"/>
                <w:szCs w:val="22"/>
              </w:rPr>
              <w:t>19,8</w:t>
            </w:r>
          </w:p>
          <w:p w14:paraId="2FCF54FE" w14:textId="77777777" w:rsidR="00F223ED" w:rsidRPr="00257A34" w:rsidRDefault="00F223ED" w:rsidP="002C66FC">
            <w:pPr>
              <w:autoSpaceDE w:val="0"/>
              <w:autoSpaceDN w:val="0"/>
              <w:adjustRightInd w:val="0"/>
              <w:jc w:val="center"/>
              <w:rPr>
                <w:sz w:val="22"/>
                <w:szCs w:val="22"/>
              </w:rPr>
            </w:pPr>
            <w:r w:rsidRPr="00257A34">
              <w:rPr>
                <w:sz w:val="22"/>
                <w:szCs w:val="22"/>
              </w:rPr>
              <w:t>16,7–22,8</w:t>
            </w:r>
          </w:p>
          <w:p w14:paraId="3FFC63D9" w14:textId="77777777" w:rsidR="00F223ED" w:rsidRPr="00257A34" w:rsidRDefault="00F223ED" w:rsidP="002C66FC">
            <w:pPr>
              <w:autoSpaceDE w:val="0"/>
              <w:autoSpaceDN w:val="0"/>
              <w:adjustRightInd w:val="0"/>
              <w:jc w:val="center"/>
              <w:rPr>
                <w:sz w:val="22"/>
                <w:szCs w:val="22"/>
              </w:rPr>
            </w:pPr>
            <w:r w:rsidRPr="00257A34">
              <w:rPr>
                <w:sz w:val="22"/>
                <w:szCs w:val="22"/>
              </w:rPr>
              <w:t>0,60</w:t>
            </w:r>
          </w:p>
          <w:p w14:paraId="508F51ED" w14:textId="77777777" w:rsidR="00F223ED" w:rsidRPr="00257A34" w:rsidRDefault="00F223ED" w:rsidP="002C66FC">
            <w:pPr>
              <w:autoSpaceDE w:val="0"/>
              <w:autoSpaceDN w:val="0"/>
              <w:adjustRightInd w:val="0"/>
              <w:jc w:val="center"/>
              <w:rPr>
                <w:sz w:val="22"/>
                <w:szCs w:val="22"/>
              </w:rPr>
            </w:pPr>
            <w:r w:rsidRPr="00257A34">
              <w:rPr>
                <w:sz w:val="22"/>
                <w:szCs w:val="22"/>
              </w:rPr>
              <w:t>0,51–0,72</w:t>
            </w:r>
          </w:p>
          <w:p w14:paraId="2546BFA0" w14:textId="77777777" w:rsidR="00F223ED" w:rsidRPr="00257A34" w:rsidRDefault="00F223ED" w:rsidP="002C66FC">
            <w:pPr>
              <w:autoSpaceDE w:val="0"/>
              <w:autoSpaceDN w:val="0"/>
              <w:adjustRightInd w:val="0"/>
              <w:jc w:val="center"/>
              <w:rPr>
                <w:sz w:val="22"/>
                <w:szCs w:val="22"/>
              </w:rPr>
            </w:pPr>
            <w:r w:rsidRPr="00257A34">
              <w:rPr>
                <w:sz w:val="22"/>
                <w:szCs w:val="22"/>
              </w:rPr>
              <w:t>P</w:t>
            </w:r>
            <w:r>
              <w:rPr>
                <w:sz w:val="22"/>
                <w:szCs w:val="22"/>
              </w:rPr>
              <w:t xml:space="preserve"> </w:t>
            </w:r>
            <w:r w:rsidRPr="00257A34">
              <w:rPr>
                <w:sz w:val="22"/>
                <w:szCs w:val="22"/>
              </w:rPr>
              <w:t>&lt;</w:t>
            </w:r>
            <w:r>
              <w:rPr>
                <w:sz w:val="22"/>
                <w:szCs w:val="22"/>
              </w:rPr>
              <w:t xml:space="preserve"> </w:t>
            </w:r>
            <w:r w:rsidRPr="00257A34">
              <w:rPr>
                <w:sz w:val="22"/>
                <w:szCs w:val="22"/>
              </w:rPr>
              <w:t>0,0001</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26321E64" w14:textId="77777777" w:rsidR="00F223ED" w:rsidRPr="00257A34" w:rsidRDefault="00F223ED" w:rsidP="002C66FC">
            <w:pPr>
              <w:autoSpaceDE w:val="0"/>
              <w:autoSpaceDN w:val="0"/>
              <w:adjustRightInd w:val="0"/>
              <w:jc w:val="center"/>
              <w:rPr>
                <w:sz w:val="22"/>
                <w:szCs w:val="22"/>
              </w:rPr>
            </w:pPr>
          </w:p>
          <w:p w14:paraId="6BC49DD2" w14:textId="77777777" w:rsidR="00F223ED" w:rsidRPr="00257A34" w:rsidRDefault="00F223ED" w:rsidP="002C66FC">
            <w:pPr>
              <w:autoSpaceDE w:val="0"/>
              <w:autoSpaceDN w:val="0"/>
              <w:adjustRightInd w:val="0"/>
              <w:jc w:val="center"/>
              <w:rPr>
                <w:sz w:val="22"/>
                <w:szCs w:val="22"/>
              </w:rPr>
            </w:pPr>
            <w:r w:rsidRPr="00257A34">
              <w:rPr>
                <w:sz w:val="22"/>
                <w:szCs w:val="22"/>
              </w:rPr>
              <w:t>11,6</w:t>
            </w:r>
          </w:p>
          <w:p w14:paraId="70E763AB" w14:textId="77777777" w:rsidR="00F223ED" w:rsidRPr="00257A34" w:rsidRDefault="00F223ED" w:rsidP="002C66FC">
            <w:pPr>
              <w:autoSpaceDE w:val="0"/>
              <w:autoSpaceDN w:val="0"/>
              <w:adjustRightInd w:val="0"/>
              <w:jc w:val="center"/>
              <w:rPr>
                <w:sz w:val="22"/>
                <w:szCs w:val="22"/>
              </w:rPr>
            </w:pPr>
            <w:r w:rsidRPr="00257A34">
              <w:rPr>
                <w:sz w:val="22"/>
                <w:szCs w:val="22"/>
              </w:rPr>
              <w:t>10,8–14,3</w:t>
            </w:r>
          </w:p>
          <w:p w14:paraId="77E783FD" w14:textId="77777777" w:rsidR="00F223ED" w:rsidRPr="00257A34" w:rsidRDefault="00F223ED" w:rsidP="002C66FC">
            <w:pPr>
              <w:autoSpaceDE w:val="0"/>
              <w:autoSpaceDN w:val="0"/>
              <w:adjustRightInd w:val="0"/>
              <w:jc w:val="center"/>
              <w:rPr>
                <w:sz w:val="22"/>
                <w:szCs w:val="22"/>
              </w:rPr>
            </w:pPr>
            <w:r w:rsidRPr="00257A34">
              <w:rPr>
                <w:sz w:val="22"/>
                <w:szCs w:val="22"/>
              </w:rPr>
              <w:t>--</w:t>
            </w:r>
          </w:p>
          <w:p w14:paraId="07BF7E45" w14:textId="77777777" w:rsidR="00F223ED" w:rsidRPr="00257A34" w:rsidRDefault="00F223ED" w:rsidP="002C66FC">
            <w:pPr>
              <w:autoSpaceDE w:val="0"/>
              <w:autoSpaceDN w:val="0"/>
              <w:adjustRightInd w:val="0"/>
              <w:jc w:val="center"/>
              <w:rPr>
                <w:sz w:val="22"/>
                <w:szCs w:val="22"/>
              </w:rPr>
            </w:pPr>
            <w:r w:rsidRPr="00257A34">
              <w:rPr>
                <w:sz w:val="22"/>
                <w:szCs w:val="22"/>
              </w:rPr>
              <w:t>--</w:t>
            </w:r>
          </w:p>
          <w:p w14:paraId="585BCC32"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4B5173C5" w14:textId="77777777" w:rsidTr="002C66FC">
        <w:trPr>
          <w:trHeight w:val="576"/>
        </w:trPr>
        <w:tc>
          <w:tcPr>
            <w:tcW w:w="4936" w:type="dxa"/>
            <w:tcBorders>
              <w:top w:val="single" w:sz="4" w:space="0" w:color="000000"/>
              <w:left w:val="single" w:sz="4" w:space="0" w:color="000000"/>
              <w:bottom w:val="single" w:sz="4" w:space="0" w:color="000000"/>
              <w:right w:val="single" w:sz="4" w:space="0" w:color="000000"/>
            </w:tcBorders>
            <w:shd w:val="clear" w:color="auto" w:fill="auto"/>
          </w:tcPr>
          <w:p w14:paraId="51A2EB5A" w14:textId="77777777" w:rsidR="00F223ED" w:rsidRPr="00257A34" w:rsidRDefault="00F223ED" w:rsidP="002C66FC">
            <w:pPr>
              <w:autoSpaceDE w:val="0"/>
              <w:autoSpaceDN w:val="0"/>
              <w:adjustRightInd w:val="0"/>
              <w:rPr>
                <w:sz w:val="22"/>
                <w:szCs w:val="22"/>
              </w:rPr>
            </w:pPr>
            <w:r w:rsidRPr="00257A34">
              <w:rPr>
                <w:sz w:val="22"/>
                <w:szCs w:val="22"/>
              </w:rPr>
              <w:t>PSA odgovor** u 6. mjesecu – N(%)</w:t>
            </w:r>
          </w:p>
          <w:p w14:paraId="722BBA8D" w14:textId="77777777" w:rsidR="00F223ED" w:rsidRPr="00257A34" w:rsidRDefault="00F223ED" w:rsidP="002C66FC">
            <w:pPr>
              <w:autoSpaceDE w:val="0"/>
              <w:autoSpaceDN w:val="0"/>
              <w:adjustRightInd w:val="0"/>
              <w:rPr>
                <w:sz w:val="22"/>
                <w:szCs w:val="22"/>
              </w:rPr>
            </w:pPr>
            <w:r w:rsidRPr="00257A34">
              <w:rPr>
                <w:sz w:val="22"/>
                <w:szCs w:val="22"/>
              </w:rPr>
              <w:t>p-vrijednost</w:t>
            </w:r>
            <w:r w:rsidRPr="00257A34">
              <w:rPr>
                <w:i/>
                <w:sz w:val="22"/>
                <w:szCs w:val="22"/>
                <w:vertAlign w:val="superscript"/>
              </w:rPr>
              <w:t>a*</w:t>
            </w:r>
            <w:r w:rsidRPr="00257A34">
              <w:rPr>
                <w:sz w:val="22"/>
                <w:szCs w:val="22"/>
              </w:rPr>
              <w:t xml:space="preserve"> </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12A0B1C8" w14:textId="77777777" w:rsidR="00F223ED" w:rsidRPr="00257A34" w:rsidRDefault="00F223ED" w:rsidP="002C66FC">
            <w:pPr>
              <w:autoSpaceDE w:val="0"/>
              <w:autoSpaceDN w:val="0"/>
              <w:adjustRightInd w:val="0"/>
              <w:jc w:val="center"/>
              <w:rPr>
                <w:sz w:val="22"/>
                <w:szCs w:val="22"/>
              </w:rPr>
            </w:pPr>
            <w:r w:rsidRPr="00257A34">
              <w:rPr>
                <w:sz w:val="22"/>
                <w:szCs w:val="22"/>
              </w:rPr>
              <w:t>127 (32,0)</w:t>
            </w:r>
          </w:p>
          <w:p w14:paraId="39D0F131" w14:textId="77777777" w:rsidR="00F223ED" w:rsidRPr="00257A34" w:rsidRDefault="00F223ED" w:rsidP="002C66FC">
            <w:pPr>
              <w:autoSpaceDE w:val="0"/>
              <w:autoSpaceDN w:val="0"/>
              <w:adjustRightInd w:val="0"/>
              <w:jc w:val="center"/>
              <w:rPr>
                <w:sz w:val="22"/>
                <w:szCs w:val="22"/>
              </w:rPr>
            </w:pPr>
            <w:r w:rsidRPr="00257A34">
              <w:rPr>
                <w:sz w:val="22"/>
                <w:szCs w:val="22"/>
              </w:rPr>
              <w:t>&lt;</w:t>
            </w:r>
            <w:r>
              <w:rPr>
                <w:sz w:val="22"/>
                <w:szCs w:val="22"/>
              </w:rPr>
              <w:t xml:space="preserve"> </w:t>
            </w:r>
            <w:r w:rsidRPr="00257A34">
              <w:rPr>
                <w:sz w:val="22"/>
                <w:szCs w:val="22"/>
              </w:rPr>
              <w:t>0,0001</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1FC1ACBC" w14:textId="77777777" w:rsidR="00F223ED" w:rsidRPr="00257A34" w:rsidRDefault="00F223ED" w:rsidP="002C66FC">
            <w:pPr>
              <w:autoSpaceDE w:val="0"/>
              <w:autoSpaceDN w:val="0"/>
              <w:adjustRightInd w:val="0"/>
              <w:jc w:val="center"/>
              <w:rPr>
                <w:sz w:val="22"/>
                <w:szCs w:val="22"/>
              </w:rPr>
            </w:pPr>
            <w:r w:rsidRPr="00257A34">
              <w:rPr>
                <w:sz w:val="22"/>
                <w:szCs w:val="22"/>
              </w:rPr>
              <w:t>77 (19,6)</w:t>
            </w:r>
          </w:p>
          <w:p w14:paraId="640C6A28"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6EC1E521" w14:textId="77777777" w:rsidTr="002C66FC">
        <w:trPr>
          <w:trHeight w:val="576"/>
        </w:trPr>
        <w:tc>
          <w:tcPr>
            <w:tcW w:w="4936" w:type="dxa"/>
            <w:tcBorders>
              <w:top w:val="single" w:sz="4" w:space="0" w:color="000000"/>
              <w:left w:val="single" w:sz="4" w:space="0" w:color="000000"/>
              <w:bottom w:val="single" w:sz="4" w:space="0" w:color="000000"/>
              <w:right w:val="single" w:sz="4" w:space="0" w:color="000000"/>
            </w:tcBorders>
            <w:shd w:val="clear" w:color="auto" w:fill="auto"/>
          </w:tcPr>
          <w:p w14:paraId="0ED33458" w14:textId="77777777" w:rsidR="00F223ED" w:rsidRPr="00257A34" w:rsidRDefault="00F223ED" w:rsidP="002C66FC">
            <w:pPr>
              <w:autoSpaceDE w:val="0"/>
              <w:autoSpaceDN w:val="0"/>
              <w:adjustRightInd w:val="0"/>
              <w:rPr>
                <w:sz w:val="22"/>
                <w:szCs w:val="22"/>
              </w:rPr>
            </w:pPr>
            <w:r w:rsidRPr="00257A34">
              <w:rPr>
                <w:sz w:val="22"/>
                <w:szCs w:val="22"/>
              </w:rPr>
              <w:t xml:space="preserve">PSA </w:t>
            </w:r>
            <w:r>
              <w:rPr>
                <w:sz w:val="22"/>
                <w:szCs w:val="22"/>
              </w:rPr>
              <w:t>odgovor</w:t>
            </w:r>
            <w:r w:rsidRPr="00257A34">
              <w:rPr>
                <w:sz w:val="22"/>
                <w:szCs w:val="22"/>
              </w:rPr>
              <w:t>** u 12. mjesecu– N(%)</w:t>
            </w:r>
          </w:p>
          <w:p w14:paraId="578BDD66" w14:textId="77777777" w:rsidR="00F223ED" w:rsidRPr="00257A34" w:rsidRDefault="00F223ED" w:rsidP="002C66FC">
            <w:pPr>
              <w:autoSpaceDE w:val="0"/>
              <w:autoSpaceDN w:val="0"/>
              <w:adjustRightInd w:val="0"/>
              <w:rPr>
                <w:sz w:val="22"/>
                <w:szCs w:val="22"/>
              </w:rPr>
            </w:pPr>
            <w:r w:rsidRPr="00257A34">
              <w:rPr>
                <w:sz w:val="22"/>
                <w:szCs w:val="22"/>
              </w:rPr>
              <w:t>p-vrijednost</w:t>
            </w:r>
            <w:r w:rsidRPr="00257A34">
              <w:rPr>
                <w:i/>
                <w:sz w:val="22"/>
                <w:szCs w:val="22"/>
                <w:vertAlign w:val="superscript"/>
              </w:rPr>
              <w:t>a*</w:t>
            </w:r>
            <w:r w:rsidRPr="00257A34">
              <w:rPr>
                <w:sz w:val="22"/>
                <w:szCs w:val="22"/>
              </w:rPr>
              <w:t xml:space="preserve"> </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2BB96C32" w14:textId="77777777" w:rsidR="00F223ED" w:rsidRPr="00257A34" w:rsidRDefault="00F223ED" w:rsidP="002C66FC">
            <w:pPr>
              <w:autoSpaceDE w:val="0"/>
              <w:autoSpaceDN w:val="0"/>
              <w:adjustRightInd w:val="0"/>
              <w:jc w:val="center"/>
              <w:rPr>
                <w:sz w:val="22"/>
                <w:szCs w:val="22"/>
              </w:rPr>
            </w:pPr>
            <w:r w:rsidRPr="00257A34">
              <w:rPr>
                <w:sz w:val="22"/>
                <w:szCs w:val="22"/>
              </w:rPr>
              <w:t>110 (27,7)</w:t>
            </w:r>
          </w:p>
          <w:p w14:paraId="0378815A" w14:textId="77777777" w:rsidR="00F223ED" w:rsidRPr="00257A34" w:rsidRDefault="00F223ED" w:rsidP="002C66FC">
            <w:pPr>
              <w:autoSpaceDE w:val="0"/>
              <w:autoSpaceDN w:val="0"/>
              <w:adjustRightInd w:val="0"/>
              <w:jc w:val="center"/>
              <w:rPr>
                <w:sz w:val="22"/>
                <w:szCs w:val="22"/>
              </w:rPr>
            </w:pPr>
            <w:r w:rsidRPr="00257A34">
              <w:rPr>
                <w:sz w:val="22"/>
                <w:szCs w:val="22"/>
              </w:rPr>
              <w:t>&lt;</w:t>
            </w:r>
            <w:r>
              <w:rPr>
                <w:sz w:val="22"/>
                <w:szCs w:val="22"/>
              </w:rPr>
              <w:t xml:space="preserve"> </w:t>
            </w:r>
            <w:r w:rsidRPr="00257A34">
              <w:rPr>
                <w:sz w:val="22"/>
                <w:szCs w:val="22"/>
              </w:rPr>
              <w:t>0,0001</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4106FC3D" w14:textId="77777777" w:rsidR="00F223ED" w:rsidRPr="00257A34" w:rsidRDefault="00F223ED" w:rsidP="002C66FC">
            <w:pPr>
              <w:autoSpaceDE w:val="0"/>
              <w:autoSpaceDN w:val="0"/>
              <w:adjustRightInd w:val="0"/>
              <w:jc w:val="center"/>
              <w:rPr>
                <w:sz w:val="22"/>
                <w:szCs w:val="22"/>
              </w:rPr>
            </w:pPr>
            <w:r w:rsidRPr="00257A34">
              <w:rPr>
                <w:sz w:val="22"/>
                <w:szCs w:val="22"/>
              </w:rPr>
              <w:t>66 (16,8)</w:t>
            </w:r>
          </w:p>
          <w:p w14:paraId="44077FE2"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3D5166EA" w14:textId="77777777" w:rsidTr="002C66FC">
        <w:trPr>
          <w:trHeight w:val="1126"/>
        </w:trPr>
        <w:tc>
          <w:tcPr>
            <w:tcW w:w="4936" w:type="dxa"/>
            <w:tcBorders>
              <w:top w:val="single" w:sz="4" w:space="0" w:color="000000"/>
              <w:left w:val="single" w:sz="4" w:space="0" w:color="000000"/>
              <w:bottom w:val="nil"/>
              <w:right w:val="single" w:sz="4" w:space="0" w:color="000000"/>
            </w:tcBorders>
            <w:shd w:val="clear" w:color="auto" w:fill="auto"/>
          </w:tcPr>
          <w:p w14:paraId="1F800FA3" w14:textId="77777777" w:rsidR="00F223ED" w:rsidRPr="00257A34" w:rsidRDefault="00F223ED" w:rsidP="002C66FC">
            <w:pPr>
              <w:autoSpaceDE w:val="0"/>
              <w:autoSpaceDN w:val="0"/>
              <w:adjustRightInd w:val="0"/>
              <w:rPr>
                <w:sz w:val="22"/>
                <w:szCs w:val="22"/>
              </w:rPr>
            </w:pPr>
            <w:r w:rsidRPr="00257A34">
              <w:rPr>
                <w:sz w:val="22"/>
                <w:szCs w:val="22"/>
              </w:rPr>
              <w:t>Vrijeme do karcinoma prostate rezistentnog na kastraciju</w:t>
            </w:r>
            <w:r w:rsidRPr="00257A34">
              <w:rPr>
                <w:i/>
                <w:sz w:val="22"/>
                <w:szCs w:val="22"/>
                <w:vertAlign w:val="superscript"/>
              </w:rPr>
              <w:t>b</w:t>
            </w:r>
          </w:p>
          <w:p w14:paraId="0EE4A261" w14:textId="77777777" w:rsidR="00F223ED" w:rsidRPr="00257A34" w:rsidRDefault="00F223ED" w:rsidP="002C66FC">
            <w:pPr>
              <w:autoSpaceDE w:val="0"/>
              <w:autoSpaceDN w:val="0"/>
              <w:adjustRightInd w:val="0"/>
              <w:rPr>
                <w:sz w:val="22"/>
                <w:szCs w:val="22"/>
              </w:rPr>
            </w:pPr>
            <w:r w:rsidRPr="00257A34">
              <w:rPr>
                <w:sz w:val="22"/>
                <w:szCs w:val="22"/>
              </w:rPr>
              <w:t xml:space="preserve">Medijana (mjeseci) </w:t>
            </w:r>
          </w:p>
          <w:p w14:paraId="7436259F"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p w14:paraId="5C4E426A" w14:textId="77777777" w:rsidR="00F223ED" w:rsidRPr="00257A34" w:rsidRDefault="00F223ED" w:rsidP="002C66FC">
            <w:pPr>
              <w:autoSpaceDE w:val="0"/>
              <w:autoSpaceDN w:val="0"/>
              <w:adjustRightInd w:val="0"/>
              <w:rPr>
                <w:sz w:val="22"/>
                <w:szCs w:val="22"/>
              </w:rPr>
            </w:pPr>
            <w:r w:rsidRPr="00257A34">
              <w:rPr>
                <w:sz w:val="22"/>
                <w:szCs w:val="22"/>
              </w:rPr>
              <w:t xml:space="preserve">Prilagođeni </w:t>
            </w:r>
            <w:r>
              <w:rPr>
                <w:sz w:val="22"/>
                <w:szCs w:val="22"/>
              </w:rPr>
              <w:t>indeks rizika</w:t>
            </w:r>
          </w:p>
        </w:tc>
        <w:tc>
          <w:tcPr>
            <w:tcW w:w="2675" w:type="dxa"/>
            <w:tcBorders>
              <w:top w:val="single" w:sz="4" w:space="0" w:color="000000"/>
              <w:left w:val="single" w:sz="4" w:space="0" w:color="000000"/>
              <w:bottom w:val="nil"/>
              <w:right w:val="single" w:sz="4" w:space="0" w:color="000000"/>
            </w:tcBorders>
            <w:shd w:val="clear" w:color="auto" w:fill="auto"/>
          </w:tcPr>
          <w:p w14:paraId="4156CDE0" w14:textId="77777777" w:rsidR="00F223ED" w:rsidRPr="00257A34" w:rsidRDefault="00F223ED" w:rsidP="002C66FC">
            <w:pPr>
              <w:autoSpaceDE w:val="0"/>
              <w:autoSpaceDN w:val="0"/>
              <w:adjustRightInd w:val="0"/>
              <w:jc w:val="center"/>
              <w:rPr>
                <w:sz w:val="22"/>
                <w:szCs w:val="22"/>
              </w:rPr>
            </w:pPr>
          </w:p>
          <w:p w14:paraId="3A24DD65" w14:textId="77777777" w:rsidR="00F223ED" w:rsidRPr="00257A34" w:rsidRDefault="00F223ED" w:rsidP="002C66FC">
            <w:pPr>
              <w:autoSpaceDE w:val="0"/>
              <w:autoSpaceDN w:val="0"/>
              <w:adjustRightInd w:val="0"/>
              <w:jc w:val="center"/>
              <w:rPr>
                <w:sz w:val="22"/>
                <w:szCs w:val="22"/>
              </w:rPr>
            </w:pPr>
            <w:r w:rsidRPr="00257A34">
              <w:rPr>
                <w:sz w:val="22"/>
                <w:szCs w:val="22"/>
              </w:rPr>
              <w:t>20,2</w:t>
            </w:r>
          </w:p>
          <w:p w14:paraId="334E4F6C" w14:textId="77777777" w:rsidR="00F223ED" w:rsidRPr="00257A34" w:rsidRDefault="00F223ED" w:rsidP="002C66FC">
            <w:pPr>
              <w:autoSpaceDE w:val="0"/>
              <w:autoSpaceDN w:val="0"/>
              <w:adjustRightInd w:val="0"/>
              <w:jc w:val="center"/>
              <w:rPr>
                <w:sz w:val="22"/>
                <w:szCs w:val="22"/>
              </w:rPr>
            </w:pPr>
            <w:r w:rsidRPr="00257A34">
              <w:rPr>
                <w:sz w:val="22"/>
                <w:szCs w:val="22"/>
              </w:rPr>
              <w:t>(17,2–23,6)</w:t>
            </w:r>
          </w:p>
          <w:p w14:paraId="5E49B301" w14:textId="77777777" w:rsidR="00F223ED" w:rsidRPr="00257A34" w:rsidRDefault="00F223ED" w:rsidP="002C66FC">
            <w:pPr>
              <w:autoSpaceDE w:val="0"/>
              <w:autoSpaceDN w:val="0"/>
              <w:adjustRightInd w:val="0"/>
              <w:jc w:val="center"/>
              <w:rPr>
                <w:sz w:val="22"/>
                <w:szCs w:val="22"/>
              </w:rPr>
            </w:pPr>
            <w:r w:rsidRPr="00257A34">
              <w:rPr>
                <w:sz w:val="22"/>
                <w:szCs w:val="22"/>
              </w:rPr>
              <w:t>0,61</w:t>
            </w:r>
          </w:p>
        </w:tc>
        <w:tc>
          <w:tcPr>
            <w:tcW w:w="1675" w:type="dxa"/>
            <w:tcBorders>
              <w:top w:val="single" w:sz="4" w:space="0" w:color="000000"/>
              <w:left w:val="single" w:sz="4" w:space="0" w:color="000000"/>
              <w:bottom w:val="nil"/>
              <w:right w:val="single" w:sz="4" w:space="0" w:color="000000"/>
            </w:tcBorders>
            <w:shd w:val="clear" w:color="auto" w:fill="auto"/>
          </w:tcPr>
          <w:p w14:paraId="4C652639" w14:textId="77777777" w:rsidR="00F223ED" w:rsidRPr="00257A34" w:rsidRDefault="00F223ED" w:rsidP="002C66FC">
            <w:pPr>
              <w:autoSpaceDE w:val="0"/>
              <w:autoSpaceDN w:val="0"/>
              <w:adjustRightInd w:val="0"/>
              <w:jc w:val="center"/>
              <w:rPr>
                <w:sz w:val="22"/>
                <w:szCs w:val="22"/>
              </w:rPr>
            </w:pPr>
          </w:p>
          <w:p w14:paraId="5F783205" w14:textId="77777777" w:rsidR="00F223ED" w:rsidRPr="00257A34" w:rsidRDefault="00F223ED" w:rsidP="002C66FC">
            <w:pPr>
              <w:autoSpaceDE w:val="0"/>
              <w:autoSpaceDN w:val="0"/>
              <w:adjustRightInd w:val="0"/>
              <w:jc w:val="center"/>
              <w:rPr>
                <w:sz w:val="22"/>
                <w:szCs w:val="22"/>
              </w:rPr>
            </w:pPr>
            <w:r w:rsidRPr="00257A34">
              <w:rPr>
                <w:sz w:val="22"/>
                <w:szCs w:val="22"/>
              </w:rPr>
              <w:t>11,7</w:t>
            </w:r>
          </w:p>
          <w:p w14:paraId="2123D770" w14:textId="77777777" w:rsidR="00F223ED" w:rsidRPr="00257A34" w:rsidRDefault="00F223ED" w:rsidP="002C66FC">
            <w:pPr>
              <w:autoSpaceDE w:val="0"/>
              <w:autoSpaceDN w:val="0"/>
              <w:adjustRightInd w:val="0"/>
              <w:jc w:val="center"/>
              <w:rPr>
                <w:sz w:val="22"/>
                <w:szCs w:val="22"/>
              </w:rPr>
            </w:pPr>
            <w:r w:rsidRPr="00257A34">
              <w:rPr>
                <w:sz w:val="22"/>
                <w:szCs w:val="22"/>
              </w:rPr>
              <w:t>(10,8–14,7)</w:t>
            </w:r>
          </w:p>
          <w:p w14:paraId="770CB38F"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6E441CB4" w14:textId="77777777" w:rsidTr="002C66FC">
        <w:trPr>
          <w:trHeight w:val="230"/>
        </w:trPr>
        <w:tc>
          <w:tcPr>
            <w:tcW w:w="4936" w:type="dxa"/>
            <w:tcBorders>
              <w:top w:val="nil"/>
              <w:left w:val="single" w:sz="4" w:space="0" w:color="000000"/>
              <w:bottom w:val="nil"/>
              <w:right w:val="single" w:sz="4" w:space="0" w:color="000000"/>
            </w:tcBorders>
            <w:shd w:val="clear" w:color="auto" w:fill="auto"/>
          </w:tcPr>
          <w:p w14:paraId="76E6037C"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tc>
        <w:tc>
          <w:tcPr>
            <w:tcW w:w="2675" w:type="dxa"/>
            <w:tcBorders>
              <w:top w:val="nil"/>
              <w:left w:val="single" w:sz="4" w:space="0" w:color="000000"/>
              <w:bottom w:val="nil"/>
              <w:right w:val="single" w:sz="4" w:space="0" w:color="000000"/>
            </w:tcBorders>
            <w:shd w:val="clear" w:color="auto" w:fill="auto"/>
          </w:tcPr>
          <w:p w14:paraId="71209C23" w14:textId="77777777" w:rsidR="00F223ED" w:rsidRPr="00257A34" w:rsidRDefault="00F223ED" w:rsidP="002C66FC">
            <w:pPr>
              <w:autoSpaceDE w:val="0"/>
              <w:autoSpaceDN w:val="0"/>
              <w:adjustRightInd w:val="0"/>
              <w:jc w:val="center"/>
              <w:rPr>
                <w:sz w:val="22"/>
                <w:szCs w:val="22"/>
              </w:rPr>
            </w:pPr>
            <w:r w:rsidRPr="00257A34">
              <w:rPr>
                <w:sz w:val="22"/>
                <w:szCs w:val="22"/>
              </w:rPr>
              <w:t>(0,51–0,72)</w:t>
            </w:r>
          </w:p>
        </w:tc>
        <w:tc>
          <w:tcPr>
            <w:tcW w:w="1675" w:type="dxa"/>
            <w:tcBorders>
              <w:top w:val="nil"/>
              <w:left w:val="single" w:sz="4" w:space="0" w:color="000000"/>
              <w:bottom w:val="nil"/>
              <w:right w:val="single" w:sz="4" w:space="0" w:color="000000"/>
            </w:tcBorders>
            <w:shd w:val="clear" w:color="auto" w:fill="auto"/>
          </w:tcPr>
          <w:p w14:paraId="0B12E0BB"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45F82470" w14:textId="77777777" w:rsidTr="002C66FC">
        <w:trPr>
          <w:trHeight w:val="313"/>
        </w:trPr>
        <w:tc>
          <w:tcPr>
            <w:tcW w:w="4936" w:type="dxa"/>
            <w:tcBorders>
              <w:top w:val="nil"/>
              <w:left w:val="single" w:sz="4" w:space="0" w:color="000000"/>
              <w:bottom w:val="single" w:sz="4" w:space="0" w:color="000000"/>
              <w:right w:val="single" w:sz="4" w:space="0" w:color="000000"/>
            </w:tcBorders>
            <w:shd w:val="clear" w:color="auto" w:fill="auto"/>
          </w:tcPr>
          <w:p w14:paraId="460E1D20" w14:textId="77777777" w:rsidR="00F223ED" w:rsidRPr="00257A34" w:rsidRDefault="00F223ED" w:rsidP="002C66FC">
            <w:pPr>
              <w:autoSpaceDE w:val="0"/>
              <w:autoSpaceDN w:val="0"/>
              <w:adjustRightInd w:val="0"/>
              <w:rPr>
                <w:sz w:val="22"/>
                <w:szCs w:val="22"/>
              </w:rPr>
            </w:pPr>
            <w:r w:rsidRPr="00257A34">
              <w:rPr>
                <w:sz w:val="22"/>
                <w:szCs w:val="22"/>
              </w:rPr>
              <w:t>p-vrijednost</w:t>
            </w:r>
            <w:r w:rsidRPr="00257A34">
              <w:rPr>
                <w:i/>
                <w:sz w:val="22"/>
                <w:szCs w:val="22"/>
                <w:vertAlign w:val="superscript"/>
              </w:rPr>
              <w:t>a*</w:t>
            </w:r>
            <w:r w:rsidRPr="00257A34">
              <w:rPr>
                <w:sz w:val="22"/>
                <w:szCs w:val="22"/>
              </w:rPr>
              <w:t xml:space="preserve"> </w:t>
            </w:r>
          </w:p>
        </w:tc>
        <w:tc>
          <w:tcPr>
            <w:tcW w:w="2675" w:type="dxa"/>
            <w:tcBorders>
              <w:top w:val="nil"/>
              <w:left w:val="single" w:sz="4" w:space="0" w:color="000000"/>
              <w:bottom w:val="single" w:sz="4" w:space="0" w:color="000000"/>
              <w:right w:val="single" w:sz="4" w:space="0" w:color="000000"/>
            </w:tcBorders>
            <w:shd w:val="clear" w:color="auto" w:fill="auto"/>
          </w:tcPr>
          <w:p w14:paraId="268038A8" w14:textId="77777777" w:rsidR="00F223ED" w:rsidRPr="00257A34" w:rsidRDefault="00F223ED" w:rsidP="002C66FC">
            <w:pPr>
              <w:autoSpaceDE w:val="0"/>
              <w:autoSpaceDN w:val="0"/>
              <w:adjustRightInd w:val="0"/>
              <w:jc w:val="center"/>
              <w:rPr>
                <w:sz w:val="22"/>
                <w:szCs w:val="22"/>
              </w:rPr>
            </w:pPr>
            <w:r w:rsidRPr="00257A34">
              <w:rPr>
                <w:sz w:val="22"/>
                <w:szCs w:val="22"/>
              </w:rPr>
              <w:t>&lt;</w:t>
            </w:r>
            <w:r>
              <w:rPr>
                <w:sz w:val="22"/>
                <w:szCs w:val="22"/>
              </w:rPr>
              <w:t xml:space="preserve"> </w:t>
            </w:r>
            <w:r w:rsidRPr="00257A34">
              <w:rPr>
                <w:sz w:val="22"/>
                <w:szCs w:val="22"/>
              </w:rPr>
              <w:t>0,0001</w:t>
            </w:r>
          </w:p>
        </w:tc>
        <w:tc>
          <w:tcPr>
            <w:tcW w:w="1675" w:type="dxa"/>
            <w:tcBorders>
              <w:top w:val="nil"/>
              <w:left w:val="single" w:sz="4" w:space="0" w:color="000000"/>
              <w:bottom w:val="single" w:sz="4" w:space="0" w:color="000000"/>
              <w:right w:val="single" w:sz="4" w:space="0" w:color="000000"/>
            </w:tcBorders>
            <w:shd w:val="clear" w:color="auto" w:fill="auto"/>
          </w:tcPr>
          <w:p w14:paraId="200A4B51"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7A6D4D6F" w14:textId="77777777" w:rsidTr="002C66FC">
        <w:trPr>
          <w:trHeight w:val="597"/>
        </w:trPr>
        <w:tc>
          <w:tcPr>
            <w:tcW w:w="4936" w:type="dxa"/>
            <w:tcBorders>
              <w:top w:val="single" w:sz="4" w:space="0" w:color="000000"/>
              <w:left w:val="single" w:sz="4" w:space="0" w:color="000000"/>
              <w:bottom w:val="nil"/>
              <w:right w:val="single" w:sz="4" w:space="0" w:color="000000"/>
            </w:tcBorders>
            <w:shd w:val="clear" w:color="auto" w:fill="auto"/>
          </w:tcPr>
          <w:p w14:paraId="5B9AB780" w14:textId="77777777" w:rsidR="00F223ED" w:rsidRPr="00257A34" w:rsidRDefault="00F223ED" w:rsidP="002C66FC">
            <w:pPr>
              <w:autoSpaceDE w:val="0"/>
              <w:autoSpaceDN w:val="0"/>
              <w:adjustRightInd w:val="0"/>
              <w:rPr>
                <w:sz w:val="22"/>
                <w:szCs w:val="22"/>
              </w:rPr>
            </w:pPr>
            <w:r w:rsidRPr="00257A34">
              <w:rPr>
                <w:sz w:val="22"/>
                <w:szCs w:val="22"/>
              </w:rPr>
              <w:t>Vrijeme do kliničke progresije</w:t>
            </w:r>
          </w:p>
          <w:p w14:paraId="597E8908" w14:textId="77777777" w:rsidR="00F223ED" w:rsidRPr="00257A34" w:rsidRDefault="00F223ED" w:rsidP="002C66FC">
            <w:pPr>
              <w:autoSpaceDE w:val="0"/>
              <w:autoSpaceDN w:val="0"/>
              <w:adjustRightInd w:val="0"/>
              <w:rPr>
                <w:sz w:val="22"/>
                <w:szCs w:val="22"/>
              </w:rPr>
            </w:pPr>
            <w:r w:rsidRPr="00257A34">
              <w:rPr>
                <w:sz w:val="22"/>
                <w:szCs w:val="22"/>
              </w:rPr>
              <w:t>Medijana (mjeseci)</w:t>
            </w:r>
          </w:p>
        </w:tc>
        <w:tc>
          <w:tcPr>
            <w:tcW w:w="2675" w:type="dxa"/>
            <w:tcBorders>
              <w:top w:val="single" w:sz="4" w:space="0" w:color="000000"/>
              <w:left w:val="single" w:sz="4" w:space="0" w:color="000000"/>
              <w:bottom w:val="nil"/>
              <w:right w:val="single" w:sz="4" w:space="0" w:color="000000"/>
            </w:tcBorders>
            <w:shd w:val="clear" w:color="auto" w:fill="auto"/>
          </w:tcPr>
          <w:p w14:paraId="665BE872" w14:textId="77777777" w:rsidR="00F223ED" w:rsidRPr="00257A34" w:rsidRDefault="00F223ED" w:rsidP="002C66FC">
            <w:pPr>
              <w:autoSpaceDE w:val="0"/>
              <w:autoSpaceDN w:val="0"/>
              <w:adjustRightInd w:val="0"/>
              <w:jc w:val="center"/>
              <w:rPr>
                <w:sz w:val="22"/>
                <w:szCs w:val="22"/>
              </w:rPr>
            </w:pPr>
          </w:p>
          <w:p w14:paraId="6EF156DF" w14:textId="77777777" w:rsidR="00F223ED" w:rsidRPr="00257A34" w:rsidRDefault="00F223ED" w:rsidP="002C66FC">
            <w:pPr>
              <w:autoSpaceDE w:val="0"/>
              <w:autoSpaceDN w:val="0"/>
              <w:adjustRightInd w:val="0"/>
              <w:jc w:val="center"/>
              <w:rPr>
                <w:sz w:val="22"/>
                <w:szCs w:val="22"/>
              </w:rPr>
            </w:pPr>
            <w:r w:rsidRPr="00257A34">
              <w:rPr>
                <w:sz w:val="22"/>
                <w:szCs w:val="22"/>
              </w:rPr>
              <w:t>33,0</w:t>
            </w:r>
          </w:p>
        </w:tc>
        <w:tc>
          <w:tcPr>
            <w:tcW w:w="1675" w:type="dxa"/>
            <w:tcBorders>
              <w:top w:val="single" w:sz="4" w:space="0" w:color="000000"/>
              <w:left w:val="single" w:sz="4" w:space="0" w:color="000000"/>
              <w:bottom w:val="nil"/>
              <w:right w:val="single" w:sz="4" w:space="0" w:color="000000"/>
            </w:tcBorders>
            <w:shd w:val="clear" w:color="auto" w:fill="auto"/>
          </w:tcPr>
          <w:p w14:paraId="3B9E93B6" w14:textId="77777777" w:rsidR="00F223ED" w:rsidRPr="00257A34" w:rsidRDefault="00F223ED" w:rsidP="002C66FC">
            <w:pPr>
              <w:autoSpaceDE w:val="0"/>
              <w:autoSpaceDN w:val="0"/>
              <w:adjustRightInd w:val="0"/>
              <w:jc w:val="center"/>
              <w:rPr>
                <w:sz w:val="22"/>
                <w:szCs w:val="22"/>
              </w:rPr>
            </w:pPr>
          </w:p>
          <w:p w14:paraId="4D9579C5" w14:textId="77777777" w:rsidR="00F223ED" w:rsidRPr="00257A34" w:rsidRDefault="00F223ED" w:rsidP="002C66FC">
            <w:pPr>
              <w:autoSpaceDE w:val="0"/>
              <w:autoSpaceDN w:val="0"/>
              <w:adjustRightInd w:val="0"/>
              <w:jc w:val="center"/>
              <w:rPr>
                <w:sz w:val="22"/>
                <w:szCs w:val="22"/>
              </w:rPr>
            </w:pPr>
            <w:r w:rsidRPr="00257A34">
              <w:rPr>
                <w:sz w:val="22"/>
                <w:szCs w:val="22"/>
              </w:rPr>
              <w:t>19,8</w:t>
            </w:r>
          </w:p>
        </w:tc>
      </w:tr>
      <w:tr w:rsidR="00F223ED" w:rsidRPr="00B02007" w14:paraId="17643C2E" w14:textId="77777777" w:rsidTr="002C66FC">
        <w:trPr>
          <w:trHeight w:val="253"/>
        </w:trPr>
        <w:tc>
          <w:tcPr>
            <w:tcW w:w="4936" w:type="dxa"/>
            <w:tcBorders>
              <w:top w:val="nil"/>
              <w:left w:val="single" w:sz="4" w:space="0" w:color="000000"/>
              <w:bottom w:val="nil"/>
              <w:right w:val="single" w:sz="4" w:space="0" w:color="000000"/>
            </w:tcBorders>
            <w:shd w:val="clear" w:color="auto" w:fill="auto"/>
          </w:tcPr>
          <w:p w14:paraId="4E40977B" w14:textId="77777777" w:rsidR="00F223ED" w:rsidRPr="00257A34" w:rsidRDefault="00F223ED" w:rsidP="002C66FC">
            <w:pPr>
              <w:autoSpaceDE w:val="0"/>
              <w:autoSpaceDN w:val="0"/>
              <w:adjustRightInd w:val="0"/>
              <w:rPr>
                <w:sz w:val="22"/>
                <w:szCs w:val="22"/>
              </w:rPr>
            </w:pPr>
            <w:r w:rsidRPr="00257A34">
              <w:rPr>
                <w:sz w:val="22"/>
                <w:szCs w:val="22"/>
              </w:rPr>
              <w:t>95% CI</w:t>
            </w:r>
          </w:p>
        </w:tc>
        <w:tc>
          <w:tcPr>
            <w:tcW w:w="2675" w:type="dxa"/>
            <w:tcBorders>
              <w:top w:val="nil"/>
              <w:left w:val="single" w:sz="4" w:space="0" w:color="000000"/>
              <w:bottom w:val="nil"/>
              <w:right w:val="single" w:sz="4" w:space="0" w:color="000000"/>
            </w:tcBorders>
            <w:shd w:val="clear" w:color="auto" w:fill="auto"/>
          </w:tcPr>
          <w:p w14:paraId="1F0022C7" w14:textId="77777777" w:rsidR="00F223ED" w:rsidRPr="00257A34" w:rsidRDefault="00F223ED" w:rsidP="002C66FC">
            <w:pPr>
              <w:autoSpaceDE w:val="0"/>
              <w:autoSpaceDN w:val="0"/>
              <w:adjustRightInd w:val="0"/>
              <w:jc w:val="center"/>
              <w:rPr>
                <w:sz w:val="22"/>
                <w:szCs w:val="22"/>
              </w:rPr>
            </w:pPr>
            <w:r w:rsidRPr="00257A34">
              <w:rPr>
                <w:sz w:val="22"/>
                <w:szCs w:val="22"/>
              </w:rPr>
              <w:t>(27,3–41,2)</w:t>
            </w:r>
          </w:p>
        </w:tc>
        <w:tc>
          <w:tcPr>
            <w:tcW w:w="1675" w:type="dxa"/>
            <w:tcBorders>
              <w:top w:val="nil"/>
              <w:left w:val="single" w:sz="4" w:space="0" w:color="000000"/>
              <w:bottom w:val="nil"/>
              <w:right w:val="single" w:sz="4" w:space="0" w:color="000000"/>
            </w:tcBorders>
            <w:shd w:val="clear" w:color="auto" w:fill="auto"/>
          </w:tcPr>
          <w:p w14:paraId="6342DEA5" w14:textId="77777777" w:rsidR="00F223ED" w:rsidRPr="00257A34" w:rsidRDefault="00F223ED" w:rsidP="002C66FC">
            <w:pPr>
              <w:autoSpaceDE w:val="0"/>
              <w:autoSpaceDN w:val="0"/>
              <w:adjustRightInd w:val="0"/>
              <w:jc w:val="center"/>
              <w:rPr>
                <w:sz w:val="22"/>
                <w:szCs w:val="22"/>
              </w:rPr>
            </w:pPr>
            <w:r w:rsidRPr="00257A34">
              <w:rPr>
                <w:sz w:val="22"/>
                <w:szCs w:val="22"/>
              </w:rPr>
              <w:t>(17,9–22,8)</w:t>
            </w:r>
          </w:p>
        </w:tc>
      </w:tr>
      <w:tr w:rsidR="00F223ED" w:rsidRPr="00B02007" w14:paraId="3D84BEBC" w14:textId="77777777" w:rsidTr="002C66FC">
        <w:trPr>
          <w:trHeight w:val="276"/>
        </w:trPr>
        <w:tc>
          <w:tcPr>
            <w:tcW w:w="4936" w:type="dxa"/>
            <w:tcBorders>
              <w:top w:val="nil"/>
              <w:left w:val="single" w:sz="4" w:space="0" w:color="000000"/>
              <w:bottom w:val="nil"/>
              <w:right w:val="single" w:sz="4" w:space="0" w:color="000000"/>
            </w:tcBorders>
            <w:shd w:val="clear" w:color="auto" w:fill="auto"/>
          </w:tcPr>
          <w:p w14:paraId="7B657B30" w14:textId="77777777" w:rsidR="00F223ED" w:rsidRPr="00257A34" w:rsidRDefault="00F223ED" w:rsidP="002C66FC">
            <w:pPr>
              <w:autoSpaceDE w:val="0"/>
              <w:autoSpaceDN w:val="0"/>
              <w:adjustRightInd w:val="0"/>
              <w:rPr>
                <w:sz w:val="22"/>
                <w:szCs w:val="22"/>
              </w:rPr>
            </w:pPr>
            <w:r w:rsidRPr="00257A34">
              <w:rPr>
                <w:sz w:val="22"/>
                <w:szCs w:val="22"/>
              </w:rPr>
              <w:t xml:space="preserve">Prilagođeni </w:t>
            </w:r>
            <w:r>
              <w:rPr>
                <w:sz w:val="22"/>
                <w:szCs w:val="22"/>
              </w:rPr>
              <w:t>indeks rizika</w:t>
            </w:r>
          </w:p>
        </w:tc>
        <w:tc>
          <w:tcPr>
            <w:tcW w:w="2675" w:type="dxa"/>
            <w:tcBorders>
              <w:top w:val="nil"/>
              <w:left w:val="single" w:sz="4" w:space="0" w:color="000000"/>
              <w:bottom w:val="nil"/>
              <w:right w:val="single" w:sz="4" w:space="0" w:color="000000"/>
            </w:tcBorders>
            <w:shd w:val="clear" w:color="auto" w:fill="auto"/>
          </w:tcPr>
          <w:p w14:paraId="7F33CF67" w14:textId="77777777" w:rsidR="00F223ED" w:rsidRPr="00257A34" w:rsidRDefault="00F223ED" w:rsidP="002C66FC">
            <w:pPr>
              <w:autoSpaceDE w:val="0"/>
              <w:autoSpaceDN w:val="0"/>
              <w:adjustRightInd w:val="0"/>
              <w:jc w:val="center"/>
              <w:rPr>
                <w:sz w:val="22"/>
                <w:szCs w:val="22"/>
              </w:rPr>
            </w:pPr>
            <w:r w:rsidRPr="00257A34">
              <w:rPr>
                <w:sz w:val="22"/>
                <w:szCs w:val="22"/>
              </w:rPr>
              <w:t>0,61</w:t>
            </w:r>
          </w:p>
        </w:tc>
        <w:tc>
          <w:tcPr>
            <w:tcW w:w="1675" w:type="dxa"/>
            <w:tcBorders>
              <w:top w:val="nil"/>
              <w:left w:val="single" w:sz="4" w:space="0" w:color="000000"/>
              <w:bottom w:val="nil"/>
              <w:right w:val="single" w:sz="4" w:space="0" w:color="000000"/>
            </w:tcBorders>
            <w:shd w:val="clear" w:color="auto" w:fill="auto"/>
          </w:tcPr>
          <w:p w14:paraId="01A8A313"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4614F848" w14:textId="77777777" w:rsidTr="002C66FC">
        <w:trPr>
          <w:trHeight w:val="231"/>
        </w:trPr>
        <w:tc>
          <w:tcPr>
            <w:tcW w:w="4936" w:type="dxa"/>
            <w:tcBorders>
              <w:top w:val="nil"/>
              <w:left w:val="single" w:sz="4" w:space="0" w:color="000000"/>
              <w:bottom w:val="nil"/>
              <w:right w:val="single" w:sz="4" w:space="0" w:color="000000"/>
            </w:tcBorders>
            <w:shd w:val="clear" w:color="auto" w:fill="auto"/>
          </w:tcPr>
          <w:p w14:paraId="2895F9EE" w14:textId="77777777" w:rsidR="00F223ED" w:rsidRPr="00257A34" w:rsidRDefault="00F223ED" w:rsidP="002C66FC">
            <w:pPr>
              <w:autoSpaceDE w:val="0"/>
              <w:autoSpaceDN w:val="0"/>
              <w:adjustRightInd w:val="0"/>
              <w:rPr>
                <w:sz w:val="22"/>
                <w:szCs w:val="22"/>
              </w:rPr>
            </w:pPr>
            <w:r w:rsidRPr="00257A34">
              <w:rPr>
                <w:sz w:val="22"/>
                <w:szCs w:val="22"/>
              </w:rPr>
              <w:t>95% CI</w:t>
            </w:r>
          </w:p>
        </w:tc>
        <w:tc>
          <w:tcPr>
            <w:tcW w:w="2675" w:type="dxa"/>
            <w:tcBorders>
              <w:top w:val="nil"/>
              <w:left w:val="single" w:sz="4" w:space="0" w:color="000000"/>
              <w:bottom w:val="nil"/>
              <w:right w:val="single" w:sz="4" w:space="0" w:color="000000"/>
            </w:tcBorders>
            <w:shd w:val="clear" w:color="auto" w:fill="auto"/>
          </w:tcPr>
          <w:p w14:paraId="1CA1F748" w14:textId="77777777" w:rsidR="00F223ED" w:rsidRPr="00257A34" w:rsidRDefault="00F223ED" w:rsidP="002C66FC">
            <w:pPr>
              <w:autoSpaceDE w:val="0"/>
              <w:autoSpaceDN w:val="0"/>
              <w:adjustRightInd w:val="0"/>
              <w:jc w:val="center"/>
              <w:rPr>
                <w:sz w:val="22"/>
                <w:szCs w:val="22"/>
              </w:rPr>
            </w:pPr>
            <w:r w:rsidRPr="00257A34">
              <w:rPr>
                <w:sz w:val="22"/>
                <w:szCs w:val="22"/>
              </w:rPr>
              <w:t>(0,50–0,75)</w:t>
            </w:r>
          </w:p>
        </w:tc>
        <w:tc>
          <w:tcPr>
            <w:tcW w:w="1675" w:type="dxa"/>
            <w:tcBorders>
              <w:top w:val="nil"/>
              <w:left w:val="single" w:sz="4" w:space="0" w:color="000000"/>
              <w:bottom w:val="nil"/>
              <w:right w:val="single" w:sz="4" w:space="0" w:color="000000"/>
            </w:tcBorders>
            <w:shd w:val="clear" w:color="auto" w:fill="auto"/>
          </w:tcPr>
          <w:p w14:paraId="0C983424"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r w:rsidR="00F223ED" w:rsidRPr="00B02007" w14:paraId="7803AC98" w14:textId="77777777" w:rsidTr="002C66FC">
        <w:trPr>
          <w:trHeight w:val="313"/>
        </w:trPr>
        <w:tc>
          <w:tcPr>
            <w:tcW w:w="4936" w:type="dxa"/>
            <w:tcBorders>
              <w:top w:val="nil"/>
              <w:left w:val="single" w:sz="4" w:space="0" w:color="000000"/>
              <w:bottom w:val="single" w:sz="4" w:space="0" w:color="000000"/>
              <w:right w:val="single" w:sz="4" w:space="0" w:color="000000"/>
            </w:tcBorders>
            <w:shd w:val="clear" w:color="auto" w:fill="auto"/>
          </w:tcPr>
          <w:p w14:paraId="2D85CCA1" w14:textId="77777777" w:rsidR="00F223ED" w:rsidRPr="00257A34" w:rsidRDefault="00F223ED" w:rsidP="002C66FC">
            <w:pPr>
              <w:autoSpaceDE w:val="0"/>
              <w:autoSpaceDN w:val="0"/>
              <w:adjustRightInd w:val="0"/>
              <w:rPr>
                <w:sz w:val="22"/>
                <w:szCs w:val="22"/>
              </w:rPr>
            </w:pPr>
            <w:r w:rsidRPr="00257A34">
              <w:rPr>
                <w:sz w:val="22"/>
                <w:szCs w:val="22"/>
              </w:rPr>
              <w:t>p-vrijednost</w:t>
            </w:r>
            <w:r w:rsidRPr="00257A34">
              <w:rPr>
                <w:i/>
                <w:sz w:val="22"/>
                <w:szCs w:val="22"/>
                <w:vertAlign w:val="superscript"/>
              </w:rPr>
              <w:t>a*</w:t>
            </w:r>
            <w:r w:rsidRPr="00257A34">
              <w:rPr>
                <w:sz w:val="22"/>
                <w:szCs w:val="22"/>
              </w:rPr>
              <w:t xml:space="preserve"> </w:t>
            </w:r>
          </w:p>
        </w:tc>
        <w:tc>
          <w:tcPr>
            <w:tcW w:w="2675" w:type="dxa"/>
            <w:tcBorders>
              <w:top w:val="nil"/>
              <w:left w:val="single" w:sz="4" w:space="0" w:color="000000"/>
              <w:bottom w:val="single" w:sz="4" w:space="0" w:color="000000"/>
              <w:right w:val="single" w:sz="4" w:space="0" w:color="000000"/>
            </w:tcBorders>
            <w:shd w:val="clear" w:color="auto" w:fill="auto"/>
          </w:tcPr>
          <w:p w14:paraId="01081A9A" w14:textId="77777777" w:rsidR="00F223ED" w:rsidRPr="00257A34" w:rsidRDefault="00F223ED" w:rsidP="002C66FC">
            <w:pPr>
              <w:autoSpaceDE w:val="0"/>
              <w:autoSpaceDN w:val="0"/>
              <w:adjustRightInd w:val="0"/>
              <w:jc w:val="center"/>
              <w:rPr>
                <w:sz w:val="22"/>
                <w:szCs w:val="22"/>
              </w:rPr>
            </w:pPr>
            <w:r w:rsidRPr="00257A34">
              <w:rPr>
                <w:sz w:val="22"/>
                <w:szCs w:val="22"/>
              </w:rPr>
              <w:t>&lt;</w:t>
            </w:r>
            <w:r>
              <w:rPr>
                <w:sz w:val="22"/>
                <w:szCs w:val="22"/>
              </w:rPr>
              <w:t xml:space="preserve"> </w:t>
            </w:r>
            <w:r w:rsidRPr="00257A34">
              <w:rPr>
                <w:sz w:val="22"/>
                <w:szCs w:val="22"/>
              </w:rPr>
              <w:t>0,0001</w:t>
            </w:r>
          </w:p>
        </w:tc>
        <w:tc>
          <w:tcPr>
            <w:tcW w:w="1675" w:type="dxa"/>
            <w:tcBorders>
              <w:top w:val="nil"/>
              <w:left w:val="single" w:sz="4" w:space="0" w:color="000000"/>
              <w:bottom w:val="single" w:sz="4" w:space="0" w:color="000000"/>
              <w:right w:val="single" w:sz="4" w:space="0" w:color="000000"/>
            </w:tcBorders>
            <w:shd w:val="clear" w:color="auto" w:fill="auto"/>
          </w:tcPr>
          <w:p w14:paraId="2EF13ED1" w14:textId="77777777" w:rsidR="00F223ED" w:rsidRPr="00257A34" w:rsidRDefault="00F223ED" w:rsidP="002C66FC">
            <w:pPr>
              <w:autoSpaceDE w:val="0"/>
              <w:autoSpaceDN w:val="0"/>
              <w:adjustRightInd w:val="0"/>
              <w:jc w:val="center"/>
              <w:rPr>
                <w:sz w:val="22"/>
                <w:szCs w:val="22"/>
              </w:rPr>
            </w:pPr>
            <w:r w:rsidRPr="00257A34">
              <w:rPr>
                <w:sz w:val="22"/>
                <w:szCs w:val="22"/>
              </w:rPr>
              <w:t>--</w:t>
            </w:r>
          </w:p>
        </w:tc>
      </w:tr>
    </w:tbl>
    <w:p w14:paraId="4001324D" w14:textId="77777777" w:rsidR="00F223ED" w:rsidRPr="00257A34" w:rsidRDefault="00F223ED" w:rsidP="00F223ED">
      <w:pPr>
        <w:autoSpaceDE w:val="0"/>
        <w:autoSpaceDN w:val="0"/>
        <w:adjustRightInd w:val="0"/>
        <w:rPr>
          <w:sz w:val="22"/>
          <w:szCs w:val="22"/>
        </w:rPr>
      </w:pPr>
      <w:r w:rsidRPr="00257A34">
        <w:rPr>
          <w:i/>
          <w:sz w:val="22"/>
          <w:szCs w:val="22"/>
          <w:vertAlign w:val="superscript"/>
        </w:rPr>
        <w:t>a</w:t>
      </w:r>
      <w:r w:rsidRPr="00257A34">
        <w:rPr>
          <w:rFonts w:eastAsiaTheme="minorEastAsia"/>
          <w:spacing w:val="1"/>
          <w:sz w:val="22"/>
          <w:szCs w:val="22"/>
        </w:rPr>
        <w:t xml:space="preserve"> </w:t>
      </w:r>
      <w:r w:rsidRPr="00257A34">
        <w:rPr>
          <w:sz w:val="22"/>
          <w:szCs w:val="22"/>
        </w:rPr>
        <w:t>Varijable vremena do događaja: Stratifikovani log-rang test.</w:t>
      </w:r>
    </w:p>
    <w:p w14:paraId="08F38593" w14:textId="77777777" w:rsidR="00F223ED" w:rsidRPr="00257A34" w:rsidRDefault="00F223ED" w:rsidP="00F223ED">
      <w:pPr>
        <w:autoSpaceDE w:val="0"/>
        <w:autoSpaceDN w:val="0"/>
        <w:adjustRightInd w:val="0"/>
        <w:rPr>
          <w:i/>
          <w:sz w:val="22"/>
          <w:szCs w:val="22"/>
        </w:rPr>
      </w:pPr>
      <w:r w:rsidRPr="00257A34">
        <w:rPr>
          <w:sz w:val="22"/>
          <w:szCs w:val="22"/>
        </w:rPr>
        <w:t>Varijable stope odgovora: Fi</w:t>
      </w:r>
      <w:r>
        <w:rPr>
          <w:sz w:val="22"/>
          <w:szCs w:val="22"/>
          <w:lang w:val="bs-Latn-BA"/>
        </w:rPr>
        <w:t>š</w:t>
      </w:r>
      <w:r w:rsidRPr="00257A34">
        <w:rPr>
          <w:sz w:val="22"/>
          <w:szCs w:val="22"/>
        </w:rPr>
        <w:t>erov egzaktni test.</w:t>
      </w:r>
    </w:p>
    <w:p w14:paraId="01580477" w14:textId="77777777" w:rsidR="00F223ED" w:rsidRPr="00F223ED" w:rsidRDefault="00F223ED" w:rsidP="00F223ED">
      <w:pPr>
        <w:autoSpaceDE w:val="0"/>
        <w:autoSpaceDN w:val="0"/>
        <w:adjustRightInd w:val="0"/>
        <w:rPr>
          <w:sz w:val="22"/>
          <w:szCs w:val="22"/>
          <w:lang w:val="de-DE"/>
        </w:rPr>
      </w:pPr>
      <w:r w:rsidRPr="00F223ED">
        <w:rPr>
          <w:sz w:val="22"/>
          <w:szCs w:val="22"/>
          <w:lang w:val="de-DE"/>
        </w:rPr>
        <w:t>*p-vrijednost u opisne svrhe.</w:t>
      </w:r>
    </w:p>
    <w:p w14:paraId="28AFF537" w14:textId="77777777" w:rsidR="00F223ED" w:rsidRPr="00F223ED" w:rsidRDefault="00F223ED" w:rsidP="00F223ED">
      <w:pPr>
        <w:autoSpaceDE w:val="0"/>
        <w:autoSpaceDN w:val="0"/>
        <w:adjustRightInd w:val="0"/>
        <w:rPr>
          <w:i/>
          <w:sz w:val="22"/>
          <w:szCs w:val="22"/>
          <w:lang w:val="de-DE"/>
        </w:rPr>
      </w:pPr>
      <w:r w:rsidRPr="00F223ED">
        <w:rPr>
          <w:sz w:val="22"/>
          <w:szCs w:val="22"/>
          <w:lang w:val="de-DE"/>
        </w:rPr>
        <w:t>**PSA odgovor: odgovor antigena specifičnog za prostatu: nivo PSA &lt; 0,2 ng/ml mjeren u dva uzastopna mjerenja odvojena barem 4 nedjelje.</w:t>
      </w:r>
    </w:p>
    <w:p w14:paraId="015F0A5D" w14:textId="77777777" w:rsidR="00F223ED" w:rsidRPr="00F223ED" w:rsidRDefault="00F223ED" w:rsidP="00F223ED">
      <w:pPr>
        <w:autoSpaceDE w:val="0"/>
        <w:autoSpaceDN w:val="0"/>
        <w:adjustRightInd w:val="0"/>
        <w:rPr>
          <w:sz w:val="22"/>
          <w:szCs w:val="22"/>
          <w:lang w:val="de-DE"/>
        </w:rPr>
      </w:pPr>
      <w:r w:rsidRPr="00F223ED">
        <w:rPr>
          <w:i/>
          <w:sz w:val="22"/>
          <w:szCs w:val="22"/>
          <w:vertAlign w:val="superscript"/>
          <w:lang w:val="de-DE"/>
        </w:rPr>
        <w:t>b</w:t>
      </w:r>
      <w:r w:rsidRPr="00F223ED">
        <w:rPr>
          <w:rFonts w:eastAsiaTheme="minorEastAsia"/>
          <w:spacing w:val="-1"/>
          <w:position w:val="-1"/>
          <w:sz w:val="22"/>
          <w:szCs w:val="22"/>
          <w:lang w:val="de-DE"/>
        </w:rPr>
        <w:t xml:space="preserve"> </w:t>
      </w:r>
      <w:r w:rsidRPr="00F223ED">
        <w:rPr>
          <w:sz w:val="22"/>
          <w:szCs w:val="22"/>
          <w:lang w:val="de-DE"/>
        </w:rPr>
        <w:t xml:space="preserve">Vrijeme do karcinoma prostate rezistentnog na kastraciju = vrijeme od randomizacije do povećanja PSA ili kliničke progresije bolesti (npr. rast simptomatskih metastaza u kostima, progresija bolesti prema kriterijumima za ocjenu odgovora kod solidnih tumora [eng. </w:t>
      </w:r>
      <w:r w:rsidRPr="00F223ED">
        <w:rPr>
          <w:i/>
          <w:iCs/>
          <w:sz w:val="22"/>
          <w:szCs w:val="22"/>
          <w:lang w:val="de-DE"/>
        </w:rPr>
        <w:t>Response evaluation criteria in solid tumours</w:t>
      </w:r>
      <w:r w:rsidRPr="00F223ED">
        <w:rPr>
          <w:sz w:val="22"/>
          <w:szCs w:val="22"/>
          <w:lang w:val="de-DE"/>
        </w:rPr>
        <w:t xml:space="preserve"> </w:t>
      </w:r>
      <w:r w:rsidRPr="00F223ED">
        <w:rPr>
          <w:sz w:val="22"/>
          <w:szCs w:val="22"/>
          <w:lang w:val="de-DE" w:eastAsia="en-GB"/>
        </w:rPr>
        <w:t xml:space="preserve">– </w:t>
      </w:r>
      <w:r w:rsidRPr="00F223ED">
        <w:rPr>
          <w:sz w:val="22"/>
          <w:szCs w:val="22"/>
          <w:lang w:val="de-DE"/>
        </w:rPr>
        <w:t>RECIST] ili pogoršanje kliničke slike zbog karcinoma prema mišljenju ispitivača), nezavisno od toga šta se dogodi prvo.</w:t>
      </w:r>
    </w:p>
    <w:p w14:paraId="361D466C" w14:textId="77777777" w:rsidR="00F223ED" w:rsidRPr="00F223ED" w:rsidRDefault="00F223ED" w:rsidP="00F223ED">
      <w:pPr>
        <w:autoSpaceDE w:val="0"/>
        <w:autoSpaceDN w:val="0"/>
        <w:adjustRightInd w:val="0"/>
        <w:rPr>
          <w:sz w:val="22"/>
          <w:szCs w:val="22"/>
          <w:lang w:val="de-DE"/>
        </w:rPr>
      </w:pPr>
      <w:r w:rsidRPr="00F223ED">
        <w:rPr>
          <w:i/>
          <w:sz w:val="22"/>
          <w:szCs w:val="22"/>
          <w:vertAlign w:val="superscript"/>
          <w:lang w:val="de-DE"/>
        </w:rPr>
        <w:t>c</w:t>
      </w:r>
      <w:r w:rsidRPr="00F223ED">
        <w:rPr>
          <w:rFonts w:eastAsiaTheme="minorEastAsia"/>
          <w:spacing w:val="-1"/>
          <w:sz w:val="22"/>
          <w:szCs w:val="22"/>
          <w:lang w:val="de-DE"/>
        </w:rPr>
        <w:t xml:space="preserve"> </w:t>
      </w:r>
      <w:r w:rsidRPr="00F223ED">
        <w:rPr>
          <w:sz w:val="22"/>
          <w:szCs w:val="22"/>
          <w:lang w:val="de-DE"/>
        </w:rPr>
        <w:t>Vrijeme do kliničke progresije bolesti = vrijeme od randomizacije do kliničke progresije bolesti (tj. povećani simptomi metastaza u kostima; napredak prema RECIST kriterijumima; ili pogoršanje kliničke slike zbog karcinoma prema mišljenju ispitivača).</w:t>
      </w:r>
    </w:p>
    <w:p w14:paraId="1C237B03" w14:textId="77777777" w:rsidR="00F223ED" w:rsidRPr="00F223ED" w:rsidRDefault="00F223ED" w:rsidP="00F223ED">
      <w:pPr>
        <w:pStyle w:val="Header"/>
        <w:tabs>
          <w:tab w:val="left" w:pos="284"/>
        </w:tabs>
        <w:rPr>
          <w:sz w:val="22"/>
          <w:szCs w:val="22"/>
          <w:lang w:val="de-DE"/>
        </w:rPr>
      </w:pPr>
    </w:p>
    <w:p w14:paraId="1832DA4A" w14:textId="77777777" w:rsidR="00F223ED" w:rsidRPr="00F223ED" w:rsidRDefault="00F223ED" w:rsidP="00F223ED">
      <w:pPr>
        <w:autoSpaceDE w:val="0"/>
        <w:autoSpaceDN w:val="0"/>
        <w:adjustRightInd w:val="0"/>
        <w:rPr>
          <w:bCs/>
          <w:i/>
          <w:iCs/>
          <w:sz w:val="22"/>
          <w:szCs w:val="22"/>
          <w:u w:val="single"/>
          <w:lang w:val="de-DE"/>
        </w:rPr>
      </w:pPr>
      <w:r w:rsidRPr="00F223ED">
        <w:rPr>
          <w:bCs/>
          <w:i/>
          <w:iCs/>
          <w:sz w:val="22"/>
          <w:szCs w:val="22"/>
          <w:u w:val="single"/>
          <w:lang w:val="de-DE"/>
        </w:rPr>
        <w:t>Adenokarcinom želuca</w:t>
      </w:r>
    </w:p>
    <w:p w14:paraId="71ED0533" w14:textId="77777777" w:rsidR="00F223ED" w:rsidRPr="00F223ED" w:rsidRDefault="00F223ED" w:rsidP="00F223ED">
      <w:pPr>
        <w:autoSpaceDE w:val="0"/>
        <w:autoSpaceDN w:val="0"/>
        <w:adjustRightInd w:val="0"/>
        <w:rPr>
          <w:i/>
          <w:iCs/>
          <w:sz w:val="22"/>
          <w:szCs w:val="22"/>
          <w:lang w:val="de-DE"/>
        </w:rPr>
      </w:pPr>
    </w:p>
    <w:p w14:paraId="2CED57D6" w14:textId="77777777" w:rsidR="00F223ED" w:rsidRPr="00257A34" w:rsidRDefault="00F223ED" w:rsidP="00F223ED">
      <w:pPr>
        <w:autoSpaceDE w:val="0"/>
        <w:autoSpaceDN w:val="0"/>
        <w:adjustRightInd w:val="0"/>
        <w:rPr>
          <w:sz w:val="22"/>
          <w:szCs w:val="22"/>
        </w:rPr>
      </w:pPr>
      <w:r w:rsidRPr="00F223ED">
        <w:rPr>
          <w:sz w:val="22"/>
          <w:szCs w:val="22"/>
          <w:lang w:val="de-DE"/>
        </w:rPr>
        <w:t>Multicentri</w:t>
      </w:r>
      <w:r w:rsidRPr="00F223ED">
        <w:rPr>
          <w:rFonts w:eastAsia="TimesNewRoman"/>
          <w:sz w:val="22"/>
          <w:szCs w:val="22"/>
          <w:lang w:val="de-DE"/>
        </w:rPr>
        <w:t>č</w:t>
      </w:r>
      <w:r w:rsidRPr="00F223ED">
        <w:rPr>
          <w:sz w:val="22"/>
          <w:szCs w:val="22"/>
          <w:lang w:val="de-DE"/>
        </w:rPr>
        <w:t>na, otvorena, randomizovana klini</w:t>
      </w:r>
      <w:r w:rsidRPr="00F223ED">
        <w:rPr>
          <w:rFonts w:eastAsia="TimesNewRoman"/>
          <w:sz w:val="22"/>
          <w:szCs w:val="22"/>
          <w:lang w:val="de-DE"/>
        </w:rPr>
        <w:t>č</w:t>
      </w:r>
      <w:r w:rsidRPr="00F223ED">
        <w:rPr>
          <w:sz w:val="22"/>
          <w:szCs w:val="22"/>
          <w:lang w:val="de-DE"/>
        </w:rPr>
        <w:t>ka studija je sprovedena sa ciljem da se ispita bezbjednost i efikasnost docetaksela u lije</w:t>
      </w:r>
      <w:r w:rsidRPr="00F223ED">
        <w:rPr>
          <w:rFonts w:eastAsia="TimesNewRoman"/>
          <w:sz w:val="22"/>
          <w:szCs w:val="22"/>
          <w:lang w:val="de-DE"/>
        </w:rPr>
        <w:t>č</w:t>
      </w:r>
      <w:r w:rsidRPr="00F223ED">
        <w:rPr>
          <w:sz w:val="22"/>
          <w:szCs w:val="22"/>
          <w:lang w:val="de-DE"/>
        </w:rPr>
        <w:t>enju pacijenata sa metastatskim adenokarcinomom želuca, uklju</w:t>
      </w:r>
      <w:r w:rsidRPr="00F223ED">
        <w:rPr>
          <w:rFonts w:eastAsia="TimesNewRoman"/>
          <w:sz w:val="22"/>
          <w:szCs w:val="22"/>
          <w:lang w:val="de-DE"/>
        </w:rPr>
        <w:t>č</w:t>
      </w:r>
      <w:r w:rsidRPr="00F223ED">
        <w:rPr>
          <w:sz w:val="22"/>
          <w:szCs w:val="22"/>
          <w:lang w:val="de-DE"/>
        </w:rPr>
        <w:t>uju</w:t>
      </w:r>
      <w:r w:rsidRPr="00F223ED">
        <w:rPr>
          <w:rFonts w:eastAsia="TimesNewRoman"/>
          <w:sz w:val="22"/>
          <w:szCs w:val="22"/>
          <w:lang w:val="de-DE"/>
        </w:rPr>
        <w:t>ć</w:t>
      </w:r>
      <w:r w:rsidRPr="00F223ED">
        <w:rPr>
          <w:sz w:val="22"/>
          <w:szCs w:val="22"/>
          <w:lang w:val="de-DE"/>
        </w:rPr>
        <w:t>i adenokarcinom gastroezofagijalne spojnice, koji prethodno nisu primali hemioterapiju za metastatsku bolest. Ukupno 445 pacijenta sa KPS &gt; 70 lije</w:t>
      </w:r>
      <w:r w:rsidRPr="00F223ED">
        <w:rPr>
          <w:rFonts w:eastAsia="TimesNewRoman"/>
          <w:sz w:val="22"/>
          <w:szCs w:val="22"/>
          <w:lang w:val="de-DE"/>
        </w:rPr>
        <w:t>č</w:t>
      </w:r>
      <w:r w:rsidRPr="00F223ED">
        <w:rPr>
          <w:sz w:val="22"/>
          <w:szCs w:val="22"/>
          <w:lang w:val="de-DE"/>
        </w:rPr>
        <w:t xml:space="preserve">eno je ili docetakselom (T) (75 mg/m² prvog dana) u kombinaciji sa cisplatinom (C) (75 mg/m² prvog dana) i 5-fluorouracilom (F) (750 </w:t>
      </w:r>
      <w:r w:rsidRPr="00F223ED">
        <w:rPr>
          <w:sz w:val="22"/>
          <w:szCs w:val="22"/>
          <w:lang w:val="de-DE"/>
        </w:rPr>
        <w:lastRenderedPageBreak/>
        <w:t xml:space="preserve">mg/m² dnevno tokom 5 dana) ili cisplatinom (100 mg/m² prvog dana) i 5-fluorouracilom (1000 mg/m² dnevno tokom 5 dana). Dužina terapijskog ciklusa bila je 3 nedjelje za grupu na TCF, a 4 nedjelje za grupu na CF režimu. Srednji broj ciklusa po pacijentu bio je 6 (opseg 1-16) u grupi na TCF, odnosno 4 (opseg 1-12) u grupi na CF terapijskom režimu. </w:t>
      </w:r>
      <w:r w:rsidRPr="00257A34">
        <w:rPr>
          <w:sz w:val="22"/>
          <w:szCs w:val="22"/>
        </w:rPr>
        <w:t xml:space="preserve">Primarni krajnji ishod studije bilo je vrijeme do progresije bolesti (TTP – </w:t>
      </w:r>
      <w:r w:rsidRPr="00257A34">
        <w:rPr>
          <w:i/>
          <w:sz w:val="22"/>
          <w:szCs w:val="22"/>
        </w:rPr>
        <w:t>Time to progression</w:t>
      </w:r>
      <w:r w:rsidRPr="00257A34">
        <w:rPr>
          <w:sz w:val="22"/>
          <w:szCs w:val="22"/>
        </w:rPr>
        <w:t>). U TCF grupi smanjenje rizika za progresiju bilo je 32,1% i bilo je udruženo sa zna</w:t>
      </w:r>
      <w:r w:rsidRPr="00257A34">
        <w:rPr>
          <w:rFonts w:eastAsia="TimesNewRoman"/>
          <w:sz w:val="22"/>
          <w:szCs w:val="22"/>
        </w:rPr>
        <w:t>č</w:t>
      </w:r>
      <w:r w:rsidRPr="00257A34">
        <w:rPr>
          <w:sz w:val="22"/>
          <w:szCs w:val="22"/>
        </w:rPr>
        <w:t>ajno dužim TTP (p=0,0004). Ukupno preživljavanje je bilo zna</w:t>
      </w:r>
      <w:r w:rsidRPr="00257A34">
        <w:rPr>
          <w:rFonts w:eastAsia="TimesNewRoman"/>
          <w:sz w:val="22"/>
          <w:szCs w:val="22"/>
        </w:rPr>
        <w:t>č</w:t>
      </w:r>
      <w:r w:rsidRPr="00257A34">
        <w:rPr>
          <w:sz w:val="22"/>
          <w:szCs w:val="22"/>
        </w:rPr>
        <w:t>ajno duže (p=0,201) u korist grupe na TCF, uz smanjenje rizika od smrtnosti od 22,7%. Rezultati ispitivanja efikasnosti prikazani su u sljede</w:t>
      </w:r>
      <w:r w:rsidRPr="00257A34">
        <w:rPr>
          <w:rFonts w:eastAsia="TimesNewRoman"/>
          <w:sz w:val="22"/>
          <w:szCs w:val="22"/>
        </w:rPr>
        <w:t>ć</w:t>
      </w:r>
      <w:r w:rsidRPr="00257A34">
        <w:rPr>
          <w:sz w:val="22"/>
          <w:szCs w:val="22"/>
        </w:rPr>
        <w:t>oj tabeli:</w:t>
      </w:r>
    </w:p>
    <w:p w14:paraId="284F6C35" w14:textId="77777777" w:rsidR="00F223ED" w:rsidRPr="00257A34" w:rsidRDefault="00F223ED" w:rsidP="00F223ED">
      <w:pPr>
        <w:autoSpaceDE w:val="0"/>
        <w:autoSpaceDN w:val="0"/>
        <w:adjustRightInd w:val="0"/>
        <w:rPr>
          <w:sz w:val="22"/>
          <w:szCs w:val="22"/>
        </w:rPr>
      </w:pPr>
    </w:p>
    <w:p w14:paraId="09F70154" w14:textId="77777777" w:rsidR="00F223ED" w:rsidRPr="00257A34" w:rsidRDefault="00F223ED" w:rsidP="00F223ED">
      <w:pPr>
        <w:autoSpaceDE w:val="0"/>
        <w:autoSpaceDN w:val="0"/>
        <w:adjustRightInd w:val="0"/>
        <w:rPr>
          <w:b/>
          <w:bCs/>
          <w:sz w:val="22"/>
          <w:szCs w:val="22"/>
          <w:u w:val="single"/>
        </w:rPr>
      </w:pPr>
      <w:r w:rsidRPr="00257A34">
        <w:rPr>
          <w:b/>
          <w:bCs/>
          <w:sz w:val="22"/>
          <w:szCs w:val="22"/>
          <w:u w:val="single"/>
        </w:rPr>
        <w:t>Efikasnost docetaksela u lije</w:t>
      </w:r>
      <w:r w:rsidRPr="00257A34">
        <w:rPr>
          <w:rFonts w:eastAsia="TimesNewRoman"/>
          <w:b/>
          <w:bCs/>
          <w:sz w:val="22"/>
          <w:szCs w:val="22"/>
          <w:u w:val="single"/>
        </w:rPr>
        <w:t>č</w:t>
      </w:r>
      <w:r w:rsidRPr="00257A34">
        <w:rPr>
          <w:b/>
          <w:bCs/>
          <w:sz w:val="22"/>
          <w:szCs w:val="22"/>
          <w:u w:val="single"/>
        </w:rPr>
        <w:t>enju pacijenata sa adenokarcinomom želuca</w:t>
      </w:r>
    </w:p>
    <w:p w14:paraId="63FA9F59" w14:textId="77777777" w:rsidR="00F223ED" w:rsidRPr="00257A34" w:rsidRDefault="00F223ED" w:rsidP="00F223ED">
      <w:pPr>
        <w:pStyle w:val="Header"/>
        <w:tabs>
          <w:tab w:val="left" w:pos="284"/>
        </w:tabs>
        <w:rPr>
          <w:sz w:val="22"/>
          <w:szCs w:val="22"/>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6"/>
        <w:gridCol w:w="3246"/>
        <w:gridCol w:w="3250"/>
      </w:tblGrid>
      <w:tr w:rsidR="00F223ED" w:rsidRPr="00B02007" w14:paraId="7B20BD0D" w14:textId="77777777" w:rsidTr="002C66FC">
        <w:trPr>
          <w:trHeight w:val="765"/>
        </w:trPr>
        <w:tc>
          <w:tcPr>
            <w:tcW w:w="3246" w:type="dxa"/>
          </w:tcPr>
          <w:p w14:paraId="20BFFD24" w14:textId="77777777" w:rsidR="00F223ED" w:rsidRPr="00257A34" w:rsidRDefault="00F223ED" w:rsidP="002C66FC">
            <w:pPr>
              <w:autoSpaceDE w:val="0"/>
              <w:autoSpaceDN w:val="0"/>
              <w:adjustRightInd w:val="0"/>
              <w:rPr>
                <w:b/>
                <w:bCs/>
                <w:sz w:val="22"/>
                <w:szCs w:val="22"/>
              </w:rPr>
            </w:pPr>
            <w:r w:rsidRPr="00257A34">
              <w:rPr>
                <w:b/>
                <w:bCs/>
                <w:sz w:val="22"/>
                <w:szCs w:val="22"/>
              </w:rPr>
              <w:t>Krajnji ishod</w:t>
            </w:r>
          </w:p>
          <w:p w14:paraId="005EFF76" w14:textId="77777777" w:rsidR="00F223ED" w:rsidRPr="00257A34" w:rsidRDefault="00F223ED" w:rsidP="002C66FC">
            <w:pPr>
              <w:autoSpaceDE w:val="0"/>
              <w:autoSpaceDN w:val="0"/>
              <w:adjustRightInd w:val="0"/>
              <w:rPr>
                <w:sz w:val="22"/>
                <w:szCs w:val="22"/>
              </w:rPr>
            </w:pPr>
          </w:p>
        </w:tc>
        <w:tc>
          <w:tcPr>
            <w:tcW w:w="3246" w:type="dxa"/>
          </w:tcPr>
          <w:p w14:paraId="577AF9E1" w14:textId="77777777" w:rsidR="00F223ED" w:rsidRPr="00257A34" w:rsidRDefault="00F223ED" w:rsidP="002C66FC">
            <w:pPr>
              <w:autoSpaceDE w:val="0"/>
              <w:autoSpaceDN w:val="0"/>
              <w:adjustRightInd w:val="0"/>
              <w:jc w:val="center"/>
              <w:rPr>
                <w:b/>
                <w:bCs/>
                <w:sz w:val="22"/>
                <w:szCs w:val="22"/>
              </w:rPr>
            </w:pPr>
            <w:r w:rsidRPr="00257A34">
              <w:rPr>
                <w:b/>
                <w:bCs/>
                <w:sz w:val="22"/>
                <w:szCs w:val="22"/>
              </w:rPr>
              <w:t>TCF</w:t>
            </w:r>
          </w:p>
          <w:p w14:paraId="23D1066E" w14:textId="77777777" w:rsidR="00F223ED" w:rsidRPr="00257A34" w:rsidRDefault="00F223ED" w:rsidP="002C66FC">
            <w:pPr>
              <w:autoSpaceDE w:val="0"/>
              <w:autoSpaceDN w:val="0"/>
              <w:adjustRightInd w:val="0"/>
              <w:jc w:val="center"/>
              <w:rPr>
                <w:sz w:val="22"/>
                <w:szCs w:val="22"/>
              </w:rPr>
            </w:pPr>
            <w:r w:rsidRPr="00257A34">
              <w:rPr>
                <w:sz w:val="22"/>
                <w:szCs w:val="22"/>
              </w:rPr>
              <w:t>n=221</w:t>
            </w:r>
          </w:p>
          <w:p w14:paraId="24F07C16" w14:textId="77777777" w:rsidR="00F223ED" w:rsidRPr="00257A34" w:rsidRDefault="00F223ED" w:rsidP="002C66FC">
            <w:pPr>
              <w:pStyle w:val="Header"/>
              <w:tabs>
                <w:tab w:val="left" w:pos="284"/>
              </w:tabs>
              <w:jc w:val="center"/>
              <w:rPr>
                <w:sz w:val="22"/>
                <w:szCs w:val="22"/>
              </w:rPr>
            </w:pPr>
          </w:p>
        </w:tc>
        <w:tc>
          <w:tcPr>
            <w:tcW w:w="3250" w:type="dxa"/>
          </w:tcPr>
          <w:p w14:paraId="38D50E77" w14:textId="77777777" w:rsidR="00F223ED" w:rsidRPr="00257A34" w:rsidRDefault="00F223ED" w:rsidP="002C66FC">
            <w:pPr>
              <w:autoSpaceDE w:val="0"/>
              <w:autoSpaceDN w:val="0"/>
              <w:adjustRightInd w:val="0"/>
              <w:jc w:val="center"/>
              <w:rPr>
                <w:b/>
                <w:bCs/>
                <w:sz w:val="22"/>
                <w:szCs w:val="22"/>
              </w:rPr>
            </w:pPr>
            <w:r w:rsidRPr="00257A34">
              <w:rPr>
                <w:b/>
                <w:bCs/>
                <w:sz w:val="22"/>
                <w:szCs w:val="22"/>
              </w:rPr>
              <w:t>CF</w:t>
            </w:r>
          </w:p>
          <w:p w14:paraId="6098C717" w14:textId="77777777" w:rsidR="00F223ED" w:rsidRPr="00257A34" w:rsidRDefault="00F223ED" w:rsidP="002C66FC">
            <w:pPr>
              <w:autoSpaceDE w:val="0"/>
              <w:autoSpaceDN w:val="0"/>
              <w:adjustRightInd w:val="0"/>
              <w:jc w:val="center"/>
              <w:rPr>
                <w:sz w:val="22"/>
                <w:szCs w:val="22"/>
              </w:rPr>
            </w:pPr>
            <w:r w:rsidRPr="00257A34">
              <w:rPr>
                <w:sz w:val="22"/>
                <w:szCs w:val="22"/>
              </w:rPr>
              <w:t>n=224</w:t>
            </w:r>
          </w:p>
          <w:p w14:paraId="601AB1B8" w14:textId="77777777" w:rsidR="00F223ED" w:rsidRPr="00257A34" w:rsidRDefault="00F223ED" w:rsidP="002C66FC">
            <w:pPr>
              <w:pStyle w:val="Header"/>
              <w:tabs>
                <w:tab w:val="left" w:pos="284"/>
              </w:tabs>
              <w:jc w:val="center"/>
              <w:rPr>
                <w:sz w:val="22"/>
                <w:szCs w:val="22"/>
              </w:rPr>
            </w:pPr>
          </w:p>
        </w:tc>
      </w:tr>
      <w:tr w:rsidR="00F223ED" w:rsidRPr="00B02007" w14:paraId="13C45DC3" w14:textId="77777777" w:rsidTr="002C66FC">
        <w:trPr>
          <w:trHeight w:val="725"/>
        </w:trPr>
        <w:tc>
          <w:tcPr>
            <w:tcW w:w="3246" w:type="dxa"/>
            <w:vMerge w:val="restart"/>
          </w:tcPr>
          <w:p w14:paraId="32019A6D" w14:textId="77777777" w:rsidR="00F223ED" w:rsidRPr="00257A34" w:rsidRDefault="00F223ED" w:rsidP="002C66FC">
            <w:pPr>
              <w:autoSpaceDE w:val="0"/>
              <w:autoSpaceDN w:val="0"/>
              <w:adjustRightInd w:val="0"/>
              <w:rPr>
                <w:sz w:val="22"/>
                <w:szCs w:val="22"/>
              </w:rPr>
            </w:pPr>
            <w:r w:rsidRPr="00257A34">
              <w:rPr>
                <w:sz w:val="22"/>
                <w:szCs w:val="22"/>
              </w:rPr>
              <w:t xml:space="preserve">Srednje TTP (mjeseci) </w:t>
            </w:r>
          </w:p>
          <w:p w14:paraId="028E276F"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p w14:paraId="228B8D04" w14:textId="77777777" w:rsidR="00F223ED" w:rsidRPr="00257A34" w:rsidRDefault="00F223ED" w:rsidP="002C66FC">
            <w:pPr>
              <w:autoSpaceDE w:val="0"/>
              <w:autoSpaceDN w:val="0"/>
              <w:adjustRightInd w:val="0"/>
              <w:rPr>
                <w:sz w:val="22"/>
                <w:szCs w:val="22"/>
              </w:rPr>
            </w:pPr>
          </w:p>
          <w:p w14:paraId="5EAD9511" w14:textId="77777777" w:rsidR="00F223ED" w:rsidRPr="00257A34" w:rsidRDefault="00F223ED" w:rsidP="002C66FC">
            <w:pPr>
              <w:autoSpaceDE w:val="0"/>
              <w:autoSpaceDN w:val="0"/>
              <w:adjustRightInd w:val="0"/>
              <w:rPr>
                <w:sz w:val="22"/>
                <w:szCs w:val="22"/>
              </w:rPr>
            </w:pPr>
            <w:r w:rsidRPr="00257A34">
              <w:rPr>
                <w:sz w:val="22"/>
                <w:szCs w:val="22"/>
              </w:rPr>
              <w:t xml:space="preserve">Indeks rizika </w:t>
            </w:r>
          </w:p>
          <w:p w14:paraId="443C8A03"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p w14:paraId="618770F3" w14:textId="77777777" w:rsidR="00F223ED" w:rsidRPr="00257A34" w:rsidRDefault="00F223ED" w:rsidP="002C66FC">
            <w:pPr>
              <w:autoSpaceDE w:val="0"/>
              <w:autoSpaceDN w:val="0"/>
              <w:adjustRightInd w:val="0"/>
              <w:rPr>
                <w:sz w:val="22"/>
                <w:szCs w:val="22"/>
              </w:rPr>
            </w:pPr>
            <w:r w:rsidRPr="00257A34">
              <w:rPr>
                <w:sz w:val="22"/>
                <w:szCs w:val="22"/>
              </w:rPr>
              <w:t xml:space="preserve">*p-vrijednost </w:t>
            </w:r>
          </w:p>
        </w:tc>
        <w:tc>
          <w:tcPr>
            <w:tcW w:w="3246" w:type="dxa"/>
          </w:tcPr>
          <w:p w14:paraId="24050EA5" w14:textId="77777777" w:rsidR="00F223ED" w:rsidRPr="00257A34" w:rsidRDefault="00F223ED" w:rsidP="002C66FC">
            <w:pPr>
              <w:pStyle w:val="Header"/>
              <w:tabs>
                <w:tab w:val="left" w:pos="284"/>
              </w:tabs>
              <w:jc w:val="center"/>
              <w:rPr>
                <w:sz w:val="22"/>
                <w:szCs w:val="22"/>
              </w:rPr>
            </w:pPr>
            <w:r w:rsidRPr="00257A34">
              <w:rPr>
                <w:sz w:val="22"/>
                <w:szCs w:val="22"/>
              </w:rPr>
              <w:t>5,6</w:t>
            </w:r>
          </w:p>
          <w:p w14:paraId="710F86C9" w14:textId="77777777" w:rsidR="00F223ED" w:rsidRPr="00257A34" w:rsidRDefault="00F223ED" w:rsidP="002C66FC">
            <w:pPr>
              <w:pStyle w:val="Header"/>
              <w:tabs>
                <w:tab w:val="left" w:pos="284"/>
              </w:tabs>
              <w:jc w:val="center"/>
              <w:rPr>
                <w:sz w:val="22"/>
                <w:szCs w:val="22"/>
              </w:rPr>
            </w:pPr>
            <w:r w:rsidRPr="00257A34">
              <w:rPr>
                <w:sz w:val="22"/>
                <w:szCs w:val="22"/>
              </w:rPr>
              <w:t>(4,86-5,91)</w:t>
            </w:r>
          </w:p>
        </w:tc>
        <w:tc>
          <w:tcPr>
            <w:tcW w:w="3250" w:type="dxa"/>
          </w:tcPr>
          <w:p w14:paraId="7BB2CBB8" w14:textId="77777777" w:rsidR="00F223ED" w:rsidRPr="00257A34" w:rsidRDefault="00F223ED" w:rsidP="002C66FC">
            <w:pPr>
              <w:pStyle w:val="Header"/>
              <w:tabs>
                <w:tab w:val="left" w:pos="284"/>
              </w:tabs>
              <w:jc w:val="center"/>
              <w:rPr>
                <w:sz w:val="22"/>
                <w:szCs w:val="22"/>
              </w:rPr>
            </w:pPr>
            <w:r w:rsidRPr="00257A34">
              <w:rPr>
                <w:sz w:val="22"/>
                <w:szCs w:val="22"/>
              </w:rPr>
              <w:t>3,7</w:t>
            </w:r>
          </w:p>
          <w:p w14:paraId="153E580B" w14:textId="77777777" w:rsidR="00F223ED" w:rsidRPr="00257A34" w:rsidRDefault="00F223ED" w:rsidP="002C66FC">
            <w:pPr>
              <w:pStyle w:val="Header"/>
              <w:tabs>
                <w:tab w:val="left" w:pos="284"/>
              </w:tabs>
              <w:jc w:val="center"/>
              <w:rPr>
                <w:sz w:val="22"/>
                <w:szCs w:val="22"/>
              </w:rPr>
            </w:pPr>
            <w:r w:rsidRPr="00257A34">
              <w:rPr>
                <w:sz w:val="22"/>
                <w:szCs w:val="22"/>
              </w:rPr>
              <w:t>(3,45-4,47)</w:t>
            </w:r>
          </w:p>
        </w:tc>
      </w:tr>
      <w:tr w:rsidR="00F223ED" w:rsidRPr="00B02007" w14:paraId="3EF78492" w14:textId="77777777" w:rsidTr="002C66FC">
        <w:trPr>
          <w:trHeight w:val="921"/>
        </w:trPr>
        <w:tc>
          <w:tcPr>
            <w:tcW w:w="3246" w:type="dxa"/>
            <w:vMerge/>
          </w:tcPr>
          <w:p w14:paraId="6F4DCB6B" w14:textId="77777777" w:rsidR="00F223ED" w:rsidRPr="00E558A7" w:rsidRDefault="00F223ED" w:rsidP="002C66FC">
            <w:pPr>
              <w:autoSpaceDE w:val="0"/>
              <w:autoSpaceDN w:val="0"/>
              <w:adjustRightInd w:val="0"/>
              <w:rPr>
                <w:sz w:val="22"/>
                <w:szCs w:val="22"/>
              </w:rPr>
            </w:pPr>
          </w:p>
        </w:tc>
        <w:tc>
          <w:tcPr>
            <w:tcW w:w="6496" w:type="dxa"/>
            <w:gridSpan w:val="2"/>
          </w:tcPr>
          <w:p w14:paraId="1681AFF3" w14:textId="77777777" w:rsidR="00F223ED" w:rsidRPr="00E558A7" w:rsidRDefault="00F223ED" w:rsidP="002C66FC">
            <w:pPr>
              <w:pStyle w:val="Header"/>
              <w:tabs>
                <w:tab w:val="left" w:pos="284"/>
              </w:tabs>
              <w:jc w:val="center"/>
              <w:rPr>
                <w:sz w:val="22"/>
                <w:szCs w:val="22"/>
              </w:rPr>
            </w:pPr>
            <w:r w:rsidRPr="00E558A7">
              <w:rPr>
                <w:sz w:val="22"/>
                <w:szCs w:val="22"/>
              </w:rPr>
              <w:t>1,473</w:t>
            </w:r>
          </w:p>
          <w:p w14:paraId="0847BC4C" w14:textId="77777777" w:rsidR="00F223ED" w:rsidRPr="00E558A7" w:rsidRDefault="00F223ED" w:rsidP="002C66FC">
            <w:pPr>
              <w:pStyle w:val="Header"/>
              <w:tabs>
                <w:tab w:val="left" w:pos="284"/>
              </w:tabs>
              <w:jc w:val="center"/>
              <w:rPr>
                <w:sz w:val="22"/>
                <w:szCs w:val="22"/>
              </w:rPr>
            </w:pPr>
            <w:r w:rsidRPr="00E558A7">
              <w:rPr>
                <w:sz w:val="22"/>
                <w:szCs w:val="22"/>
              </w:rPr>
              <w:t>(1,189-1,825)</w:t>
            </w:r>
          </w:p>
          <w:p w14:paraId="430F59DE" w14:textId="77777777" w:rsidR="00F223ED" w:rsidRPr="00E558A7" w:rsidRDefault="00F223ED" w:rsidP="002C66FC">
            <w:pPr>
              <w:pStyle w:val="Header"/>
              <w:tabs>
                <w:tab w:val="left" w:pos="284"/>
              </w:tabs>
              <w:jc w:val="center"/>
              <w:rPr>
                <w:sz w:val="22"/>
                <w:szCs w:val="22"/>
              </w:rPr>
            </w:pPr>
            <w:r w:rsidRPr="00E558A7">
              <w:rPr>
                <w:sz w:val="22"/>
                <w:szCs w:val="22"/>
              </w:rPr>
              <w:t>0,0004</w:t>
            </w:r>
          </w:p>
        </w:tc>
      </w:tr>
      <w:tr w:rsidR="00F223ED" w:rsidRPr="00B02007" w14:paraId="69B77560" w14:textId="77777777" w:rsidTr="002C66FC">
        <w:trPr>
          <w:trHeight w:val="377"/>
        </w:trPr>
        <w:tc>
          <w:tcPr>
            <w:tcW w:w="3246" w:type="dxa"/>
            <w:vMerge w:val="restart"/>
          </w:tcPr>
          <w:p w14:paraId="38A5B699" w14:textId="77777777" w:rsidR="00F223ED" w:rsidRPr="00257A34" w:rsidRDefault="00F223ED" w:rsidP="002C66FC">
            <w:pPr>
              <w:autoSpaceDE w:val="0"/>
              <w:autoSpaceDN w:val="0"/>
              <w:adjustRightInd w:val="0"/>
              <w:rPr>
                <w:sz w:val="22"/>
                <w:szCs w:val="22"/>
              </w:rPr>
            </w:pPr>
            <w:r w:rsidRPr="00257A34">
              <w:rPr>
                <w:sz w:val="22"/>
                <w:szCs w:val="22"/>
              </w:rPr>
              <w:t xml:space="preserve">Srednje vrijeme preživljavanja (mjeseci) </w:t>
            </w:r>
          </w:p>
          <w:p w14:paraId="485AD217"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p w14:paraId="5F3A9345" w14:textId="77777777" w:rsidR="00F223ED" w:rsidRPr="00257A34" w:rsidRDefault="00F223ED" w:rsidP="002C66FC">
            <w:pPr>
              <w:autoSpaceDE w:val="0"/>
              <w:autoSpaceDN w:val="0"/>
              <w:adjustRightInd w:val="0"/>
              <w:rPr>
                <w:sz w:val="22"/>
                <w:szCs w:val="22"/>
              </w:rPr>
            </w:pPr>
            <w:r w:rsidRPr="00257A34">
              <w:rPr>
                <w:sz w:val="22"/>
                <w:szCs w:val="22"/>
              </w:rPr>
              <w:t>Dvogodišnje preživljavanje (%)</w:t>
            </w:r>
          </w:p>
          <w:p w14:paraId="6530B2E1" w14:textId="77777777" w:rsidR="00F223ED" w:rsidRPr="00257A34" w:rsidRDefault="00F223ED" w:rsidP="002C66FC">
            <w:pPr>
              <w:autoSpaceDE w:val="0"/>
              <w:autoSpaceDN w:val="0"/>
              <w:adjustRightInd w:val="0"/>
              <w:rPr>
                <w:sz w:val="22"/>
                <w:szCs w:val="22"/>
              </w:rPr>
            </w:pPr>
            <w:r w:rsidRPr="00257A34">
              <w:rPr>
                <w:sz w:val="22"/>
                <w:szCs w:val="22"/>
              </w:rPr>
              <w:t>Indeks rizika</w:t>
            </w:r>
          </w:p>
          <w:p w14:paraId="184B4266" w14:textId="77777777" w:rsidR="00F223ED" w:rsidRPr="00257A34" w:rsidRDefault="00F223ED" w:rsidP="002C66FC">
            <w:pPr>
              <w:autoSpaceDE w:val="0"/>
              <w:autoSpaceDN w:val="0"/>
              <w:adjustRightInd w:val="0"/>
              <w:rPr>
                <w:sz w:val="22"/>
                <w:szCs w:val="22"/>
              </w:rPr>
            </w:pPr>
            <w:r w:rsidRPr="00257A34">
              <w:rPr>
                <w:sz w:val="22"/>
                <w:szCs w:val="22"/>
              </w:rPr>
              <w:t xml:space="preserve"> </w:t>
            </w:r>
          </w:p>
          <w:p w14:paraId="1A3F02AC" w14:textId="77777777" w:rsidR="00F223ED" w:rsidRPr="00257A34" w:rsidRDefault="00F223ED" w:rsidP="002C66FC">
            <w:pPr>
              <w:autoSpaceDE w:val="0"/>
              <w:autoSpaceDN w:val="0"/>
              <w:adjustRightInd w:val="0"/>
              <w:rPr>
                <w:sz w:val="22"/>
                <w:szCs w:val="22"/>
              </w:rPr>
            </w:pPr>
            <w:r w:rsidRPr="00257A34">
              <w:rPr>
                <w:sz w:val="22"/>
                <w:szCs w:val="22"/>
              </w:rPr>
              <w:t xml:space="preserve">(95% CI) </w:t>
            </w:r>
          </w:p>
          <w:p w14:paraId="7E563C20" w14:textId="77777777" w:rsidR="00F223ED" w:rsidRPr="00257A34" w:rsidRDefault="00F223ED" w:rsidP="002C66FC">
            <w:pPr>
              <w:autoSpaceDE w:val="0"/>
              <w:autoSpaceDN w:val="0"/>
              <w:adjustRightInd w:val="0"/>
              <w:rPr>
                <w:sz w:val="22"/>
                <w:szCs w:val="22"/>
              </w:rPr>
            </w:pPr>
            <w:r w:rsidRPr="00257A34">
              <w:rPr>
                <w:sz w:val="22"/>
                <w:szCs w:val="22"/>
              </w:rPr>
              <w:t xml:space="preserve">*p-vrijednost </w:t>
            </w:r>
          </w:p>
        </w:tc>
        <w:tc>
          <w:tcPr>
            <w:tcW w:w="3246" w:type="dxa"/>
          </w:tcPr>
          <w:p w14:paraId="4D4D87F1" w14:textId="77777777" w:rsidR="00F223ED" w:rsidRPr="00257A34" w:rsidRDefault="00F223ED" w:rsidP="002C66FC">
            <w:pPr>
              <w:pStyle w:val="Header"/>
              <w:tabs>
                <w:tab w:val="left" w:pos="284"/>
              </w:tabs>
              <w:jc w:val="center"/>
              <w:rPr>
                <w:sz w:val="22"/>
                <w:szCs w:val="22"/>
              </w:rPr>
            </w:pPr>
            <w:r w:rsidRPr="00257A34">
              <w:rPr>
                <w:sz w:val="22"/>
                <w:szCs w:val="22"/>
              </w:rPr>
              <w:t>9,2</w:t>
            </w:r>
          </w:p>
        </w:tc>
        <w:tc>
          <w:tcPr>
            <w:tcW w:w="3250" w:type="dxa"/>
          </w:tcPr>
          <w:p w14:paraId="32650D2E" w14:textId="77777777" w:rsidR="00F223ED" w:rsidRPr="00257A34" w:rsidRDefault="00F223ED" w:rsidP="002C66FC">
            <w:pPr>
              <w:pStyle w:val="Header"/>
              <w:tabs>
                <w:tab w:val="left" w:pos="284"/>
              </w:tabs>
              <w:jc w:val="center"/>
              <w:rPr>
                <w:sz w:val="22"/>
                <w:szCs w:val="22"/>
              </w:rPr>
            </w:pPr>
            <w:r w:rsidRPr="00257A34">
              <w:rPr>
                <w:sz w:val="22"/>
                <w:szCs w:val="22"/>
              </w:rPr>
              <w:t>8,6</w:t>
            </w:r>
          </w:p>
        </w:tc>
      </w:tr>
      <w:tr w:rsidR="00F223ED" w:rsidRPr="00B02007" w14:paraId="701E3E1C" w14:textId="77777777" w:rsidTr="002C66FC">
        <w:trPr>
          <w:trHeight w:val="332"/>
        </w:trPr>
        <w:tc>
          <w:tcPr>
            <w:tcW w:w="3246" w:type="dxa"/>
            <w:vMerge/>
          </w:tcPr>
          <w:p w14:paraId="3E1ED1A5" w14:textId="77777777" w:rsidR="00F223ED" w:rsidRPr="00E558A7" w:rsidRDefault="00F223ED" w:rsidP="002C66FC">
            <w:pPr>
              <w:autoSpaceDE w:val="0"/>
              <w:autoSpaceDN w:val="0"/>
              <w:adjustRightInd w:val="0"/>
              <w:rPr>
                <w:sz w:val="22"/>
                <w:szCs w:val="22"/>
              </w:rPr>
            </w:pPr>
          </w:p>
        </w:tc>
        <w:tc>
          <w:tcPr>
            <w:tcW w:w="3246" w:type="dxa"/>
          </w:tcPr>
          <w:p w14:paraId="3F5D84C1" w14:textId="77777777" w:rsidR="00F223ED" w:rsidRPr="00E558A7" w:rsidRDefault="00F223ED" w:rsidP="002C66FC">
            <w:pPr>
              <w:pStyle w:val="Header"/>
              <w:tabs>
                <w:tab w:val="left" w:pos="284"/>
              </w:tabs>
              <w:jc w:val="center"/>
              <w:rPr>
                <w:sz w:val="22"/>
                <w:szCs w:val="22"/>
              </w:rPr>
            </w:pPr>
            <w:r w:rsidRPr="00E558A7">
              <w:rPr>
                <w:sz w:val="22"/>
                <w:szCs w:val="22"/>
              </w:rPr>
              <w:t>(8,38-10,58)</w:t>
            </w:r>
          </w:p>
        </w:tc>
        <w:tc>
          <w:tcPr>
            <w:tcW w:w="3250" w:type="dxa"/>
          </w:tcPr>
          <w:p w14:paraId="01BAA37A" w14:textId="77777777" w:rsidR="00F223ED" w:rsidRPr="00E558A7" w:rsidRDefault="00F223ED" w:rsidP="002C66FC">
            <w:pPr>
              <w:pStyle w:val="Header"/>
              <w:tabs>
                <w:tab w:val="left" w:pos="284"/>
              </w:tabs>
              <w:jc w:val="center"/>
              <w:rPr>
                <w:sz w:val="22"/>
                <w:szCs w:val="22"/>
              </w:rPr>
            </w:pPr>
            <w:r w:rsidRPr="00E558A7">
              <w:rPr>
                <w:sz w:val="22"/>
                <w:szCs w:val="22"/>
              </w:rPr>
              <w:t>(7,16-9,46)</w:t>
            </w:r>
          </w:p>
        </w:tc>
      </w:tr>
      <w:tr w:rsidR="00F223ED" w:rsidRPr="00B02007" w14:paraId="563BE065" w14:textId="77777777" w:rsidTr="002C66FC">
        <w:trPr>
          <w:trHeight w:val="362"/>
        </w:trPr>
        <w:tc>
          <w:tcPr>
            <w:tcW w:w="3246" w:type="dxa"/>
            <w:vMerge/>
          </w:tcPr>
          <w:p w14:paraId="53419A41" w14:textId="77777777" w:rsidR="00F223ED" w:rsidRPr="00E558A7" w:rsidRDefault="00F223ED" w:rsidP="002C66FC">
            <w:pPr>
              <w:autoSpaceDE w:val="0"/>
              <w:autoSpaceDN w:val="0"/>
              <w:adjustRightInd w:val="0"/>
              <w:rPr>
                <w:sz w:val="22"/>
                <w:szCs w:val="22"/>
              </w:rPr>
            </w:pPr>
          </w:p>
        </w:tc>
        <w:tc>
          <w:tcPr>
            <w:tcW w:w="3246" w:type="dxa"/>
          </w:tcPr>
          <w:p w14:paraId="16C7978B" w14:textId="77777777" w:rsidR="00F223ED" w:rsidRPr="00E558A7" w:rsidRDefault="00F223ED" w:rsidP="002C66FC">
            <w:pPr>
              <w:pStyle w:val="Header"/>
              <w:tabs>
                <w:tab w:val="left" w:pos="284"/>
              </w:tabs>
              <w:jc w:val="center"/>
              <w:rPr>
                <w:sz w:val="22"/>
                <w:szCs w:val="22"/>
              </w:rPr>
            </w:pPr>
            <w:r w:rsidRPr="00E558A7">
              <w:rPr>
                <w:sz w:val="22"/>
                <w:szCs w:val="22"/>
              </w:rPr>
              <w:t>18,4</w:t>
            </w:r>
          </w:p>
        </w:tc>
        <w:tc>
          <w:tcPr>
            <w:tcW w:w="3250" w:type="dxa"/>
          </w:tcPr>
          <w:p w14:paraId="020D6081" w14:textId="77777777" w:rsidR="00F223ED" w:rsidRPr="00E558A7" w:rsidRDefault="00F223ED" w:rsidP="002C66FC">
            <w:pPr>
              <w:pStyle w:val="Header"/>
              <w:tabs>
                <w:tab w:val="left" w:pos="284"/>
              </w:tabs>
              <w:jc w:val="center"/>
              <w:rPr>
                <w:sz w:val="22"/>
                <w:szCs w:val="22"/>
              </w:rPr>
            </w:pPr>
            <w:r w:rsidRPr="00E558A7">
              <w:rPr>
                <w:sz w:val="22"/>
                <w:szCs w:val="22"/>
              </w:rPr>
              <w:t>8,8</w:t>
            </w:r>
          </w:p>
        </w:tc>
      </w:tr>
      <w:tr w:rsidR="00F223ED" w:rsidRPr="00B02007" w14:paraId="0C6B001B" w14:textId="77777777" w:rsidTr="002C66FC">
        <w:trPr>
          <w:trHeight w:val="347"/>
        </w:trPr>
        <w:tc>
          <w:tcPr>
            <w:tcW w:w="3246" w:type="dxa"/>
            <w:vMerge/>
          </w:tcPr>
          <w:p w14:paraId="521C70FD" w14:textId="77777777" w:rsidR="00F223ED" w:rsidRPr="00E558A7" w:rsidRDefault="00F223ED" w:rsidP="002C66FC">
            <w:pPr>
              <w:autoSpaceDE w:val="0"/>
              <w:autoSpaceDN w:val="0"/>
              <w:adjustRightInd w:val="0"/>
              <w:rPr>
                <w:sz w:val="22"/>
                <w:szCs w:val="22"/>
              </w:rPr>
            </w:pPr>
          </w:p>
        </w:tc>
        <w:tc>
          <w:tcPr>
            <w:tcW w:w="6496" w:type="dxa"/>
            <w:gridSpan w:val="2"/>
          </w:tcPr>
          <w:p w14:paraId="282772C7" w14:textId="77777777" w:rsidR="00F223ED" w:rsidRPr="00E558A7" w:rsidRDefault="00F223ED" w:rsidP="002C66FC">
            <w:pPr>
              <w:pStyle w:val="Header"/>
              <w:tabs>
                <w:tab w:val="left" w:pos="284"/>
              </w:tabs>
              <w:jc w:val="center"/>
              <w:rPr>
                <w:sz w:val="22"/>
                <w:szCs w:val="22"/>
              </w:rPr>
            </w:pPr>
            <w:r w:rsidRPr="00E558A7">
              <w:rPr>
                <w:sz w:val="22"/>
                <w:szCs w:val="22"/>
              </w:rPr>
              <w:t>1,293</w:t>
            </w:r>
          </w:p>
        </w:tc>
      </w:tr>
      <w:tr w:rsidR="00F223ED" w:rsidRPr="00B02007" w14:paraId="49F11EBA" w14:textId="77777777" w:rsidTr="002C66FC">
        <w:trPr>
          <w:trHeight w:val="347"/>
        </w:trPr>
        <w:tc>
          <w:tcPr>
            <w:tcW w:w="3246" w:type="dxa"/>
            <w:vMerge/>
          </w:tcPr>
          <w:p w14:paraId="7FEFCE0B" w14:textId="77777777" w:rsidR="00F223ED" w:rsidRPr="00E558A7" w:rsidRDefault="00F223ED" w:rsidP="002C66FC">
            <w:pPr>
              <w:autoSpaceDE w:val="0"/>
              <w:autoSpaceDN w:val="0"/>
              <w:adjustRightInd w:val="0"/>
              <w:rPr>
                <w:sz w:val="22"/>
                <w:szCs w:val="22"/>
              </w:rPr>
            </w:pPr>
          </w:p>
        </w:tc>
        <w:tc>
          <w:tcPr>
            <w:tcW w:w="6496" w:type="dxa"/>
            <w:gridSpan w:val="2"/>
          </w:tcPr>
          <w:p w14:paraId="2DC06BB7" w14:textId="77777777" w:rsidR="00F223ED" w:rsidRPr="00E558A7" w:rsidRDefault="00F223ED" w:rsidP="002C66FC">
            <w:pPr>
              <w:pStyle w:val="Header"/>
              <w:tabs>
                <w:tab w:val="left" w:pos="284"/>
              </w:tabs>
              <w:jc w:val="center"/>
              <w:rPr>
                <w:sz w:val="22"/>
                <w:szCs w:val="22"/>
              </w:rPr>
            </w:pPr>
            <w:r w:rsidRPr="00E558A7">
              <w:rPr>
                <w:sz w:val="22"/>
                <w:szCs w:val="22"/>
              </w:rPr>
              <w:t>(1,041-1,606)</w:t>
            </w:r>
          </w:p>
        </w:tc>
      </w:tr>
      <w:tr w:rsidR="00F223ED" w:rsidRPr="00B02007" w14:paraId="2565745C" w14:textId="77777777" w:rsidTr="002C66FC">
        <w:trPr>
          <w:trHeight w:val="347"/>
        </w:trPr>
        <w:tc>
          <w:tcPr>
            <w:tcW w:w="3246" w:type="dxa"/>
            <w:vMerge/>
          </w:tcPr>
          <w:p w14:paraId="423497D7" w14:textId="77777777" w:rsidR="00F223ED" w:rsidRPr="00E558A7" w:rsidRDefault="00F223ED" w:rsidP="002C66FC">
            <w:pPr>
              <w:autoSpaceDE w:val="0"/>
              <w:autoSpaceDN w:val="0"/>
              <w:adjustRightInd w:val="0"/>
              <w:rPr>
                <w:sz w:val="22"/>
                <w:szCs w:val="22"/>
              </w:rPr>
            </w:pPr>
          </w:p>
        </w:tc>
        <w:tc>
          <w:tcPr>
            <w:tcW w:w="6496" w:type="dxa"/>
            <w:gridSpan w:val="2"/>
            <w:tcBorders>
              <w:bottom w:val="single" w:sz="4" w:space="0" w:color="auto"/>
            </w:tcBorders>
          </w:tcPr>
          <w:p w14:paraId="76B1FDE0" w14:textId="77777777" w:rsidR="00F223ED" w:rsidRPr="00E558A7" w:rsidRDefault="00F223ED" w:rsidP="002C66FC">
            <w:pPr>
              <w:pStyle w:val="Header"/>
              <w:tabs>
                <w:tab w:val="left" w:pos="284"/>
              </w:tabs>
              <w:jc w:val="center"/>
              <w:rPr>
                <w:sz w:val="22"/>
                <w:szCs w:val="22"/>
              </w:rPr>
            </w:pPr>
            <w:r w:rsidRPr="00E558A7">
              <w:rPr>
                <w:sz w:val="22"/>
                <w:szCs w:val="22"/>
              </w:rPr>
              <w:t>0,0201</w:t>
            </w:r>
          </w:p>
        </w:tc>
      </w:tr>
      <w:tr w:rsidR="00F223ED" w:rsidRPr="00B02007" w14:paraId="6DC36EC9" w14:textId="77777777" w:rsidTr="002C66FC">
        <w:trPr>
          <w:trHeight w:val="362"/>
        </w:trPr>
        <w:tc>
          <w:tcPr>
            <w:tcW w:w="3246" w:type="dxa"/>
            <w:vMerge w:val="restart"/>
          </w:tcPr>
          <w:p w14:paraId="402DBC2C" w14:textId="77777777" w:rsidR="00F223ED" w:rsidRPr="00257A34" w:rsidRDefault="00F223ED" w:rsidP="002C66FC">
            <w:pPr>
              <w:autoSpaceDE w:val="0"/>
              <w:autoSpaceDN w:val="0"/>
              <w:adjustRightInd w:val="0"/>
              <w:rPr>
                <w:sz w:val="22"/>
                <w:szCs w:val="22"/>
              </w:rPr>
            </w:pPr>
            <w:r w:rsidRPr="00257A34">
              <w:rPr>
                <w:sz w:val="22"/>
                <w:szCs w:val="22"/>
              </w:rPr>
              <w:t>Nivo ukupnog odgovora (CR+PR) (%)</w:t>
            </w:r>
          </w:p>
          <w:p w14:paraId="3598BA27" w14:textId="77777777" w:rsidR="00F223ED" w:rsidRPr="00257A34" w:rsidRDefault="00F223ED" w:rsidP="002C66FC">
            <w:pPr>
              <w:autoSpaceDE w:val="0"/>
              <w:autoSpaceDN w:val="0"/>
              <w:adjustRightInd w:val="0"/>
              <w:rPr>
                <w:sz w:val="22"/>
                <w:szCs w:val="22"/>
              </w:rPr>
            </w:pPr>
            <w:r w:rsidRPr="00257A34">
              <w:rPr>
                <w:sz w:val="22"/>
                <w:szCs w:val="22"/>
              </w:rPr>
              <w:t xml:space="preserve">*p-vrijednost </w:t>
            </w:r>
          </w:p>
        </w:tc>
        <w:tc>
          <w:tcPr>
            <w:tcW w:w="3246" w:type="dxa"/>
            <w:tcBorders>
              <w:top w:val="single" w:sz="4" w:space="0" w:color="auto"/>
            </w:tcBorders>
          </w:tcPr>
          <w:p w14:paraId="3F2A3FA9" w14:textId="77777777" w:rsidR="00F223ED" w:rsidRPr="00257A34" w:rsidRDefault="00F223ED" w:rsidP="002C66FC">
            <w:pPr>
              <w:pStyle w:val="Header"/>
              <w:tabs>
                <w:tab w:val="left" w:pos="284"/>
              </w:tabs>
              <w:jc w:val="center"/>
              <w:rPr>
                <w:sz w:val="22"/>
                <w:szCs w:val="22"/>
              </w:rPr>
            </w:pPr>
            <w:r w:rsidRPr="00257A34">
              <w:rPr>
                <w:sz w:val="22"/>
                <w:szCs w:val="22"/>
              </w:rPr>
              <w:t>36,7</w:t>
            </w:r>
          </w:p>
        </w:tc>
        <w:tc>
          <w:tcPr>
            <w:tcW w:w="3250" w:type="dxa"/>
            <w:tcBorders>
              <w:top w:val="single" w:sz="4" w:space="0" w:color="auto"/>
            </w:tcBorders>
          </w:tcPr>
          <w:p w14:paraId="52D919E6" w14:textId="77777777" w:rsidR="00F223ED" w:rsidRPr="00257A34" w:rsidRDefault="00F223ED" w:rsidP="002C66FC">
            <w:pPr>
              <w:pStyle w:val="Header"/>
              <w:tabs>
                <w:tab w:val="left" w:pos="284"/>
              </w:tabs>
              <w:jc w:val="center"/>
              <w:rPr>
                <w:sz w:val="22"/>
                <w:szCs w:val="22"/>
              </w:rPr>
            </w:pPr>
            <w:r w:rsidRPr="00257A34">
              <w:rPr>
                <w:sz w:val="22"/>
                <w:szCs w:val="22"/>
              </w:rPr>
              <w:t>25,4</w:t>
            </w:r>
          </w:p>
        </w:tc>
      </w:tr>
      <w:tr w:rsidR="00F223ED" w:rsidRPr="00B02007" w14:paraId="35A4FA1A" w14:textId="77777777" w:rsidTr="002C66FC">
        <w:trPr>
          <w:trHeight w:val="196"/>
        </w:trPr>
        <w:tc>
          <w:tcPr>
            <w:tcW w:w="3246" w:type="dxa"/>
            <w:vMerge/>
          </w:tcPr>
          <w:p w14:paraId="7D7DF3E0" w14:textId="77777777" w:rsidR="00F223ED" w:rsidRPr="00E558A7" w:rsidRDefault="00F223ED" w:rsidP="002C66FC">
            <w:pPr>
              <w:autoSpaceDE w:val="0"/>
              <w:autoSpaceDN w:val="0"/>
              <w:adjustRightInd w:val="0"/>
              <w:rPr>
                <w:sz w:val="22"/>
                <w:szCs w:val="22"/>
              </w:rPr>
            </w:pPr>
          </w:p>
        </w:tc>
        <w:tc>
          <w:tcPr>
            <w:tcW w:w="6496" w:type="dxa"/>
            <w:gridSpan w:val="2"/>
            <w:tcBorders>
              <w:top w:val="single" w:sz="4" w:space="0" w:color="auto"/>
            </w:tcBorders>
          </w:tcPr>
          <w:p w14:paraId="6401D714" w14:textId="77777777" w:rsidR="00F223ED" w:rsidRPr="00E558A7" w:rsidRDefault="00F223ED" w:rsidP="002C66FC">
            <w:pPr>
              <w:pStyle w:val="Header"/>
              <w:tabs>
                <w:tab w:val="left" w:pos="284"/>
              </w:tabs>
              <w:jc w:val="center"/>
              <w:rPr>
                <w:sz w:val="22"/>
                <w:szCs w:val="22"/>
              </w:rPr>
            </w:pPr>
            <w:r w:rsidRPr="00E558A7">
              <w:rPr>
                <w:sz w:val="22"/>
                <w:szCs w:val="22"/>
              </w:rPr>
              <w:t>0,0106</w:t>
            </w:r>
          </w:p>
        </w:tc>
      </w:tr>
      <w:tr w:rsidR="00F223ED" w:rsidRPr="00B02007" w14:paraId="3BC7DB64" w14:textId="77777777" w:rsidTr="002C66FC">
        <w:trPr>
          <w:trHeight w:val="765"/>
        </w:trPr>
        <w:tc>
          <w:tcPr>
            <w:tcW w:w="3246" w:type="dxa"/>
          </w:tcPr>
          <w:p w14:paraId="151B7723" w14:textId="77777777" w:rsidR="00F223ED" w:rsidRPr="00257A34" w:rsidRDefault="00F223ED" w:rsidP="002C66FC">
            <w:pPr>
              <w:autoSpaceDE w:val="0"/>
              <w:autoSpaceDN w:val="0"/>
              <w:adjustRightInd w:val="0"/>
              <w:rPr>
                <w:sz w:val="22"/>
                <w:szCs w:val="22"/>
              </w:rPr>
            </w:pPr>
            <w:r w:rsidRPr="00257A34">
              <w:rPr>
                <w:sz w:val="22"/>
                <w:szCs w:val="22"/>
              </w:rPr>
              <w:t>Progresivna bolest kao najbolji ukupni</w:t>
            </w:r>
          </w:p>
          <w:p w14:paraId="59B63C53" w14:textId="77777777" w:rsidR="00F223ED" w:rsidRPr="00257A34" w:rsidRDefault="00F223ED" w:rsidP="002C66FC">
            <w:pPr>
              <w:autoSpaceDE w:val="0"/>
              <w:autoSpaceDN w:val="0"/>
              <w:adjustRightInd w:val="0"/>
              <w:rPr>
                <w:sz w:val="22"/>
                <w:szCs w:val="22"/>
              </w:rPr>
            </w:pPr>
            <w:r w:rsidRPr="00257A34">
              <w:rPr>
                <w:sz w:val="22"/>
                <w:szCs w:val="22"/>
              </w:rPr>
              <w:t>odgovor (%)</w:t>
            </w:r>
          </w:p>
        </w:tc>
        <w:tc>
          <w:tcPr>
            <w:tcW w:w="3246" w:type="dxa"/>
          </w:tcPr>
          <w:p w14:paraId="3F352859" w14:textId="77777777" w:rsidR="00F223ED" w:rsidRPr="00257A34" w:rsidRDefault="00F223ED" w:rsidP="002C66FC">
            <w:pPr>
              <w:pStyle w:val="Header"/>
              <w:tabs>
                <w:tab w:val="left" w:pos="284"/>
              </w:tabs>
              <w:jc w:val="center"/>
              <w:rPr>
                <w:sz w:val="22"/>
                <w:szCs w:val="22"/>
              </w:rPr>
            </w:pPr>
            <w:r w:rsidRPr="00257A34">
              <w:rPr>
                <w:sz w:val="22"/>
                <w:szCs w:val="22"/>
              </w:rPr>
              <w:t>16,7</w:t>
            </w:r>
          </w:p>
        </w:tc>
        <w:tc>
          <w:tcPr>
            <w:tcW w:w="3250" w:type="dxa"/>
          </w:tcPr>
          <w:p w14:paraId="7559C342" w14:textId="77777777" w:rsidR="00F223ED" w:rsidRPr="00257A34" w:rsidRDefault="00F223ED" w:rsidP="002C66FC">
            <w:pPr>
              <w:autoSpaceDE w:val="0"/>
              <w:autoSpaceDN w:val="0"/>
              <w:adjustRightInd w:val="0"/>
              <w:jc w:val="center"/>
              <w:rPr>
                <w:sz w:val="22"/>
                <w:szCs w:val="22"/>
              </w:rPr>
            </w:pPr>
            <w:r w:rsidRPr="00257A34">
              <w:rPr>
                <w:sz w:val="22"/>
                <w:szCs w:val="22"/>
              </w:rPr>
              <w:t>25,9</w:t>
            </w:r>
          </w:p>
          <w:p w14:paraId="0FA4AE85" w14:textId="77777777" w:rsidR="00F223ED" w:rsidRPr="00257A34" w:rsidRDefault="00F223ED" w:rsidP="002C66FC">
            <w:pPr>
              <w:pStyle w:val="Header"/>
              <w:tabs>
                <w:tab w:val="left" w:pos="284"/>
              </w:tabs>
              <w:jc w:val="center"/>
              <w:rPr>
                <w:sz w:val="22"/>
                <w:szCs w:val="22"/>
              </w:rPr>
            </w:pPr>
          </w:p>
        </w:tc>
      </w:tr>
    </w:tbl>
    <w:p w14:paraId="7D385235" w14:textId="77777777" w:rsidR="00F223ED" w:rsidRPr="00257A34" w:rsidRDefault="00F223ED" w:rsidP="00F223ED">
      <w:pPr>
        <w:pStyle w:val="Header"/>
        <w:tabs>
          <w:tab w:val="left" w:pos="284"/>
        </w:tabs>
        <w:rPr>
          <w:sz w:val="22"/>
          <w:szCs w:val="22"/>
        </w:rPr>
      </w:pPr>
      <w:r w:rsidRPr="00257A34">
        <w:rPr>
          <w:sz w:val="22"/>
          <w:szCs w:val="22"/>
        </w:rPr>
        <w:t>*Nestratifikovani log-rang test</w:t>
      </w:r>
    </w:p>
    <w:p w14:paraId="74B6B502" w14:textId="77777777" w:rsidR="00F223ED" w:rsidRPr="00257A34" w:rsidRDefault="00F223ED" w:rsidP="00F223ED">
      <w:pPr>
        <w:pStyle w:val="Header"/>
        <w:tabs>
          <w:tab w:val="left" w:pos="284"/>
        </w:tabs>
        <w:rPr>
          <w:sz w:val="22"/>
          <w:szCs w:val="22"/>
        </w:rPr>
      </w:pPr>
    </w:p>
    <w:p w14:paraId="204B1460" w14:textId="77777777" w:rsidR="00F223ED" w:rsidRPr="00257A34" w:rsidRDefault="00F223ED" w:rsidP="00F223ED">
      <w:pPr>
        <w:autoSpaceDE w:val="0"/>
        <w:autoSpaceDN w:val="0"/>
        <w:adjustRightInd w:val="0"/>
        <w:rPr>
          <w:sz w:val="22"/>
          <w:szCs w:val="22"/>
        </w:rPr>
      </w:pPr>
      <w:r w:rsidRPr="00257A34">
        <w:rPr>
          <w:sz w:val="22"/>
          <w:szCs w:val="22"/>
        </w:rPr>
        <w:t>Analiza podgrupa prema starosti, polu i rasnoj pripadnosti bez izuzetka je davala prednost TCF u odnosu na CF.</w:t>
      </w:r>
    </w:p>
    <w:p w14:paraId="3F3ADA73" w14:textId="413469D9" w:rsidR="00F223ED" w:rsidRDefault="00F223ED" w:rsidP="00F223ED">
      <w:pPr>
        <w:autoSpaceDE w:val="0"/>
        <w:autoSpaceDN w:val="0"/>
        <w:adjustRightInd w:val="0"/>
        <w:rPr>
          <w:sz w:val="22"/>
          <w:szCs w:val="22"/>
        </w:rPr>
      </w:pPr>
    </w:p>
    <w:p w14:paraId="31A2DB90" w14:textId="77777777" w:rsidR="00F223ED" w:rsidRPr="00257A34" w:rsidRDefault="00F223ED" w:rsidP="00F223ED">
      <w:pPr>
        <w:autoSpaceDE w:val="0"/>
        <w:autoSpaceDN w:val="0"/>
        <w:adjustRightInd w:val="0"/>
        <w:rPr>
          <w:sz w:val="22"/>
          <w:szCs w:val="22"/>
        </w:rPr>
      </w:pPr>
      <w:r w:rsidRPr="00257A34">
        <w:rPr>
          <w:sz w:val="22"/>
          <w:szCs w:val="22"/>
        </w:rPr>
        <w:t>Dodatna analiza podataka o preživljavanju, sprovedena nakon srednjeg vremena pra</w:t>
      </w:r>
      <w:r w:rsidRPr="00257A34">
        <w:rPr>
          <w:rFonts w:eastAsia="TimesNewRoman"/>
          <w:sz w:val="22"/>
          <w:szCs w:val="22"/>
        </w:rPr>
        <w:t>ć</w:t>
      </w:r>
      <w:r w:rsidRPr="00257A34">
        <w:rPr>
          <w:sz w:val="22"/>
          <w:szCs w:val="22"/>
        </w:rPr>
        <w:t>enja od 41,6 mjeseci, više nije pokazivala statisti</w:t>
      </w:r>
      <w:r w:rsidRPr="00257A34">
        <w:rPr>
          <w:rFonts w:eastAsia="TimesNewRoman"/>
          <w:sz w:val="22"/>
          <w:szCs w:val="22"/>
        </w:rPr>
        <w:t>č</w:t>
      </w:r>
      <w:r w:rsidRPr="00257A34">
        <w:rPr>
          <w:sz w:val="22"/>
          <w:szCs w:val="22"/>
        </w:rPr>
        <w:t>ki zna</w:t>
      </w:r>
      <w:r w:rsidRPr="00257A34">
        <w:rPr>
          <w:rFonts w:eastAsia="TimesNewRoman"/>
          <w:sz w:val="22"/>
          <w:szCs w:val="22"/>
        </w:rPr>
        <w:t>č</w:t>
      </w:r>
      <w:r w:rsidRPr="00257A34">
        <w:rPr>
          <w:sz w:val="22"/>
          <w:szCs w:val="22"/>
        </w:rPr>
        <w:t>ajnu razliku, iako su rezultati uvijek davali prednost režimu TCF i pokazala je da je prednost TCF nad CF terapijskim režimom jasno uo</w:t>
      </w:r>
      <w:r w:rsidRPr="00257A34">
        <w:rPr>
          <w:rFonts w:eastAsia="TimesNewRoman"/>
          <w:sz w:val="22"/>
          <w:szCs w:val="22"/>
        </w:rPr>
        <w:t>č</w:t>
      </w:r>
      <w:r w:rsidRPr="00257A34">
        <w:rPr>
          <w:sz w:val="22"/>
          <w:szCs w:val="22"/>
        </w:rPr>
        <w:t>ljiva u periodu izme</w:t>
      </w:r>
      <w:r w:rsidRPr="00257A34">
        <w:rPr>
          <w:rFonts w:eastAsia="TimesNewRoman"/>
          <w:sz w:val="22"/>
          <w:szCs w:val="22"/>
        </w:rPr>
        <w:t>đ</w:t>
      </w:r>
      <w:r w:rsidRPr="00257A34">
        <w:rPr>
          <w:sz w:val="22"/>
          <w:szCs w:val="22"/>
        </w:rPr>
        <w:t>u 18. i 30. mjeseci pra</w:t>
      </w:r>
      <w:r w:rsidRPr="00257A34">
        <w:rPr>
          <w:rFonts w:eastAsia="TimesNewRoman"/>
          <w:sz w:val="22"/>
          <w:szCs w:val="22"/>
        </w:rPr>
        <w:t>ć</w:t>
      </w:r>
      <w:r w:rsidRPr="00257A34">
        <w:rPr>
          <w:sz w:val="22"/>
          <w:szCs w:val="22"/>
        </w:rPr>
        <w:t>enja.</w:t>
      </w:r>
    </w:p>
    <w:p w14:paraId="4FCDE878" w14:textId="77777777" w:rsidR="00F223ED" w:rsidRPr="00257A34" w:rsidRDefault="00F223ED" w:rsidP="00F223ED">
      <w:pPr>
        <w:autoSpaceDE w:val="0"/>
        <w:autoSpaceDN w:val="0"/>
        <w:adjustRightInd w:val="0"/>
        <w:rPr>
          <w:sz w:val="22"/>
          <w:szCs w:val="22"/>
        </w:rPr>
      </w:pPr>
    </w:p>
    <w:p w14:paraId="295C3689" w14:textId="77777777" w:rsidR="00F223ED" w:rsidRPr="00257A34" w:rsidRDefault="00F223ED" w:rsidP="00F223ED">
      <w:pPr>
        <w:autoSpaceDE w:val="0"/>
        <w:autoSpaceDN w:val="0"/>
        <w:adjustRightInd w:val="0"/>
        <w:rPr>
          <w:sz w:val="22"/>
          <w:szCs w:val="22"/>
        </w:rPr>
      </w:pPr>
      <w:r w:rsidRPr="00257A34">
        <w:rPr>
          <w:sz w:val="22"/>
          <w:szCs w:val="22"/>
        </w:rPr>
        <w:t>Ukupno posmatrano, rezultati kvaliteta života (QoL) i klini</w:t>
      </w:r>
      <w:r w:rsidRPr="00257A34">
        <w:rPr>
          <w:rFonts w:eastAsia="TimesNewRoman"/>
          <w:sz w:val="22"/>
          <w:szCs w:val="22"/>
        </w:rPr>
        <w:t>č</w:t>
      </w:r>
      <w:r w:rsidRPr="00257A34">
        <w:rPr>
          <w:sz w:val="22"/>
          <w:szCs w:val="22"/>
        </w:rPr>
        <w:t>ke koristi od terapije su dosljedno ukazivali na poboljšanje u korist grupe na TCF režimu. Pacijenti lije</w:t>
      </w:r>
      <w:r w:rsidRPr="00257A34">
        <w:rPr>
          <w:rFonts w:eastAsia="TimesNewRoman"/>
          <w:sz w:val="22"/>
          <w:szCs w:val="22"/>
        </w:rPr>
        <w:t>č</w:t>
      </w:r>
      <w:r w:rsidRPr="00257A34">
        <w:rPr>
          <w:sz w:val="22"/>
          <w:szCs w:val="22"/>
        </w:rPr>
        <w:t>eni TCF režimom imali su do 5% duže vrijeme do apsolutnog pogoršanja opšteg zdravstvenog stanja, prema QLQ-C30 upitniku (p=0,0121), kao i duže vrijeme do definitivnog pogoršanja Karnofsky statusa performanse (p=0,0088) u pore</w:t>
      </w:r>
      <w:r w:rsidRPr="00257A34">
        <w:rPr>
          <w:rFonts w:eastAsia="TimesNewRoman"/>
          <w:sz w:val="22"/>
          <w:szCs w:val="22"/>
        </w:rPr>
        <w:t>đ</w:t>
      </w:r>
      <w:r w:rsidRPr="00257A34">
        <w:rPr>
          <w:sz w:val="22"/>
          <w:szCs w:val="22"/>
        </w:rPr>
        <w:t>enju sa grupom lije</w:t>
      </w:r>
      <w:r w:rsidRPr="00257A34">
        <w:rPr>
          <w:rFonts w:eastAsia="TimesNewRoman"/>
          <w:sz w:val="22"/>
          <w:szCs w:val="22"/>
        </w:rPr>
        <w:t>č</w:t>
      </w:r>
      <w:r w:rsidRPr="00257A34">
        <w:rPr>
          <w:sz w:val="22"/>
          <w:szCs w:val="22"/>
        </w:rPr>
        <w:t>enom prema CF terapijskom režimu.</w:t>
      </w:r>
    </w:p>
    <w:p w14:paraId="51A4F1AC" w14:textId="77777777" w:rsidR="00F223ED" w:rsidRPr="00257A34" w:rsidRDefault="00F223ED" w:rsidP="00F223ED">
      <w:pPr>
        <w:autoSpaceDE w:val="0"/>
        <w:autoSpaceDN w:val="0"/>
        <w:adjustRightInd w:val="0"/>
        <w:rPr>
          <w:i/>
          <w:iCs/>
          <w:sz w:val="22"/>
          <w:szCs w:val="22"/>
        </w:rPr>
      </w:pPr>
    </w:p>
    <w:p w14:paraId="3FD82D66" w14:textId="77777777" w:rsidR="00F223ED" w:rsidRPr="00257A34" w:rsidRDefault="00F223ED" w:rsidP="00F223ED">
      <w:pPr>
        <w:autoSpaceDE w:val="0"/>
        <w:autoSpaceDN w:val="0"/>
        <w:adjustRightInd w:val="0"/>
        <w:rPr>
          <w:i/>
          <w:sz w:val="22"/>
          <w:szCs w:val="22"/>
          <w:u w:val="single"/>
        </w:rPr>
      </w:pPr>
      <w:r w:rsidRPr="00257A34">
        <w:rPr>
          <w:bCs/>
          <w:i/>
          <w:iCs/>
          <w:sz w:val="22"/>
          <w:szCs w:val="22"/>
          <w:u w:val="single"/>
        </w:rPr>
        <w:t>Karcinom glave i vrata</w:t>
      </w:r>
    </w:p>
    <w:p w14:paraId="63527AB1" w14:textId="77777777" w:rsidR="00F223ED" w:rsidRPr="00257A34" w:rsidRDefault="00F223ED" w:rsidP="00F223ED">
      <w:pPr>
        <w:autoSpaceDE w:val="0"/>
        <w:autoSpaceDN w:val="0"/>
        <w:adjustRightInd w:val="0"/>
        <w:rPr>
          <w:sz w:val="22"/>
          <w:szCs w:val="22"/>
        </w:rPr>
      </w:pPr>
    </w:p>
    <w:p w14:paraId="6E39D3EE" w14:textId="77777777" w:rsidR="00F223ED" w:rsidRPr="00257A34" w:rsidRDefault="00F223ED" w:rsidP="00F223ED">
      <w:pPr>
        <w:autoSpaceDE w:val="0"/>
        <w:autoSpaceDN w:val="0"/>
        <w:adjustRightInd w:val="0"/>
        <w:rPr>
          <w:i/>
          <w:sz w:val="22"/>
          <w:szCs w:val="22"/>
        </w:rPr>
      </w:pPr>
      <w:r w:rsidRPr="00257A34">
        <w:rPr>
          <w:i/>
          <w:sz w:val="22"/>
          <w:szCs w:val="22"/>
        </w:rPr>
        <w:t>Indukciona hemioterapija n</w:t>
      </w:r>
      <w:r>
        <w:rPr>
          <w:i/>
          <w:sz w:val="22"/>
          <w:szCs w:val="22"/>
        </w:rPr>
        <w:t>a</w:t>
      </w:r>
      <w:r w:rsidRPr="00257A34">
        <w:rPr>
          <w:i/>
          <w:sz w:val="22"/>
          <w:szCs w:val="22"/>
        </w:rPr>
        <w:t>kon koje slijedi radioterapija (TAX 323)</w:t>
      </w:r>
    </w:p>
    <w:p w14:paraId="3B84466D" w14:textId="77777777" w:rsidR="00F223ED" w:rsidRPr="00257A34" w:rsidRDefault="00F223ED" w:rsidP="00F223ED">
      <w:pPr>
        <w:autoSpaceDE w:val="0"/>
        <w:autoSpaceDN w:val="0"/>
        <w:adjustRightInd w:val="0"/>
        <w:ind w:left="720"/>
        <w:rPr>
          <w:sz w:val="22"/>
          <w:szCs w:val="22"/>
        </w:rPr>
      </w:pPr>
    </w:p>
    <w:p w14:paraId="5C8E8BE7" w14:textId="77777777" w:rsidR="00F223ED" w:rsidRPr="009964C7" w:rsidRDefault="00F223ED" w:rsidP="00F223ED">
      <w:pPr>
        <w:autoSpaceDE w:val="0"/>
        <w:autoSpaceDN w:val="0"/>
        <w:adjustRightInd w:val="0"/>
        <w:rPr>
          <w:sz w:val="22"/>
          <w:szCs w:val="22"/>
        </w:rPr>
      </w:pPr>
      <w:r w:rsidRPr="00257A34">
        <w:rPr>
          <w:sz w:val="22"/>
          <w:szCs w:val="22"/>
        </w:rPr>
        <w:t xml:space="preserve">Bezbjednost i efikasnost docetaksela u indukcionoj terapiji pacijenata sa karcinomom skvamoznih </w:t>
      </w:r>
      <w:r w:rsidRPr="00257A34">
        <w:rPr>
          <w:rFonts w:eastAsia="TimesNewRoman"/>
          <w:sz w:val="22"/>
          <w:szCs w:val="22"/>
        </w:rPr>
        <w:t>ć</w:t>
      </w:r>
      <w:r w:rsidRPr="00257A34">
        <w:rPr>
          <w:sz w:val="22"/>
          <w:szCs w:val="22"/>
        </w:rPr>
        <w:t>elija glave i vrata (SCCHN) procjenjivana je u multicentri</w:t>
      </w:r>
      <w:r w:rsidRPr="00257A34">
        <w:rPr>
          <w:rFonts w:eastAsia="TimesNewRoman"/>
          <w:sz w:val="22"/>
          <w:szCs w:val="22"/>
        </w:rPr>
        <w:t>č</w:t>
      </w:r>
      <w:r w:rsidRPr="00257A34">
        <w:rPr>
          <w:sz w:val="22"/>
          <w:szCs w:val="22"/>
        </w:rPr>
        <w:t xml:space="preserve">noj, otvorenoj, randomizovanoj studiji </w:t>
      </w:r>
      <w:r w:rsidRPr="00257A34">
        <w:rPr>
          <w:sz w:val="22"/>
          <w:szCs w:val="22"/>
        </w:rPr>
        <w:lastRenderedPageBreak/>
        <w:t>faze III (TAX323). U ovoj studiji, 358 pacijenata sa inoperabilnim lokalno uznapredovalim SCCHN, sa statusom performanse po SZO 0 ili 1, randomizovano je u jednu od dvije terapijske grupe. Pacijenti u grupi docetaksela primali su docetaksel (T) 75 mg/m</w:t>
      </w:r>
      <w:r w:rsidRPr="00257A34">
        <w:rPr>
          <w:sz w:val="22"/>
          <w:szCs w:val="22"/>
          <w:vertAlign w:val="superscript"/>
        </w:rPr>
        <w:t>2</w:t>
      </w:r>
      <w:r w:rsidRPr="00257A34">
        <w:rPr>
          <w:sz w:val="22"/>
          <w:szCs w:val="22"/>
        </w:rPr>
        <w:t xml:space="preserve"> pra</w:t>
      </w:r>
      <w:r w:rsidRPr="00257A34">
        <w:rPr>
          <w:rFonts w:eastAsia="TimesNewRoman"/>
          <w:sz w:val="22"/>
          <w:szCs w:val="22"/>
        </w:rPr>
        <w:t>ć</w:t>
      </w:r>
      <w:r w:rsidRPr="00257A34">
        <w:rPr>
          <w:sz w:val="22"/>
          <w:szCs w:val="22"/>
        </w:rPr>
        <w:t>en cisplatinom (P) 75 mg/m</w:t>
      </w:r>
      <w:r w:rsidRPr="00257A34">
        <w:rPr>
          <w:sz w:val="22"/>
          <w:szCs w:val="22"/>
          <w:vertAlign w:val="superscript"/>
        </w:rPr>
        <w:t>2</w:t>
      </w:r>
      <w:r w:rsidRPr="00257A34">
        <w:rPr>
          <w:sz w:val="22"/>
          <w:szCs w:val="22"/>
        </w:rPr>
        <w:t xml:space="preserve"> i 5-fluorouracilom (F) u dozi od 750 mg/m</w:t>
      </w:r>
      <w:r w:rsidRPr="00257A34">
        <w:rPr>
          <w:sz w:val="22"/>
          <w:szCs w:val="22"/>
          <w:vertAlign w:val="superscript"/>
        </w:rPr>
        <w:t>2</w:t>
      </w:r>
      <w:r w:rsidRPr="00257A34">
        <w:rPr>
          <w:sz w:val="22"/>
          <w:szCs w:val="22"/>
        </w:rPr>
        <w:t xml:space="preserve"> na dan tokom 5 dana u vidu kontinuirane infuzije. Ovakav režim primjenjivan je svake tri nedjelje tokom 4 ciklusa, pod uslovom da je tumor dao bar minimalan odgovor na terapiju (</w:t>
      </w:r>
      <w:r w:rsidRPr="00257A34">
        <w:rPr>
          <w:rFonts w:eastAsia="TimesNewRoman"/>
          <w:sz w:val="22"/>
          <w:szCs w:val="22"/>
        </w:rPr>
        <w:t>≥</w:t>
      </w:r>
      <w:r>
        <w:rPr>
          <w:rFonts w:eastAsia="TimesNewRoman"/>
          <w:sz w:val="22"/>
          <w:szCs w:val="22"/>
        </w:rPr>
        <w:t xml:space="preserve"> </w:t>
      </w:r>
      <w:r w:rsidRPr="00257A34">
        <w:rPr>
          <w:sz w:val="22"/>
          <w:szCs w:val="22"/>
        </w:rPr>
        <w:t>25% smanjenje dvodimenzionalno mjerene veli</w:t>
      </w:r>
      <w:r w:rsidRPr="00257A34">
        <w:rPr>
          <w:rFonts w:eastAsia="TimesNewRoman"/>
          <w:sz w:val="22"/>
          <w:szCs w:val="22"/>
        </w:rPr>
        <w:t>č</w:t>
      </w:r>
      <w:r w:rsidRPr="00257A34">
        <w:rPr>
          <w:sz w:val="22"/>
          <w:szCs w:val="22"/>
        </w:rPr>
        <w:t>ine tumora) nakon 2 ciklusa. Na kraju hemioterapije, nakon najmanje 4 nedjelje, a najviše 7 nedjelja, pacijenti kod kojih nije bilo progresije bolesti, primali su radioterapiju (RT) tokom 7 nedjelja, a prema uobi</w:t>
      </w:r>
      <w:r w:rsidRPr="00257A34">
        <w:rPr>
          <w:rFonts w:eastAsia="TimesNewRoman"/>
          <w:sz w:val="22"/>
          <w:szCs w:val="22"/>
        </w:rPr>
        <w:t>č</w:t>
      </w:r>
      <w:r w:rsidRPr="00257A34">
        <w:rPr>
          <w:sz w:val="22"/>
          <w:szCs w:val="22"/>
        </w:rPr>
        <w:t>ajenoj praksi institucije u kojoj su lije</w:t>
      </w:r>
      <w:r w:rsidRPr="00257A34">
        <w:rPr>
          <w:rFonts w:eastAsia="TimesNewRoman"/>
          <w:sz w:val="22"/>
          <w:szCs w:val="22"/>
        </w:rPr>
        <w:t>č</w:t>
      </w:r>
      <w:r w:rsidRPr="00257A34">
        <w:rPr>
          <w:sz w:val="22"/>
          <w:szCs w:val="22"/>
        </w:rPr>
        <w:t>eni (TPF/RT). Pacijenti u grupi komparatora primali su cisplatin (P) 100 mg/m</w:t>
      </w:r>
      <w:r w:rsidRPr="00257A34">
        <w:rPr>
          <w:sz w:val="22"/>
          <w:szCs w:val="22"/>
          <w:vertAlign w:val="superscript"/>
        </w:rPr>
        <w:t>2</w:t>
      </w:r>
      <w:r w:rsidRPr="00257A34">
        <w:rPr>
          <w:sz w:val="22"/>
          <w:szCs w:val="22"/>
        </w:rPr>
        <w:t>, a nakon njega 5-fluorouracil (F) 1000 mg/m</w:t>
      </w:r>
      <w:r w:rsidRPr="00257A34">
        <w:rPr>
          <w:sz w:val="22"/>
          <w:szCs w:val="22"/>
          <w:vertAlign w:val="superscript"/>
        </w:rPr>
        <w:t xml:space="preserve">2 </w:t>
      </w:r>
      <w:r w:rsidRPr="00257A34">
        <w:rPr>
          <w:sz w:val="22"/>
          <w:szCs w:val="22"/>
        </w:rPr>
        <w:t xml:space="preserve">dnevno tokom 5 dana. Ovaj režim se primjenjivao svake tri nedjelje tokom 4 ciklusa u slučaju da je makar i minimalni odgovor (smanjenje dvodimenzionalno izmjerene veličine tumora za </w:t>
      </w:r>
      <w:r w:rsidRPr="00B02007">
        <w:rPr>
          <w:sz w:val="22"/>
          <w:szCs w:val="22"/>
        </w:rPr>
        <w:t>≥</w:t>
      </w:r>
      <w:r>
        <w:rPr>
          <w:sz w:val="22"/>
          <w:szCs w:val="22"/>
        </w:rPr>
        <w:t xml:space="preserve"> </w:t>
      </w:r>
      <w:r w:rsidRPr="009964C7">
        <w:rPr>
          <w:sz w:val="22"/>
          <w:szCs w:val="22"/>
        </w:rPr>
        <w:t>25%) uočen nakon 2 ciklusa. Na kraju hemioterapije, nakon najmanje 4 nedjelje, a najviše 7 nedjelja, pacijenti kod kojih nije bilo progresije bolesti primali su radioterapiju (RT) tokom 7 nedjelja, a prema uobi</w:t>
      </w:r>
      <w:r w:rsidRPr="009964C7">
        <w:rPr>
          <w:rFonts w:eastAsia="TimesNewRoman"/>
          <w:sz w:val="22"/>
          <w:szCs w:val="22"/>
        </w:rPr>
        <w:t>č</w:t>
      </w:r>
      <w:r w:rsidRPr="009964C7">
        <w:rPr>
          <w:sz w:val="22"/>
          <w:szCs w:val="22"/>
        </w:rPr>
        <w:t>ajenoj praksi ustanove u kojoj su lije</w:t>
      </w:r>
      <w:r w:rsidRPr="009964C7">
        <w:rPr>
          <w:rFonts w:eastAsia="TimesNewRoman"/>
          <w:sz w:val="22"/>
          <w:szCs w:val="22"/>
        </w:rPr>
        <w:t>č</w:t>
      </w:r>
      <w:r w:rsidRPr="009964C7">
        <w:rPr>
          <w:sz w:val="22"/>
          <w:szCs w:val="22"/>
        </w:rPr>
        <w:t>eni (PF/RT). Lokoregionalna radioterapija sprovedena je ili konvencionalnim frakcionisanjem (1.8 Gy-2.0 Gy jednom dnevno, tokom 5 dana u nedjelji do ukupne doze od 66-70 Gy) ili ubrzanom/hiperfrakcionisanom radioterapijom (2 puta dnevno sa minimalnim razmakom izme</w:t>
      </w:r>
      <w:r w:rsidRPr="009964C7">
        <w:rPr>
          <w:rFonts w:eastAsia="TimesNewRoman"/>
          <w:sz w:val="22"/>
          <w:szCs w:val="22"/>
        </w:rPr>
        <w:t>đ</w:t>
      </w:r>
      <w:r w:rsidRPr="009964C7">
        <w:rPr>
          <w:sz w:val="22"/>
          <w:szCs w:val="22"/>
        </w:rPr>
        <w:t>u frakcija od 6 sati, tokom 5 dana u nedjelji). Ukupna preporu</w:t>
      </w:r>
      <w:r w:rsidRPr="009964C7">
        <w:rPr>
          <w:rFonts w:eastAsia="TimesNewRoman"/>
          <w:sz w:val="22"/>
          <w:szCs w:val="22"/>
        </w:rPr>
        <w:t>č</w:t>
      </w:r>
      <w:r w:rsidRPr="009964C7">
        <w:rPr>
          <w:sz w:val="22"/>
          <w:szCs w:val="22"/>
        </w:rPr>
        <w:t>ena doza zra</w:t>
      </w:r>
      <w:r w:rsidRPr="009964C7">
        <w:rPr>
          <w:rFonts w:eastAsia="TimesNewRoman"/>
          <w:sz w:val="22"/>
          <w:szCs w:val="22"/>
        </w:rPr>
        <w:t>č</w:t>
      </w:r>
      <w:r w:rsidRPr="009964C7">
        <w:rPr>
          <w:sz w:val="22"/>
          <w:szCs w:val="22"/>
        </w:rPr>
        <w:t>enja bila je 70 Gy za ubrzani režim i 74 Gy za hiperfrakcionisani režim. Hirurška resekcija bila je dozvoljena poslije hemioterapije, prije ili nakon radioterapije. Pacijenti u TPF grupi primali su antibiotsku profilaksu ciprofloksacinom u dozi od 500 mg peroralno, dva puta dnevno u periodu od 10 dana, po</w:t>
      </w:r>
      <w:r w:rsidRPr="009964C7">
        <w:rPr>
          <w:rFonts w:eastAsia="TimesNewRoman"/>
          <w:sz w:val="22"/>
          <w:szCs w:val="22"/>
        </w:rPr>
        <w:t>č</w:t>
      </w:r>
      <w:r w:rsidRPr="009964C7">
        <w:rPr>
          <w:sz w:val="22"/>
          <w:szCs w:val="22"/>
        </w:rPr>
        <w:t>ev od 5. dana svakog ciklusa (ili ekvivalentnu profilaksu). Primarni krajnji ishod u ovoj studiji, preživljavanje bez progresije bolesti (PFS), bilo je zna</w:t>
      </w:r>
      <w:r w:rsidRPr="009964C7">
        <w:rPr>
          <w:rFonts w:eastAsia="TimesNewRoman"/>
          <w:sz w:val="22"/>
          <w:szCs w:val="22"/>
        </w:rPr>
        <w:t>č</w:t>
      </w:r>
      <w:r w:rsidRPr="009964C7">
        <w:rPr>
          <w:sz w:val="22"/>
          <w:szCs w:val="22"/>
        </w:rPr>
        <w:t>ajno duže u TPF grupi, nego u PF grupi, p=0,0042 (srednje PFS: 11,4 prema 8,3 mjeseca), uz ukupno srednje vrijeme pra</w:t>
      </w:r>
      <w:r w:rsidRPr="009964C7">
        <w:rPr>
          <w:rFonts w:eastAsia="TimesNewRoman"/>
          <w:sz w:val="22"/>
          <w:szCs w:val="22"/>
        </w:rPr>
        <w:t>ć</w:t>
      </w:r>
      <w:r w:rsidRPr="009964C7">
        <w:rPr>
          <w:sz w:val="22"/>
          <w:szCs w:val="22"/>
        </w:rPr>
        <w:t>enja od 33,7 mjeseci. Srednje ukupno vrijeme preživljavanja je, tako</w:t>
      </w:r>
      <w:r w:rsidRPr="009964C7">
        <w:rPr>
          <w:rFonts w:eastAsia="TimesNewRoman"/>
          <w:sz w:val="22"/>
          <w:szCs w:val="22"/>
        </w:rPr>
        <w:t>đ</w:t>
      </w:r>
      <w:r w:rsidRPr="009964C7">
        <w:rPr>
          <w:sz w:val="22"/>
          <w:szCs w:val="22"/>
        </w:rPr>
        <w:t>e, bilo zna</w:t>
      </w:r>
      <w:r w:rsidRPr="009964C7">
        <w:rPr>
          <w:rFonts w:eastAsia="TimesNewRoman"/>
          <w:sz w:val="22"/>
          <w:szCs w:val="22"/>
        </w:rPr>
        <w:t>č</w:t>
      </w:r>
      <w:r w:rsidRPr="009964C7">
        <w:rPr>
          <w:sz w:val="22"/>
          <w:szCs w:val="22"/>
        </w:rPr>
        <w:t>ajno duže u TPF grupi, nego u PF grupi (srednje ukupno preživljavanje (OS): 18,6 prema 14,5 mjeseci), uz 28% smanjenje rizika od smrtnosti, p=0,0128. Rezultati efikasnosti prikazani su u sljede</w:t>
      </w:r>
      <w:r w:rsidRPr="009964C7">
        <w:rPr>
          <w:rFonts w:eastAsia="TimesNewRoman"/>
          <w:sz w:val="22"/>
          <w:szCs w:val="22"/>
        </w:rPr>
        <w:t>ć</w:t>
      </w:r>
      <w:r w:rsidRPr="009964C7">
        <w:rPr>
          <w:sz w:val="22"/>
          <w:szCs w:val="22"/>
        </w:rPr>
        <w:t>oj tabeli:</w:t>
      </w:r>
    </w:p>
    <w:p w14:paraId="639A019F" w14:textId="77777777" w:rsidR="00F223ED" w:rsidRPr="009964C7" w:rsidRDefault="00F223ED" w:rsidP="00F223ED">
      <w:pPr>
        <w:autoSpaceDE w:val="0"/>
        <w:autoSpaceDN w:val="0"/>
        <w:adjustRightInd w:val="0"/>
        <w:rPr>
          <w:b/>
          <w:bCs/>
          <w:sz w:val="22"/>
          <w:szCs w:val="22"/>
        </w:rPr>
      </w:pPr>
    </w:p>
    <w:p w14:paraId="263D0F66" w14:textId="77777777" w:rsidR="00F223ED" w:rsidRPr="009964C7" w:rsidRDefault="00F223ED" w:rsidP="00F223ED">
      <w:pPr>
        <w:autoSpaceDE w:val="0"/>
        <w:autoSpaceDN w:val="0"/>
        <w:adjustRightInd w:val="0"/>
        <w:rPr>
          <w:sz w:val="22"/>
          <w:szCs w:val="22"/>
          <w:u w:val="single"/>
        </w:rPr>
      </w:pPr>
      <w:r w:rsidRPr="009964C7">
        <w:rPr>
          <w:bCs/>
          <w:sz w:val="22"/>
          <w:szCs w:val="22"/>
          <w:u w:val="single"/>
        </w:rPr>
        <w:t>Efikasnost docetaksela u indukcionoj terapiji pacijenata sa inoperabilnim, lokalno uznapredovalim SCCHN (intent-to-treat analiza)</w:t>
      </w:r>
    </w:p>
    <w:p w14:paraId="0F847F58" w14:textId="77777777" w:rsidR="00F223ED" w:rsidRPr="009964C7" w:rsidRDefault="00F223ED" w:rsidP="00F223ED">
      <w:pPr>
        <w:pStyle w:val="Header"/>
        <w:tabs>
          <w:tab w:val="left" w:pos="284"/>
        </w:tabs>
        <w:rPr>
          <w:sz w:val="22"/>
          <w:szCs w:val="22"/>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261"/>
        <w:gridCol w:w="3262"/>
      </w:tblGrid>
      <w:tr w:rsidR="00F223ED" w:rsidRPr="00B02007" w14:paraId="1C95CC7D" w14:textId="77777777" w:rsidTr="002C66FC">
        <w:trPr>
          <w:trHeight w:val="770"/>
        </w:trPr>
        <w:tc>
          <w:tcPr>
            <w:tcW w:w="3261" w:type="dxa"/>
          </w:tcPr>
          <w:p w14:paraId="69160ACA" w14:textId="77777777" w:rsidR="00F223ED" w:rsidRPr="009964C7" w:rsidRDefault="00F223ED" w:rsidP="002C66FC">
            <w:pPr>
              <w:autoSpaceDE w:val="0"/>
              <w:autoSpaceDN w:val="0"/>
              <w:adjustRightInd w:val="0"/>
              <w:rPr>
                <w:b/>
                <w:bCs/>
                <w:sz w:val="22"/>
                <w:szCs w:val="22"/>
              </w:rPr>
            </w:pPr>
            <w:r w:rsidRPr="009964C7">
              <w:rPr>
                <w:b/>
                <w:bCs/>
                <w:sz w:val="22"/>
                <w:szCs w:val="22"/>
              </w:rPr>
              <w:t>Krajnji ishod</w:t>
            </w:r>
          </w:p>
          <w:p w14:paraId="0DA8CD97" w14:textId="77777777" w:rsidR="00F223ED" w:rsidRPr="009964C7" w:rsidRDefault="00F223ED" w:rsidP="002C66FC">
            <w:pPr>
              <w:autoSpaceDE w:val="0"/>
              <w:autoSpaceDN w:val="0"/>
              <w:adjustRightInd w:val="0"/>
              <w:rPr>
                <w:sz w:val="22"/>
                <w:szCs w:val="22"/>
              </w:rPr>
            </w:pPr>
          </w:p>
        </w:tc>
        <w:tc>
          <w:tcPr>
            <w:tcW w:w="3261" w:type="dxa"/>
          </w:tcPr>
          <w:p w14:paraId="1FE3C40B" w14:textId="77777777" w:rsidR="00F223ED" w:rsidRPr="009964C7" w:rsidRDefault="00F223ED" w:rsidP="002C66FC">
            <w:pPr>
              <w:autoSpaceDE w:val="0"/>
              <w:autoSpaceDN w:val="0"/>
              <w:adjustRightInd w:val="0"/>
              <w:jc w:val="center"/>
              <w:rPr>
                <w:b/>
                <w:bCs/>
                <w:sz w:val="22"/>
                <w:szCs w:val="22"/>
              </w:rPr>
            </w:pPr>
            <w:r w:rsidRPr="009964C7">
              <w:rPr>
                <w:b/>
                <w:bCs/>
                <w:sz w:val="22"/>
                <w:szCs w:val="22"/>
              </w:rPr>
              <w:t>Docetaksel+Cis+5-FU</w:t>
            </w:r>
          </w:p>
          <w:p w14:paraId="7FE49795" w14:textId="77777777" w:rsidR="00F223ED" w:rsidRPr="009964C7" w:rsidRDefault="00F223ED" w:rsidP="002C66FC">
            <w:pPr>
              <w:autoSpaceDE w:val="0"/>
              <w:autoSpaceDN w:val="0"/>
              <w:adjustRightInd w:val="0"/>
              <w:jc w:val="center"/>
              <w:rPr>
                <w:b/>
                <w:bCs/>
                <w:sz w:val="22"/>
                <w:szCs w:val="22"/>
              </w:rPr>
            </w:pPr>
            <w:r w:rsidRPr="009964C7">
              <w:rPr>
                <w:b/>
                <w:bCs/>
                <w:sz w:val="22"/>
                <w:szCs w:val="22"/>
              </w:rPr>
              <w:t>n=177</w:t>
            </w:r>
          </w:p>
          <w:p w14:paraId="7F983B2B" w14:textId="77777777" w:rsidR="00F223ED" w:rsidRPr="009964C7" w:rsidRDefault="00F223ED" w:rsidP="002C66FC">
            <w:pPr>
              <w:pStyle w:val="Header"/>
              <w:tabs>
                <w:tab w:val="left" w:pos="284"/>
              </w:tabs>
              <w:jc w:val="center"/>
              <w:rPr>
                <w:sz w:val="22"/>
                <w:szCs w:val="22"/>
              </w:rPr>
            </w:pPr>
          </w:p>
        </w:tc>
        <w:tc>
          <w:tcPr>
            <w:tcW w:w="3261" w:type="dxa"/>
          </w:tcPr>
          <w:p w14:paraId="0E22CD32" w14:textId="77777777" w:rsidR="00F223ED" w:rsidRPr="009964C7" w:rsidRDefault="00F223ED" w:rsidP="002C66FC">
            <w:pPr>
              <w:autoSpaceDE w:val="0"/>
              <w:autoSpaceDN w:val="0"/>
              <w:adjustRightInd w:val="0"/>
              <w:jc w:val="center"/>
              <w:rPr>
                <w:b/>
                <w:bCs/>
                <w:sz w:val="22"/>
                <w:szCs w:val="22"/>
              </w:rPr>
            </w:pPr>
            <w:r w:rsidRPr="009964C7">
              <w:rPr>
                <w:b/>
                <w:bCs/>
                <w:sz w:val="22"/>
                <w:szCs w:val="22"/>
              </w:rPr>
              <w:t>Cis+5-FU</w:t>
            </w:r>
          </w:p>
          <w:p w14:paraId="6826B248" w14:textId="77777777" w:rsidR="00F223ED" w:rsidRPr="009964C7" w:rsidRDefault="00F223ED" w:rsidP="002C66FC">
            <w:pPr>
              <w:autoSpaceDE w:val="0"/>
              <w:autoSpaceDN w:val="0"/>
              <w:adjustRightInd w:val="0"/>
              <w:jc w:val="center"/>
              <w:rPr>
                <w:b/>
                <w:bCs/>
                <w:sz w:val="22"/>
                <w:szCs w:val="22"/>
              </w:rPr>
            </w:pPr>
            <w:r w:rsidRPr="009964C7">
              <w:rPr>
                <w:b/>
                <w:bCs/>
                <w:sz w:val="22"/>
                <w:szCs w:val="22"/>
              </w:rPr>
              <w:t>n=181</w:t>
            </w:r>
          </w:p>
          <w:p w14:paraId="2F925A0F" w14:textId="77777777" w:rsidR="00F223ED" w:rsidRPr="009964C7" w:rsidRDefault="00F223ED" w:rsidP="002C66FC">
            <w:pPr>
              <w:pStyle w:val="Header"/>
              <w:tabs>
                <w:tab w:val="left" w:pos="284"/>
              </w:tabs>
              <w:jc w:val="center"/>
              <w:rPr>
                <w:sz w:val="22"/>
                <w:szCs w:val="22"/>
              </w:rPr>
            </w:pPr>
          </w:p>
        </w:tc>
      </w:tr>
      <w:tr w:rsidR="00F223ED" w:rsidRPr="00B02007" w14:paraId="7F614F69" w14:textId="77777777" w:rsidTr="002C66FC">
        <w:trPr>
          <w:trHeight w:val="759"/>
        </w:trPr>
        <w:tc>
          <w:tcPr>
            <w:tcW w:w="3261" w:type="dxa"/>
          </w:tcPr>
          <w:p w14:paraId="39D2A57C" w14:textId="77777777" w:rsidR="00F223ED" w:rsidRPr="009964C7" w:rsidRDefault="00F223ED" w:rsidP="002C66FC">
            <w:pPr>
              <w:autoSpaceDE w:val="0"/>
              <w:autoSpaceDN w:val="0"/>
              <w:adjustRightInd w:val="0"/>
              <w:rPr>
                <w:sz w:val="22"/>
                <w:szCs w:val="22"/>
              </w:rPr>
            </w:pPr>
            <w:r w:rsidRPr="009964C7">
              <w:rPr>
                <w:sz w:val="22"/>
                <w:szCs w:val="22"/>
              </w:rPr>
              <w:t xml:space="preserve">Srednje preživljavanje bez progresije bolesti (mjeseci) </w:t>
            </w:r>
          </w:p>
          <w:p w14:paraId="61236A39"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tc>
        <w:tc>
          <w:tcPr>
            <w:tcW w:w="3261" w:type="dxa"/>
          </w:tcPr>
          <w:p w14:paraId="26AF074B" w14:textId="77777777" w:rsidR="00F223ED" w:rsidRPr="009964C7" w:rsidRDefault="00F223ED" w:rsidP="002C66FC">
            <w:pPr>
              <w:pStyle w:val="Header"/>
              <w:tabs>
                <w:tab w:val="left" w:pos="284"/>
              </w:tabs>
              <w:jc w:val="center"/>
              <w:rPr>
                <w:sz w:val="22"/>
                <w:szCs w:val="22"/>
              </w:rPr>
            </w:pPr>
            <w:r w:rsidRPr="009964C7">
              <w:rPr>
                <w:sz w:val="22"/>
                <w:szCs w:val="22"/>
              </w:rPr>
              <w:t>11,4</w:t>
            </w:r>
          </w:p>
          <w:p w14:paraId="23B78205" w14:textId="77777777" w:rsidR="00F223ED" w:rsidRPr="009964C7" w:rsidRDefault="00F223ED" w:rsidP="002C66FC">
            <w:pPr>
              <w:pStyle w:val="Header"/>
              <w:tabs>
                <w:tab w:val="left" w:pos="284"/>
              </w:tabs>
              <w:jc w:val="center"/>
              <w:rPr>
                <w:sz w:val="22"/>
                <w:szCs w:val="22"/>
              </w:rPr>
            </w:pPr>
          </w:p>
          <w:p w14:paraId="5203AF04" w14:textId="77777777" w:rsidR="00F223ED" w:rsidRPr="009964C7" w:rsidRDefault="00F223ED" w:rsidP="002C66FC">
            <w:pPr>
              <w:pStyle w:val="Header"/>
              <w:tabs>
                <w:tab w:val="left" w:pos="284"/>
              </w:tabs>
              <w:jc w:val="center"/>
              <w:rPr>
                <w:sz w:val="22"/>
                <w:szCs w:val="22"/>
              </w:rPr>
            </w:pPr>
            <w:r w:rsidRPr="009964C7">
              <w:rPr>
                <w:sz w:val="22"/>
                <w:szCs w:val="22"/>
              </w:rPr>
              <w:t>(10,1-14,0)</w:t>
            </w:r>
          </w:p>
        </w:tc>
        <w:tc>
          <w:tcPr>
            <w:tcW w:w="3261" w:type="dxa"/>
          </w:tcPr>
          <w:p w14:paraId="725E04F1" w14:textId="77777777" w:rsidR="00F223ED" w:rsidRPr="009964C7" w:rsidRDefault="00F223ED" w:rsidP="002C66FC">
            <w:pPr>
              <w:pStyle w:val="Header"/>
              <w:tabs>
                <w:tab w:val="left" w:pos="284"/>
              </w:tabs>
              <w:jc w:val="center"/>
              <w:rPr>
                <w:sz w:val="22"/>
                <w:szCs w:val="22"/>
              </w:rPr>
            </w:pPr>
            <w:r w:rsidRPr="009964C7">
              <w:rPr>
                <w:sz w:val="22"/>
                <w:szCs w:val="22"/>
              </w:rPr>
              <w:t>8,3</w:t>
            </w:r>
          </w:p>
          <w:p w14:paraId="1BF07F40" w14:textId="77777777" w:rsidR="00F223ED" w:rsidRPr="009964C7" w:rsidRDefault="00F223ED" w:rsidP="002C66FC">
            <w:pPr>
              <w:pStyle w:val="Header"/>
              <w:tabs>
                <w:tab w:val="left" w:pos="284"/>
              </w:tabs>
              <w:jc w:val="center"/>
              <w:rPr>
                <w:sz w:val="22"/>
                <w:szCs w:val="22"/>
              </w:rPr>
            </w:pPr>
          </w:p>
          <w:p w14:paraId="744E6ABA" w14:textId="77777777" w:rsidR="00F223ED" w:rsidRPr="009964C7" w:rsidRDefault="00F223ED" w:rsidP="002C66FC">
            <w:pPr>
              <w:pStyle w:val="Header"/>
              <w:tabs>
                <w:tab w:val="left" w:pos="284"/>
              </w:tabs>
              <w:jc w:val="center"/>
              <w:rPr>
                <w:sz w:val="22"/>
                <w:szCs w:val="22"/>
              </w:rPr>
            </w:pPr>
            <w:r w:rsidRPr="009964C7">
              <w:rPr>
                <w:sz w:val="22"/>
                <w:szCs w:val="22"/>
              </w:rPr>
              <w:t>(7,4-9,1)</w:t>
            </w:r>
          </w:p>
        </w:tc>
      </w:tr>
      <w:tr w:rsidR="00F223ED" w:rsidRPr="00B02007" w14:paraId="49EEFB98" w14:textId="77777777" w:rsidTr="002C66FC">
        <w:trPr>
          <w:trHeight w:val="770"/>
        </w:trPr>
        <w:tc>
          <w:tcPr>
            <w:tcW w:w="3261" w:type="dxa"/>
          </w:tcPr>
          <w:p w14:paraId="53307A6F" w14:textId="77777777" w:rsidR="00F223ED" w:rsidRPr="009964C7" w:rsidRDefault="00F223ED" w:rsidP="002C66FC">
            <w:pPr>
              <w:autoSpaceDE w:val="0"/>
              <w:autoSpaceDN w:val="0"/>
              <w:adjustRightInd w:val="0"/>
              <w:rPr>
                <w:sz w:val="22"/>
                <w:szCs w:val="22"/>
              </w:rPr>
            </w:pPr>
            <w:r w:rsidRPr="009964C7">
              <w:rPr>
                <w:sz w:val="22"/>
                <w:szCs w:val="22"/>
              </w:rPr>
              <w:t>Prilago</w:t>
            </w:r>
            <w:r w:rsidRPr="009964C7">
              <w:rPr>
                <w:rFonts w:eastAsia="TimesNewRoman"/>
                <w:sz w:val="22"/>
                <w:szCs w:val="22"/>
              </w:rPr>
              <w:t>đ</w:t>
            </w:r>
            <w:r w:rsidRPr="009964C7">
              <w:rPr>
                <w:sz w:val="22"/>
                <w:szCs w:val="22"/>
              </w:rPr>
              <w:t>eni indeks rizika</w:t>
            </w:r>
          </w:p>
          <w:p w14:paraId="05D5E7F1"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p w14:paraId="7A2FC670" w14:textId="77777777" w:rsidR="00F223ED" w:rsidRPr="009964C7" w:rsidRDefault="00F223ED" w:rsidP="002C66FC">
            <w:pPr>
              <w:pStyle w:val="Header"/>
              <w:tabs>
                <w:tab w:val="left" w:pos="284"/>
              </w:tabs>
              <w:rPr>
                <w:sz w:val="22"/>
                <w:szCs w:val="22"/>
              </w:rPr>
            </w:pPr>
            <w:r w:rsidRPr="009964C7">
              <w:rPr>
                <w:sz w:val="22"/>
                <w:szCs w:val="22"/>
              </w:rPr>
              <w:t xml:space="preserve">*p-vrijednost </w:t>
            </w:r>
          </w:p>
        </w:tc>
        <w:tc>
          <w:tcPr>
            <w:tcW w:w="6523" w:type="dxa"/>
            <w:gridSpan w:val="2"/>
          </w:tcPr>
          <w:p w14:paraId="15DCB83E" w14:textId="77777777" w:rsidR="00F223ED" w:rsidRPr="009964C7" w:rsidRDefault="00F223ED" w:rsidP="002C66FC">
            <w:pPr>
              <w:autoSpaceDE w:val="0"/>
              <w:autoSpaceDN w:val="0"/>
              <w:adjustRightInd w:val="0"/>
              <w:jc w:val="center"/>
              <w:rPr>
                <w:sz w:val="22"/>
                <w:szCs w:val="22"/>
              </w:rPr>
            </w:pPr>
            <w:r w:rsidRPr="009964C7">
              <w:rPr>
                <w:sz w:val="22"/>
                <w:szCs w:val="22"/>
              </w:rPr>
              <w:t>0,70</w:t>
            </w:r>
          </w:p>
          <w:p w14:paraId="4F94D83F" w14:textId="77777777" w:rsidR="00F223ED" w:rsidRPr="009964C7" w:rsidRDefault="00F223ED" w:rsidP="002C66FC">
            <w:pPr>
              <w:autoSpaceDE w:val="0"/>
              <w:autoSpaceDN w:val="0"/>
              <w:adjustRightInd w:val="0"/>
              <w:jc w:val="center"/>
              <w:rPr>
                <w:sz w:val="22"/>
                <w:szCs w:val="22"/>
              </w:rPr>
            </w:pPr>
            <w:r w:rsidRPr="009964C7">
              <w:rPr>
                <w:sz w:val="22"/>
                <w:szCs w:val="22"/>
              </w:rPr>
              <w:t>(0,55-0,89)</w:t>
            </w:r>
          </w:p>
          <w:p w14:paraId="1C38CBCB" w14:textId="77777777" w:rsidR="00F223ED" w:rsidRPr="009964C7" w:rsidRDefault="00F223ED" w:rsidP="002C66FC">
            <w:pPr>
              <w:autoSpaceDE w:val="0"/>
              <w:autoSpaceDN w:val="0"/>
              <w:adjustRightInd w:val="0"/>
              <w:jc w:val="center"/>
              <w:rPr>
                <w:sz w:val="22"/>
                <w:szCs w:val="22"/>
              </w:rPr>
            </w:pPr>
            <w:r w:rsidRPr="009964C7">
              <w:rPr>
                <w:sz w:val="22"/>
                <w:szCs w:val="22"/>
              </w:rPr>
              <w:t>0,0042</w:t>
            </w:r>
          </w:p>
        </w:tc>
      </w:tr>
      <w:tr w:rsidR="00F223ED" w:rsidRPr="00B02007" w14:paraId="13B45C7C" w14:textId="77777777" w:rsidTr="002C66FC">
        <w:trPr>
          <w:trHeight w:val="513"/>
        </w:trPr>
        <w:tc>
          <w:tcPr>
            <w:tcW w:w="3261" w:type="dxa"/>
          </w:tcPr>
          <w:p w14:paraId="7036CFAE" w14:textId="77777777" w:rsidR="00F223ED" w:rsidRPr="009964C7" w:rsidRDefault="00F223ED" w:rsidP="002C66FC">
            <w:pPr>
              <w:autoSpaceDE w:val="0"/>
              <w:autoSpaceDN w:val="0"/>
              <w:adjustRightInd w:val="0"/>
              <w:rPr>
                <w:sz w:val="22"/>
                <w:szCs w:val="22"/>
              </w:rPr>
            </w:pPr>
            <w:r w:rsidRPr="009964C7">
              <w:rPr>
                <w:sz w:val="22"/>
                <w:szCs w:val="22"/>
              </w:rPr>
              <w:t xml:space="preserve">Srednje preživljavanje (mjeseci) </w:t>
            </w:r>
          </w:p>
          <w:p w14:paraId="01CA41C6"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tc>
        <w:tc>
          <w:tcPr>
            <w:tcW w:w="3261" w:type="dxa"/>
          </w:tcPr>
          <w:p w14:paraId="4749EA46" w14:textId="77777777" w:rsidR="00F223ED" w:rsidRPr="009964C7" w:rsidRDefault="00F223ED" w:rsidP="002C66FC">
            <w:pPr>
              <w:pStyle w:val="Header"/>
              <w:tabs>
                <w:tab w:val="left" w:pos="284"/>
              </w:tabs>
              <w:jc w:val="center"/>
              <w:rPr>
                <w:sz w:val="22"/>
                <w:szCs w:val="22"/>
              </w:rPr>
            </w:pPr>
            <w:r w:rsidRPr="009964C7">
              <w:rPr>
                <w:sz w:val="22"/>
                <w:szCs w:val="22"/>
              </w:rPr>
              <w:t>18,6</w:t>
            </w:r>
          </w:p>
          <w:p w14:paraId="79AD52C0" w14:textId="77777777" w:rsidR="00F223ED" w:rsidRPr="009964C7" w:rsidRDefault="00F223ED" w:rsidP="002C66FC">
            <w:pPr>
              <w:pStyle w:val="Header"/>
              <w:tabs>
                <w:tab w:val="left" w:pos="284"/>
              </w:tabs>
              <w:jc w:val="center"/>
              <w:rPr>
                <w:sz w:val="22"/>
                <w:szCs w:val="22"/>
              </w:rPr>
            </w:pPr>
            <w:r w:rsidRPr="009964C7">
              <w:rPr>
                <w:sz w:val="22"/>
                <w:szCs w:val="22"/>
              </w:rPr>
              <w:t>(15,7-24,0)</w:t>
            </w:r>
          </w:p>
        </w:tc>
        <w:tc>
          <w:tcPr>
            <w:tcW w:w="3261" w:type="dxa"/>
          </w:tcPr>
          <w:p w14:paraId="094C7FFF" w14:textId="77777777" w:rsidR="00F223ED" w:rsidRPr="009964C7" w:rsidRDefault="00F223ED" w:rsidP="002C66FC">
            <w:pPr>
              <w:pStyle w:val="Header"/>
              <w:tabs>
                <w:tab w:val="left" w:pos="284"/>
              </w:tabs>
              <w:jc w:val="center"/>
              <w:rPr>
                <w:sz w:val="22"/>
                <w:szCs w:val="22"/>
              </w:rPr>
            </w:pPr>
            <w:r w:rsidRPr="009964C7">
              <w:rPr>
                <w:sz w:val="22"/>
                <w:szCs w:val="22"/>
              </w:rPr>
              <w:t>14,5</w:t>
            </w:r>
          </w:p>
          <w:p w14:paraId="56D71102" w14:textId="77777777" w:rsidR="00F223ED" w:rsidRPr="009964C7" w:rsidRDefault="00F223ED" w:rsidP="002C66FC">
            <w:pPr>
              <w:pStyle w:val="Header"/>
              <w:tabs>
                <w:tab w:val="left" w:pos="284"/>
              </w:tabs>
              <w:jc w:val="center"/>
              <w:rPr>
                <w:sz w:val="22"/>
                <w:szCs w:val="22"/>
              </w:rPr>
            </w:pPr>
            <w:r w:rsidRPr="009964C7">
              <w:rPr>
                <w:sz w:val="22"/>
                <w:szCs w:val="22"/>
              </w:rPr>
              <w:t>(11,6-18,7)</w:t>
            </w:r>
          </w:p>
        </w:tc>
      </w:tr>
      <w:tr w:rsidR="00F223ED" w:rsidRPr="00B02007" w14:paraId="034E2927" w14:textId="77777777" w:rsidTr="002C66FC">
        <w:trPr>
          <w:trHeight w:val="770"/>
        </w:trPr>
        <w:tc>
          <w:tcPr>
            <w:tcW w:w="3261" w:type="dxa"/>
          </w:tcPr>
          <w:p w14:paraId="094CC3F6" w14:textId="77777777" w:rsidR="00F223ED" w:rsidRPr="009964C7" w:rsidRDefault="00F223ED" w:rsidP="002C66FC">
            <w:pPr>
              <w:autoSpaceDE w:val="0"/>
              <w:autoSpaceDN w:val="0"/>
              <w:adjustRightInd w:val="0"/>
              <w:rPr>
                <w:sz w:val="22"/>
                <w:szCs w:val="22"/>
              </w:rPr>
            </w:pPr>
            <w:r w:rsidRPr="009964C7">
              <w:rPr>
                <w:sz w:val="22"/>
                <w:szCs w:val="22"/>
              </w:rPr>
              <w:t xml:space="preserve">Indeks rizika </w:t>
            </w:r>
          </w:p>
          <w:p w14:paraId="61066FB5"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p w14:paraId="4EF86D90" w14:textId="77777777" w:rsidR="00F223ED" w:rsidRPr="009964C7" w:rsidRDefault="00F223ED" w:rsidP="002C66FC">
            <w:pPr>
              <w:autoSpaceDE w:val="0"/>
              <w:autoSpaceDN w:val="0"/>
              <w:adjustRightInd w:val="0"/>
              <w:rPr>
                <w:sz w:val="22"/>
                <w:szCs w:val="22"/>
              </w:rPr>
            </w:pPr>
            <w:r w:rsidRPr="009964C7">
              <w:rPr>
                <w:sz w:val="22"/>
                <w:szCs w:val="22"/>
              </w:rPr>
              <w:t xml:space="preserve">**p-vrijednost </w:t>
            </w:r>
          </w:p>
        </w:tc>
        <w:tc>
          <w:tcPr>
            <w:tcW w:w="6523" w:type="dxa"/>
            <w:gridSpan w:val="2"/>
          </w:tcPr>
          <w:p w14:paraId="2B8FFBFD" w14:textId="77777777" w:rsidR="00F223ED" w:rsidRPr="009964C7" w:rsidRDefault="00F223ED" w:rsidP="002C66FC">
            <w:pPr>
              <w:pStyle w:val="Header"/>
              <w:tabs>
                <w:tab w:val="left" w:pos="284"/>
              </w:tabs>
              <w:jc w:val="center"/>
              <w:rPr>
                <w:sz w:val="22"/>
                <w:szCs w:val="22"/>
              </w:rPr>
            </w:pPr>
            <w:r w:rsidRPr="009964C7">
              <w:rPr>
                <w:sz w:val="22"/>
                <w:szCs w:val="22"/>
              </w:rPr>
              <w:t>0,72</w:t>
            </w:r>
          </w:p>
          <w:p w14:paraId="4DC2E81C" w14:textId="77777777" w:rsidR="00F223ED" w:rsidRPr="009964C7" w:rsidRDefault="00F223ED" w:rsidP="002C66FC">
            <w:pPr>
              <w:pStyle w:val="Header"/>
              <w:tabs>
                <w:tab w:val="left" w:pos="284"/>
              </w:tabs>
              <w:jc w:val="center"/>
              <w:rPr>
                <w:sz w:val="22"/>
                <w:szCs w:val="22"/>
              </w:rPr>
            </w:pPr>
            <w:r w:rsidRPr="009964C7">
              <w:rPr>
                <w:sz w:val="22"/>
                <w:szCs w:val="22"/>
              </w:rPr>
              <w:t>(0,56-0,93)</w:t>
            </w:r>
          </w:p>
          <w:p w14:paraId="494F53C9" w14:textId="77777777" w:rsidR="00F223ED" w:rsidRPr="009964C7" w:rsidRDefault="00F223ED" w:rsidP="002C66FC">
            <w:pPr>
              <w:pStyle w:val="Header"/>
              <w:tabs>
                <w:tab w:val="left" w:pos="284"/>
              </w:tabs>
              <w:jc w:val="center"/>
              <w:rPr>
                <w:sz w:val="22"/>
                <w:szCs w:val="22"/>
              </w:rPr>
            </w:pPr>
            <w:r w:rsidRPr="009964C7">
              <w:rPr>
                <w:sz w:val="22"/>
                <w:szCs w:val="22"/>
              </w:rPr>
              <w:t>0,0128</w:t>
            </w:r>
          </w:p>
        </w:tc>
      </w:tr>
      <w:tr w:rsidR="00F223ED" w:rsidRPr="00B02007" w14:paraId="65FBFD77" w14:textId="77777777" w:rsidTr="002C66FC">
        <w:trPr>
          <w:trHeight w:val="770"/>
        </w:trPr>
        <w:tc>
          <w:tcPr>
            <w:tcW w:w="3261" w:type="dxa"/>
          </w:tcPr>
          <w:p w14:paraId="688D7C8E" w14:textId="77777777" w:rsidR="00F223ED" w:rsidRPr="009964C7" w:rsidRDefault="00F223ED" w:rsidP="002C66FC">
            <w:pPr>
              <w:autoSpaceDE w:val="0"/>
              <w:autoSpaceDN w:val="0"/>
              <w:adjustRightInd w:val="0"/>
              <w:rPr>
                <w:sz w:val="22"/>
                <w:szCs w:val="22"/>
              </w:rPr>
            </w:pPr>
            <w:r w:rsidRPr="009964C7">
              <w:rPr>
                <w:sz w:val="22"/>
                <w:szCs w:val="22"/>
              </w:rPr>
              <w:t>Najbolji ukupni odgovor na hemioterapiju (%)</w:t>
            </w:r>
          </w:p>
          <w:p w14:paraId="16F0470E"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tc>
        <w:tc>
          <w:tcPr>
            <w:tcW w:w="3261" w:type="dxa"/>
          </w:tcPr>
          <w:p w14:paraId="1AE2AB0C" w14:textId="77777777" w:rsidR="00F223ED" w:rsidRPr="009964C7" w:rsidRDefault="00F223ED" w:rsidP="002C66FC">
            <w:pPr>
              <w:pStyle w:val="Header"/>
              <w:tabs>
                <w:tab w:val="left" w:pos="284"/>
              </w:tabs>
              <w:jc w:val="center"/>
              <w:rPr>
                <w:sz w:val="22"/>
                <w:szCs w:val="22"/>
              </w:rPr>
            </w:pPr>
            <w:r w:rsidRPr="009964C7">
              <w:rPr>
                <w:sz w:val="22"/>
                <w:szCs w:val="22"/>
              </w:rPr>
              <w:t>67,8</w:t>
            </w:r>
          </w:p>
          <w:p w14:paraId="04C89F5D" w14:textId="77777777" w:rsidR="00F223ED" w:rsidRPr="009964C7" w:rsidRDefault="00F223ED" w:rsidP="002C66FC">
            <w:pPr>
              <w:pStyle w:val="Header"/>
              <w:tabs>
                <w:tab w:val="left" w:pos="284"/>
              </w:tabs>
              <w:jc w:val="center"/>
              <w:rPr>
                <w:sz w:val="22"/>
                <w:szCs w:val="22"/>
              </w:rPr>
            </w:pPr>
          </w:p>
          <w:p w14:paraId="1F966883" w14:textId="77777777" w:rsidR="00F223ED" w:rsidRPr="009964C7" w:rsidRDefault="00F223ED" w:rsidP="002C66FC">
            <w:pPr>
              <w:pStyle w:val="Header"/>
              <w:tabs>
                <w:tab w:val="left" w:pos="284"/>
              </w:tabs>
              <w:jc w:val="center"/>
              <w:rPr>
                <w:sz w:val="22"/>
                <w:szCs w:val="22"/>
              </w:rPr>
            </w:pPr>
            <w:r w:rsidRPr="009964C7">
              <w:rPr>
                <w:sz w:val="22"/>
                <w:szCs w:val="22"/>
              </w:rPr>
              <w:t>(60,4-74,6)</w:t>
            </w:r>
          </w:p>
        </w:tc>
        <w:tc>
          <w:tcPr>
            <w:tcW w:w="3261" w:type="dxa"/>
          </w:tcPr>
          <w:p w14:paraId="68342621" w14:textId="77777777" w:rsidR="00F223ED" w:rsidRPr="009964C7" w:rsidRDefault="00F223ED" w:rsidP="002C66FC">
            <w:pPr>
              <w:pStyle w:val="Header"/>
              <w:tabs>
                <w:tab w:val="left" w:pos="284"/>
              </w:tabs>
              <w:jc w:val="center"/>
              <w:rPr>
                <w:sz w:val="22"/>
                <w:szCs w:val="22"/>
              </w:rPr>
            </w:pPr>
            <w:r w:rsidRPr="009964C7">
              <w:rPr>
                <w:sz w:val="22"/>
                <w:szCs w:val="22"/>
              </w:rPr>
              <w:t>53,6</w:t>
            </w:r>
          </w:p>
          <w:p w14:paraId="33A7B733" w14:textId="77777777" w:rsidR="00F223ED" w:rsidRPr="009964C7" w:rsidRDefault="00F223ED" w:rsidP="002C66FC">
            <w:pPr>
              <w:pStyle w:val="Header"/>
              <w:tabs>
                <w:tab w:val="left" w:pos="284"/>
              </w:tabs>
              <w:jc w:val="center"/>
              <w:rPr>
                <w:sz w:val="22"/>
                <w:szCs w:val="22"/>
              </w:rPr>
            </w:pPr>
          </w:p>
          <w:p w14:paraId="442BF8FE" w14:textId="77777777" w:rsidR="00F223ED" w:rsidRPr="009964C7" w:rsidRDefault="00F223ED" w:rsidP="002C66FC">
            <w:pPr>
              <w:pStyle w:val="Header"/>
              <w:tabs>
                <w:tab w:val="left" w:pos="284"/>
              </w:tabs>
              <w:jc w:val="center"/>
              <w:rPr>
                <w:sz w:val="22"/>
                <w:szCs w:val="22"/>
              </w:rPr>
            </w:pPr>
            <w:r w:rsidRPr="009964C7">
              <w:rPr>
                <w:sz w:val="22"/>
                <w:szCs w:val="22"/>
              </w:rPr>
              <w:t>(46,0-61,0)</w:t>
            </w:r>
          </w:p>
        </w:tc>
      </w:tr>
      <w:tr w:rsidR="00F223ED" w:rsidRPr="00B02007" w14:paraId="032B8199" w14:textId="77777777" w:rsidTr="002C66FC">
        <w:trPr>
          <w:trHeight w:val="245"/>
        </w:trPr>
        <w:tc>
          <w:tcPr>
            <w:tcW w:w="3261" w:type="dxa"/>
          </w:tcPr>
          <w:p w14:paraId="0F37AC3A" w14:textId="77777777" w:rsidR="00F223ED" w:rsidRPr="009964C7" w:rsidRDefault="00F223ED" w:rsidP="002C66FC">
            <w:pPr>
              <w:pStyle w:val="Header"/>
              <w:tabs>
                <w:tab w:val="left" w:pos="284"/>
              </w:tabs>
              <w:rPr>
                <w:sz w:val="22"/>
                <w:szCs w:val="22"/>
              </w:rPr>
            </w:pPr>
            <w:r w:rsidRPr="009964C7">
              <w:rPr>
                <w:sz w:val="22"/>
                <w:szCs w:val="22"/>
              </w:rPr>
              <w:t xml:space="preserve">***p-vrijednost </w:t>
            </w:r>
          </w:p>
        </w:tc>
        <w:tc>
          <w:tcPr>
            <w:tcW w:w="6523" w:type="dxa"/>
            <w:gridSpan w:val="2"/>
          </w:tcPr>
          <w:p w14:paraId="65D6F96C" w14:textId="77777777" w:rsidR="00F223ED" w:rsidRPr="009964C7" w:rsidRDefault="00F223ED" w:rsidP="002C66FC">
            <w:pPr>
              <w:pStyle w:val="Header"/>
              <w:tabs>
                <w:tab w:val="left" w:pos="284"/>
              </w:tabs>
              <w:jc w:val="center"/>
              <w:rPr>
                <w:sz w:val="22"/>
                <w:szCs w:val="22"/>
              </w:rPr>
            </w:pPr>
            <w:r w:rsidRPr="009964C7">
              <w:rPr>
                <w:sz w:val="22"/>
                <w:szCs w:val="22"/>
              </w:rPr>
              <w:t>0.006</w:t>
            </w:r>
          </w:p>
        </w:tc>
      </w:tr>
      <w:tr w:rsidR="00F223ED" w:rsidRPr="00B02007" w14:paraId="09949721" w14:textId="77777777" w:rsidTr="002C66FC">
        <w:trPr>
          <w:trHeight w:val="1027"/>
        </w:trPr>
        <w:tc>
          <w:tcPr>
            <w:tcW w:w="3261" w:type="dxa"/>
          </w:tcPr>
          <w:p w14:paraId="37178A7F" w14:textId="77777777" w:rsidR="00F223ED" w:rsidRPr="009964C7" w:rsidRDefault="00F223ED" w:rsidP="002C66FC">
            <w:pPr>
              <w:autoSpaceDE w:val="0"/>
              <w:autoSpaceDN w:val="0"/>
              <w:adjustRightInd w:val="0"/>
              <w:rPr>
                <w:sz w:val="22"/>
                <w:szCs w:val="22"/>
              </w:rPr>
            </w:pPr>
            <w:r w:rsidRPr="009964C7">
              <w:rPr>
                <w:sz w:val="22"/>
                <w:szCs w:val="22"/>
              </w:rPr>
              <w:t>Najbolji ukupni odgovor na ispitivanu terapiju</w:t>
            </w:r>
          </w:p>
          <w:p w14:paraId="1D2901A8" w14:textId="77777777" w:rsidR="00F223ED" w:rsidRPr="009964C7" w:rsidRDefault="00F223ED" w:rsidP="002C66FC">
            <w:pPr>
              <w:autoSpaceDE w:val="0"/>
              <w:autoSpaceDN w:val="0"/>
              <w:adjustRightInd w:val="0"/>
              <w:rPr>
                <w:sz w:val="22"/>
                <w:szCs w:val="22"/>
              </w:rPr>
            </w:pPr>
            <w:r w:rsidRPr="009964C7">
              <w:rPr>
                <w:sz w:val="22"/>
                <w:szCs w:val="22"/>
              </w:rPr>
              <w:t>[hemioterapija±radioterapija] (%)</w:t>
            </w:r>
          </w:p>
          <w:p w14:paraId="49315A81"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tc>
        <w:tc>
          <w:tcPr>
            <w:tcW w:w="3261" w:type="dxa"/>
          </w:tcPr>
          <w:p w14:paraId="0569E3DA" w14:textId="77777777" w:rsidR="00F223ED" w:rsidRPr="009964C7" w:rsidRDefault="00F223ED" w:rsidP="002C66FC">
            <w:pPr>
              <w:pStyle w:val="Header"/>
              <w:tabs>
                <w:tab w:val="left" w:pos="284"/>
              </w:tabs>
              <w:jc w:val="center"/>
              <w:rPr>
                <w:sz w:val="22"/>
                <w:szCs w:val="22"/>
              </w:rPr>
            </w:pPr>
            <w:r w:rsidRPr="009964C7">
              <w:rPr>
                <w:sz w:val="22"/>
                <w:szCs w:val="22"/>
              </w:rPr>
              <w:t>72,3</w:t>
            </w:r>
          </w:p>
          <w:p w14:paraId="4A56E5A1" w14:textId="77777777" w:rsidR="00F223ED" w:rsidRPr="009964C7" w:rsidRDefault="00F223ED" w:rsidP="002C66FC">
            <w:pPr>
              <w:pStyle w:val="Header"/>
              <w:tabs>
                <w:tab w:val="left" w:pos="284"/>
              </w:tabs>
              <w:jc w:val="center"/>
              <w:rPr>
                <w:sz w:val="22"/>
                <w:szCs w:val="22"/>
              </w:rPr>
            </w:pPr>
          </w:p>
          <w:p w14:paraId="02B43D9D" w14:textId="77777777" w:rsidR="00F223ED" w:rsidRPr="009964C7" w:rsidRDefault="00F223ED" w:rsidP="002C66FC">
            <w:pPr>
              <w:pStyle w:val="Header"/>
              <w:tabs>
                <w:tab w:val="left" w:pos="284"/>
              </w:tabs>
              <w:jc w:val="center"/>
              <w:rPr>
                <w:sz w:val="22"/>
                <w:szCs w:val="22"/>
              </w:rPr>
            </w:pPr>
          </w:p>
          <w:p w14:paraId="57AC67A1" w14:textId="77777777" w:rsidR="00F223ED" w:rsidRPr="009964C7" w:rsidRDefault="00F223ED" w:rsidP="002C66FC">
            <w:pPr>
              <w:pStyle w:val="Header"/>
              <w:tabs>
                <w:tab w:val="left" w:pos="284"/>
              </w:tabs>
              <w:jc w:val="center"/>
              <w:rPr>
                <w:sz w:val="22"/>
                <w:szCs w:val="22"/>
              </w:rPr>
            </w:pPr>
            <w:r w:rsidRPr="009964C7">
              <w:rPr>
                <w:sz w:val="22"/>
                <w:szCs w:val="22"/>
              </w:rPr>
              <w:t>(65,1-78,8)</w:t>
            </w:r>
          </w:p>
        </w:tc>
        <w:tc>
          <w:tcPr>
            <w:tcW w:w="3261" w:type="dxa"/>
          </w:tcPr>
          <w:p w14:paraId="0C108328" w14:textId="77777777" w:rsidR="00F223ED" w:rsidRPr="009964C7" w:rsidRDefault="00F223ED" w:rsidP="002C66FC">
            <w:pPr>
              <w:pStyle w:val="Header"/>
              <w:tabs>
                <w:tab w:val="left" w:pos="284"/>
              </w:tabs>
              <w:jc w:val="center"/>
              <w:rPr>
                <w:sz w:val="22"/>
                <w:szCs w:val="22"/>
              </w:rPr>
            </w:pPr>
            <w:r w:rsidRPr="009964C7">
              <w:rPr>
                <w:sz w:val="22"/>
                <w:szCs w:val="22"/>
              </w:rPr>
              <w:t>58,6</w:t>
            </w:r>
          </w:p>
          <w:p w14:paraId="70843CB7" w14:textId="77777777" w:rsidR="00F223ED" w:rsidRPr="009964C7" w:rsidRDefault="00F223ED" w:rsidP="002C66FC">
            <w:pPr>
              <w:pStyle w:val="Header"/>
              <w:tabs>
                <w:tab w:val="left" w:pos="284"/>
              </w:tabs>
              <w:jc w:val="center"/>
              <w:rPr>
                <w:sz w:val="22"/>
                <w:szCs w:val="22"/>
              </w:rPr>
            </w:pPr>
          </w:p>
          <w:p w14:paraId="1C1A389C" w14:textId="77777777" w:rsidR="00F223ED" w:rsidRPr="009964C7" w:rsidRDefault="00F223ED" w:rsidP="002C66FC">
            <w:pPr>
              <w:pStyle w:val="Header"/>
              <w:tabs>
                <w:tab w:val="left" w:pos="284"/>
              </w:tabs>
              <w:jc w:val="center"/>
              <w:rPr>
                <w:sz w:val="22"/>
                <w:szCs w:val="22"/>
              </w:rPr>
            </w:pPr>
          </w:p>
          <w:p w14:paraId="34FA8387" w14:textId="77777777" w:rsidR="00F223ED" w:rsidRPr="009964C7" w:rsidRDefault="00F223ED" w:rsidP="002C66FC">
            <w:pPr>
              <w:pStyle w:val="Header"/>
              <w:tabs>
                <w:tab w:val="left" w:pos="284"/>
              </w:tabs>
              <w:jc w:val="center"/>
              <w:rPr>
                <w:sz w:val="22"/>
                <w:szCs w:val="22"/>
              </w:rPr>
            </w:pPr>
            <w:r w:rsidRPr="009964C7">
              <w:rPr>
                <w:sz w:val="22"/>
                <w:szCs w:val="22"/>
              </w:rPr>
              <w:t>(51,0-65,8)</w:t>
            </w:r>
          </w:p>
        </w:tc>
      </w:tr>
      <w:tr w:rsidR="00F223ED" w:rsidRPr="00B02007" w14:paraId="5E105ED9" w14:textId="77777777" w:rsidTr="002C66FC">
        <w:trPr>
          <w:trHeight w:val="256"/>
        </w:trPr>
        <w:tc>
          <w:tcPr>
            <w:tcW w:w="3261" w:type="dxa"/>
          </w:tcPr>
          <w:p w14:paraId="24769299" w14:textId="77777777" w:rsidR="00F223ED" w:rsidRPr="009964C7" w:rsidRDefault="00F223ED" w:rsidP="002C66FC">
            <w:pPr>
              <w:autoSpaceDE w:val="0"/>
              <w:autoSpaceDN w:val="0"/>
              <w:adjustRightInd w:val="0"/>
              <w:rPr>
                <w:sz w:val="22"/>
                <w:szCs w:val="22"/>
              </w:rPr>
            </w:pPr>
            <w:r w:rsidRPr="009964C7">
              <w:rPr>
                <w:sz w:val="22"/>
                <w:szCs w:val="22"/>
              </w:rPr>
              <w:t xml:space="preserve">***p-vrijednost </w:t>
            </w:r>
          </w:p>
        </w:tc>
        <w:tc>
          <w:tcPr>
            <w:tcW w:w="6523" w:type="dxa"/>
            <w:gridSpan w:val="2"/>
          </w:tcPr>
          <w:p w14:paraId="73E2C79A" w14:textId="77777777" w:rsidR="00F223ED" w:rsidRPr="009964C7" w:rsidRDefault="00F223ED" w:rsidP="002C66FC">
            <w:pPr>
              <w:pStyle w:val="Header"/>
              <w:tabs>
                <w:tab w:val="left" w:pos="284"/>
              </w:tabs>
              <w:jc w:val="center"/>
              <w:rPr>
                <w:sz w:val="22"/>
                <w:szCs w:val="22"/>
              </w:rPr>
            </w:pPr>
            <w:r w:rsidRPr="009964C7">
              <w:rPr>
                <w:sz w:val="22"/>
                <w:szCs w:val="22"/>
              </w:rPr>
              <w:t>0,0006</w:t>
            </w:r>
          </w:p>
        </w:tc>
      </w:tr>
      <w:tr w:rsidR="00F223ED" w:rsidRPr="00B02007" w14:paraId="4439EE84" w14:textId="77777777" w:rsidTr="002C66FC">
        <w:trPr>
          <w:trHeight w:val="1027"/>
        </w:trPr>
        <w:tc>
          <w:tcPr>
            <w:tcW w:w="3261" w:type="dxa"/>
          </w:tcPr>
          <w:p w14:paraId="35138712" w14:textId="77777777" w:rsidR="00F223ED" w:rsidRPr="009964C7" w:rsidRDefault="00F223ED" w:rsidP="002C66FC">
            <w:pPr>
              <w:autoSpaceDE w:val="0"/>
              <w:autoSpaceDN w:val="0"/>
              <w:adjustRightInd w:val="0"/>
              <w:rPr>
                <w:sz w:val="22"/>
                <w:szCs w:val="22"/>
              </w:rPr>
            </w:pPr>
            <w:r w:rsidRPr="009964C7">
              <w:rPr>
                <w:sz w:val="22"/>
                <w:szCs w:val="22"/>
              </w:rPr>
              <w:lastRenderedPageBreak/>
              <w:t xml:space="preserve">Srednje trajanje odgovora na hemioterapiju ± </w:t>
            </w:r>
          </w:p>
          <w:p w14:paraId="49318804" w14:textId="77777777" w:rsidR="00F223ED" w:rsidRPr="009964C7" w:rsidRDefault="00F223ED" w:rsidP="002C66FC">
            <w:pPr>
              <w:autoSpaceDE w:val="0"/>
              <w:autoSpaceDN w:val="0"/>
              <w:adjustRightInd w:val="0"/>
              <w:rPr>
                <w:sz w:val="22"/>
                <w:szCs w:val="22"/>
              </w:rPr>
            </w:pPr>
            <w:r w:rsidRPr="009964C7">
              <w:rPr>
                <w:sz w:val="22"/>
                <w:szCs w:val="22"/>
              </w:rPr>
              <w:t xml:space="preserve">radioterapiju (mjeseci) </w:t>
            </w:r>
          </w:p>
          <w:p w14:paraId="0C3BF06D"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tc>
        <w:tc>
          <w:tcPr>
            <w:tcW w:w="3261" w:type="dxa"/>
          </w:tcPr>
          <w:p w14:paraId="72833972" w14:textId="77777777" w:rsidR="00F223ED" w:rsidRPr="009964C7" w:rsidRDefault="00F223ED" w:rsidP="002C66FC">
            <w:pPr>
              <w:pStyle w:val="Header"/>
              <w:tabs>
                <w:tab w:val="left" w:pos="284"/>
              </w:tabs>
              <w:jc w:val="center"/>
              <w:rPr>
                <w:sz w:val="22"/>
                <w:szCs w:val="22"/>
              </w:rPr>
            </w:pPr>
            <w:r w:rsidRPr="009964C7">
              <w:rPr>
                <w:sz w:val="22"/>
                <w:szCs w:val="22"/>
              </w:rPr>
              <w:t>n=128</w:t>
            </w:r>
          </w:p>
          <w:p w14:paraId="2F3FBEEE" w14:textId="77777777" w:rsidR="00F223ED" w:rsidRPr="009964C7" w:rsidRDefault="00F223ED" w:rsidP="002C66FC">
            <w:pPr>
              <w:pStyle w:val="Header"/>
              <w:tabs>
                <w:tab w:val="left" w:pos="284"/>
              </w:tabs>
              <w:jc w:val="center"/>
              <w:rPr>
                <w:sz w:val="22"/>
                <w:szCs w:val="22"/>
              </w:rPr>
            </w:pPr>
            <w:r w:rsidRPr="009964C7">
              <w:rPr>
                <w:sz w:val="22"/>
                <w:szCs w:val="22"/>
              </w:rPr>
              <w:t>15,7</w:t>
            </w:r>
          </w:p>
          <w:p w14:paraId="3B8C7552" w14:textId="77777777" w:rsidR="00F223ED" w:rsidRPr="009964C7" w:rsidRDefault="00F223ED" w:rsidP="002C66FC">
            <w:pPr>
              <w:pStyle w:val="Header"/>
              <w:tabs>
                <w:tab w:val="left" w:pos="284"/>
              </w:tabs>
              <w:jc w:val="center"/>
              <w:rPr>
                <w:sz w:val="22"/>
                <w:szCs w:val="22"/>
              </w:rPr>
            </w:pPr>
          </w:p>
          <w:p w14:paraId="167DA1DC" w14:textId="77777777" w:rsidR="00F223ED" w:rsidRPr="009964C7" w:rsidRDefault="00F223ED" w:rsidP="002C66FC">
            <w:pPr>
              <w:pStyle w:val="Header"/>
              <w:tabs>
                <w:tab w:val="left" w:pos="284"/>
              </w:tabs>
              <w:jc w:val="center"/>
              <w:rPr>
                <w:sz w:val="22"/>
                <w:szCs w:val="22"/>
              </w:rPr>
            </w:pPr>
            <w:r w:rsidRPr="009964C7">
              <w:rPr>
                <w:sz w:val="22"/>
                <w:szCs w:val="22"/>
              </w:rPr>
              <w:t>(13,4-24,6)</w:t>
            </w:r>
          </w:p>
        </w:tc>
        <w:tc>
          <w:tcPr>
            <w:tcW w:w="3261" w:type="dxa"/>
          </w:tcPr>
          <w:p w14:paraId="6CB72AF1" w14:textId="77777777" w:rsidR="00F223ED" w:rsidRPr="009964C7" w:rsidRDefault="00F223ED" w:rsidP="002C66FC">
            <w:pPr>
              <w:pStyle w:val="Header"/>
              <w:tabs>
                <w:tab w:val="left" w:pos="284"/>
              </w:tabs>
              <w:jc w:val="center"/>
              <w:rPr>
                <w:sz w:val="22"/>
                <w:szCs w:val="22"/>
              </w:rPr>
            </w:pPr>
            <w:r w:rsidRPr="009964C7">
              <w:rPr>
                <w:sz w:val="22"/>
                <w:szCs w:val="22"/>
              </w:rPr>
              <w:t>n=106</w:t>
            </w:r>
          </w:p>
          <w:p w14:paraId="49F75E54" w14:textId="77777777" w:rsidR="00F223ED" w:rsidRPr="009964C7" w:rsidRDefault="00F223ED" w:rsidP="002C66FC">
            <w:pPr>
              <w:pStyle w:val="Header"/>
              <w:tabs>
                <w:tab w:val="left" w:pos="284"/>
              </w:tabs>
              <w:jc w:val="center"/>
              <w:rPr>
                <w:sz w:val="22"/>
                <w:szCs w:val="22"/>
              </w:rPr>
            </w:pPr>
            <w:r w:rsidRPr="009964C7">
              <w:rPr>
                <w:sz w:val="22"/>
                <w:szCs w:val="22"/>
              </w:rPr>
              <w:t>11,7</w:t>
            </w:r>
          </w:p>
          <w:p w14:paraId="31EAA33E" w14:textId="77777777" w:rsidR="00F223ED" w:rsidRPr="009964C7" w:rsidRDefault="00F223ED" w:rsidP="002C66FC">
            <w:pPr>
              <w:pStyle w:val="Header"/>
              <w:tabs>
                <w:tab w:val="left" w:pos="284"/>
              </w:tabs>
              <w:jc w:val="center"/>
              <w:rPr>
                <w:sz w:val="22"/>
                <w:szCs w:val="22"/>
              </w:rPr>
            </w:pPr>
          </w:p>
          <w:p w14:paraId="11855C7D" w14:textId="77777777" w:rsidR="00F223ED" w:rsidRPr="009964C7" w:rsidRDefault="00F223ED" w:rsidP="002C66FC">
            <w:pPr>
              <w:pStyle w:val="Header"/>
              <w:tabs>
                <w:tab w:val="left" w:pos="284"/>
              </w:tabs>
              <w:jc w:val="center"/>
              <w:rPr>
                <w:sz w:val="22"/>
                <w:szCs w:val="22"/>
              </w:rPr>
            </w:pPr>
            <w:r w:rsidRPr="009964C7">
              <w:rPr>
                <w:sz w:val="22"/>
                <w:szCs w:val="22"/>
              </w:rPr>
              <w:t>(10,2-17,4)</w:t>
            </w:r>
          </w:p>
        </w:tc>
      </w:tr>
      <w:tr w:rsidR="00F223ED" w:rsidRPr="00B02007" w14:paraId="7269E031" w14:textId="77777777" w:rsidTr="002C66FC">
        <w:trPr>
          <w:trHeight w:val="759"/>
        </w:trPr>
        <w:tc>
          <w:tcPr>
            <w:tcW w:w="3261" w:type="dxa"/>
          </w:tcPr>
          <w:p w14:paraId="7D802640" w14:textId="77777777" w:rsidR="00F223ED" w:rsidRPr="009964C7" w:rsidRDefault="00F223ED" w:rsidP="002C66FC">
            <w:pPr>
              <w:autoSpaceDE w:val="0"/>
              <w:autoSpaceDN w:val="0"/>
              <w:adjustRightInd w:val="0"/>
              <w:rPr>
                <w:sz w:val="22"/>
                <w:szCs w:val="22"/>
              </w:rPr>
            </w:pPr>
            <w:r w:rsidRPr="009964C7">
              <w:rPr>
                <w:sz w:val="22"/>
                <w:szCs w:val="22"/>
              </w:rPr>
              <w:t xml:space="preserve">Indeks rizika </w:t>
            </w:r>
          </w:p>
          <w:p w14:paraId="38485F75"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p w14:paraId="4B82EF3C" w14:textId="77777777" w:rsidR="00F223ED" w:rsidRPr="009964C7" w:rsidRDefault="00F223ED" w:rsidP="002C66FC">
            <w:pPr>
              <w:autoSpaceDE w:val="0"/>
              <w:autoSpaceDN w:val="0"/>
              <w:adjustRightInd w:val="0"/>
              <w:rPr>
                <w:sz w:val="22"/>
                <w:szCs w:val="22"/>
              </w:rPr>
            </w:pPr>
            <w:r w:rsidRPr="009964C7">
              <w:rPr>
                <w:sz w:val="22"/>
                <w:szCs w:val="22"/>
              </w:rPr>
              <w:t xml:space="preserve">**p-vrijednost </w:t>
            </w:r>
          </w:p>
        </w:tc>
        <w:tc>
          <w:tcPr>
            <w:tcW w:w="6523" w:type="dxa"/>
            <w:gridSpan w:val="2"/>
          </w:tcPr>
          <w:p w14:paraId="7920A191" w14:textId="77777777" w:rsidR="00F223ED" w:rsidRPr="009964C7" w:rsidRDefault="00F223ED" w:rsidP="002C66FC">
            <w:pPr>
              <w:pStyle w:val="Header"/>
              <w:tabs>
                <w:tab w:val="left" w:pos="284"/>
              </w:tabs>
              <w:jc w:val="center"/>
              <w:rPr>
                <w:sz w:val="22"/>
                <w:szCs w:val="22"/>
              </w:rPr>
            </w:pPr>
            <w:r w:rsidRPr="009964C7">
              <w:rPr>
                <w:sz w:val="22"/>
                <w:szCs w:val="22"/>
              </w:rPr>
              <w:t>0,72</w:t>
            </w:r>
          </w:p>
          <w:p w14:paraId="73E33088" w14:textId="77777777" w:rsidR="00F223ED" w:rsidRPr="009964C7" w:rsidRDefault="00F223ED" w:rsidP="002C66FC">
            <w:pPr>
              <w:pStyle w:val="Header"/>
              <w:tabs>
                <w:tab w:val="left" w:pos="284"/>
              </w:tabs>
              <w:jc w:val="center"/>
              <w:rPr>
                <w:sz w:val="22"/>
                <w:szCs w:val="22"/>
              </w:rPr>
            </w:pPr>
            <w:r w:rsidRPr="009964C7">
              <w:rPr>
                <w:sz w:val="22"/>
                <w:szCs w:val="22"/>
              </w:rPr>
              <w:t>(0,52-0,99)</w:t>
            </w:r>
          </w:p>
          <w:p w14:paraId="6DC9D128" w14:textId="77777777" w:rsidR="00F223ED" w:rsidRPr="009964C7" w:rsidRDefault="00F223ED" w:rsidP="002C66FC">
            <w:pPr>
              <w:pStyle w:val="Header"/>
              <w:tabs>
                <w:tab w:val="left" w:pos="284"/>
              </w:tabs>
              <w:jc w:val="center"/>
              <w:rPr>
                <w:sz w:val="22"/>
                <w:szCs w:val="22"/>
              </w:rPr>
            </w:pPr>
            <w:r w:rsidRPr="009964C7">
              <w:rPr>
                <w:sz w:val="22"/>
                <w:szCs w:val="22"/>
              </w:rPr>
              <w:t>0,0457</w:t>
            </w:r>
          </w:p>
        </w:tc>
      </w:tr>
    </w:tbl>
    <w:p w14:paraId="62CAB0F5" w14:textId="77777777" w:rsidR="00F223ED" w:rsidRPr="009964C7" w:rsidRDefault="00F223ED" w:rsidP="00F223ED">
      <w:pPr>
        <w:autoSpaceDE w:val="0"/>
        <w:autoSpaceDN w:val="0"/>
        <w:adjustRightInd w:val="0"/>
        <w:rPr>
          <w:sz w:val="22"/>
          <w:szCs w:val="22"/>
        </w:rPr>
      </w:pPr>
      <w:r w:rsidRPr="009964C7">
        <w:rPr>
          <w:sz w:val="22"/>
          <w:szCs w:val="22"/>
        </w:rPr>
        <w:t>Indeks rizika manji od 1 daje prednost režimu docetaksel+cisplatin+5-FU</w:t>
      </w:r>
    </w:p>
    <w:p w14:paraId="14F39C45" w14:textId="77777777" w:rsidR="00F223ED" w:rsidRPr="009964C7" w:rsidRDefault="00F223ED" w:rsidP="00F223ED">
      <w:pPr>
        <w:autoSpaceDE w:val="0"/>
        <w:autoSpaceDN w:val="0"/>
        <w:adjustRightInd w:val="0"/>
        <w:rPr>
          <w:sz w:val="22"/>
          <w:szCs w:val="22"/>
        </w:rPr>
      </w:pPr>
      <w:r w:rsidRPr="009964C7">
        <w:rPr>
          <w:sz w:val="22"/>
          <w:szCs w:val="22"/>
        </w:rPr>
        <w:t>*Model po Cox-u (prilago</w:t>
      </w:r>
      <w:r w:rsidRPr="009964C7">
        <w:rPr>
          <w:rFonts w:eastAsia="TimesNewRoman"/>
          <w:sz w:val="22"/>
          <w:szCs w:val="22"/>
        </w:rPr>
        <w:t>đ</w:t>
      </w:r>
      <w:r w:rsidRPr="009964C7">
        <w:rPr>
          <w:sz w:val="22"/>
          <w:szCs w:val="22"/>
        </w:rPr>
        <w:t>avanje prema primarnoj lokalizaciji tumora, klini</w:t>
      </w:r>
      <w:r w:rsidRPr="009964C7">
        <w:rPr>
          <w:rFonts w:eastAsia="TimesNewRoman"/>
          <w:sz w:val="22"/>
          <w:szCs w:val="22"/>
        </w:rPr>
        <w:t>č</w:t>
      </w:r>
      <w:r w:rsidRPr="009964C7">
        <w:rPr>
          <w:sz w:val="22"/>
          <w:szCs w:val="22"/>
        </w:rPr>
        <w:t>ki stadijum T i N i PSWHO)</w:t>
      </w:r>
    </w:p>
    <w:p w14:paraId="60BEC0CE" w14:textId="77777777" w:rsidR="00F223ED" w:rsidRPr="009964C7" w:rsidRDefault="00F223ED" w:rsidP="00F223ED">
      <w:pPr>
        <w:autoSpaceDE w:val="0"/>
        <w:autoSpaceDN w:val="0"/>
        <w:adjustRightInd w:val="0"/>
        <w:rPr>
          <w:sz w:val="22"/>
          <w:szCs w:val="22"/>
        </w:rPr>
      </w:pPr>
      <w:r w:rsidRPr="009964C7">
        <w:rPr>
          <w:sz w:val="22"/>
          <w:szCs w:val="22"/>
        </w:rPr>
        <w:t>**Log-rang test</w:t>
      </w:r>
    </w:p>
    <w:p w14:paraId="10F79274" w14:textId="77777777" w:rsidR="00F223ED" w:rsidRPr="009964C7" w:rsidRDefault="00F223ED" w:rsidP="00F223ED">
      <w:pPr>
        <w:autoSpaceDE w:val="0"/>
        <w:autoSpaceDN w:val="0"/>
        <w:adjustRightInd w:val="0"/>
        <w:rPr>
          <w:sz w:val="22"/>
          <w:szCs w:val="22"/>
        </w:rPr>
      </w:pPr>
      <w:r w:rsidRPr="009964C7">
        <w:rPr>
          <w:sz w:val="22"/>
          <w:szCs w:val="22"/>
        </w:rPr>
        <w:t>***Chi-square test</w:t>
      </w:r>
    </w:p>
    <w:p w14:paraId="04BA2A09" w14:textId="77777777" w:rsidR="00F223ED" w:rsidRPr="009964C7" w:rsidRDefault="00F223ED" w:rsidP="00F223ED">
      <w:pPr>
        <w:autoSpaceDE w:val="0"/>
        <w:autoSpaceDN w:val="0"/>
        <w:adjustRightInd w:val="0"/>
        <w:rPr>
          <w:i/>
          <w:sz w:val="22"/>
          <w:szCs w:val="22"/>
        </w:rPr>
      </w:pPr>
    </w:p>
    <w:p w14:paraId="74EB5017" w14:textId="77777777" w:rsidR="00F223ED" w:rsidRPr="009964C7" w:rsidRDefault="00F223ED" w:rsidP="00F223ED">
      <w:pPr>
        <w:autoSpaceDE w:val="0"/>
        <w:autoSpaceDN w:val="0"/>
        <w:adjustRightInd w:val="0"/>
        <w:rPr>
          <w:bCs/>
          <w:i/>
          <w:sz w:val="22"/>
          <w:szCs w:val="22"/>
          <w:u w:val="single"/>
        </w:rPr>
      </w:pPr>
      <w:r w:rsidRPr="009964C7">
        <w:rPr>
          <w:bCs/>
          <w:i/>
          <w:sz w:val="22"/>
          <w:szCs w:val="22"/>
          <w:u w:val="single"/>
        </w:rPr>
        <w:t>Parametri kvaliteta života</w:t>
      </w:r>
      <w:r>
        <w:rPr>
          <w:bCs/>
          <w:i/>
          <w:sz w:val="22"/>
          <w:szCs w:val="22"/>
          <w:u w:val="single"/>
        </w:rPr>
        <w:t>:</w:t>
      </w:r>
    </w:p>
    <w:p w14:paraId="026C84BC" w14:textId="77777777" w:rsidR="00F223ED" w:rsidRPr="009964C7" w:rsidRDefault="00F223ED" w:rsidP="00F223ED">
      <w:pPr>
        <w:autoSpaceDE w:val="0"/>
        <w:autoSpaceDN w:val="0"/>
        <w:adjustRightInd w:val="0"/>
        <w:rPr>
          <w:b/>
          <w:sz w:val="22"/>
          <w:szCs w:val="22"/>
        </w:rPr>
      </w:pPr>
    </w:p>
    <w:p w14:paraId="182CD5E0" w14:textId="77777777" w:rsidR="00F223ED" w:rsidRPr="009964C7" w:rsidRDefault="00F223ED" w:rsidP="00F223ED">
      <w:pPr>
        <w:autoSpaceDE w:val="0"/>
        <w:autoSpaceDN w:val="0"/>
        <w:adjustRightInd w:val="0"/>
        <w:rPr>
          <w:sz w:val="22"/>
          <w:szCs w:val="22"/>
        </w:rPr>
      </w:pPr>
      <w:r w:rsidRPr="009964C7">
        <w:rPr>
          <w:sz w:val="22"/>
          <w:szCs w:val="22"/>
        </w:rPr>
        <w:t>Kod pacijenata lije</w:t>
      </w:r>
      <w:r w:rsidRPr="009964C7">
        <w:rPr>
          <w:rFonts w:eastAsia="TimesNewRoman"/>
          <w:sz w:val="22"/>
          <w:szCs w:val="22"/>
        </w:rPr>
        <w:t>č</w:t>
      </w:r>
      <w:r w:rsidRPr="009964C7">
        <w:rPr>
          <w:sz w:val="22"/>
          <w:szCs w:val="22"/>
        </w:rPr>
        <w:t>enih sa TPF Ocjena opšteg zdravstvenog stanja zna</w:t>
      </w:r>
      <w:r w:rsidRPr="009964C7">
        <w:rPr>
          <w:rFonts w:eastAsia="TimesNewRoman"/>
          <w:sz w:val="22"/>
          <w:szCs w:val="22"/>
        </w:rPr>
        <w:t>č</w:t>
      </w:r>
      <w:r w:rsidRPr="009964C7">
        <w:rPr>
          <w:sz w:val="22"/>
          <w:szCs w:val="22"/>
        </w:rPr>
        <w:t>ajno je manje pogoršana nego kod pacijenata koji su lije</w:t>
      </w:r>
      <w:r w:rsidRPr="009964C7">
        <w:rPr>
          <w:rFonts w:eastAsia="TimesNewRoman"/>
          <w:sz w:val="22"/>
          <w:szCs w:val="22"/>
        </w:rPr>
        <w:t>č</w:t>
      </w:r>
      <w:r w:rsidRPr="009964C7">
        <w:rPr>
          <w:sz w:val="22"/>
          <w:szCs w:val="22"/>
        </w:rPr>
        <w:t>eni sa PF (p=0,01, na osnovu koriš</w:t>
      </w:r>
      <w:r w:rsidRPr="009964C7">
        <w:rPr>
          <w:rFonts w:eastAsia="TimesNewRoman"/>
          <w:sz w:val="22"/>
          <w:szCs w:val="22"/>
        </w:rPr>
        <w:t>ć</w:t>
      </w:r>
      <w:r w:rsidRPr="009964C7">
        <w:rPr>
          <w:sz w:val="22"/>
          <w:szCs w:val="22"/>
        </w:rPr>
        <w:t>ene EORTC QLQ-C30 skale).</w:t>
      </w:r>
    </w:p>
    <w:p w14:paraId="0B15A0FC" w14:textId="77777777" w:rsidR="00F223ED" w:rsidRPr="009964C7" w:rsidRDefault="00F223ED" w:rsidP="00F223ED">
      <w:pPr>
        <w:autoSpaceDE w:val="0"/>
        <w:autoSpaceDN w:val="0"/>
        <w:adjustRightInd w:val="0"/>
        <w:rPr>
          <w:i/>
          <w:iCs/>
          <w:sz w:val="22"/>
          <w:szCs w:val="22"/>
        </w:rPr>
      </w:pPr>
    </w:p>
    <w:p w14:paraId="57CDAD46" w14:textId="77777777" w:rsidR="00F223ED" w:rsidRPr="009964C7" w:rsidRDefault="00F223ED" w:rsidP="00F223ED">
      <w:pPr>
        <w:autoSpaceDE w:val="0"/>
        <w:autoSpaceDN w:val="0"/>
        <w:adjustRightInd w:val="0"/>
        <w:rPr>
          <w:bCs/>
          <w:i/>
          <w:sz w:val="22"/>
          <w:szCs w:val="22"/>
          <w:u w:val="single"/>
        </w:rPr>
      </w:pPr>
      <w:r w:rsidRPr="009964C7">
        <w:rPr>
          <w:bCs/>
          <w:i/>
          <w:sz w:val="22"/>
          <w:szCs w:val="22"/>
          <w:u w:val="single"/>
        </w:rPr>
        <w:t>Parametri kliničke koristi</w:t>
      </w:r>
      <w:r>
        <w:rPr>
          <w:bCs/>
          <w:i/>
          <w:sz w:val="22"/>
          <w:szCs w:val="22"/>
          <w:u w:val="single"/>
        </w:rPr>
        <w:t>:</w:t>
      </w:r>
    </w:p>
    <w:p w14:paraId="087D4C72" w14:textId="77777777" w:rsidR="00F223ED" w:rsidRPr="009964C7" w:rsidRDefault="00F223ED" w:rsidP="00F223ED">
      <w:pPr>
        <w:autoSpaceDE w:val="0"/>
        <w:autoSpaceDN w:val="0"/>
        <w:adjustRightInd w:val="0"/>
        <w:rPr>
          <w:bCs/>
          <w:i/>
          <w:sz w:val="22"/>
          <w:szCs w:val="22"/>
        </w:rPr>
      </w:pPr>
    </w:p>
    <w:p w14:paraId="49EA681D" w14:textId="77777777" w:rsidR="00F223ED" w:rsidRPr="009964C7" w:rsidRDefault="00F223ED" w:rsidP="00F223ED">
      <w:pPr>
        <w:autoSpaceDE w:val="0"/>
        <w:autoSpaceDN w:val="0"/>
        <w:adjustRightInd w:val="0"/>
        <w:rPr>
          <w:sz w:val="22"/>
          <w:szCs w:val="22"/>
        </w:rPr>
      </w:pPr>
      <w:r w:rsidRPr="009964C7">
        <w:rPr>
          <w:sz w:val="22"/>
          <w:szCs w:val="22"/>
        </w:rPr>
        <w:t>Skala statusa performanse, podskale za glavu i vrat (PSS-HN), formulisane za potrebe mjerenja razumljivosti govora, sposobnosti uzimanja hrane na javnom mjestu i normalnog na</w:t>
      </w:r>
      <w:r w:rsidRPr="009964C7">
        <w:rPr>
          <w:rFonts w:eastAsia="TimesNewRoman"/>
          <w:sz w:val="22"/>
          <w:szCs w:val="22"/>
        </w:rPr>
        <w:t>č</w:t>
      </w:r>
      <w:r w:rsidRPr="009964C7">
        <w:rPr>
          <w:sz w:val="22"/>
          <w:szCs w:val="22"/>
        </w:rPr>
        <w:t>ina ishrane, pokazale su zna</w:t>
      </w:r>
      <w:r w:rsidRPr="009964C7">
        <w:rPr>
          <w:rFonts w:eastAsia="TimesNewRoman"/>
          <w:sz w:val="22"/>
          <w:szCs w:val="22"/>
        </w:rPr>
        <w:t>č</w:t>
      </w:r>
      <w:r w:rsidRPr="009964C7">
        <w:rPr>
          <w:sz w:val="22"/>
          <w:szCs w:val="22"/>
        </w:rPr>
        <w:t>ajnu prednost u korist grupe koja je lije</w:t>
      </w:r>
      <w:r w:rsidRPr="009964C7">
        <w:rPr>
          <w:rFonts w:eastAsia="TimesNewRoman"/>
          <w:sz w:val="22"/>
          <w:szCs w:val="22"/>
        </w:rPr>
        <w:t>č</w:t>
      </w:r>
      <w:r w:rsidRPr="009964C7">
        <w:rPr>
          <w:sz w:val="22"/>
          <w:szCs w:val="22"/>
        </w:rPr>
        <w:t xml:space="preserve">ena sa TPF, u odnosu na onu koja je liječena sa PF. </w:t>
      </w:r>
    </w:p>
    <w:p w14:paraId="40A8EAF0" w14:textId="77777777" w:rsidR="00F223ED" w:rsidRPr="009964C7" w:rsidRDefault="00F223ED" w:rsidP="00F223ED">
      <w:pPr>
        <w:autoSpaceDE w:val="0"/>
        <w:autoSpaceDN w:val="0"/>
        <w:adjustRightInd w:val="0"/>
        <w:rPr>
          <w:sz w:val="22"/>
          <w:szCs w:val="22"/>
        </w:rPr>
      </w:pPr>
    </w:p>
    <w:p w14:paraId="2B49E131" w14:textId="77777777" w:rsidR="00F223ED" w:rsidRPr="009964C7" w:rsidRDefault="00F223ED" w:rsidP="00F223ED">
      <w:pPr>
        <w:autoSpaceDE w:val="0"/>
        <w:autoSpaceDN w:val="0"/>
        <w:adjustRightInd w:val="0"/>
        <w:rPr>
          <w:sz w:val="22"/>
          <w:szCs w:val="22"/>
        </w:rPr>
      </w:pPr>
      <w:r w:rsidRPr="009964C7">
        <w:rPr>
          <w:sz w:val="22"/>
          <w:szCs w:val="22"/>
        </w:rPr>
        <w:t>Srednje vrijeme do pojave prvog pogoršanja statusa performanse po WHO bilo je zna</w:t>
      </w:r>
      <w:r w:rsidRPr="009964C7">
        <w:rPr>
          <w:rFonts w:eastAsia="TimesNewRoman"/>
          <w:sz w:val="22"/>
          <w:szCs w:val="22"/>
        </w:rPr>
        <w:t>č</w:t>
      </w:r>
      <w:r w:rsidRPr="009964C7">
        <w:rPr>
          <w:sz w:val="22"/>
          <w:szCs w:val="22"/>
        </w:rPr>
        <w:t>ajno duže u grupi na TPF, nego u grupi na PF. Ocjena intenziteta bola se popravila u toku terapije u obije grupe, što pokazuje zadovoljavaju</w:t>
      </w:r>
      <w:r w:rsidRPr="009964C7">
        <w:rPr>
          <w:rFonts w:eastAsia="TimesNewRoman"/>
          <w:sz w:val="22"/>
          <w:szCs w:val="22"/>
        </w:rPr>
        <w:t>ć</w:t>
      </w:r>
      <w:r w:rsidRPr="009964C7">
        <w:rPr>
          <w:sz w:val="22"/>
          <w:szCs w:val="22"/>
        </w:rPr>
        <w:t>u kontrolu bola.</w:t>
      </w:r>
    </w:p>
    <w:p w14:paraId="4C50CCC6" w14:textId="77777777" w:rsidR="00F223ED" w:rsidRPr="009964C7" w:rsidRDefault="00F223ED" w:rsidP="00F223ED">
      <w:pPr>
        <w:autoSpaceDE w:val="0"/>
        <w:autoSpaceDN w:val="0"/>
        <w:adjustRightInd w:val="0"/>
        <w:rPr>
          <w:sz w:val="22"/>
          <w:szCs w:val="22"/>
        </w:rPr>
      </w:pPr>
    </w:p>
    <w:p w14:paraId="52CC95B4" w14:textId="77777777" w:rsidR="00F223ED" w:rsidRPr="009964C7" w:rsidRDefault="00F223ED" w:rsidP="00F223ED">
      <w:pPr>
        <w:rPr>
          <w:i/>
          <w:sz w:val="22"/>
          <w:szCs w:val="22"/>
        </w:rPr>
      </w:pPr>
      <w:r w:rsidRPr="009964C7">
        <w:rPr>
          <w:i/>
          <w:sz w:val="22"/>
          <w:szCs w:val="22"/>
        </w:rPr>
        <w:t>Indukciona hemioterapija nakon koje slijedi hemioradioterapija (TAX 324)</w:t>
      </w:r>
    </w:p>
    <w:p w14:paraId="0D980910" w14:textId="77777777" w:rsidR="00F223ED" w:rsidRPr="009964C7" w:rsidRDefault="00F223ED" w:rsidP="00F223ED">
      <w:pPr>
        <w:autoSpaceDE w:val="0"/>
        <w:autoSpaceDN w:val="0"/>
        <w:adjustRightInd w:val="0"/>
        <w:rPr>
          <w:sz w:val="22"/>
          <w:szCs w:val="22"/>
        </w:rPr>
      </w:pPr>
    </w:p>
    <w:p w14:paraId="1CA06928" w14:textId="77777777" w:rsidR="00F223ED" w:rsidRDefault="00F223ED" w:rsidP="00F223ED">
      <w:pPr>
        <w:autoSpaceDE w:val="0"/>
        <w:autoSpaceDN w:val="0"/>
        <w:adjustRightInd w:val="0"/>
        <w:rPr>
          <w:sz w:val="22"/>
          <w:szCs w:val="22"/>
        </w:rPr>
      </w:pPr>
      <w:r w:rsidRPr="009964C7">
        <w:rPr>
          <w:sz w:val="22"/>
          <w:szCs w:val="22"/>
        </w:rPr>
        <w:t xml:space="preserve">Bezbjednost i efikasnost docetaksela u indukcionoj terapiji pacijenata sa lokalno uznapredovalim karcinomom skvamoznih </w:t>
      </w:r>
      <w:r w:rsidRPr="009964C7">
        <w:rPr>
          <w:rFonts w:eastAsia="TimesNewRoman"/>
          <w:sz w:val="22"/>
          <w:szCs w:val="22"/>
        </w:rPr>
        <w:t>ć</w:t>
      </w:r>
      <w:r w:rsidRPr="009964C7">
        <w:rPr>
          <w:sz w:val="22"/>
          <w:szCs w:val="22"/>
        </w:rPr>
        <w:t>elija glave i vrata (SCCHN) procjenjivana je u randomizovanoj, multicentri</w:t>
      </w:r>
      <w:r w:rsidRPr="009964C7">
        <w:rPr>
          <w:rFonts w:eastAsia="TimesNewRoman"/>
          <w:sz w:val="22"/>
          <w:szCs w:val="22"/>
        </w:rPr>
        <w:t>č</w:t>
      </w:r>
      <w:r w:rsidRPr="009964C7">
        <w:rPr>
          <w:sz w:val="22"/>
          <w:szCs w:val="22"/>
        </w:rPr>
        <w:t>noj, otvorenoj studiji faze III (TAX 324). U ovoj studiji, 501 pacijent sa lokalno uznapredovalim SCCHN, sa statusom performanse po WHO 0 ili 1, randomizovan je u jednu od dvije terapijske grupe. Populacija uklju</w:t>
      </w:r>
      <w:r w:rsidRPr="009964C7">
        <w:rPr>
          <w:rFonts w:eastAsia="TimesNewRoman"/>
          <w:sz w:val="22"/>
          <w:szCs w:val="22"/>
        </w:rPr>
        <w:t>č</w:t>
      </w:r>
      <w:r w:rsidRPr="009964C7">
        <w:rPr>
          <w:sz w:val="22"/>
          <w:szCs w:val="22"/>
        </w:rPr>
        <w:t>ena u studiju obuhvatala je pacijente sa tehni</w:t>
      </w:r>
      <w:r w:rsidRPr="009964C7">
        <w:rPr>
          <w:rFonts w:eastAsia="TimesNewRoman"/>
          <w:sz w:val="22"/>
          <w:szCs w:val="22"/>
        </w:rPr>
        <w:t>č</w:t>
      </w:r>
      <w:r w:rsidRPr="009964C7">
        <w:rPr>
          <w:sz w:val="22"/>
          <w:szCs w:val="22"/>
        </w:rPr>
        <w:t>ki neresektabilnim karcinomom, pacijente sa malom vjerovatno</w:t>
      </w:r>
      <w:r w:rsidRPr="009964C7">
        <w:rPr>
          <w:rFonts w:eastAsia="TimesNewRoman"/>
          <w:sz w:val="22"/>
          <w:szCs w:val="22"/>
        </w:rPr>
        <w:t>ć</w:t>
      </w:r>
      <w:r w:rsidRPr="009964C7">
        <w:rPr>
          <w:sz w:val="22"/>
          <w:szCs w:val="22"/>
        </w:rPr>
        <w:t>om za uspješan hirurški zahvat i pacijente kod kojih je cilj bio o</w:t>
      </w:r>
      <w:r w:rsidRPr="009964C7">
        <w:rPr>
          <w:rFonts w:eastAsia="TimesNewRoman"/>
          <w:sz w:val="22"/>
          <w:szCs w:val="22"/>
        </w:rPr>
        <w:t>č</w:t>
      </w:r>
      <w:r w:rsidRPr="009964C7">
        <w:rPr>
          <w:sz w:val="22"/>
          <w:szCs w:val="22"/>
        </w:rPr>
        <w:t>uvanje organa. Procjena bezbjednosti i efikasnosti imala je kao jedini krajnji ishod preživljavanje, dok uspješnost u o</w:t>
      </w:r>
      <w:r w:rsidRPr="009964C7">
        <w:rPr>
          <w:rFonts w:eastAsia="TimesNewRoman"/>
          <w:sz w:val="22"/>
          <w:szCs w:val="22"/>
        </w:rPr>
        <w:t>č</w:t>
      </w:r>
      <w:r w:rsidRPr="009964C7">
        <w:rPr>
          <w:sz w:val="22"/>
          <w:szCs w:val="22"/>
        </w:rPr>
        <w:t>uvanju organa nije formalno procjenjivana. Pacijenti u grupi na docetakselu primali su prvog dana docetaksel (T) 75 mg/m</w:t>
      </w:r>
      <w:r w:rsidRPr="009964C7">
        <w:rPr>
          <w:sz w:val="22"/>
          <w:szCs w:val="22"/>
          <w:vertAlign w:val="superscript"/>
        </w:rPr>
        <w:t>2</w:t>
      </w:r>
      <w:r w:rsidRPr="009964C7">
        <w:rPr>
          <w:sz w:val="22"/>
          <w:szCs w:val="22"/>
        </w:rPr>
        <w:t xml:space="preserve"> putem intravenske infuzije, pra</w:t>
      </w:r>
      <w:r w:rsidRPr="009964C7">
        <w:rPr>
          <w:rFonts w:eastAsia="TimesNewRoman"/>
          <w:sz w:val="22"/>
          <w:szCs w:val="22"/>
        </w:rPr>
        <w:t>ć</w:t>
      </w:r>
      <w:r w:rsidRPr="009964C7">
        <w:rPr>
          <w:sz w:val="22"/>
          <w:szCs w:val="22"/>
        </w:rPr>
        <w:t>eno cisplatinom (P) 100 mg/m</w:t>
      </w:r>
      <w:r w:rsidRPr="009964C7">
        <w:rPr>
          <w:sz w:val="22"/>
          <w:szCs w:val="22"/>
          <w:vertAlign w:val="superscript"/>
        </w:rPr>
        <w:t>2</w:t>
      </w:r>
      <w:r w:rsidRPr="009964C7">
        <w:rPr>
          <w:sz w:val="22"/>
          <w:szCs w:val="22"/>
        </w:rPr>
        <w:t xml:space="preserve"> putem i.v. infuzije u trajanju od 30 minuta do 3 sata, a nakon toga kontinuiranu i.v. infuziju 5- fluorouracila (F) u dozi od 1000 mg/m</w:t>
      </w:r>
      <w:r w:rsidRPr="009964C7">
        <w:rPr>
          <w:sz w:val="22"/>
          <w:szCs w:val="22"/>
          <w:vertAlign w:val="superscript"/>
        </w:rPr>
        <w:t>2</w:t>
      </w:r>
      <w:r w:rsidRPr="009964C7">
        <w:rPr>
          <w:sz w:val="22"/>
          <w:szCs w:val="22"/>
        </w:rPr>
        <w:t xml:space="preserve"> od dana 1 do dana 4. Ovakav režim je primjenjivan svake tri nedjelje tokom 3 ciklusa. Svi pacijenti kod kojih nije bilo progresije bolesti primali su nakon toga hemioradioterapiju (CRT) prema protokolu (TPF/CRT). Pacijenti u poredbenoj grupi primali su tokom prvog dana cisplatin (P) 100 mg/m</w:t>
      </w:r>
      <w:r w:rsidRPr="009964C7">
        <w:rPr>
          <w:sz w:val="22"/>
          <w:szCs w:val="22"/>
          <w:vertAlign w:val="superscript"/>
        </w:rPr>
        <w:t>2</w:t>
      </w:r>
      <w:r w:rsidRPr="009964C7">
        <w:rPr>
          <w:sz w:val="22"/>
          <w:szCs w:val="22"/>
        </w:rPr>
        <w:t xml:space="preserve"> putem i.v. infuzije u trajanju od 30 minuta do 3 sata, a nakon toga kontinuiranu i.v. infuziju 5- fluorouracila (F) u dozi od 1000 mg/m</w:t>
      </w:r>
      <w:r w:rsidRPr="009964C7">
        <w:rPr>
          <w:sz w:val="22"/>
          <w:szCs w:val="22"/>
          <w:vertAlign w:val="superscript"/>
        </w:rPr>
        <w:t>2</w:t>
      </w:r>
      <w:r w:rsidRPr="009964C7">
        <w:rPr>
          <w:sz w:val="22"/>
          <w:szCs w:val="22"/>
        </w:rPr>
        <w:t xml:space="preserve"> od dana 1 do dana 5. Ovaj režim je primjenjivan svake 3 nedjelje tokom 3 ciklusa. Svi pacijenti kod kojih nije bilo progresije bolesti primali su nakon toga hemioradioterapiju (CRT) prema protokolu (PF/CRT).</w:t>
      </w:r>
    </w:p>
    <w:p w14:paraId="50EEDBCD" w14:textId="77777777" w:rsidR="00F223ED" w:rsidRPr="009964C7" w:rsidRDefault="00F223ED" w:rsidP="00F223ED">
      <w:pPr>
        <w:autoSpaceDE w:val="0"/>
        <w:autoSpaceDN w:val="0"/>
        <w:adjustRightInd w:val="0"/>
        <w:rPr>
          <w:sz w:val="22"/>
          <w:szCs w:val="22"/>
        </w:rPr>
      </w:pPr>
    </w:p>
    <w:p w14:paraId="7673311E" w14:textId="77777777" w:rsidR="00F223ED" w:rsidRPr="009964C7" w:rsidRDefault="00F223ED" w:rsidP="00F223ED">
      <w:pPr>
        <w:autoSpaceDE w:val="0"/>
        <w:autoSpaceDN w:val="0"/>
        <w:adjustRightInd w:val="0"/>
        <w:rPr>
          <w:sz w:val="22"/>
          <w:szCs w:val="22"/>
        </w:rPr>
      </w:pPr>
      <w:r w:rsidRPr="009964C7">
        <w:rPr>
          <w:sz w:val="22"/>
          <w:szCs w:val="22"/>
        </w:rPr>
        <w:t>Pacijenti u obije terapijske grupe su nakon indukcione hemioterapije primali hemioradioterapiju tokom 7 nedjelja i to sa intervalom od najmanje 3, a najviše 8 nedjelja poslije po</w:t>
      </w:r>
      <w:r w:rsidRPr="009964C7">
        <w:rPr>
          <w:rFonts w:eastAsia="TimesNewRoman"/>
          <w:sz w:val="22"/>
          <w:szCs w:val="22"/>
        </w:rPr>
        <w:t>č</w:t>
      </w:r>
      <w:r w:rsidRPr="009964C7">
        <w:rPr>
          <w:sz w:val="22"/>
          <w:szCs w:val="22"/>
        </w:rPr>
        <w:t>etka posljednjeg ciklusa (22 do 56 dana od posljednjeg ciklusa). Tokom radioterapije pacijenti su dobijali karboplatin (AUC 1,5) jednom nedjeljno, putem jednosatne i.v. infuzije, do najviše 7 doza. Zra</w:t>
      </w:r>
      <w:r w:rsidRPr="009964C7">
        <w:rPr>
          <w:rFonts w:eastAsia="TimesNewRoman"/>
          <w:sz w:val="22"/>
          <w:szCs w:val="22"/>
        </w:rPr>
        <w:t>č</w:t>
      </w:r>
      <w:r w:rsidRPr="009964C7">
        <w:rPr>
          <w:sz w:val="22"/>
          <w:szCs w:val="22"/>
        </w:rPr>
        <w:t xml:space="preserve">enje je aplikovano putem megavoltažne jedinice frakcionisanjem jednom dnevno (2 Gy dnevno, 5 dana u nedjelji, tokom 7 nedjelja, do ukupne doze od 70-72 Gy). Hirurška intervencija na primarnom mjestu nastanka bolesti i/ili na vratu dolazila je u razmatranje u bilo koje vrijeme nakon završene CRT. Svi pacijenti u grupi </w:t>
      </w:r>
      <w:r w:rsidRPr="009964C7">
        <w:rPr>
          <w:sz w:val="22"/>
          <w:szCs w:val="22"/>
        </w:rPr>
        <w:lastRenderedPageBreak/>
        <w:t>na docetakselu profilakti</w:t>
      </w:r>
      <w:r w:rsidRPr="009964C7">
        <w:rPr>
          <w:rFonts w:eastAsia="TimesNewRoman"/>
          <w:sz w:val="22"/>
          <w:szCs w:val="22"/>
        </w:rPr>
        <w:t>č</w:t>
      </w:r>
      <w:r w:rsidRPr="009964C7">
        <w:rPr>
          <w:sz w:val="22"/>
          <w:szCs w:val="22"/>
        </w:rPr>
        <w:t>ki su dobijali antibiotik. Primarni krajnji ishod efikasnosti u ovoj studiji, ukupno preživljavanje (UP), bilo je zna</w:t>
      </w:r>
      <w:r w:rsidRPr="009964C7">
        <w:rPr>
          <w:rFonts w:eastAsia="TimesNewRoman"/>
          <w:sz w:val="22"/>
          <w:szCs w:val="22"/>
        </w:rPr>
        <w:t>č</w:t>
      </w:r>
      <w:r w:rsidRPr="009964C7">
        <w:rPr>
          <w:sz w:val="22"/>
          <w:szCs w:val="22"/>
        </w:rPr>
        <w:t>ajno duže (log-rang test, p=0,0058) u docetaksel grupi nego u PF grupi (medijana ukupnog preživljavanja 70,6 prema 30,1 mjeseci), sa smanjenjem rizika od mortaliteta od 30% u odnosu na PF grupu (indeks rizika (IR)=0,70, 95% interval pouzdanosti (CI)=0,54-0,90), sa ukupnom medijanom praćenja od 41,9 mjeseci. Sekundarni krajnji ishod (preživljavanje bez progresije bolesti - PFS), pokazuje 29% smanjenje rizika za progresiju bolesti ili smrtni ishod i 22-mjese</w:t>
      </w:r>
      <w:r w:rsidRPr="009964C7">
        <w:rPr>
          <w:rFonts w:eastAsia="TimesNewRoman"/>
          <w:sz w:val="22"/>
          <w:szCs w:val="22"/>
        </w:rPr>
        <w:t>č</w:t>
      </w:r>
      <w:r w:rsidRPr="009964C7">
        <w:rPr>
          <w:sz w:val="22"/>
          <w:szCs w:val="22"/>
        </w:rPr>
        <w:t>no pove</w:t>
      </w:r>
      <w:r w:rsidRPr="009964C7">
        <w:rPr>
          <w:rFonts w:eastAsia="TimesNewRoman"/>
          <w:sz w:val="22"/>
          <w:szCs w:val="22"/>
        </w:rPr>
        <w:t>ć</w:t>
      </w:r>
      <w:r w:rsidRPr="009964C7">
        <w:rPr>
          <w:sz w:val="22"/>
          <w:szCs w:val="22"/>
        </w:rPr>
        <w:t>anje u medijani PFS (35,5 mjeseci za grupu na TPF i 13,1 mjesec za grupu na PF). Ovo je tako</w:t>
      </w:r>
      <w:r w:rsidRPr="009964C7">
        <w:rPr>
          <w:rFonts w:eastAsia="TimesNewRoman"/>
          <w:sz w:val="22"/>
          <w:szCs w:val="22"/>
        </w:rPr>
        <w:t>đ</w:t>
      </w:r>
      <w:r w:rsidRPr="009964C7">
        <w:rPr>
          <w:sz w:val="22"/>
          <w:szCs w:val="22"/>
        </w:rPr>
        <w:t>e statisti</w:t>
      </w:r>
      <w:r w:rsidRPr="009964C7">
        <w:rPr>
          <w:rFonts w:eastAsia="TimesNewRoman"/>
          <w:sz w:val="22"/>
          <w:szCs w:val="22"/>
        </w:rPr>
        <w:t>č</w:t>
      </w:r>
      <w:r w:rsidRPr="009964C7">
        <w:rPr>
          <w:sz w:val="22"/>
          <w:szCs w:val="22"/>
        </w:rPr>
        <w:t>ki zna</w:t>
      </w:r>
      <w:r w:rsidRPr="009964C7">
        <w:rPr>
          <w:rFonts w:eastAsia="TimesNewRoman"/>
          <w:sz w:val="22"/>
          <w:szCs w:val="22"/>
        </w:rPr>
        <w:t>č</w:t>
      </w:r>
      <w:r w:rsidRPr="009964C7">
        <w:rPr>
          <w:sz w:val="22"/>
          <w:szCs w:val="22"/>
        </w:rPr>
        <w:t>ajno sa indeksom rizika od 0,71; 95% CI 0,56-0,90; log-rang test p=0,004. Rezultati ispitivanja efikasnosti dati su u tabeli:</w:t>
      </w:r>
    </w:p>
    <w:p w14:paraId="3C305072" w14:textId="77777777" w:rsidR="00F223ED" w:rsidRPr="009964C7" w:rsidRDefault="00F223ED" w:rsidP="00F223ED">
      <w:pPr>
        <w:autoSpaceDE w:val="0"/>
        <w:autoSpaceDN w:val="0"/>
        <w:adjustRightInd w:val="0"/>
        <w:rPr>
          <w:sz w:val="22"/>
          <w:szCs w:val="22"/>
          <w:u w:val="single"/>
        </w:rPr>
      </w:pPr>
    </w:p>
    <w:p w14:paraId="248B0BB1" w14:textId="3F7EE4AF" w:rsidR="00F223ED" w:rsidRPr="009964C7" w:rsidRDefault="00F223ED" w:rsidP="00F223ED">
      <w:pPr>
        <w:autoSpaceDE w:val="0"/>
        <w:autoSpaceDN w:val="0"/>
        <w:adjustRightInd w:val="0"/>
        <w:rPr>
          <w:sz w:val="22"/>
          <w:szCs w:val="22"/>
          <w:u w:val="single"/>
        </w:rPr>
      </w:pPr>
      <w:r w:rsidRPr="009964C7">
        <w:rPr>
          <w:sz w:val="22"/>
          <w:szCs w:val="22"/>
          <w:u w:val="single"/>
        </w:rPr>
        <w:t xml:space="preserve">Efikasnost ljeka </w:t>
      </w:r>
      <w:r w:rsidR="009D254D">
        <w:rPr>
          <w:sz w:val="22"/>
          <w:szCs w:val="22"/>
          <w:u w:val="single"/>
        </w:rPr>
        <w:t>Docetaxel Hospira</w:t>
      </w:r>
      <w:r w:rsidRPr="009964C7">
        <w:rPr>
          <w:sz w:val="22"/>
          <w:szCs w:val="22"/>
          <w:u w:val="single"/>
        </w:rPr>
        <w:t xml:space="preserve"> u indukcionoj terapiji pacijenata sa lokalno uznapredovalim SCCHN (Intent-to-treat analiza)</w:t>
      </w:r>
    </w:p>
    <w:p w14:paraId="12CD8BFE" w14:textId="2DBEBAF3" w:rsidR="00F223ED" w:rsidRDefault="00F223ED" w:rsidP="00F223ED">
      <w:pPr>
        <w:autoSpaceDE w:val="0"/>
        <w:autoSpaceDN w:val="0"/>
        <w:adjustRightInd w:val="0"/>
        <w:rPr>
          <w:sz w:val="22"/>
          <w:szCs w:val="22"/>
        </w:rPr>
      </w:pPr>
    </w:p>
    <w:p w14:paraId="4D7CD7BF" w14:textId="77777777" w:rsidR="00F223ED" w:rsidRPr="009964C7" w:rsidRDefault="00F223ED" w:rsidP="00F223ED">
      <w:pPr>
        <w:autoSpaceDE w:val="0"/>
        <w:autoSpaceDN w:val="0"/>
        <w:adjustRightInd w:val="0"/>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3233"/>
        <w:gridCol w:w="3222"/>
      </w:tblGrid>
      <w:tr w:rsidR="00F223ED" w:rsidRPr="00B02007" w14:paraId="1E6DA069" w14:textId="77777777" w:rsidTr="002C66FC">
        <w:trPr>
          <w:trHeight w:val="764"/>
        </w:trPr>
        <w:tc>
          <w:tcPr>
            <w:tcW w:w="3222" w:type="dxa"/>
          </w:tcPr>
          <w:p w14:paraId="496D975F" w14:textId="77777777" w:rsidR="00F223ED" w:rsidRPr="009964C7" w:rsidRDefault="00F223ED" w:rsidP="002C66FC">
            <w:pPr>
              <w:autoSpaceDE w:val="0"/>
              <w:autoSpaceDN w:val="0"/>
              <w:adjustRightInd w:val="0"/>
              <w:rPr>
                <w:b/>
                <w:bCs/>
                <w:sz w:val="22"/>
                <w:szCs w:val="22"/>
              </w:rPr>
            </w:pPr>
            <w:r w:rsidRPr="009964C7">
              <w:rPr>
                <w:b/>
                <w:bCs/>
                <w:sz w:val="22"/>
                <w:szCs w:val="22"/>
              </w:rPr>
              <w:t>Krajnji ishod</w:t>
            </w:r>
          </w:p>
          <w:p w14:paraId="0C550150" w14:textId="77777777" w:rsidR="00F223ED" w:rsidRPr="009964C7" w:rsidRDefault="00F223ED" w:rsidP="002C66FC">
            <w:pPr>
              <w:autoSpaceDE w:val="0"/>
              <w:autoSpaceDN w:val="0"/>
              <w:adjustRightInd w:val="0"/>
              <w:rPr>
                <w:sz w:val="22"/>
                <w:szCs w:val="22"/>
              </w:rPr>
            </w:pPr>
          </w:p>
        </w:tc>
        <w:tc>
          <w:tcPr>
            <w:tcW w:w="3222" w:type="dxa"/>
          </w:tcPr>
          <w:p w14:paraId="34201FD2" w14:textId="77777777" w:rsidR="00F223ED" w:rsidRPr="009964C7" w:rsidRDefault="00F223ED" w:rsidP="002C66FC">
            <w:pPr>
              <w:autoSpaceDE w:val="0"/>
              <w:autoSpaceDN w:val="0"/>
              <w:adjustRightInd w:val="0"/>
              <w:jc w:val="center"/>
              <w:rPr>
                <w:b/>
                <w:bCs/>
                <w:sz w:val="22"/>
                <w:szCs w:val="22"/>
              </w:rPr>
            </w:pPr>
            <w:r w:rsidRPr="009964C7">
              <w:rPr>
                <w:b/>
                <w:bCs/>
                <w:sz w:val="22"/>
                <w:szCs w:val="22"/>
              </w:rPr>
              <w:t>Docetaksel+Cis+5-FU</w:t>
            </w:r>
          </w:p>
          <w:p w14:paraId="4F719940" w14:textId="77777777" w:rsidR="00F223ED" w:rsidRPr="009964C7" w:rsidRDefault="00F223ED" w:rsidP="002C66FC">
            <w:pPr>
              <w:autoSpaceDE w:val="0"/>
              <w:autoSpaceDN w:val="0"/>
              <w:adjustRightInd w:val="0"/>
              <w:jc w:val="center"/>
              <w:rPr>
                <w:b/>
                <w:bCs/>
                <w:sz w:val="22"/>
                <w:szCs w:val="22"/>
              </w:rPr>
            </w:pPr>
            <w:r w:rsidRPr="009964C7">
              <w:rPr>
                <w:b/>
                <w:bCs/>
                <w:sz w:val="22"/>
                <w:szCs w:val="22"/>
              </w:rPr>
              <w:t>n=255</w:t>
            </w:r>
          </w:p>
          <w:p w14:paraId="5410FD8C" w14:textId="77777777" w:rsidR="00F223ED" w:rsidRPr="009964C7" w:rsidRDefault="00F223ED" w:rsidP="002C66FC">
            <w:pPr>
              <w:pStyle w:val="Header"/>
              <w:tabs>
                <w:tab w:val="left" w:pos="284"/>
              </w:tabs>
              <w:jc w:val="center"/>
              <w:rPr>
                <w:sz w:val="22"/>
                <w:szCs w:val="22"/>
              </w:rPr>
            </w:pPr>
          </w:p>
        </w:tc>
        <w:tc>
          <w:tcPr>
            <w:tcW w:w="3222" w:type="dxa"/>
          </w:tcPr>
          <w:p w14:paraId="2ADBC0C6" w14:textId="77777777" w:rsidR="00F223ED" w:rsidRPr="009964C7" w:rsidRDefault="00F223ED" w:rsidP="002C66FC">
            <w:pPr>
              <w:autoSpaceDE w:val="0"/>
              <w:autoSpaceDN w:val="0"/>
              <w:adjustRightInd w:val="0"/>
              <w:jc w:val="center"/>
              <w:rPr>
                <w:b/>
                <w:bCs/>
                <w:sz w:val="22"/>
                <w:szCs w:val="22"/>
              </w:rPr>
            </w:pPr>
            <w:r w:rsidRPr="009964C7">
              <w:rPr>
                <w:b/>
                <w:bCs/>
                <w:sz w:val="22"/>
                <w:szCs w:val="22"/>
              </w:rPr>
              <w:t>Cis+5-FU</w:t>
            </w:r>
          </w:p>
          <w:p w14:paraId="4B7F2865" w14:textId="77777777" w:rsidR="00F223ED" w:rsidRPr="009964C7" w:rsidRDefault="00F223ED" w:rsidP="002C66FC">
            <w:pPr>
              <w:autoSpaceDE w:val="0"/>
              <w:autoSpaceDN w:val="0"/>
              <w:adjustRightInd w:val="0"/>
              <w:jc w:val="center"/>
              <w:rPr>
                <w:b/>
                <w:bCs/>
                <w:sz w:val="22"/>
                <w:szCs w:val="22"/>
              </w:rPr>
            </w:pPr>
            <w:r w:rsidRPr="009964C7">
              <w:rPr>
                <w:b/>
                <w:bCs/>
                <w:sz w:val="22"/>
                <w:szCs w:val="22"/>
              </w:rPr>
              <w:t>n=246</w:t>
            </w:r>
          </w:p>
          <w:p w14:paraId="683D9AEF" w14:textId="77777777" w:rsidR="00F223ED" w:rsidRPr="009964C7" w:rsidRDefault="00F223ED" w:rsidP="002C66FC">
            <w:pPr>
              <w:pStyle w:val="Header"/>
              <w:tabs>
                <w:tab w:val="left" w:pos="284"/>
              </w:tabs>
              <w:jc w:val="center"/>
              <w:rPr>
                <w:sz w:val="22"/>
                <w:szCs w:val="22"/>
              </w:rPr>
            </w:pPr>
          </w:p>
        </w:tc>
      </w:tr>
      <w:tr w:rsidR="00F223ED" w:rsidRPr="00B02007" w14:paraId="428B0503" w14:textId="77777777" w:rsidTr="002C66FC">
        <w:trPr>
          <w:trHeight w:val="648"/>
        </w:trPr>
        <w:tc>
          <w:tcPr>
            <w:tcW w:w="3222" w:type="dxa"/>
            <w:vMerge w:val="restart"/>
          </w:tcPr>
          <w:p w14:paraId="6EAFB0F6" w14:textId="77777777" w:rsidR="00F223ED" w:rsidRPr="009964C7" w:rsidRDefault="00F223ED" w:rsidP="002C66FC">
            <w:pPr>
              <w:autoSpaceDE w:val="0"/>
              <w:autoSpaceDN w:val="0"/>
              <w:adjustRightInd w:val="0"/>
              <w:rPr>
                <w:sz w:val="22"/>
                <w:szCs w:val="22"/>
              </w:rPr>
            </w:pPr>
            <w:r w:rsidRPr="009964C7">
              <w:rPr>
                <w:sz w:val="22"/>
                <w:szCs w:val="22"/>
              </w:rPr>
              <w:t xml:space="preserve">Srednje preživljavanje bez progresije bolesti (mjeseci) </w:t>
            </w:r>
          </w:p>
          <w:p w14:paraId="6524BEE2"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p w14:paraId="4DBBC522" w14:textId="77777777" w:rsidR="00F223ED" w:rsidRPr="009964C7" w:rsidRDefault="00F223ED" w:rsidP="002C66FC">
            <w:pPr>
              <w:autoSpaceDE w:val="0"/>
              <w:autoSpaceDN w:val="0"/>
              <w:adjustRightInd w:val="0"/>
              <w:rPr>
                <w:sz w:val="22"/>
                <w:szCs w:val="22"/>
              </w:rPr>
            </w:pPr>
          </w:p>
          <w:p w14:paraId="37868BCF" w14:textId="77777777" w:rsidR="00F223ED" w:rsidRPr="009964C7" w:rsidRDefault="00F223ED" w:rsidP="002C66FC">
            <w:pPr>
              <w:autoSpaceDE w:val="0"/>
              <w:autoSpaceDN w:val="0"/>
              <w:adjustRightInd w:val="0"/>
              <w:rPr>
                <w:sz w:val="22"/>
                <w:szCs w:val="22"/>
              </w:rPr>
            </w:pPr>
            <w:r w:rsidRPr="009964C7">
              <w:rPr>
                <w:sz w:val="22"/>
                <w:szCs w:val="22"/>
              </w:rPr>
              <w:t>Indeks rizika</w:t>
            </w:r>
          </w:p>
          <w:p w14:paraId="3FAE519A" w14:textId="77777777" w:rsidR="00F223ED" w:rsidRPr="009964C7" w:rsidRDefault="00F223ED" w:rsidP="002C66FC">
            <w:pPr>
              <w:autoSpaceDE w:val="0"/>
              <w:autoSpaceDN w:val="0"/>
              <w:adjustRightInd w:val="0"/>
              <w:rPr>
                <w:sz w:val="22"/>
                <w:szCs w:val="22"/>
              </w:rPr>
            </w:pPr>
            <w:r w:rsidRPr="009964C7">
              <w:rPr>
                <w:sz w:val="22"/>
                <w:szCs w:val="22"/>
              </w:rPr>
              <w:t xml:space="preserve">(95% CI) </w:t>
            </w:r>
          </w:p>
          <w:p w14:paraId="1D7D4CC6" w14:textId="77777777" w:rsidR="00F223ED" w:rsidRPr="009964C7" w:rsidRDefault="00F223ED" w:rsidP="002C66FC">
            <w:pPr>
              <w:autoSpaceDE w:val="0"/>
              <w:autoSpaceDN w:val="0"/>
              <w:adjustRightInd w:val="0"/>
              <w:rPr>
                <w:sz w:val="22"/>
                <w:szCs w:val="22"/>
              </w:rPr>
            </w:pPr>
            <w:r w:rsidRPr="009964C7">
              <w:rPr>
                <w:sz w:val="22"/>
                <w:szCs w:val="22"/>
              </w:rPr>
              <w:t>*p-vrijednost</w:t>
            </w:r>
          </w:p>
        </w:tc>
        <w:tc>
          <w:tcPr>
            <w:tcW w:w="3222" w:type="dxa"/>
          </w:tcPr>
          <w:p w14:paraId="6AF71ADF" w14:textId="77777777" w:rsidR="00F223ED" w:rsidRPr="009964C7" w:rsidRDefault="00F223ED" w:rsidP="002C66FC">
            <w:pPr>
              <w:pStyle w:val="Header"/>
              <w:tabs>
                <w:tab w:val="left" w:pos="284"/>
              </w:tabs>
              <w:jc w:val="center"/>
              <w:rPr>
                <w:sz w:val="22"/>
                <w:szCs w:val="22"/>
              </w:rPr>
            </w:pPr>
            <w:r w:rsidRPr="009964C7">
              <w:rPr>
                <w:sz w:val="22"/>
                <w:szCs w:val="22"/>
              </w:rPr>
              <w:t>70,6</w:t>
            </w:r>
          </w:p>
          <w:p w14:paraId="24CEE023" w14:textId="77777777" w:rsidR="00F223ED" w:rsidRPr="009964C7" w:rsidRDefault="00F223ED" w:rsidP="002C66FC">
            <w:pPr>
              <w:pStyle w:val="Header"/>
              <w:tabs>
                <w:tab w:val="left" w:pos="284"/>
              </w:tabs>
              <w:jc w:val="center"/>
              <w:rPr>
                <w:sz w:val="22"/>
                <w:szCs w:val="22"/>
              </w:rPr>
            </w:pPr>
          </w:p>
          <w:p w14:paraId="2F7973C3" w14:textId="77777777" w:rsidR="00F223ED" w:rsidRPr="009964C7" w:rsidRDefault="00F223ED" w:rsidP="002C66FC">
            <w:pPr>
              <w:pStyle w:val="Header"/>
              <w:tabs>
                <w:tab w:val="left" w:pos="284"/>
              </w:tabs>
              <w:jc w:val="center"/>
              <w:rPr>
                <w:sz w:val="22"/>
                <w:szCs w:val="22"/>
              </w:rPr>
            </w:pPr>
            <w:r w:rsidRPr="009964C7">
              <w:rPr>
                <w:sz w:val="22"/>
                <w:szCs w:val="22"/>
              </w:rPr>
              <w:t>(49,0-NA)</w:t>
            </w:r>
          </w:p>
        </w:tc>
        <w:tc>
          <w:tcPr>
            <w:tcW w:w="3222" w:type="dxa"/>
          </w:tcPr>
          <w:p w14:paraId="615AB988" w14:textId="77777777" w:rsidR="00F223ED" w:rsidRPr="009964C7" w:rsidRDefault="00F223ED" w:rsidP="002C66FC">
            <w:pPr>
              <w:pStyle w:val="Header"/>
              <w:tabs>
                <w:tab w:val="left" w:pos="284"/>
              </w:tabs>
              <w:jc w:val="center"/>
              <w:rPr>
                <w:sz w:val="22"/>
                <w:szCs w:val="22"/>
              </w:rPr>
            </w:pPr>
            <w:r w:rsidRPr="009964C7">
              <w:rPr>
                <w:sz w:val="22"/>
                <w:szCs w:val="22"/>
              </w:rPr>
              <w:t>30,1</w:t>
            </w:r>
          </w:p>
          <w:p w14:paraId="708C915C" w14:textId="77777777" w:rsidR="00F223ED" w:rsidRPr="009964C7" w:rsidRDefault="00F223ED" w:rsidP="002C66FC">
            <w:pPr>
              <w:pStyle w:val="Header"/>
              <w:tabs>
                <w:tab w:val="left" w:pos="284"/>
              </w:tabs>
              <w:jc w:val="center"/>
              <w:rPr>
                <w:sz w:val="22"/>
                <w:szCs w:val="22"/>
              </w:rPr>
            </w:pPr>
          </w:p>
          <w:p w14:paraId="5BB17965" w14:textId="77777777" w:rsidR="00F223ED" w:rsidRPr="009964C7" w:rsidRDefault="00F223ED" w:rsidP="002C66FC">
            <w:pPr>
              <w:pStyle w:val="Header"/>
              <w:tabs>
                <w:tab w:val="left" w:pos="284"/>
              </w:tabs>
              <w:jc w:val="center"/>
              <w:rPr>
                <w:sz w:val="22"/>
                <w:szCs w:val="22"/>
              </w:rPr>
            </w:pPr>
            <w:r w:rsidRPr="009964C7">
              <w:rPr>
                <w:sz w:val="22"/>
                <w:szCs w:val="22"/>
              </w:rPr>
              <w:t>(20,9-51,5)</w:t>
            </w:r>
          </w:p>
        </w:tc>
      </w:tr>
      <w:tr w:rsidR="00F223ED" w:rsidRPr="00B02007" w14:paraId="6C61268E" w14:textId="77777777" w:rsidTr="002C66FC">
        <w:trPr>
          <w:trHeight w:val="1131"/>
        </w:trPr>
        <w:tc>
          <w:tcPr>
            <w:tcW w:w="3222" w:type="dxa"/>
            <w:vMerge/>
          </w:tcPr>
          <w:p w14:paraId="6A4C1E73" w14:textId="77777777" w:rsidR="00F223ED" w:rsidRPr="00E558A7" w:rsidRDefault="00F223ED" w:rsidP="002C66FC">
            <w:pPr>
              <w:autoSpaceDE w:val="0"/>
              <w:autoSpaceDN w:val="0"/>
              <w:adjustRightInd w:val="0"/>
              <w:rPr>
                <w:sz w:val="22"/>
                <w:szCs w:val="22"/>
              </w:rPr>
            </w:pPr>
          </w:p>
        </w:tc>
        <w:tc>
          <w:tcPr>
            <w:tcW w:w="6445" w:type="dxa"/>
            <w:gridSpan w:val="2"/>
          </w:tcPr>
          <w:p w14:paraId="0539243B" w14:textId="77777777" w:rsidR="00F223ED" w:rsidRPr="00E558A7" w:rsidRDefault="00F223ED" w:rsidP="002C66FC">
            <w:pPr>
              <w:autoSpaceDE w:val="0"/>
              <w:autoSpaceDN w:val="0"/>
              <w:adjustRightInd w:val="0"/>
              <w:jc w:val="center"/>
              <w:rPr>
                <w:sz w:val="22"/>
                <w:szCs w:val="22"/>
              </w:rPr>
            </w:pPr>
          </w:p>
          <w:p w14:paraId="7C2FA7F9" w14:textId="77777777" w:rsidR="00F223ED" w:rsidRPr="00E558A7" w:rsidRDefault="00F223ED" w:rsidP="002C66FC">
            <w:pPr>
              <w:autoSpaceDE w:val="0"/>
              <w:autoSpaceDN w:val="0"/>
              <w:adjustRightInd w:val="0"/>
              <w:jc w:val="center"/>
              <w:rPr>
                <w:sz w:val="22"/>
                <w:szCs w:val="22"/>
              </w:rPr>
            </w:pPr>
            <w:r w:rsidRPr="00E558A7">
              <w:rPr>
                <w:sz w:val="22"/>
                <w:szCs w:val="22"/>
              </w:rPr>
              <w:t>0,70</w:t>
            </w:r>
          </w:p>
          <w:p w14:paraId="4B4BF2AB" w14:textId="77777777" w:rsidR="00F223ED" w:rsidRPr="00E558A7" w:rsidRDefault="00F223ED" w:rsidP="002C66FC">
            <w:pPr>
              <w:autoSpaceDE w:val="0"/>
              <w:autoSpaceDN w:val="0"/>
              <w:adjustRightInd w:val="0"/>
              <w:jc w:val="center"/>
              <w:rPr>
                <w:sz w:val="22"/>
                <w:szCs w:val="22"/>
              </w:rPr>
            </w:pPr>
            <w:r w:rsidRPr="00E558A7">
              <w:rPr>
                <w:sz w:val="22"/>
                <w:szCs w:val="22"/>
              </w:rPr>
              <w:t>(0,54-0,90)</w:t>
            </w:r>
          </w:p>
          <w:p w14:paraId="3BA963A9" w14:textId="77777777" w:rsidR="00F223ED" w:rsidRPr="00E558A7" w:rsidRDefault="00F223ED" w:rsidP="002C66FC">
            <w:pPr>
              <w:autoSpaceDE w:val="0"/>
              <w:autoSpaceDN w:val="0"/>
              <w:adjustRightInd w:val="0"/>
              <w:jc w:val="center"/>
              <w:rPr>
                <w:sz w:val="22"/>
                <w:szCs w:val="22"/>
              </w:rPr>
            </w:pPr>
            <w:r w:rsidRPr="00E558A7">
              <w:rPr>
                <w:sz w:val="22"/>
                <w:szCs w:val="22"/>
              </w:rPr>
              <w:t>0,0058</w:t>
            </w:r>
          </w:p>
        </w:tc>
      </w:tr>
      <w:tr w:rsidR="00F223ED" w:rsidRPr="00B02007" w14:paraId="1CD918AF" w14:textId="77777777" w:rsidTr="002C66FC">
        <w:trPr>
          <w:trHeight w:val="1191"/>
        </w:trPr>
        <w:tc>
          <w:tcPr>
            <w:tcW w:w="3222" w:type="dxa"/>
            <w:vMerge w:val="restart"/>
          </w:tcPr>
          <w:p w14:paraId="6610FF75" w14:textId="77777777" w:rsidR="00F223ED" w:rsidRPr="00F223ED" w:rsidRDefault="00F223ED" w:rsidP="002C66FC">
            <w:pPr>
              <w:autoSpaceDE w:val="0"/>
              <w:autoSpaceDN w:val="0"/>
              <w:adjustRightInd w:val="0"/>
              <w:rPr>
                <w:sz w:val="22"/>
                <w:szCs w:val="22"/>
                <w:lang w:val="de-DE"/>
              </w:rPr>
            </w:pPr>
            <w:r w:rsidRPr="00F223ED">
              <w:rPr>
                <w:sz w:val="22"/>
                <w:szCs w:val="22"/>
                <w:lang w:val="de-DE"/>
              </w:rPr>
              <w:t>Srednje vrijeme bez progresije (mjeseci)</w:t>
            </w:r>
          </w:p>
          <w:p w14:paraId="35251EAB" w14:textId="77777777" w:rsidR="00F223ED" w:rsidRPr="00F223ED" w:rsidRDefault="00F223ED" w:rsidP="002C66FC">
            <w:pPr>
              <w:autoSpaceDE w:val="0"/>
              <w:autoSpaceDN w:val="0"/>
              <w:adjustRightInd w:val="0"/>
              <w:rPr>
                <w:sz w:val="22"/>
                <w:szCs w:val="22"/>
                <w:lang w:val="de-DE"/>
              </w:rPr>
            </w:pPr>
          </w:p>
          <w:p w14:paraId="6C1666ED" w14:textId="77777777" w:rsidR="00F223ED" w:rsidRPr="00F223ED" w:rsidRDefault="00F223ED" w:rsidP="002C66FC">
            <w:pPr>
              <w:autoSpaceDE w:val="0"/>
              <w:autoSpaceDN w:val="0"/>
              <w:adjustRightInd w:val="0"/>
              <w:rPr>
                <w:sz w:val="22"/>
                <w:szCs w:val="22"/>
                <w:lang w:val="de-DE"/>
              </w:rPr>
            </w:pPr>
            <w:r w:rsidRPr="00F223ED">
              <w:rPr>
                <w:sz w:val="22"/>
                <w:szCs w:val="22"/>
                <w:lang w:val="de-DE"/>
              </w:rPr>
              <w:t>(95% CI)</w:t>
            </w:r>
          </w:p>
          <w:p w14:paraId="32778603" w14:textId="77777777" w:rsidR="00F223ED" w:rsidRPr="00F223ED" w:rsidRDefault="00F223ED" w:rsidP="002C66FC">
            <w:pPr>
              <w:autoSpaceDE w:val="0"/>
              <w:autoSpaceDN w:val="0"/>
              <w:adjustRightInd w:val="0"/>
              <w:rPr>
                <w:sz w:val="22"/>
                <w:szCs w:val="22"/>
                <w:lang w:val="de-DE"/>
              </w:rPr>
            </w:pPr>
          </w:p>
          <w:p w14:paraId="2E5CFAEE" w14:textId="77777777" w:rsidR="00F223ED" w:rsidRPr="00F223ED" w:rsidRDefault="00F223ED" w:rsidP="002C66FC">
            <w:pPr>
              <w:autoSpaceDE w:val="0"/>
              <w:autoSpaceDN w:val="0"/>
              <w:adjustRightInd w:val="0"/>
              <w:rPr>
                <w:sz w:val="22"/>
                <w:szCs w:val="22"/>
                <w:lang w:val="de-DE"/>
              </w:rPr>
            </w:pPr>
          </w:p>
          <w:p w14:paraId="40134E22" w14:textId="77777777" w:rsidR="00F223ED" w:rsidRPr="00F223ED" w:rsidRDefault="00F223ED" w:rsidP="002C66FC">
            <w:pPr>
              <w:autoSpaceDE w:val="0"/>
              <w:autoSpaceDN w:val="0"/>
              <w:adjustRightInd w:val="0"/>
              <w:rPr>
                <w:sz w:val="22"/>
                <w:szCs w:val="22"/>
                <w:lang w:val="de-DE"/>
              </w:rPr>
            </w:pPr>
            <w:r w:rsidRPr="00F223ED">
              <w:rPr>
                <w:sz w:val="22"/>
                <w:szCs w:val="22"/>
                <w:lang w:val="de-DE"/>
              </w:rPr>
              <w:t>Indeks rizika</w:t>
            </w:r>
          </w:p>
          <w:p w14:paraId="3FA947BE" w14:textId="77777777" w:rsidR="00F223ED" w:rsidRPr="00F223ED" w:rsidRDefault="00F223ED" w:rsidP="002C66FC">
            <w:pPr>
              <w:autoSpaceDE w:val="0"/>
              <w:autoSpaceDN w:val="0"/>
              <w:adjustRightInd w:val="0"/>
              <w:rPr>
                <w:sz w:val="22"/>
                <w:szCs w:val="22"/>
                <w:lang w:val="de-DE"/>
              </w:rPr>
            </w:pPr>
            <w:r w:rsidRPr="00F223ED">
              <w:rPr>
                <w:sz w:val="22"/>
                <w:szCs w:val="22"/>
                <w:lang w:val="de-DE"/>
              </w:rPr>
              <w:t>(95% CI)</w:t>
            </w:r>
          </w:p>
          <w:p w14:paraId="5C32123F" w14:textId="77777777" w:rsidR="00F223ED" w:rsidRPr="00F223ED" w:rsidRDefault="00F223ED" w:rsidP="002C66FC">
            <w:pPr>
              <w:autoSpaceDE w:val="0"/>
              <w:autoSpaceDN w:val="0"/>
              <w:adjustRightInd w:val="0"/>
              <w:rPr>
                <w:sz w:val="22"/>
                <w:szCs w:val="22"/>
                <w:lang w:val="de-DE"/>
              </w:rPr>
            </w:pPr>
            <w:r w:rsidRPr="00F223ED">
              <w:rPr>
                <w:sz w:val="22"/>
                <w:szCs w:val="22"/>
                <w:lang w:val="de-DE"/>
              </w:rPr>
              <w:t>**p-vrijednost</w:t>
            </w:r>
          </w:p>
        </w:tc>
        <w:tc>
          <w:tcPr>
            <w:tcW w:w="3233" w:type="dxa"/>
          </w:tcPr>
          <w:p w14:paraId="07F2ED02" w14:textId="77777777" w:rsidR="00F223ED" w:rsidRPr="009964C7" w:rsidRDefault="00F223ED" w:rsidP="002C66FC">
            <w:pPr>
              <w:autoSpaceDE w:val="0"/>
              <w:autoSpaceDN w:val="0"/>
              <w:adjustRightInd w:val="0"/>
              <w:jc w:val="center"/>
              <w:rPr>
                <w:sz w:val="22"/>
                <w:szCs w:val="22"/>
              </w:rPr>
            </w:pPr>
            <w:r w:rsidRPr="009964C7">
              <w:rPr>
                <w:sz w:val="22"/>
                <w:szCs w:val="22"/>
              </w:rPr>
              <w:t>35,5</w:t>
            </w:r>
          </w:p>
          <w:p w14:paraId="0D7B0B58" w14:textId="77777777" w:rsidR="00F223ED" w:rsidRPr="009964C7" w:rsidRDefault="00F223ED" w:rsidP="002C66FC">
            <w:pPr>
              <w:autoSpaceDE w:val="0"/>
              <w:autoSpaceDN w:val="0"/>
              <w:adjustRightInd w:val="0"/>
              <w:jc w:val="center"/>
              <w:rPr>
                <w:sz w:val="22"/>
                <w:szCs w:val="22"/>
              </w:rPr>
            </w:pPr>
          </w:p>
          <w:p w14:paraId="446EE97D" w14:textId="77777777" w:rsidR="00F223ED" w:rsidRPr="009964C7" w:rsidRDefault="00F223ED" w:rsidP="002C66FC">
            <w:pPr>
              <w:autoSpaceDE w:val="0"/>
              <w:autoSpaceDN w:val="0"/>
              <w:adjustRightInd w:val="0"/>
              <w:jc w:val="center"/>
              <w:rPr>
                <w:sz w:val="22"/>
                <w:szCs w:val="22"/>
              </w:rPr>
            </w:pPr>
          </w:p>
          <w:p w14:paraId="6E0034ED" w14:textId="77777777" w:rsidR="00F223ED" w:rsidRPr="009964C7" w:rsidRDefault="00F223ED" w:rsidP="002C66FC">
            <w:pPr>
              <w:autoSpaceDE w:val="0"/>
              <w:autoSpaceDN w:val="0"/>
              <w:adjustRightInd w:val="0"/>
              <w:jc w:val="center"/>
              <w:rPr>
                <w:sz w:val="22"/>
                <w:szCs w:val="22"/>
              </w:rPr>
            </w:pPr>
            <w:r w:rsidRPr="009964C7">
              <w:rPr>
                <w:sz w:val="22"/>
                <w:szCs w:val="22"/>
              </w:rPr>
              <w:t>(19,3-NA)</w:t>
            </w:r>
          </w:p>
          <w:p w14:paraId="18FB641B" w14:textId="77777777" w:rsidR="00F223ED" w:rsidRPr="009964C7" w:rsidRDefault="00F223ED" w:rsidP="002C66FC">
            <w:pPr>
              <w:autoSpaceDE w:val="0"/>
              <w:autoSpaceDN w:val="0"/>
              <w:adjustRightInd w:val="0"/>
              <w:jc w:val="center"/>
              <w:rPr>
                <w:sz w:val="22"/>
                <w:szCs w:val="22"/>
              </w:rPr>
            </w:pPr>
          </w:p>
        </w:tc>
        <w:tc>
          <w:tcPr>
            <w:tcW w:w="3212" w:type="dxa"/>
          </w:tcPr>
          <w:p w14:paraId="7F3C2AF5" w14:textId="77777777" w:rsidR="00F223ED" w:rsidRPr="009964C7" w:rsidRDefault="00F223ED" w:rsidP="002C66FC">
            <w:pPr>
              <w:autoSpaceDE w:val="0"/>
              <w:autoSpaceDN w:val="0"/>
              <w:adjustRightInd w:val="0"/>
              <w:jc w:val="center"/>
              <w:rPr>
                <w:sz w:val="22"/>
                <w:szCs w:val="22"/>
              </w:rPr>
            </w:pPr>
            <w:r w:rsidRPr="009964C7">
              <w:rPr>
                <w:sz w:val="22"/>
                <w:szCs w:val="22"/>
              </w:rPr>
              <w:t>13,1</w:t>
            </w:r>
          </w:p>
          <w:p w14:paraId="42490053" w14:textId="77777777" w:rsidR="00F223ED" w:rsidRPr="009964C7" w:rsidRDefault="00F223ED" w:rsidP="002C66FC">
            <w:pPr>
              <w:autoSpaceDE w:val="0"/>
              <w:autoSpaceDN w:val="0"/>
              <w:adjustRightInd w:val="0"/>
              <w:jc w:val="center"/>
              <w:rPr>
                <w:sz w:val="22"/>
                <w:szCs w:val="22"/>
              </w:rPr>
            </w:pPr>
          </w:p>
          <w:p w14:paraId="059E4BCB" w14:textId="77777777" w:rsidR="00F223ED" w:rsidRPr="009964C7" w:rsidRDefault="00F223ED" w:rsidP="002C66FC">
            <w:pPr>
              <w:autoSpaceDE w:val="0"/>
              <w:autoSpaceDN w:val="0"/>
              <w:adjustRightInd w:val="0"/>
              <w:jc w:val="center"/>
              <w:rPr>
                <w:sz w:val="22"/>
                <w:szCs w:val="22"/>
              </w:rPr>
            </w:pPr>
          </w:p>
          <w:p w14:paraId="24CE63D8" w14:textId="77777777" w:rsidR="00F223ED" w:rsidRPr="009964C7" w:rsidRDefault="00F223ED" w:rsidP="002C66FC">
            <w:pPr>
              <w:autoSpaceDE w:val="0"/>
              <w:autoSpaceDN w:val="0"/>
              <w:adjustRightInd w:val="0"/>
              <w:jc w:val="center"/>
              <w:rPr>
                <w:sz w:val="22"/>
                <w:szCs w:val="22"/>
              </w:rPr>
            </w:pPr>
            <w:r w:rsidRPr="009964C7">
              <w:rPr>
                <w:sz w:val="22"/>
                <w:szCs w:val="22"/>
              </w:rPr>
              <w:t>(10,6-20,2)</w:t>
            </w:r>
          </w:p>
        </w:tc>
      </w:tr>
      <w:tr w:rsidR="00F223ED" w:rsidRPr="00B02007" w14:paraId="49092850" w14:textId="77777777" w:rsidTr="002C66FC">
        <w:trPr>
          <w:trHeight w:val="1237"/>
        </w:trPr>
        <w:tc>
          <w:tcPr>
            <w:tcW w:w="3222" w:type="dxa"/>
            <w:vMerge/>
          </w:tcPr>
          <w:p w14:paraId="4F94A26D" w14:textId="77777777" w:rsidR="00F223ED" w:rsidRPr="00E558A7" w:rsidRDefault="00F223ED" w:rsidP="002C66FC">
            <w:pPr>
              <w:autoSpaceDE w:val="0"/>
              <w:autoSpaceDN w:val="0"/>
              <w:adjustRightInd w:val="0"/>
              <w:rPr>
                <w:sz w:val="22"/>
                <w:szCs w:val="22"/>
              </w:rPr>
            </w:pPr>
          </w:p>
        </w:tc>
        <w:tc>
          <w:tcPr>
            <w:tcW w:w="6445" w:type="dxa"/>
            <w:gridSpan w:val="2"/>
          </w:tcPr>
          <w:p w14:paraId="142819ED" w14:textId="77777777" w:rsidR="00F223ED" w:rsidRPr="00E558A7" w:rsidRDefault="00F223ED" w:rsidP="002C66FC">
            <w:pPr>
              <w:autoSpaceDE w:val="0"/>
              <w:autoSpaceDN w:val="0"/>
              <w:adjustRightInd w:val="0"/>
              <w:jc w:val="center"/>
              <w:rPr>
                <w:sz w:val="22"/>
                <w:szCs w:val="22"/>
              </w:rPr>
            </w:pPr>
          </w:p>
          <w:p w14:paraId="617742E8" w14:textId="77777777" w:rsidR="00F223ED" w:rsidRPr="00E558A7" w:rsidRDefault="00F223ED" w:rsidP="002C66FC">
            <w:pPr>
              <w:autoSpaceDE w:val="0"/>
              <w:autoSpaceDN w:val="0"/>
              <w:adjustRightInd w:val="0"/>
              <w:jc w:val="center"/>
              <w:rPr>
                <w:sz w:val="22"/>
                <w:szCs w:val="22"/>
              </w:rPr>
            </w:pPr>
            <w:r w:rsidRPr="00E558A7">
              <w:rPr>
                <w:sz w:val="22"/>
                <w:szCs w:val="22"/>
              </w:rPr>
              <w:t>0,71</w:t>
            </w:r>
          </w:p>
          <w:p w14:paraId="374EA5C2" w14:textId="77777777" w:rsidR="00F223ED" w:rsidRPr="00E558A7" w:rsidRDefault="00F223ED" w:rsidP="002C66FC">
            <w:pPr>
              <w:autoSpaceDE w:val="0"/>
              <w:autoSpaceDN w:val="0"/>
              <w:adjustRightInd w:val="0"/>
              <w:jc w:val="center"/>
              <w:rPr>
                <w:sz w:val="22"/>
                <w:szCs w:val="22"/>
              </w:rPr>
            </w:pPr>
            <w:r w:rsidRPr="00E558A7">
              <w:rPr>
                <w:sz w:val="22"/>
                <w:szCs w:val="22"/>
              </w:rPr>
              <w:t>(0,56-0,90)</w:t>
            </w:r>
          </w:p>
          <w:p w14:paraId="5F39D765" w14:textId="77777777" w:rsidR="00F223ED" w:rsidRPr="00E558A7" w:rsidRDefault="00F223ED" w:rsidP="002C66FC">
            <w:pPr>
              <w:autoSpaceDE w:val="0"/>
              <w:autoSpaceDN w:val="0"/>
              <w:adjustRightInd w:val="0"/>
              <w:jc w:val="center"/>
              <w:rPr>
                <w:sz w:val="22"/>
                <w:szCs w:val="22"/>
              </w:rPr>
            </w:pPr>
            <w:r w:rsidRPr="00E558A7">
              <w:rPr>
                <w:sz w:val="22"/>
                <w:szCs w:val="22"/>
              </w:rPr>
              <w:t>0,004</w:t>
            </w:r>
          </w:p>
        </w:tc>
      </w:tr>
      <w:tr w:rsidR="00F223ED" w:rsidRPr="00B02007" w14:paraId="703F99B2" w14:textId="77777777" w:rsidTr="002C66FC">
        <w:trPr>
          <w:trHeight w:val="723"/>
        </w:trPr>
        <w:tc>
          <w:tcPr>
            <w:tcW w:w="3222" w:type="dxa"/>
            <w:vMerge w:val="restart"/>
          </w:tcPr>
          <w:p w14:paraId="7F5C711B" w14:textId="77777777" w:rsidR="00F223ED" w:rsidRPr="009964C7" w:rsidRDefault="00F223ED" w:rsidP="002C66FC">
            <w:pPr>
              <w:autoSpaceDE w:val="0"/>
              <w:autoSpaceDN w:val="0"/>
              <w:adjustRightInd w:val="0"/>
              <w:rPr>
                <w:sz w:val="22"/>
                <w:szCs w:val="22"/>
              </w:rPr>
            </w:pPr>
            <w:r w:rsidRPr="009964C7">
              <w:rPr>
                <w:sz w:val="22"/>
                <w:szCs w:val="22"/>
              </w:rPr>
              <w:t>Najbolji ukupni odgovor (CR+PR) na hemioterapiju (%)</w:t>
            </w:r>
          </w:p>
          <w:p w14:paraId="186C162B" w14:textId="77777777" w:rsidR="00F223ED" w:rsidRPr="009964C7" w:rsidRDefault="00F223ED" w:rsidP="002C66FC">
            <w:pPr>
              <w:autoSpaceDE w:val="0"/>
              <w:autoSpaceDN w:val="0"/>
              <w:adjustRightInd w:val="0"/>
              <w:rPr>
                <w:sz w:val="22"/>
                <w:szCs w:val="22"/>
              </w:rPr>
            </w:pPr>
            <w:r w:rsidRPr="009964C7">
              <w:rPr>
                <w:sz w:val="22"/>
                <w:szCs w:val="22"/>
              </w:rPr>
              <w:t>(95% CI)</w:t>
            </w:r>
          </w:p>
          <w:p w14:paraId="059B1EC1" w14:textId="77777777" w:rsidR="00F223ED" w:rsidRPr="009964C7" w:rsidRDefault="00F223ED" w:rsidP="002C66FC">
            <w:pPr>
              <w:autoSpaceDE w:val="0"/>
              <w:autoSpaceDN w:val="0"/>
              <w:adjustRightInd w:val="0"/>
              <w:rPr>
                <w:sz w:val="22"/>
                <w:szCs w:val="22"/>
              </w:rPr>
            </w:pPr>
          </w:p>
          <w:p w14:paraId="2AF78F42" w14:textId="77777777" w:rsidR="00F223ED" w:rsidRPr="009964C7" w:rsidRDefault="00F223ED" w:rsidP="002C66FC">
            <w:pPr>
              <w:autoSpaceDE w:val="0"/>
              <w:autoSpaceDN w:val="0"/>
              <w:adjustRightInd w:val="0"/>
              <w:rPr>
                <w:sz w:val="22"/>
                <w:szCs w:val="22"/>
              </w:rPr>
            </w:pPr>
          </w:p>
          <w:p w14:paraId="763F92D7" w14:textId="77777777" w:rsidR="00F223ED" w:rsidRPr="009964C7" w:rsidRDefault="00F223ED" w:rsidP="002C66FC">
            <w:pPr>
              <w:autoSpaceDE w:val="0"/>
              <w:autoSpaceDN w:val="0"/>
              <w:adjustRightInd w:val="0"/>
              <w:rPr>
                <w:sz w:val="22"/>
                <w:szCs w:val="22"/>
              </w:rPr>
            </w:pPr>
            <w:r w:rsidRPr="009964C7">
              <w:rPr>
                <w:sz w:val="22"/>
                <w:szCs w:val="22"/>
              </w:rPr>
              <w:t xml:space="preserve">***p-vrijednost </w:t>
            </w:r>
          </w:p>
          <w:p w14:paraId="7FF14753" w14:textId="77777777" w:rsidR="00F223ED" w:rsidRPr="009964C7" w:rsidRDefault="00F223ED" w:rsidP="002C66FC">
            <w:pPr>
              <w:autoSpaceDE w:val="0"/>
              <w:autoSpaceDN w:val="0"/>
              <w:adjustRightInd w:val="0"/>
              <w:rPr>
                <w:sz w:val="22"/>
                <w:szCs w:val="22"/>
              </w:rPr>
            </w:pPr>
          </w:p>
        </w:tc>
        <w:tc>
          <w:tcPr>
            <w:tcW w:w="3222" w:type="dxa"/>
          </w:tcPr>
          <w:p w14:paraId="664A39DB" w14:textId="77777777" w:rsidR="00F223ED" w:rsidRPr="009964C7" w:rsidRDefault="00F223ED" w:rsidP="002C66FC">
            <w:pPr>
              <w:autoSpaceDE w:val="0"/>
              <w:autoSpaceDN w:val="0"/>
              <w:adjustRightInd w:val="0"/>
              <w:jc w:val="center"/>
              <w:rPr>
                <w:sz w:val="22"/>
                <w:szCs w:val="22"/>
              </w:rPr>
            </w:pPr>
            <w:r w:rsidRPr="009964C7">
              <w:rPr>
                <w:sz w:val="22"/>
                <w:szCs w:val="22"/>
              </w:rPr>
              <w:t>71,8</w:t>
            </w:r>
          </w:p>
          <w:p w14:paraId="489A6664" w14:textId="77777777" w:rsidR="00F223ED" w:rsidRPr="009964C7" w:rsidRDefault="00F223ED" w:rsidP="002C66FC">
            <w:pPr>
              <w:autoSpaceDE w:val="0"/>
              <w:autoSpaceDN w:val="0"/>
              <w:adjustRightInd w:val="0"/>
              <w:jc w:val="center"/>
              <w:rPr>
                <w:sz w:val="22"/>
                <w:szCs w:val="22"/>
              </w:rPr>
            </w:pPr>
          </w:p>
          <w:p w14:paraId="6656F061" w14:textId="77777777" w:rsidR="00F223ED" w:rsidRPr="009964C7" w:rsidRDefault="00F223ED" w:rsidP="002C66FC">
            <w:pPr>
              <w:autoSpaceDE w:val="0"/>
              <w:autoSpaceDN w:val="0"/>
              <w:adjustRightInd w:val="0"/>
              <w:jc w:val="center"/>
              <w:rPr>
                <w:sz w:val="22"/>
                <w:szCs w:val="22"/>
              </w:rPr>
            </w:pPr>
            <w:r w:rsidRPr="009964C7">
              <w:rPr>
                <w:sz w:val="22"/>
                <w:szCs w:val="22"/>
              </w:rPr>
              <w:t>(65,8-77,2)</w:t>
            </w:r>
          </w:p>
          <w:p w14:paraId="3050A237" w14:textId="77777777" w:rsidR="00F223ED" w:rsidRPr="009964C7" w:rsidRDefault="00F223ED" w:rsidP="002C66FC">
            <w:pPr>
              <w:pStyle w:val="Header"/>
              <w:tabs>
                <w:tab w:val="left" w:pos="284"/>
              </w:tabs>
              <w:jc w:val="center"/>
              <w:rPr>
                <w:sz w:val="22"/>
                <w:szCs w:val="22"/>
              </w:rPr>
            </w:pPr>
          </w:p>
        </w:tc>
        <w:tc>
          <w:tcPr>
            <w:tcW w:w="3222" w:type="dxa"/>
          </w:tcPr>
          <w:p w14:paraId="206BDDD1" w14:textId="77777777" w:rsidR="00F223ED" w:rsidRPr="009964C7" w:rsidRDefault="00F223ED" w:rsidP="002C66FC">
            <w:pPr>
              <w:autoSpaceDE w:val="0"/>
              <w:autoSpaceDN w:val="0"/>
              <w:adjustRightInd w:val="0"/>
              <w:jc w:val="center"/>
              <w:rPr>
                <w:sz w:val="22"/>
                <w:szCs w:val="22"/>
              </w:rPr>
            </w:pPr>
            <w:r w:rsidRPr="009964C7">
              <w:rPr>
                <w:sz w:val="22"/>
                <w:szCs w:val="22"/>
              </w:rPr>
              <w:t>64,2</w:t>
            </w:r>
          </w:p>
          <w:p w14:paraId="6529597D" w14:textId="77777777" w:rsidR="00F223ED" w:rsidRPr="009964C7" w:rsidRDefault="00F223ED" w:rsidP="002C66FC">
            <w:pPr>
              <w:autoSpaceDE w:val="0"/>
              <w:autoSpaceDN w:val="0"/>
              <w:adjustRightInd w:val="0"/>
              <w:jc w:val="center"/>
              <w:rPr>
                <w:sz w:val="22"/>
                <w:szCs w:val="22"/>
              </w:rPr>
            </w:pPr>
          </w:p>
          <w:p w14:paraId="7E5B03F2" w14:textId="77777777" w:rsidR="00F223ED" w:rsidRPr="009964C7" w:rsidRDefault="00F223ED" w:rsidP="002C66FC">
            <w:pPr>
              <w:autoSpaceDE w:val="0"/>
              <w:autoSpaceDN w:val="0"/>
              <w:adjustRightInd w:val="0"/>
              <w:jc w:val="center"/>
              <w:rPr>
                <w:sz w:val="22"/>
                <w:szCs w:val="22"/>
              </w:rPr>
            </w:pPr>
            <w:r w:rsidRPr="009964C7">
              <w:rPr>
                <w:sz w:val="22"/>
                <w:szCs w:val="22"/>
              </w:rPr>
              <w:t>(57,9-70,2)</w:t>
            </w:r>
          </w:p>
          <w:p w14:paraId="04B35E91" w14:textId="77777777" w:rsidR="00F223ED" w:rsidRPr="009964C7" w:rsidRDefault="00F223ED" w:rsidP="002C66FC">
            <w:pPr>
              <w:pStyle w:val="Header"/>
              <w:tabs>
                <w:tab w:val="left" w:pos="284"/>
              </w:tabs>
              <w:jc w:val="center"/>
              <w:rPr>
                <w:sz w:val="22"/>
                <w:szCs w:val="22"/>
              </w:rPr>
            </w:pPr>
          </w:p>
        </w:tc>
      </w:tr>
      <w:tr w:rsidR="00F223ED" w:rsidRPr="00B02007" w14:paraId="03B634D9" w14:textId="77777777" w:rsidTr="002C66FC">
        <w:trPr>
          <w:trHeight w:val="542"/>
        </w:trPr>
        <w:tc>
          <w:tcPr>
            <w:tcW w:w="3222" w:type="dxa"/>
            <w:vMerge/>
          </w:tcPr>
          <w:p w14:paraId="52F82445" w14:textId="77777777" w:rsidR="00F223ED" w:rsidRPr="00E558A7" w:rsidRDefault="00F223ED" w:rsidP="002C66FC">
            <w:pPr>
              <w:autoSpaceDE w:val="0"/>
              <w:autoSpaceDN w:val="0"/>
              <w:adjustRightInd w:val="0"/>
              <w:rPr>
                <w:sz w:val="22"/>
                <w:szCs w:val="22"/>
              </w:rPr>
            </w:pPr>
          </w:p>
        </w:tc>
        <w:tc>
          <w:tcPr>
            <w:tcW w:w="6445" w:type="dxa"/>
            <w:gridSpan w:val="2"/>
          </w:tcPr>
          <w:p w14:paraId="14944668" w14:textId="77777777" w:rsidR="00F223ED" w:rsidRPr="00E558A7" w:rsidRDefault="00F223ED" w:rsidP="002C66FC">
            <w:pPr>
              <w:pStyle w:val="Header"/>
              <w:tabs>
                <w:tab w:val="left" w:pos="284"/>
              </w:tabs>
              <w:jc w:val="center"/>
              <w:rPr>
                <w:sz w:val="22"/>
                <w:szCs w:val="22"/>
              </w:rPr>
            </w:pPr>
          </w:p>
          <w:p w14:paraId="175DC75F" w14:textId="77777777" w:rsidR="00F223ED" w:rsidRPr="00E558A7" w:rsidRDefault="00F223ED" w:rsidP="002C66FC">
            <w:pPr>
              <w:pStyle w:val="Header"/>
              <w:tabs>
                <w:tab w:val="left" w:pos="284"/>
              </w:tabs>
              <w:jc w:val="center"/>
              <w:rPr>
                <w:sz w:val="22"/>
                <w:szCs w:val="22"/>
              </w:rPr>
            </w:pPr>
            <w:r w:rsidRPr="00E558A7">
              <w:rPr>
                <w:sz w:val="22"/>
                <w:szCs w:val="22"/>
              </w:rPr>
              <w:t>0,070</w:t>
            </w:r>
          </w:p>
        </w:tc>
      </w:tr>
      <w:tr w:rsidR="00F223ED" w:rsidRPr="00B02007" w14:paraId="21166865" w14:textId="77777777" w:rsidTr="002C66FC">
        <w:trPr>
          <w:trHeight w:val="1622"/>
        </w:trPr>
        <w:tc>
          <w:tcPr>
            <w:tcW w:w="3222" w:type="dxa"/>
            <w:vMerge w:val="restart"/>
          </w:tcPr>
          <w:p w14:paraId="00161831" w14:textId="77777777" w:rsidR="00F223ED" w:rsidRPr="009964C7" w:rsidRDefault="00F223ED" w:rsidP="002C66FC">
            <w:pPr>
              <w:autoSpaceDE w:val="0"/>
              <w:autoSpaceDN w:val="0"/>
              <w:adjustRightInd w:val="0"/>
              <w:rPr>
                <w:sz w:val="22"/>
                <w:szCs w:val="22"/>
              </w:rPr>
            </w:pPr>
            <w:r w:rsidRPr="009964C7">
              <w:rPr>
                <w:sz w:val="22"/>
                <w:szCs w:val="22"/>
              </w:rPr>
              <w:t>Najbolji ukupni odgovor (CR+PR) na ispitivanu terapiju [hemioterapija</w:t>
            </w:r>
          </w:p>
          <w:p w14:paraId="6AAABB7B" w14:textId="77777777" w:rsidR="00F223ED" w:rsidRPr="009964C7" w:rsidRDefault="00F223ED" w:rsidP="002C66FC">
            <w:pPr>
              <w:autoSpaceDE w:val="0"/>
              <w:autoSpaceDN w:val="0"/>
              <w:adjustRightInd w:val="0"/>
              <w:rPr>
                <w:sz w:val="22"/>
                <w:szCs w:val="22"/>
              </w:rPr>
            </w:pPr>
            <w:r w:rsidRPr="009964C7">
              <w:rPr>
                <w:sz w:val="22"/>
                <w:szCs w:val="22"/>
              </w:rPr>
              <w:t>±hemioradioterapija] (%)</w:t>
            </w:r>
          </w:p>
          <w:p w14:paraId="32E759EB" w14:textId="77777777" w:rsidR="00F223ED" w:rsidRPr="009964C7" w:rsidRDefault="00F223ED" w:rsidP="002C66FC">
            <w:pPr>
              <w:autoSpaceDE w:val="0"/>
              <w:autoSpaceDN w:val="0"/>
              <w:adjustRightInd w:val="0"/>
              <w:rPr>
                <w:sz w:val="22"/>
                <w:szCs w:val="22"/>
              </w:rPr>
            </w:pPr>
            <w:r w:rsidRPr="009964C7">
              <w:rPr>
                <w:sz w:val="22"/>
                <w:szCs w:val="22"/>
              </w:rPr>
              <w:t>(95% CI)</w:t>
            </w:r>
          </w:p>
          <w:p w14:paraId="707153A0" w14:textId="77777777" w:rsidR="00F223ED" w:rsidRPr="009964C7" w:rsidRDefault="00F223ED" w:rsidP="002C66FC">
            <w:pPr>
              <w:autoSpaceDE w:val="0"/>
              <w:autoSpaceDN w:val="0"/>
              <w:adjustRightInd w:val="0"/>
              <w:rPr>
                <w:sz w:val="22"/>
                <w:szCs w:val="22"/>
              </w:rPr>
            </w:pPr>
          </w:p>
          <w:p w14:paraId="46A2175D" w14:textId="77777777" w:rsidR="00F223ED" w:rsidRPr="009964C7" w:rsidRDefault="00F223ED" w:rsidP="002C66FC">
            <w:pPr>
              <w:autoSpaceDE w:val="0"/>
              <w:autoSpaceDN w:val="0"/>
              <w:adjustRightInd w:val="0"/>
              <w:rPr>
                <w:sz w:val="22"/>
                <w:szCs w:val="22"/>
              </w:rPr>
            </w:pPr>
          </w:p>
          <w:p w14:paraId="53671689" w14:textId="77777777" w:rsidR="00F223ED" w:rsidRPr="009964C7" w:rsidRDefault="00F223ED" w:rsidP="002C66FC">
            <w:pPr>
              <w:autoSpaceDE w:val="0"/>
              <w:autoSpaceDN w:val="0"/>
              <w:adjustRightInd w:val="0"/>
              <w:rPr>
                <w:sz w:val="22"/>
                <w:szCs w:val="22"/>
              </w:rPr>
            </w:pPr>
          </w:p>
          <w:p w14:paraId="34D8781C" w14:textId="77777777" w:rsidR="00F223ED" w:rsidRPr="009964C7" w:rsidRDefault="00F223ED" w:rsidP="002C66FC">
            <w:pPr>
              <w:autoSpaceDE w:val="0"/>
              <w:autoSpaceDN w:val="0"/>
              <w:adjustRightInd w:val="0"/>
              <w:rPr>
                <w:sz w:val="22"/>
                <w:szCs w:val="22"/>
              </w:rPr>
            </w:pPr>
            <w:r w:rsidRPr="009964C7">
              <w:rPr>
                <w:sz w:val="22"/>
                <w:szCs w:val="22"/>
              </w:rPr>
              <w:t xml:space="preserve">***p-vrijednost </w:t>
            </w:r>
          </w:p>
          <w:p w14:paraId="6F84AB0D" w14:textId="77777777" w:rsidR="00F223ED" w:rsidRPr="009964C7" w:rsidRDefault="00F223ED" w:rsidP="002C66FC">
            <w:pPr>
              <w:pStyle w:val="Header"/>
              <w:tabs>
                <w:tab w:val="left" w:pos="284"/>
              </w:tabs>
              <w:rPr>
                <w:sz w:val="22"/>
                <w:szCs w:val="22"/>
              </w:rPr>
            </w:pPr>
          </w:p>
        </w:tc>
        <w:tc>
          <w:tcPr>
            <w:tcW w:w="3233" w:type="dxa"/>
          </w:tcPr>
          <w:p w14:paraId="4FA30C9B" w14:textId="77777777" w:rsidR="00F223ED" w:rsidRPr="009964C7" w:rsidRDefault="00F223ED" w:rsidP="002C66FC">
            <w:pPr>
              <w:autoSpaceDE w:val="0"/>
              <w:autoSpaceDN w:val="0"/>
              <w:adjustRightInd w:val="0"/>
              <w:jc w:val="center"/>
              <w:rPr>
                <w:sz w:val="22"/>
                <w:szCs w:val="22"/>
              </w:rPr>
            </w:pPr>
            <w:r w:rsidRPr="009964C7">
              <w:rPr>
                <w:sz w:val="22"/>
                <w:szCs w:val="22"/>
              </w:rPr>
              <w:t>76,5</w:t>
            </w:r>
          </w:p>
          <w:p w14:paraId="3D276BF4" w14:textId="77777777" w:rsidR="00F223ED" w:rsidRPr="009964C7" w:rsidRDefault="00F223ED" w:rsidP="002C66FC">
            <w:pPr>
              <w:autoSpaceDE w:val="0"/>
              <w:autoSpaceDN w:val="0"/>
              <w:adjustRightInd w:val="0"/>
              <w:jc w:val="center"/>
              <w:rPr>
                <w:sz w:val="22"/>
                <w:szCs w:val="22"/>
              </w:rPr>
            </w:pPr>
          </w:p>
          <w:p w14:paraId="2C653AB8" w14:textId="77777777" w:rsidR="00F223ED" w:rsidRPr="009964C7" w:rsidRDefault="00F223ED" w:rsidP="002C66FC">
            <w:pPr>
              <w:autoSpaceDE w:val="0"/>
              <w:autoSpaceDN w:val="0"/>
              <w:adjustRightInd w:val="0"/>
              <w:jc w:val="center"/>
              <w:rPr>
                <w:sz w:val="22"/>
                <w:szCs w:val="22"/>
              </w:rPr>
            </w:pPr>
          </w:p>
          <w:p w14:paraId="428A7ED5" w14:textId="77777777" w:rsidR="00F223ED" w:rsidRPr="009964C7" w:rsidRDefault="00F223ED" w:rsidP="002C66FC">
            <w:pPr>
              <w:autoSpaceDE w:val="0"/>
              <w:autoSpaceDN w:val="0"/>
              <w:adjustRightInd w:val="0"/>
              <w:jc w:val="center"/>
              <w:rPr>
                <w:sz w:val="22"/>
                <w:szCs w:val="22"/>
              </w:rPr>
            </w:pPr>
          </w:p>
          <w:p w14:paraId="563090FD" w14:textId="77777777" w:rsidR="00F223ED" w:rsidRPr="009964C7" w:rsidRDefault="00F223ED" w:rsidP="002C66FC">
            <w:pPr>
              <w:autoSpaceDE w:val="0"/>
              <w:autoSpaceDN w:val="0"/>
              <w:adjustRightInd w:val="0"/>
              <w:jc w:val="center"/>
              <w:rPr>
                <w:sz w:val="22"/>
                <w:szCs w:val="22"/>
              </w:rPr>
            </w:pPr>
            <w:r w:rsidRPr="009964C7">
              <w:rPr>
                <w:sz w:val="22"/>
                <w:szCs w:val="22"/>
              </w:rPr>
              <w:t>(70,8-81,5)</w:t>
            </w:r>
          </w:p>
        </w:tc>
        <w:tc>
          <w:tcPr>
            <w:tcW w:w="3212" w:type="dxa"/>
          </w:tcPr>
          <w:p w14:paraId="20370B0F" w14:textId="77777777" w:rsidR="00F223ED" w:rsidRPr="009964C7" w:rsidRDefault="00F223ED" w:rsidP="002C66FC">
            <w:pPr>
              <w:autoSpaceDE w:val="0"/>
              <w:autoSpaceDN w:val="0"/>
              <w:adjustRightInd w:val="0"/>
              <w:jc w:val="center"/>
              <w:rPr>
                <w:sz w:val="22"/>
                <w:szCs w:val="22"/>
              </w:rPr>
            </w:pPr>
            <w:r w:rsidRPr="009964C7">
              <w:rPr>
                <w:sz w:val="22"/>
                <w:szCs w:val="22"/>
              </w:rPr>
              <w:t>71,5</w:t>
            </w:r>
          </w:p>
          <w:p w14:paraId="7AB00D6C" w14:textId="77777777" w:rsidR="00F223ED" w:rsidRPr="009964C7" w:rsidRDefault="00F223ED" w:rsidP="002C66FC">
            <w:pPr>
              <w:autoSpaceDE w:val="0"/>
              <w:autoSpaceDN w:val="0"/>
              <w:adjustRightInd w:val="0"/>
              <w:jc w:val="center"/>
              <w:rPr>
                <w:sz w:val="22"/>
                <w:szCs w:val="22"/>
              </w:rPr>
            </w:pPr>
          </w:p>
          <w:p w14:paraId="4EFFD34E" w14:textId="77777777" w:rsidR="00F223ED" w:rsidRPr="009964C7" w:rsidRDefault="00F223ED" w:rsidP="002C66FC">
            <w:pPr>
              <w:autoSpaceDE w:val="0"/>
              <w:autoSpaceDN w:val="0"/>
              <w:adjustRightInd w:val="0"/>
              <w:jc w:val="center"/>
              <w:rPr>
                <w:sz w:val="22"/>
                <w:szCs w:val="22"/>
              </w:rPr>
            </w:pPr>
          </w:p>
          <w:p w14:paraId="475A46E7" w14:textId="77777777" w:rsidR="00F223ED" w:rsidRPr="009964C7" w:rsidRDefault="00F223ED" w:rsidP="002C66FC">
            <w:pPr>
              <w:autoSpaceDE w:val="0"/>
              <w:autoSpaceDN w:val="0"/>
              <w:adjustRightInd w:val="0"/>
              <w:rPr>
                <w:sz w:val="22"/>
                <w:szCs w:val="22"/>
              </w:rPr>
            </w:pPr>
          </w:p>
          <w:p w14:paraId="6D5EF783" w14:textId="77777777" w:rsidR="00F223ED" w:rsidRPr="009964C7" w:rsidRDefault="00F223ED" w:rsidP="002C66FC">
            <w:pPr>
              <w:autoSpaceDE w:val="0"/>
              <w:autoSpaceDN w:val="0"/>
              <w:adjustRightInd w:val="0"/>
              <w:jc w:val="center"/>
              <w:rPr>
                <w:sz w:val="22"/>
                <w:szCs w:val="22"/>
              </w:rPr>
            </w:pPr>
            <w:r w:rsidRPr="009964C7">
              <w:rPr>
                <w:sz w:val="22"/>
                <w:szCs w:val="22"/>
              </w:rPr>
              <w:t>(64,5-77,1)</w:t>
            </w:r>
          </w:p>
          <w:p w14:paraId="6F4A567F" w14:textId="77777777" w:rsidR="00F223ED" w:rsidRPr="009964C7" w:rsidRDefault="00F223ED" w:rsidP="002C66FC">
            <w:pPr>
              <w:rPr>
                <w:sz w:val="22"/>
                <w:szCs w:val="22"/>
              </w:rPr>
            </w:pPr>
          </w:p>
          <w:p w14:paraId="11E5345C" w14:textId="77777777" w:rsidR="00F223ED" w:rsidRPr="009964C7" w:rsidRDefault="00F223ED" w:rsidP="002C66FC">
            <w:pPr>
              <w:pStyle w:val="Header"/>
              <w:tabs>
                <w:tab w:val="left" w:pos="284"/>
              </w:tabs>
              <w:jc w:val="center"/>
              <w:rPr>
                <w:sz w:val="22"/>
                <w:szCs w:val="22"/>
              </w:rPr>
            </w:pPr>
          </w:p>
        </w:tc>
      </w:tr>
      <w:tr w:rsidR="00F223ED" w:rsidRPr="00B02007" w14:paraId="5B2CF53D" w14:textId="77777777" w:rsidTr="002C66FC">
        <w:trPr>
          <w:trHeight w:val="392"/>
        </w:trPr>
        <w:tc>
          <w:tcPr>
            <w:tcW w:w="3222" w:type="dxa"/>
            <w:vMerge/>
          </w:tcPr>
          <w:p w14:paraId="73AF9C4B" w14:textId="77777777" w:rsidR="00F223ED" w:rsidRPr="00E558A7" w:rsidRDefault="00F223ED" w:rsidP="002C66FC">
            <w:pPr>
              <w:autoSpaceDE w:val="0"/>
              <w:autoSpaceDN w:val="0"/>
              <w:adjustRightInd w:val="0"/>
              <w:rPr>
                <w:sz w:val="22"/>
                <w:szCs w:val="22"/>
              </w:rPr>
            </w:pPr>
          </w:p>
        </w:tc>
        <w:tc>
          <w:tcPr>
            <w:tcW w:w="6445" w:type="dxa"/>
            <w:gridSpan w:val="2"/>
          </w:tcPr>
          <w:p w14:paraId="330BCC87" w14:textId="77777777" w:rsidR="00F223ED" w:rsidRPr="00E558A7" w:rsidRDefault="00F223ED" w:rsidP="002C66FC">
            <w:pPr>
              <w:pStyle w:val="Header"/>
              <w:tabs>
                <w:tab w:val="left" w:pos="284"/>
              </w:tabs>
              <w:jc w:val="center"/>
              <w:rPr>
                <w:sz w:val="22"/>
                <w:szCs w:val="22"/>
              </w:rPr>
            </w:pPr>
          </w:p>
          <w:p w14:paraId="66B22471" w14:textId="77777777" w:rsidR="00F223ED" w:rsidRPr="00E558A7" w:rsidRDefault="00F223ED" w:rsidP="002C66FC">
            <w:pPr>
              <w:pStyle w:val="Header"/>
              <w:tabs>
                <w:tab w:val="left" w:pos="284"/>
              </w:tabs>
              <w:jc w:val="center"/>
              <w:rPr>
                <w:sz w:val="22"/>
                <w:szCs w:val="22"/>
              </w:rPr>
            </w:pPr>
            <w:r w:rsidRPr="00E558A7">
              <w:rPr>
                <w:sz w:val="22"/>
                <w:szCs w:val="22"/>
              </w:rPr>
              <w:t>0,209</w:t>
            </w:r>
          </w:p>
        </w:tc>
      </w:tr>
    </w:tbl>
    <w:p w14:paraId="66C91E78" w14:textId="77777777" w:rsidR="00F223ED" w:rsidRPr="009964C7" w:rsidRDefault="00F223ED" w:rsidP="00F223ED">
      <w:pPr>
        <w:autoSpaceDE w:val="0"/>
        <w:autoSpaceDN w:val="0"/>
        <w:adjustRightInd w:val="0"/>
        <w:rPr>
          <w:sz w:val="22"/>
          <w:szCs w:val="22"/>
        </w:rPr>
      </w:pPr>
      <w:r w:rsidRPr="009964C7">
        <w:rPr>
          <w:sz w:val="22"/>
          <w:szCs w:val="22"/>
        </w:rPr>
        <w:t>Indeks rizika manji od 1 daje prednost režimu docetaksel+cisplatin+fluorouracil</w:t>
      </w:r>
    </w:p>
    <w:p w14:paraId="4CA2BE5B" w14:textId="77777777" w:rsidR="00F223ED" w:rsidRPr="009964C7" w:rsidRDefault="00F223ED" w:rsidP="00F223ED">
      <w:pPr>
        <w:autoSpaceDE w:val="0"/>
        <w:autoSpaceDN w:val="0"/>
        <w:adjustRightInd w:val="0"/>
        <w:rPr>
          <w:sz w:val="22"/>
          <w:szCs w:val="22"/>
        </w:rPr>
      </w:pPr>
      <w:r w:rsidRPr="009964C7">
        <w:rPr>
          <w:sz w:val="22"/>
          <w:szCs w:val="22"/>
        </w:rPr>
        <w:t>*neprilago</w:t>
      </w:r>
      <w:r w:rsidRPr="009964C7">
        <w:rPr>
          <w:rFonts w:eastAsia="TimesNewRoman"/>
          <w:sz w:val="22"/>
          <w:szCs w:val="22"/>
        </w:rPr>
        <w:t>đ</w:t>
      </w:r>
      <w:r w:rsidRPr="009964C7">
        <w:rPr>
          <w:sz w:val="22"/>
          <w:szCs w:val="22"/>
        </w:rPr>
        <w:t>eni log-rang test</w:t>
      </w:r>
    </w:p>
    <w:p w14:paraId="1A6D7DF4" w14:textId="77777777" w:rsidR="00F223ED" w:rsidRPr="009964C7" w:rsidRDefault="00F223ED" w:rsidP="00F223ED">
      <w:pPr>
        <w:autoSpaceDE w:val="0"/>
        <w:autoSpaceDN w:val="0"/>
        <w:adjustRightInd w:val="0"/>
        <w:rPr>
          <w:sz w:val="22"/>
          <w:szCs w:val="22"/>
        </w:rPr>
      </w:pPr>
      <w:r w:rsidRPr="009964C7">
        <w:rPr>
          <w:sz w:val="22"/>
          <w:szCs w:val="22"/>
        </w:rPr>
        <w:t>**neprilago</w:t>
      </w:r>
      <w:r w:rsidRPr="009964C7">
        <w:rPr>
          <w:rFonts w:eastAsia="TimesNewRoman"/>
          <w:sz w:val="22"/>
          <w:szCs w:val="22"/>
        </w:rPr>
        <w:t>đ</w:t>
      </w:r>
      <w:r w:rsidRPr="009964C7">
        <w:rPr>
          <w:sz w:val="22"/>
          <w:szCs w:val="22"/>
        </w:rPr>
        <w:t>eni log-rang test, nije prilago</w:t>
      </w:r>
      <w:r w:rsidRPr="009964C7">
        <w:rPr>
          <w:rFonts w:eastAsia="TimesNewRoman"/>
          <w:sz w:val="22"/>
          <w:szCs w:val="22"/>
        </w:rPr>
        <w:t>đ</w:t>
      </w:r>
      <w:r w:rsidRPr="009964C7">
        <w:rPr>
          <w:sz w:val="22"/>
          <w:szCs w:val="22"/>
        </w:rPr>
        <w:t>en za multipla pore</w:t>
      </w:r>
      <w:r w:rsidRPr="009964C7">
        <w:rPr>
          <w:rFonts w:eastAsia="TimesNewRoman"/>
          <w:sz w:val="22"/>
          <w:szCs w:val="22"/>
        </w:rPr>
        <w:t>đ</w:t>
      </w:r>
      <w:r w:rsidRPr="009964C7">
        <w:rPr>
          <w:sz w:val="22"/>
          <w:szCs w:val="22"/>
        </w:rPr>
        <w:t>enja</w:t>
      </w:r>
    </w:p>
    <w:p w14:paraId="7585CBC2" w14:textId="77777777" w:rsidR="00F223ED" w:rsidRPr="009964C7" w:rsidRDefault="00F223ED" w:rsidP="00F223ED">
      <w:pPr>
        <w:autoSpaceDE w:val="0"/>
        <w:autoSpaceDN w:val="0"/>
        <w:adjustRightInd w:val="0"/>
        <w:rPr>
          <w:sz w:val="22"/>
          <w:szCs w:val="22"/>
        </w:rPr>
      </w:pPr>
      <w:r w:rsidRPr="009964C7">
        <w:rPr>
          <w:sz w:val="22"/>
          <w:szCs w:val="22"/>
        </w:rPr>
        <w:t>***Chi-square test, nije prilago</w:t>
      </w:r>
      <w:r w:rsidRPr="009964C7">
        <w:rPr>
          <w:rFonts w:eastAsia="TimesNewRoman"/>
          <w:sz w:val="22"/>
          <w:szCs w:val="22"/>
        </w:rPr>
        <w:t>đ</w:t>
      </w:r>
      <w:r w:rsidRPr="009964C7">
        <w:rPr>
          <w:sz w:val="22"/>
          <w:szCs w:val="22"/>
        </w:rPr>
        <w:t>en za multipla pore</w:t>
      </w:r>
      <w:r w:rsidRPr="009964C7">
        <w:rPr>
          <w:rFonts w:eastAsia="TimesNewRoman"/>
          <w:sz w:val="22"/>
          <w:szCs w:val="22"/>
        </w:rPr>
        <w:t>đ</w:t>
      </w:r>
      <w:r w:rsidRPr="009964C7">
        <w:rPr>
          <w:sz w:val="22"/>
          <w:szCs w:val="22"/>
        </w:rPr>
        <w:t>enja</w:t>
      </w:r>
    </w:p>
    <w:p w14:paraId="28E6D4AE" w14:textId="77777777" w:rsidR="00F223ED" w:rsidRPr="009964C7" w:rsidRDefault="00F223ED" w:rsidP="00F223ED">
      <w:pPr>
        <w:autoSpaceDE w:val="0"/>
        <w:autoSpaceDN w:val="0"/>
        <w:adjustRightInd w:val="0"/>
        <w:rPr>
          <w:sz w:val="22"/>
          <w:szCs w:val="22"/>
        </w:rPr>
      </w:pPr>
      <w:r w:rsidRPr="009964C7">
        <w:rPr>
          <w:sz w:val="22"/>
          <w:szCs w:val="22"/>
        </w:rPr>
        <w:t>NA-nije primjenljivo</w:t>
      </w:r>
    </w:p>
    <w:p w14:paraId="3E6112A8" w14:textId="77777777" w:rsidR="00F223ED" w:rsidRPr="009964C7" w:rsidRDefault="00F223ED" w:rsidP="00F223ED">
      <w:pPr>
        <w:autoSpaceDE w:val="0"/>
        <w:autoSpaceDN w:val="0"/>
        <w:adjustRightInd w:val="0"/>
        <w:rPr>
          <w:sz w:val="22"/>
          <w:szCs w:val="22"/>
          <w:u w:val="single"/>
        </w:rPr>
      </w:pPr>
      <w:r w:rsidRPr="009964C7">
        <w:rPr>
          <w:sz w:val="22"/>
          <w:szCs w:val="22"/>
          <w:u w:val="single"/>
        </w:rPr>
        <w:lastRenderedPageBreak/>
        <w:t>Pedijatrijska populacija</w:t>
      </w:r>
    </w:p>
    <w:p w14:paraId="2D1586FB" w14:textId="77777777" w:rsidR="00F223ED" w:rsidRPr="009964C7" w:rsidRDefault="00F223ED" w:rsidP="00F223ED">
      <w:pPr>
        <w:autoSpaceDE w:val="0"/>
        <w:autoSpaceDN w:val="0"/>
        <w:adjustRightInd w:val="0"/>
        <w:rPr>
          <w:sz w:val="22"/>
          <w:szCs w:val="22"/>
          <w:u w:val="single"/>
        </w:rPr>
      </w:pPr>
    </w:p>
    <w:p w14:paraId="2DE81DC2" w14:textId="0FAB4999" w:rsidR="00F223ED" w:rsidRPr="009964C7" w:rsidRDefault="00F223ED" w:rsidP="00F223ED">
      <w:pPr>
        <w:pStyle w:val="Header"/>
        <w:tabs>
          <w:tab w:val="left" w:pos="284"/>
        </w:tabs>
        <w:rPr>
          <w:sz w:val="22"/>
          <w:szCs w:val="22"/>
        </w:rPr>
      </w:pPr>
      <w:r w:rsidRPr="009964C7">
        <w:rPr>
          <w:sz w:val="22"/>
          <w:szCs w:val="22"/>
        </w:rPr>
        <w:t xml:space="preserve">EMA je odustala od slanja izvještaja o rezultatima studija sa docetakselom koje su vršene na podgrupama pedijatrijske populacije sa karcinomom dojke, nemikrocelularnim karcinomom pluća, karcinomom prostate, karcinomom želuca i karcinomom glave i vrata, ne uključujući tipove II i III manje diferenciranog nazofaringealnog karcinoma (vidjeti </w:t>
      </w:r>
      <w:r w:rsidR="006A399E">
        <w:rPr>
          <w:sz w:val="22"/>
          <w:szCs w:val="22"/>
        </w:rPr>
        <w:t>dio</w:t>
      </w:r>
      <w:r w:rsidRPr="009964C7">
        <w:rPr>
          <w:sz w:val="22"/>
          <w:szCs w:val="22"/>
        </w:rPr>
        <w:t xml:space="preserve"> 4.2 za informacije o primjeni kod djece). </w:t>
      </w:r>
    </w:p>
    <w:p w14:paraId="0916BAB2" w14:textId="77777777" w:rsidR="00F223ED" w:rsidRPr="00D26BBC" w:rsidRDefault="00F223ED" w:rsidP="00F223ED">
      <w:pPr>
        <w:autoSpaceDE w:val="0"/>
        <w:autoSpaceDN w:val="0"/>
        <w:adjustRightInd w:val="0"/>
        <w:rPr>
          <w:sz w:val="22"/>
          <w:szCs w:val="22"/>
        </w:rPr>
      </w:pPr>
    </w:p>
    <w:p w14:paraId="3034E920" w14:textId="77777777" w:rsidR="002E37A5" w:rsidRPr="00786071" w:rsidRDefault="002E37A5" w:rsidP="00480FB1">
      <w:pPr>
        <w:tabs>
          <w:tab w:val="left" w:pos="540"/>
          <w:tab w:val="left" w:pos="569"/>
        </w:tabs>
        <w:rPr>
          <w:b/>
          <w:bCs/>
          <w:sz w:val="22"/>
          <w:szCs w:val="22"/>
        </w:rPr>
      </w:pPr>
    </w:p>
    <w:p w14:paraId="78E046B7" w14:textId="77777777" w:rsidR="0072020E" w:rsidRPr="00786071"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4F05CF5E" w14:textId="3DB15D75" w:rsidR="0072020E" w:rsidRDefault="0072020E" w:rsidP="00480FB1">
      <w:pPr>
        <w:tabs>
          <w:tab w:val="left" w:pos="540"/>
          <w:tab w:val="left" w:pos="569"/>
        </w:tabs>
        <w:rPr>
          <w:bCs/>
          <w:sz w:val="22"/>
          <w:szCs w:val="22"/>
        </w:rPr>
      </w:pPr>
    </w:p>
    <w:p w14:paraId="3C0AE71C" w14:textId="77777777" w:rsidR="00770F56" w:rsidRPr="009964C7" w:rsidRDefault="00770F56" w:rsidP="00770F56">
      <w:pPr>
        <w:autoSpaceDE w:val="0"/>
        <w:autoSpaceDN w:val="0"/>
        <w:adjustRightInd w:val="0"/>
        <w:rPr>
          <w:sz w:val="22"/>
          <w:szCs w:val="22"/>
          <w:u w:val="single"/>
        </w:rPr>
      </w:pPr>
      <w:r w:rsidRPr="009964C7">
        <w:rPr>
          <w:sz w:val="22"/>
          <w:szCs w:val="22"/>
          <w:u w:val="single"/>
        </w:rPr>
        <w:t>Apsorpcija</w:t>
      </w:r>
    </w:p>
    <w:p w14:paraId="0950DE70" w14:textId="77777777" w:rsidR="00770F56" w:rsidRPr="009964C7" w:rsidRDefault="00770F56" w:rsidP="00770F56">
      <w:pPr>
        <w:autoSpaceDE w:val="0"/>
        <w:autoSpaceDN w:val="0"/>
        <w:adjustRightInd w:val="0"/>
        <w:rPr>
          <w:sz w:val="22"/>
          <w:szCs w:val="22"/>
        </w:rPr>
      </w:pPr>
    </w:p>
    <w:p w14:paraId="7E722A2D" w14:textId="77777777" w:rsidR="00770F56" w:rsidRPr="009964C7" w:rsidRDefault="00770F56" w:rsidP="00770F56">
      <w:pPr>
        <w:autoSpaceDE w:val="0"/>
        <w:autoSpaceDN w:val="0"/>
        <w:adjustRightInd w:val="0"/>
        <w:rPr>
          <w:sz w:val="22"/>
          <w:szCs w:val="22"/>
        </w:rPr>
      </w:pPr>
      <w:r w:rsidRPr="009964C7">
        <w:rPr>
          <w:sz w:val="22"/>
          <w:szCs w:val="22"/>
        </w:rPr>
        <w:t>Farmakokinetika docetaksela procjenjivana je kod onkološk</w:t>
      </w:r>
      <w:r>
        <w:rPr>
          <w:sz w:val="22"/>
          <w:szCs w:val="22"/>
        </w:rPr>
        <w:t>i</w:t>
      </w:r>
      <w:r w:rsidRPr="009964C7">
        <w:rPr>
          <w:sz w:val="22"/>
          <w:szCs w:val="22"/>
        </w:rPr>
        <w:t>h pacijenata pri primjeni doza od 20-115 mg/m² u studijama faze I. Kineti</w:t>
      </w:r>
      <w:r w:rsidRPr="009964C7">
        <w:rPr>
          <w:rFonts w:eastAsia="TimesNewRoman"/>
          <w:sz w:val="22"/>
          <w:szCs w:val="22"/>
        </w:rPr>
        <w:t>č</w:t>
      </w:r>
      <w:r w:rsidRPr="009964C7">
        <w:rPr>
          <w:sz w:val="22"/>
          <w:szCs w:val="22"/>
        </w:rPr>
        <w:t>ki profil docetaksela ne zavisi od doze i u skladu je sa troprostornim farmakokineti</w:t>
      </w:r>
      <w:r w:rsidRPr="009964C7">
        <w:rPr>
          <w:rFonts w:eastAsia="TimesNewRoman"/>
          <w:sz w:val="22"/>
          <w:szCs w:val="22"/>
        </w:rPr>
        <w:t>č</w:t>
      </w:r>
      <w:r w:rsidRPr="009964C7">
        <w:rPr>
          <w:sz w:val="22"/>
          <w:szCs w:val="22"/>
        </w:rPr>
        <w:t xml:space="preserve">kim modelom, pri </w:t>
      </w:r>
      <w:r w:rsidRPr="009964C7">
        <w:rPr>
          <w:rFonts w:eastAsia="TimesNewRoman"/>
          <w:sz w:val="22"/>
          <w:szCs w:val="22"/>
        </w:rPr>
        <w:t>č</w:t>
      </w:r>
      <w:r w:rsidRPr="009964C7">
        <w:rPr>
          <w:sz w:val="22"/>
          <w:szCs w:val="22"/>
        </w:rPr>
        <w:t xml:space="preserve">emu je poluvrijeme eliminacije faze α - 4 minuta, faze β - 36 minuta i faze γ - 11,1 sat. Kasna faza je, dijelom, posljedica relativno sporog efluksa docetaksela iz perifernog prostora. </w:t>
      </w:r>
    </w:p>
    <w:p w14:paraId="7CC90917" w14:textId="77777777" w:rsidR="00770F56" w:rsidRPr="009964C7" w:rsidRDefault="00770F56" w:rsidP="00770F56">
      <w:pPr>
        <w:autoSpaceDE w:val="0"/>
        <w:autoSpaceDN w:val="0"/>
        <w:adjustRightInd w:val="0"/>
        <w:rPr>
          <w:sz w:val="22"/>
          <w:szCs w:val="22"/>
        </w:rPr>
      </w:pPr>
    </w:p>
    <w:p w14:paraId="476EA43A" w14:textId="77777777" w:rsidR="00770F56" w:rsidRPr="009964C7" w:rsidRDefault="00770F56" w:rsidP="00770F56">
      <w:pPr>
        <w:autoSpaceDE w:val="0"/>
        <w:autoSpaceDN w:val="0"/>
        <w:adjustRightInd w:val="0"/>
        <w:rPr>
          <w:sz w:val="22"/>
          <w:szCs w:val="22"/>
          <w:u w:val="single"/>
        </w:rPr>
      </w:pPr>
      <w:r w:rsidRPr="009964C7">
        <w:rPr>
          <w:sz w:val="22"/>
          <w:szCs w:val="22"/>
          <w:u w:val="single"/>
        </w:rPr>
        <w:t>Distribucija</w:t>
      </w:r>
    </w:p>
    <w:p w14:paraId="7A9F1C0F" w14:textId="77777777" w:rsidR="00770F56" w:rsidRPr="009964C7" w:rsidRDefault="00770F56" w:rsidP="00770F56">
      <w:pPr>
        <w:autoSpaceDE w:val="0"/>
        <w:autoSpaceDN w:val="0"/>
        <w:adjustRightInd w:val="0"/>
        <w:rPr>
          <w:sz w:val="22"/>
          <w:szCs w:val="22"/>
          <w:u w:val="single"/>
        </w:rPr>
      </w:pPr>
    </w:p>
    <w:p w14:paraId="4504673B" w14:textId="77777777" w:rsidR="00770F56" w:rsidRPr="009964C7" w:rsidRDefault="00770F56" w:rsidP="00770F56">
      <w:pPr>
        <w:autoSpaceDE w:val="0"/>
        <w:autoSpaceDN w:val="0"/>
        <w:adjustRightInd w:val="0"/>
        <w:rPr>
          <w:sz w:val="22"/>
          <w:szCs w:val="22"/>
        </w:rPr>
      </w:pPr>
      <w:r w:rsidRPr="009964C7">
        <w:rPr>
          <w:sz w:val="22"/>
          <w:szCs w:val="22"/>
        </w:rPr>
        <w:t>Poslije primjene doze od 100 mg/m² putem 1-satne infuzije, dostiže se maksimalna koncentraciju u plazmi od 3,7 μg/ml, sa odgovaraju</w:t>
      </w:r>
      <w:r w:rsidRPr="009964C7">
        <w:rPr>
          <w:rFonts w:eastAsia="TimesNewRoman"/>
          <w:sz w:val="22"/>
          <w:szCs w:val="22"/>
        </w:rPr>
        <w:t>ć</w:t>
      </w:r>
      <w:r w:rsidRPr="009964C7">
        <w:rPr>
          <w:sz w:val="22"/>
          <w:szCs w:val="22"/>
        </w:rPr>
        <w:t>om PIK od 4,6 h.μg/ml. Srednja vrijednost za ukupni klirens bila je 21 l/h/m², a volumen distribucije u ravnotežnom stanju 113 1. Interindividualno variranje ukupnog klirensa bilo je oko 50%. Više od 95% docetaksela je vezano za proteine plazme.</w:t>
      </w:r>
    </w:p>
    <w:p w14:paraId="54F91EF8" w14:textId="77777777" w:rsidR="00770F56" w:rsidRPr="009964C7" w:rsidRDefault="00770F56" w:rsidP="00770F56">
      <w:pPr>
        <w:autoSpaceDE w:val="0"/>
        <w:autoSpaceDN w:val="0"/>
        <w:adjustRightInd w:val="0"/>
        <w:rPr>
          <w:sz w:val="22"/>
          <w:szCs w:val="22"/>
        </w:rPr>
      </w:pPr>
    </w:p>
    <w:p w14:paraId="7425F671" w14:textId="77777777" w:rsidR="00770F56" w:rsidRPr="009964C7" w:rsidRDefault="00770F56" w:rsidP="00770F56">
      <w:pPr>
        <w:autoSpaceDE w:val="0"/>
        <w:autoSpaceDN w:val="0"/>
        <w:adjustRightInd w:val="0"/>
        <w:rPr>
          <w:sz w:val="22"/>
          <w:szCs w:val="22"/>
          <w:u w:val="single"/>
        </w:rPr>
      </w:pPr>
      <w:r w:rsidRPr="009964C7">
        <w:rPr>
          <w:sz w:val="22"/>
          <w:szCs w:val="22"/>
          <w:u w:val="single"/>
        </w:rPr>
        <w:t>Izlučivanje</w:t>
      </w:r>
    </w:p>
    <w:p w14:paraId="6F6C51E5" w14:textId="77777777" w:rsidR="00770F56" w:rsidRPr="009964C7" w:rsidRDefault="00770F56" w:rsidP="00770F56">
      <w:pPr>
        <w:autoSpaceDE w:val="0"/>
        <w:autoSpaceDN w:val="0"/>
        <w:adjustRightInd w:val="0"/>
        <w:rPr>
          <w:sz w:val="22"/>
          <w:szCs w:val="22"/>
          <w:u w:val="single"/>
        </w:rPr>
      </w:pPr>
    </w:p>
    <w:p w14:paraId="298EC058" w14:textId="77777777" w:rsidR="00770F56" w:rsidRPr="009964C7" w:rsidRDefault="00770F56" w:rsidP="00770F56">
      <w:pPr>
        <w:autoSpaceDE w:val="0"/>
        <w:autoSpaceDN w:val="0"/>
        <w:adjustRightInd w:val="0"/>
        <w:rPr>
          <w:sz w:val="22"/>
          <w:szCs w:val="22"/>
        </w:rPr>
      </w:pPr>
      <w:r w:rsidRPr="009964C7">
        <w:rPr>
          <w:sz w:val="22"/>
          <w:szCs w:val="22"/>
        </w:rPr>
        <w:t xml:space="preserve">Kod tri pacijenta sa karcinomom vršena je studija sa </w:t>
      </w:r>
      <w:r w:rsidRPr="009964C7">
        <w:rPr>
          <w:sz w:val="22"/>
          <w:szCs w:val="22"/>
          <w:vertAlign w:val="superscript"/>
        </w:rPr>
        <w:t>14</w:t>
      </w:r>
      <w:r w:rsidRPr="009964C7">
        <w:rPr>
          <w:sz w:val="22"/>
          <w:szCs w:val="22"/>
        </w:rPr>
        <w:t>C-docetakselom. Docetaksel se, poslije oksidativnog metabolizma terc-butilesterske grupe posredstvom citohroma P450, izlu</w:t>
      </w:r>
      <w:r w:rsidRPr="009964C7">
        <w:rPr>
          <w:rFonts w:eastAsia="TimesNewRoman"/>
          <w:sz w:val="22"/>
          <w:szCs w:val="22"/>
        </w:rPr>
        <w:t>č</w:t>
      </w:r>
      <w:r w:rsidRPr="009964C7">
        <w:rPr>
          <w:sz w:val="22"/>
          <w:szCs w:val="22"/>
        </w:rPr>
        <w:t>ivao i fecesom i urinom, i to u periodu od 7 dana; s tim što se urinom izlu</w:t>
      </w:r>
      <w:r w:rsidRPr="009964C7">
        <w:rPr>
          <w:rFonts w:eastAsia="TimesNewRoman"/>
          <w:sz w:val="22"/>
          <w:szCs w:val="22"/>
        </w:rPr>
        <w:t>č</w:t>
      </w:r>
      <w:r w:rsidRPr="009964C7">
        <w:rPr>
          <w:sz w:val="22"/>
          <w:szCs w:val="22"/>
        </w:rPr>
        <w:t>ivalo oko 6%, a fecesom oko 75% unijete radioaktivnosti. Približno 80% radioaktivnosti eliminisane fecesom izlu</w:t>
      </w:r>
      <w:r w:rsidRPr="009964C7">
        <w:rPr>
          <w:rFonts w:eastAsia="TimesNewRoman"/>
          <w:sz w:val="22"/>
          <w:szCs w:val="22"/>
        </w:rPr>
        <w:t>č</w:t>
      </w:r>
      <w:r w:rsidRPr="009964C7">
        <w:rPr>
          <w:sz w:val="22"/>
          <w:szCs w:val="22"/>
        </w:rPr>
        <w:t>i se u prvih 48 sati, u obliku jednog zna</w:t>
      </w:r>
      <w:r w:rsidRPr="009964C7">
        <w:rPr>
          <w:rFonts w:eastAsia="TimesNewRoman"/>
          <w:sz w:val="22"/>
          <w:szCs w:val="22"/>
        </w:rPr>
        <w:t>č</w:t>
      </w:r>
      <w:r w:rsidRPr="009964C7">
        <w:rPr>
          <w:sz w:val="22"/>
          <w:szCs w:val="22"/>
        </w:rPr>
        <w:t>ajnog neaktivnog i 3 manje zna</w:t>
      </w:r>
      <w:r w:rsidRPr="009964C7">
        <w:rPr>
          <w:rFonts w:eastAsia="TimesNewRoman"/>
          <w:sz w:val="22"/>
          <w:szCs w:val="22"/>
        </w:rPr>
        <w:t>č</w:t>
      </w:r>
      <w:r w:rsidRPr="009964C7">
        <w:rPr>
          <w:sz w:val="22"/>
          <w:szCs w:val="22"/>
        </w:rPr>
        <w:t>ajna neaktivna metabolita, dok je udio lijeka izlu</w:t>
      </w:r>
      <w:r w:rsidRPr="009964C7">
        <w:rPr>
          <w:rFonts w:eastAsia="TimesNewRoman"/>
          <w:sz w:val="22"/>
          <w:szCs w:val="22"/>
        </w:rPr>
        <w:t>č</w:t>
      </w:r>
      <w:r w:rsidRPr="009964C7">
        <w:rPr>
          <w:sz w:val="22"/>
          <w:szCs w:val="22"/>
        </w:rPr>
        <w:t>enog u neizmijenjenom obliku veoma mali.</w:t>
      </w:r>
    </w:p>
    <w:p w14:paraId="6475B713" w14:textId="77777777" w:rsidR="00770F56" w:rsidRPr="009964C7" w:rsidRDefault="00770F56" w:rsidP="00770F56">
      <w:pPr>
        <w:autoSpaceDE w:val="0"/>
        <w:autoSpaceDN w:val="0"/>
        <w:adjustRightInd w:val="0"/>
        <w:rPr>
          <w:sz w:val="22"/>
          <w:szCs w:val="22"/>
        </w:rPr>
      </w:pPr>
    </w:p>
    <w:p w14:paraId="12FD3C35" w14:textId="77777777" w:rsidR="00770F56" w:rsidRPr="009964C7" w:rsidRDefault="00770F56" w:rsidP="00770F56">
      <w:pPr>
        <w:autoSpaceDE w:val="0"/>
        <w:autoSpaceDN w:val="0"/>
        <w:adjustRightInd w:val="0"/>
        <w:rPr>
          <w:sz w:val="22"/>
          <w:szCs w:val="22"/>
          <w:u w:val="single"/>
        </w:rPr>
      </w:pPr>
      <w:r w:rsidRPr="009964C7">
        <w:rPr>
          <w:sz w:val="22"/>
          <w:szCs w:val="22"/>
          <w:u w:val="single"/>
        </w:rPr>
        <w:t>Posebne populacije</w:t>
      </w:r>
    </w:p>
    <w:p w14:paraId="17FB6ABD" w14:textId="77777777" w:rsidR="00770F56" w:rsidRPr="009964C7" w:rsidRDefault="00770F56" w:rsidP="00770F56">
      <w:pPr>
        <w:autoSpaceDE w:val="0"/>
        <w:autoSpaceDN w:val="0"/>
        <w:adjustRightInd w:val="0"/>
        <w:rPr>
          <w:i/>
          <w:sz w:val="22"/>
          <w:szCs w:val="22"/>
        </w:rPr>
      </w:pPr>
    </w:p>
    <w:p w14:paraId="233A91F4" w14:textId="77777777" w:rsidR="00770F56" w:rsidRPr="009964C7" w:rsidRDefault="00770F56" w:rsidP="00770F56">
      <w:pPr>
        <w:keepNext/>
        <w:autoSpaceDE w:val="0"/>
        <w:autoSpaceDN w:val="0"/>
        <w:adjustRightInd w:val="0"/>
        <w:rPr>
          <w:i/>
          <w:sz w:val="22"/>
          <w:szCs w:val="22"/>
          <w:u w:val="single"/>
        </w:rPr>
      </w:pPr>
      <w:r w:rsidRPr="009964C7">
        <w:rPr>
          <w:i/>
          <w:sz w:val="22"/>
          <w:szCs w:val="22"/>
          <w:u w:val="single"/>
        </w:rPr>
        <w:t>Godine i pol</w:t>
      </w:r>
    </w:p>
    <w:p w14:paraId="18FE0773" w14:textId="77777777" w:rsidR="00770F56" w:rsidRPr="009964C7" w:rsidRDefault="00770F56" w:rsidP="00770F56">
      <w:pPr>
        <w:keepNext/>
        <w:autoSpaceDE w:val="0"/>
        <w:autoSpaceDN w:val="0"/>
        <w:adjustRightInd w:val="0"/>
        <w:rPr>
          <w:sz w:val="22"/>
          <w:szCs w:val="22"/>
        </w:rPr>
      </w:pPr>
    </w:p>
    <w:p w14:paraId="64707707" w14:textId="77777777" w:rsidR="00770F56" w:rsidRPr="009964C7" w:rsidRDefault="00770F56" w:rsidP="00770F56">
      <w:pPr>
        <w:autoSpaceDE w:val="0"/>
        <w:autoSpaceDN w:val="0"/>
        <w:adjustRightInd w:val="0"/>
        <w:rPr>
          <w:sz w:val="22"/>
          <w:szCs w:val="22"/>
        </w:rPr>
      </w:pPr>
      <w:r w:rsidRPr="009964C7">
        <w:rPr>
          <w:sz w:val="22"/>
          <w:szCs w:val="22"/>
        </w:rPr>
        <w:t>Populaciona farmakokineti</w:t>
      </w:r>
      <w:r w:rsidRPr="009964C7">
        <w:rPr>
          <w:rFonts w:eastAsia="TimesNewRoman"/>
          <w:sz w:val="22"/>
          <w:szCs w:val="22"/>
        </w:rPr>
        <w:t>č</w:t>
      </w:r>
      <w:r w:rsidRPr="009964C7">
        <w:rPr>
          <w:sz w:val="22"/>
          <w:szCs w:val="22"/>
        </w:rPr>
        <w:t>ka analiza docetaksela sprovedena je kod 577 pacijenata. Farmakokineti</w:t>
      </w:r>
      <w:r w:rsidRPr="009964C7">
        <w:rPr>
          <w:rFonts w:eastAsia="TimesNewRoman"/>
          <w:sz w:val="22"/>
          <w:szCs w:val="22"/>
        </w:rPr>
        <w:t>č</w:t>
      </w:r>
      <w:r w:rsidRPr="009964C7">
        <w:rPr>
          <w:sz w:val="22"/>
          <w:szCs w:val="22"/>
        </w:rPr>
        <w:t>ki parametri procijenjeni pomo</w:t>
      </w:r>
      <w:r w:rsidRPr="009964C7">
        <w:rPr>
          <w:rFonts w:eastAsia="TimesNewRoman"/>
          <w:sz w:val="22"/>
          <w:szCs w:val="22"/>
        </w:rPr>
        <w:t>ć</w:t>
      </w:r>
      <w:r w:rsidRPr="009964C7">
        <w:rPr>
          <w:sz w:val="22"/>
          <w:szCs w:val="22"/>
        </w:rPr>
        <w:t>u modela bili su vrlo sli</w:t>
      </w:r>
      <w:r w:rsidRPr="009964C7">
        <w:rPr>
          <w:rFonts w:eastAsia="TimesNewRoman"/>
          <w:sz w:val="22"/>
          <w:szCs w:val="22"/>
        </w:rPr>
        <w:t>č</w:t>
      </w:r>
      <w:r w:rsidRPr="009964C7">
        <w:rPr>
          <w:sz w:val="22"/>
          <w:szCs w:val="22"/>
        </w:rPr>
        <w:t xml:space="preserve">ni parametrima procijenjenim tokom faze I studija. Starost ili pol pacijenata nisu uticali na farmakokinetiku docetaksela. </w:t>
      </w:r>
    </w:p>
    <w:p w14:paraId="499346D9" w14:textId="77777777" w:rsidR="00770F56" w:rsidRPr="009964C7" w:rsidRDefault="00770F56" w:rsidP="00770F56">
      <w:pPr>
        <w:autoSpaceDE w:val="0"/>
        <w:autoSpaceDN w:val="0"/>
        <w:adjustRightInd w:val="0"/>
        <w:rPr>
          <w:i/>
          <w:sz w:val="22"/>
          <w:szCs w:val="22"/>
        </w:rPr>
      </w:pPr>
    </w:p>
    <w:p w14:paraId="3211BD9D"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Pacijenti sa oštećenjem jetre</w:t>
      </w:r>
    </w:p>
    <w:p w14:paraId="6DA3EE26" w14:textId="77777777" w:rsidR="00770F56" w:rsidRPr="009964C7" w:rsidRDefault="00770F56" w:rsidP="00770F56">
      <w:pPr>
        <w:autoSpaceDE w:val="0"/>
        <w:autoSpaceDN w:val="0"/>
        <w:adjustRightInd w:val="0"/>
        <w:rPr>
          <w:i/>
          <w:sz w:val="22"/>
          <w:szCs w:val="22"/>
        </w:rPr>
      </w:pPr>
    </w:p>
    <w:p w14:paraId="44F417E6" w14:textId="7BF9EB97" w:rsidR="00770F56" w:rsidRPr="009964C7" w:rsidRDefault="00770F56" w:rsidP="00770F56">
      <w:pPr>
        <w:autoSpaceDE w:val="0"/>
        <w:autoSpaceDN w:val="0"/>
        <w:adjustRightInd w:val="0"/>
        <w:rPr>
          <w:sz w:val="22"/>
          <w:szCs w:val="22"/>
        </w:rPr>
      </w:pPr>
      <w:r w:rsidRPr="009964C7">
        <w:rPr>
          <w:sz w:val="22"/>
          <w:szCs w:val="22"/>
        </w:rPr>
        <w:t>Kod malog broja pacijenata (n=23), sa biohemijskim rezultatima koji ukazuju na ošte</w:t>
      </w:r>
      <w:r w:rsidRPr="009964C7">
        <w:rPr>
          <w:rFonts w:eastAsia="TimesNewRoman"/>
          <w:sz w:val="22"/>
          <w:szCs w:val="22"/>
        </w:rPr>
        <w:t>ć</w:t>
      </w:r>
      <w:r w:rsidRPr="009964C7">
        <w:rPr>
          <w:sz w:val="22"/>
          <w:szCs w:val="22"/>
        </w:rPr>
        <w:t xml:space="preserve">enje funkcije jetre blagog do umjerenog intenziteta (ALT, AST </w:t>
      </w:r>
      <w:r w:rsidRPr="009964C7">
        <w:rPr>
          <w:rFonts w:eastAsia="TimesNewRoman"/>
          <w:sz w:val="22"/>
          <w:szCs w:val="22"/>
        </w:rPr>
        <w:t xml:space="preserve">≥ </w:t>
      </w:r>
      <w:r w:rsidRPr="009964C7">
        <w:rPr>
          <w:sz w:val="22"/>
          <w:szCs w:val="22"/>
        </w:rPr>
        <w:t>1,5 x gornja granica normale, pra</w:t>
      </w:r>
      <w:r w:rsidRPr="009964C7">
        <w:rPr>
          <w:rFonts w:eastAsia="TimesNewRoman"/>
          <w:sz w:val="22"/>
          <w:szCs w:val="22"/>
        </w:rPr>
        <w:t>ć</w:t>
      </w:r>
      <w:r w:rsidRPr="009964C7">
        <w:rPr>
          <w:sz w:val="22"/>
          <w:szCs w:val="22"/>
        </w:rPr>
        <w:t xml:space="preserve">ena nivoom alkalne fosfataze </w:t>
      </w:r>
      <w:r w:rsidRPr="009964C7">
        <w:rPr>
          <w:rFonts w:eastAsia="TimesNewRoman"/>
          <w:sz w:val="22"/>
          <w:szCs w:val="22"/>
        </w:rPr>
        <w:t>≥</w:t>
      </w:r>
      <w:r>
        <w:rPr>
          <w:rFonts w:eastAsia="TimesNewRoman"/>
          <w:sz w:val="22"/>
          <w:szCs w:val="22"/>
        </w:rPr>
        <w:t xml:space="preserve"> </w:t>
      </w:r>
      <w:r w:rsidRPr="009964C7">
        <w:rPr>
          <w:sz w:val="22"/>
          <w:szCs w:val="22"/>
        </w:rPr>
        <w:t xml:space="preserve">2,5 x gornja granica normale), ukupni klirens je bio u prosjeku niži za 27% (vidjeti </w:t>
      </w:r>
      <w:r w:rsidR="006A399E">
        <w:rPr>
          <w:sz w:val="22"/>
          <w:szCs w:val="22"/>
        </w:rPr>
        <w:t>dio</w:t>
      </w:r>
      <w:r w:rsidRPr="009964C7">
        <w:rPr>
          <w:sz w:val="22"/>
          <w:szCs w:val="22"/>
        </w:rPr>
        <w:t xml:space="preserve"> 4.2). </w:t>
      </w:r>
    </w:p>
    <w:p w14:paraId="6345A234" w14:textId="77777777" w:rsidR="00770F56" w:rsidRPr="009964C7" w:rsidRDefault="00770F56" w:rsidP="00770F56">
      <w:pPr>
        <w:autoSpaceDE w:val="0"/>
        <w:autoSpaceDN w:val="0"/>
        <w:adjustRightInd w:val="0"/>
        <w:rPr>
          <w:sz w:val="22"/>
          <w:szCs w:val="22"/>
        </w:rPr>
      </w:pPr>
    </w:p>
    <w:p w14:paraId="016C81F5"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Zadržavanje tečnosti</w:t>
      </w:r>
    </w:p>
    <w:p w14:paraId="3AC2380C" w14:textId="77777777" w:rsidR="00770F56" w:rsidRPr="009964C7" w:rsidRDefault="00770F56" w:rsidP="00770F56">
      <w:pPr>
        <w:autoSpaceDE w:val="0"/>
        <w:autoSpaceDN w:val="0"/>
        <w:adjustRightInd w:val="0"/>
        <w:rPr>
          <w:sz w:val="22"/>
          <w:szCs w:val="22"/>
        </w:rPr>
      </w:pPr>
    </w:p>
    <w:p w14:paraId="47ECE5FF" w14:textId="77777777" w:rsidR="00770F56" w:rsidRPr="009964C7" w:rsidRDefault="00770F56" w:rsidP="00770F56">
      <w:pPr>
        <w:autoSpaceDE w:val="0"/>
        <w:autoSpaceDN w:val="0"/>
        <w:adjustRightInd w:val="0"/>
        <w:rPr>
          <w:sz w:val="22"/>
          <w:szCs w:val="22"/>
        </w:rPr>
      </w:pPr>
      <w:r w:rsidRPr="009964C7">
        <w:rPr>
          <w:sz w:val="22"/>
          <w:szCs w:val="22"/>
        </w:rPr>
        <w:t>Kod pacijenata sa blagom do umjerenom retencijom te</w:t>
      </w:r>
      <w:r w:rsidRPr="009964C7">
        <w:rPr>
          <w:rFonts w:eastAsia="TimesNewRoman"/>
          <w:sz w:val="22"/>
          <w:szCs w:val="22"/>
        </w:rPr>
        <w:t>č</w:t>
      </w:r>
      <w:r w:rsidRPr="009964C7">
        <w:rPr>
          <w:sz w:val="22"/>
          <w:szCs w:val="22"/>
        </w:rPr>
        <w:t>nosti nije bilo promjene klirensa docetaksela. Nema podataka za pacijente sa teškom retencijom te</w:t>
      </w:r>
      <w:r w:rsidRPr="009964C7">
        <w:rPr>
          <w:rFonts w:eastAsia="TimesNewRoman"/>
          <w:sz w:val="22"/>
          <w:szCs w:val="22"/>
        </w:rPr>
        <w:t>č</w:t>
      </w:r>
      <w:r w:rsidRPr="009964C7">
        <w:rPr>
          <w:sz w:val="22"/>
          <w:szCs w:val="22"/>
        </w:rPr>
        <w:t>nosti.</w:t>
      </w:r>
    </w:p>
    <w:p w14:paraId="6640516F" w14:textId="77777777" w:rsidR="00770F56" w:rsidRPr="009964C7" w:rsidRDefault="00770F56" w:rsidP="00770F56">
      <w:pPr>
        <w:autoSpaceDE w:val="0"/>
        <w:autoSpaceDN w:val="0"/>
        <w:adjustRightInd w:val="0"/>
        <w:rPr>
          <w:b/>
          <w:bCs/>
          <w:sz w:val="22"/>
          <w:szCs w:val="22"/>
        </w:rPr>
      </w:pPr>
    </w:p>
    <w:p w14:paraId="4C80FB72" w14:textId="77777777" w:rsidR="00770F56" w:rsidRPr="009964C7" w:rsidRDefault="00770F56" w:rsidP="00770F56">
      <w:pPr>
        <w:autoSpaceDE w:val="0"/>
        <w:autoSpaceDN w:val="0"/>
        <w:adjustRightInd w:val="0"/>
        <w:rPr>
          <w:bCs/>
          <w:sz w:val="22"/>
          <w:szCs w:val="22"/>
          <w:u w:val="single"/>
        </w:rPr>
      </w:pPr>
      <w:r w:rsidRPr="009964C7">
        <w:rPr>
          <w:bCs/>
          <w:sz w:val="22"/>
          <w:szCs w:val="22"/>
          <w:u w:val="single"/>
        </w:rPr>
        <w:t>Kombinovana terapija</w:t>
      </w:r>
    </w:p>
    <w:p w14:paraId="0B3B2261" w14:textId="77777777" w:rsidR="00770F56" w:rsidRPr="009964C7" w:rsidRDefault="00770F56" w:rsidP="00770F56">
      <w:pPr>
        <w:autoSpaceDE w:val="0"/>
        <w:autoSpaceDN w:val="0"/>
        <w:adjustRightInd w:val="0"/>
        <w:rPr>
          <w:bCs/>
          <w:i/>
          <w:sz w:val="22"/>
          <w:szCs w:val="22"/>
        </w:rPr>
      </w:pPr>
    </w:p>
    <w:p w14:paraId="76A28E2B" w14:textId="77777777" w:rsidR="00770F56" w:rsidRPr="009964C7" w:rsidRDefault="00770F56" w:rsidP="00770F56">
      <w:pPr>
        <w:autoSpaceDE w:val="0"/>
        <w:autoSpaceDN w:val="0"/>
        <w:adjustRightInd w:val="0"/>
        <w:rPr>
          <w:bCs/>
          <w:i/>
          <w:sz w:val="22"/>
          <w:szCs w:val="22"/>
          <w:u w:val="single"/>
        </w:rPr>
      </w:pPr>
      <w:r w:rsidRPr="009964C7">
        <w:rPr>
          <w:bCs/>
          <w:i/>
          <w:sz w:val="22"/>
          <w:szCs w:val="22"/>
          <w:u w:val="single"/>
        </w:rPr>
        <w:lastRenderedPageBreak/>
        <w:t>Doksorubicin</w:t>
      </w:r>
    </w:p>
    <w:p w14:paraId="55350AE5" w14:textId="77777777" w:rsidR="00770F56" w:rsidRPr="009964C7" w:rsidRDefault="00770F56" w:rsidP="00770F56">
      <w:pPr>
        <w:autoSpaceDE w:val="0"/>
        <w:autoSpaceDN w:val="0"/>
        <w:adjustRightInd w:val="0"/>
        <w:rPr>
          <w:bCs/>
          <w:sz w:val="22"/>
          <w:szCs w:val="22"/>
        </w:rPr>
      </w:pPr>
    </w:p>
    <w:p w14:paraId="6EEFD605" w14:textId="77777777" w:rsidR="00770F56" w:rsidRPr="009964C7" w:rsidRDefault="00770F56" w:rsidP="00770F56">
      <w:pPr>
        <w:autoSpaceDE w:val="0"/>
        <w:autoSpaceDN w:val="0"/>
        <w:adjustRightInd w:val="0"/>
        <w:rPr>
          <w:sz w:val="22"/>
          <w:szCs w:val="22"/>
        </w:rPr>
      </w:pPr>
      <w:r w:rsidRPr="009964C7">
        <w:rPr>
          <w:sz w:val="22"/>
          <w:szCs w:val="22"/>
        </w:rPr>
        <w:t>Primijenjen u kombinaciji sa doksorubicinom, docetaksel ne uti</w:t>
      </w:r>
      <w:r w:rsidRPr="009964C7">
        <w:rPr>
          <w:rFonts w:eastAsia="TimesNewRoman"/>
          <w:sz w:val="22"/>
          <w:szCs w:val="22"/>
        </w:rPr>
        <w:t>č</w:t>
      </w:r>
      <w:r w:rsidRPr="009964C7">
        <w:rPr>
          <w:sz w:val="22"/>
          <w:szCs w:val="22"/>
        </w:rPr>
        <w:t>e na klirens doksorubicina, kao ni na koncentracije doksorubicinola (metabolita doksorubicina) u plazmi. Istovremena primjena docetaksela, doksorubicina i ciklofosfamida nema uticaja na farmakokinetiku ovih ljekova pojedina</w:t>
      </w:r>
      <w:r w:rsidRPr="009964C7">
        <w:rPr>
          <w:rFonts w:eastAsia="TimesNewRoman"/>
          <w:sz w:val="22"/>
          <w:szCs w:val="22"/>
        </w:rPr>
        <w:t>č</w:t>
      </w:r>
      <w:r w:rsidRPr="009964C7">
        <w:rPr>
          <w:sz w:val="22"/>
          <w:szCs w:val="22"/>
        </w:rPr>
        <w:t>no.</w:t>
      </w:r>
    </w:p>
    <w:p w14:paraId="01F26E10" w14:textId="77777777" w:rsidR="00770F56" w:rsidRPr="009964C7" w:rsidRDefault="00770F56" w:rsidP="00770F56">
      <w:pPr>
        <w:autoSpaceDE w:val="0"/>
        <w:autoSpaceDN w:val="0"/>
        <w:adjustRightInd w:val="0"/>
        <w:rPr>
          <w:sz w:val="22"/>
          <w:szCs w:val="22"/>
        </w:rPr>
      </w:pPr>
    </w:p>
    <w:p w14:paraId="4C75132F"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Kapecitabin</w:t>
      </w:r>
    </w:p>
    <w:p w14:paraId="426DD4D5" w14:textId="77777777" w:rsidR="00770F56" w:rsidRPr="009964C7" w:rsidRDefault="00770F56" w:rsidP="00770F56">
      <w:pPr>
        <w:autoSpaceDE w:val="0"/>
        <w:autoSpaceDN w:val="0"/>
        <w:adjustRightInd w:val="0"/>
        <w:rPr>
          <w:sz w:val="22"/>
          <w:szCs w:val="22"/>
        </w:rPr>
      </w:pPr>
    </w:p>
    <w:p w14:paraId="0A8AC94C" w14:textId="77777777" w:rsidR="00770F56" w:rsidRPr="009964C7" w:rsidRDefault="00770F56" w:rsidP="00770F56">
      <w:pPr>
        <w:autoSpaceDE w:val="0"/>
        <w:autoSpaceDN w:val="0"/>
        <w:adjustRightInd w:val="0"/>
        <w:rPr>
          <w:sz w:val="22"/>
          <w:szCs w:val="22"/>
        </w:rPr>
      </w:pPr>
      <w:r w:rsidRPr="009964C7">
        <w:rPr>
          <w:sz w:val="22"/>
          <w:szCs w:val="22"/>
        </w:rPr>
        <w:t>Faza I studije za ocjenu uticaja kapecitabina na farmakokinetiku docetaksela i obrnuto, nije pokazala da bi kapecitabin mogao uticati na farmakokinetiku docetaksela (C</w:t>
      </w:r>
      <w:r w:rsidRPr="00973003">
        <w:rPr>
          <w:sz w:val="22"/>
          <w:szCs w:val="22"/>
          <w:vertAlign w:val="subscript"/>
        </w:rPr>
        <w:t>max</w:t>
      </w:r>
      <w:r w:rsidRPr="009964C7">
        <w:rPr>
          <w:sz w:val="22"/>
          <w:szCs w:val="22"/>
        </w:rPr>
        <w:t xml:space="preserve"> i PIK), kao ni docetaksel na farmakokinetiku bitnog metabolita kapecitabina, 5'-DFUR.</w:t>
      </w:r>
    </w:p>
    <w:p w14:paraId="09591AE4" w14:textId="77777777" w:rsidR="00770F56" w:rsidRPr="009964C7" w:rsidRDefault="00770F56" w:rsidP="00770F56">
      <w:pPr>
        <w:autoSpaceDE w:val="0"/>
        <w:autoSpaceDN w:val="0"/>
        <w:adjustRightInd w:val="0"/>
        <w:rPr>
          <w:sz w:val="22"/>
          <w:szCs w:val="22"/>
        </w:rPr>
      </w:pPr>
    </w:p>
    <w:p w14:paraId="3A694BBC"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Cisplatin</w:t>
      </w:r>
    </w:p>
    <w:p w14:paraId="748B39E5" w14:textId="77777777" w:rsidR="00770F56" w:rsidRPr="009964C7" w:rsidRDefault="00770F56" w:rsidP="00770F56">
      <w:pPr>
        <w:autoSpaceDE w:val="0"/>
        <w:autoSpaceDN w:val="0"/>
        <w:adjustRightInd w:val="0"/>
        <w:rPr>
          <w:sz w:val="22"/>
          <w:szCs w:val="22"/>
        </w:rPr>
      </w:pPr>
    </w:p>
    <w:p w14:paraId="1C38F4CA" w14:textId="77777777" w:rsidR="00770F56" w:rsidRPr="009964C7" w:rsidRDefault="00770F56" w:rsidP="00770F56">
      <w:pPr>
        <w:autoSpaceDE w:val="0"/>
        <w:autoSpaceDN w:val="0"/>
        <w:adjustRightInd w:val="0"/>
        <w:rPr>
          <w:sz w:val="22"/>
          <w:szCs w:val="22"/>
        </w:rPr>
      </w:pPr>
      <w:r w:rsidRPr="009964C7">
        <w:rPr>
          <w:sz w:val="22"/>
          <w:szCs w:val="22"/>
        </w:rPr>
        <w:t>Klirens docetaksela primijenjenog u kombinaciji sa cisplatinom, bio je sli</w:t>
      </w:r>
      <w:r w:rsidRPr="009964C7">
        <w:rPr>
          <w:rFonts w:eastAsia="TimesNewRoman"/>
          <w:sz w:val="22"/>
          <w:szCs w:val="22"/>
        </w:rPr>
        <w:t>č</w:t>
      </w:r>
      <w:r w:rsidRPr="009964C7">
        <w:rPr>
          <w:sz w:val="22"/>
          <w:szCs w:val="22"/>
        </w:rPr>
        <w:t>an klirensu lijeka primijenjenog u monoterapiji. Isto tako, farmakokineti</w:t>
      </w:r>
      <w:r w:rsidRPr="009964C7">
        <w:rPr>
          <w:rFonts w:eastAsia="TimesNewRoman"/>
          <w:sz w:val="22"/>
          <w:szCs w:val="22"/>
        </w:rPr>
        <w:t>č</w:t>
      </w:r>
      <w:r w:rsidRPr="009964C7">
        <w:rPr>
          <w:sz w:val="22"/>
          <w:szCs w:val="22"/>
        </w:rPr>
        <w:t>ki profil cisplatina, primijenjenog odmah poslije infuzije docetaksela, ne  odstupa od farmakokineti</w:t>
      </w:r>
      <w:r w:rsidRPr="009964C7">
        <w:rPr>
          <w:rFonts w:eastAsia="TimesNewRoman"/>
          <w:sz w:val="22"/>
          <w:szCs w:val="22"/>
        </w:rPr>
        <w:t>č</w:t>
      </w:r>
      <w:r w:rsidRPr="009964C7">
        <w:rPr>
          <w:sz w:val="22"/>
          <w:szCs w:val="22"/>
        </w:rPr>
        <w:t>kog profila samog cisplatina.</w:t>
      </w:r>
    </w:p>
    <w:p w14:paraId="585B2798" w14:textId="4DC85F44" w:rsidR="00770F56" w:rsidRDefault="00770F56" w:rsidP="00480FB1">
      <w:pPr>
        <w:tabs>
          <w:tab w:val="left" w:pos="540"/>
          <w:tab w:val="left" w:pos="569"/>
        </w:tabs>
        <w:rPr>
          <w:bCs/>
          <w:sz w:val="22"/>
          <w:szCs w:val="22"/>
        </w:rPr>
      </w:pPr>
    </w:p>
    <w:p w14:paraId="67E9539D" w14:textId="77777777" w:rsidR="00770F56" w:rsidRPr="009964C7" w:rsidRDefault="00770F56" w:rsidP="00770F56">
      <w:pPr>
        <w:keepNext/>
        <w:autoSpaceDE w:val="0"/>
        <w:autoSpaceDN w:val="0"/>
        <w:adjustRightInd w:val="0"/>
        <w:rPr>
          <w:i/>
          <w:sz w:val="22"/>
          <w:szCs w:val="22"/>
          <w:u w:val="single"/>
        </w:rPr>
      </w:pPr>
      <w:r w:rsidRPr="009964C7">
        <w:rPr>
          <w:i/>
          <w:sz w:val="22"/>
          <w:szCs w:val="22"/>
          <w:u w:val="single"/>
        </w:rPr>
        <w:t>Cisplatin i 5-fluorouracil</w:t>
      </w:r>
    </w:p>
    <w:p w14:paraId="7D398DDD" w14:textId="77777777" w:rsidR="00770F56" w:rsidRPr="009964C7" w:rsidRDefault="00770F56" w:rsidP="00770F56">
      <w:pPr>
        <w:keepNext/>
        <w:autoSpaceDE w:val="0"/>
        <w:autoSpaceDN w:val="0"/>
        <w:adjustRightInd w:val="0"/>
        <w:rPr>
          <w:sz w:val="22"/>
          <w:szCs w:val="22"/>
        </w:rPr>
      </w:pPr>
    </w:p>
    <w:p w14:paraId="240463B4" w14:textId="77777777" w:rsidR="00770F56" w:rsidRPr="009964C7" w:rsidRDefault="00770F56" w:rsidP="00770F56">
      <w:pPr>
        <w:autoSpaceDE w:val="0"/>
        <w:autoSpaceDN w:val="0"/>
        <w:adjustRightInd w:val="0"/>
        <w:rPr>
          <w:sz w:val="22"/>
          <w:szCs w:val="22"/>
        </w:rPr>
      </w:pPr>
      <w:r w:rsidRPr="009964C7">
        <w:rPr>
          <w:sz w:val="22"/>
          <w:szCs w:val="22"/>
        </w:rPr>
        <w:t>Kombinovana primjena docetaksela, cisplatina i 5-fluorouracila kod 12 pacijenata sa solidnim tumorima, nije uticala na farmakokinetiku pojedina</w:t>
      </w:r>
      <w:r w:rsidRPr="009964C7">
        <w:rPr>
          <w:rFonts w:eastAsia="TimesNewRoman"/>
          <w:sz w:val="22"/>
          <w:szCs w:val="22"/>
        </w:rPr>
        <w:t>č</w:t>
      </w:r>
      <w:r w:rsidRPr="009964C7">
        <w:rPr>
          <w:sz w:val="22"/>
          <w:szCs w:val="22"/>
        </w:rPr>
        <w:t>nih ljekova iz ove kombinacije.</w:t>
      </w:r>
    </w:p>
    <w:p w14:paraId="5771B327" w14:textId="77777777" w:rsidR="00770F56" w:rsidRPr="009964C7" w:rsidRDefault="00770F56" w:rsidP="00770F56">
      <w:pPr>
        <w:autoSpaceDE w:val="0"/>
        <w:autoSpaceDN w:val="0"/>
        <w:adjustRightInd w:val="0"/>
        <w:rPr>
          <w:sz w:val="22"/>
          <w:szCs w:val="22"/>
        </w:rPr>
      </w:pPr>
    </w:p>
    <w:p w14:paraId="3FF2B2F0"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Prednizon i deksametazon</w:t>
      </w:r>
    </w:p>
    <w:p w14:paraId="5CC77DDF" w14:textId="77777777" w:rsidR="00770F56" w:rsidRPr="009964C7" w:rsidRDefault="00770F56" w:rsidP="00770F56">
      <w:pPr>
        <w:autoSpaceDE w:val="0"/>
        <w:autoSpaceDN w:val="0"/>
        <w:adjustRightInd w:val="0"/>
        <w:rPr>
          <w:sz w:val="22"/>
          <w:szCs w:val="22"/>
        </w:rPr>
      </w:pPr>
    </w:p>
    <w:p w14:paraId="6C34C84C" w14:textId="77777777" w:rsidR="00770F56" w:rsidRPr="009964C7" w:rsidRDefault="00770F56" w:rsidP="00770F56">
      <w:pPr>
        <w:autoSpaceDE w:val="0"/>
        <w:autoSpaceDN w:val="0"/>
        <w:adjustRightInd w:val="0"/>
        <w:rPr>
          <w:sz w:val="22"/>
          <w:szCs w:val="22"/>
        </w:rPr>
      </w:pPr>
      <w:r w:rsidRPr="009964C7">
        <w:rPr>
          <w:sz w:val="22"/>
          <w:szCs w:val="22"/>
        </w:rPr>
        <w:t xml:space="preserve">Efekat prednizona na farmakokinetiku docetaksela, primijenjenog uz standardnu premedikaciju deksametazonom, ispitivan je kod 42 pacijenta. </w:t>
      </w:r>
    </w:p>
    <w:p w14:paraId="3FF50837" w14:textId="77777777" w:rsidR="00770F56" w:rsidRPr="009964C7" w:rsidRDefault="00770F56" w:rsidP="00770F56">
      <w:pPr>
        <w:autoSpaceDE w:val="0"/>
        <w:autoSpaceDN w:val="0"/>
        <w:adjustRightInd w:val="0"/>
        <w:rPr>
          <w:sz w:val="22"/>
          <w:szCs w:val="22"/>
        </w:rPr>
      </w:pPr>
    </w:p>
    <w:p w14:paraId="36490285" w14:textId="77777777" w:rsidR="00770F56" w:rsidRPr="009964C7" w:rsidRDefault="00770F56" w:rsidP="00770F56">
      <w:pPr>
        <w:autoSpaceDE w:val="0"/>
        <w:autoSpaceDN w:val="0"/>
        <w:adjustRightInd w:val="0"/>
        <w:rPr>
          <w:i/>
          <w:sz w:val="22"/>
          <w:szCs w:val="22"/>
          <w:u w:val="single"/>
        </w:rPr>
      </w:pPr>
      <w:r w:rsidRPr="009964C7">
        <w:rPr>
          <w:i/>
          <w:sz w:val="22"/>
          <w:szCs w:val="22"/>
          <w:u w:val="single"/>
        </w:rPr>
        <w:t>Prednizon</w:t>
      </w:r>
    </w:p>
    <w:p w14:paraId="29F2684F" w14:textId="77777777" w:rsidR="00770F56" w:rsidRPr="009964C7" w:rsidRDefault="00770F56" w:rsidP="00770F56">
      <w:pPr>
        <w:autoSpaceDE w:val="0"/>
        <w:autoSpaceDN w:val="0"/>
        <w:adjustRightInd w:val="0"/>
        <w:rPr>
          <w:sz w:val="22"/>
          <w:szCs w:val="22"/>
        </w:rPr>
      </w:pPr>
    </w:p>
    <w:p w14:paraId="539856D2" w14:textId="77777777" w:rsidR="00770F56" w:rsidRPr="009964C7" w:rsidRDefault="00770F56" w:rsidP="00770F56">
      <w:pPr>
        <w:autoSpaceDE w:val="0"/>
        <w:autoSpaceDN w:val="0"/>
        <w:adjustRightInd w:val="0"/>
        <w:rPr>
          <w:sz w:val="22"/>
          <w:szCs w:val="22"/>
        </w:rPr>
      </w:pPr>
      <w:r w:rsidRPr="009964C7">
        <w:rPr>
          <w:sz w:val="22"/>
          <w:szCs w:val="22"/>
        </w:rPr>
        <w:t>Prednizon nije uticao na farmakokinetiku docetaksela.</w:t>
      </w:r>
    </w:p>
    <w:p w14:paraId="1AFB8BBF" w14:textId="77777777" w:rsidR="00770F56" w:rsidRPr="00786071" w:rsidRDefault="00770F56" w:rsidP="00480FB1">
      <w:pPr>
        <w:tabs>
          <w:tab w:val="left" w:pos="540"/>
          <w:tab w:val="left" w:pos="569"/>
        </w:tabs>
        <w:rPr>
          <w:bCs/>
          <w:sz w:val="22"/>
          <w:szCs w:val="22"/>
        </w:rPr>
      </w:pPr>
    </w:p>
    <w:p w14:paraId="2CF130C7" w14:textId="77777777"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3BE8FDC9" w14:textId="77777777" w:rsidR="00836B35" w:rsidRPr="00786071" w:rsidRDefault="00836B35" w:rsidP="00480FB1">
      <w:pPr>
        <w:tabs>
          <w:tab w:val="left" w:pos="540"/>
          <w:tab w:val="left" w:pos="569"/>
        </w:tabs>
        <w:rPr>
          <w:bCs/>
          <w:sz w:val="22"/>
          <w:szCs w:val="22"/>
        </w:rPr>
      </w:pPr>
    </w:p>
    <w:p w14:paraId="6F14B503" w14:textId="77777777" w:rsidR="0071107C" w:rsidRPr="009964C7" w:rsidRDefault="0071107C" w:rsidP="0071107C">
      <w:pPr>
        <w:autoSpaceDE w:val="0"/>
        <w:autoSpaceDN w:val="0"/>
        <w:adjustRightInd w:val="0"/>
        <w:rPr>
          <w:sz w:val="22"/>
          <w:szCs w:val="22"/>
        </w:rPr>
      </w:pPr>
      <w:r w:rsidRPr="009964C7">
        <w:rPr>
          <w:sz w:val="22"/>
          <w:szCs w:val="22"/>
        </w:rPr>
        <w:t>Kancerogeni potencijal docetaksela nije ispitivan.</w:t>
      </w:r>
    </w:p>
    <w:p w14:paraId="6C8FF35F" w14:textId="77777777" w:rsidR="0071107C" w:rsidRPr="0041136A" w:rsidRDefault="0071107C" w:rsidP="0071107C">
      <w:pPr>
        <w:autoSpaceDE w:val="0"/>
        <w:autoSpaceDN w:val="0"/>
        <w:adjustRightInd w:val="0"/>
        <w:rPr>
          <w:sz w:val="22"/>
          <w:szCs w:val="22"/>
        </w:rPr>
      </w:pPr>
      <w:r w:rsidRPr="0041136A">
        <w:rPr>
          <w:sz w:val="22"/>
          <w:szCs w:val="22"/>
        </w:rPr>
        <w:t>Dokazano je da je docetaksel mutagen</w:t>
      </w:r>
      <w:r>
        <w:rPr>
          <w:sz w:val="22"/>
          <w:szCs w:val="22"/>
        </w:rPr>
        <w:t xml:space="preserve"> (klastogen)</w:t>
      </w:r>
      <w:r w:rsidRPr="0041136A">
        <w:rPr>
          <w:sz w:val="22"/>
          <w:szCs w:val="22"/>
        </w:rPr>
        <w:t xml:space="preserve"> u mikronukleusnom i hromozomskom aberacijskom testu na </w:t>
      </w:r>
      <w:r w:rsidRPr="0041136A">
        <w:rPr>
          <w:rFonts w:eastAsia="TimesNewRoman"/>
          <w:sz w:val="22"/>
          <w:szCs w:val="22"/>
        </w:rPr>
        <w:t>ć</w:t>
      </w:r>
      <w:r w:rsidRPr="0041136A">
        <w:rPr>
          <w:sz w:val="22"/>
          <w:szCs w:val="22"/>
        </w:rPr>
        <w:t xml:space="preserve">elijama CHO-K1 </w:t>
      </w:r>
      <w:r w:rsidRPr="0041136A">
        <w:rPr>
          <w:i/>
          <w:iCs/>
          <w:sz w:val="22"/>
          <w:szCs w:val="22"/>
        </w:rPr>
        <w:t>in vitro</w:t>
      </w:r>
      <w:r w:rsidRPr="0041136A">
        <w:rPr>
          <w:sz w:val="22"/>
          <w:szCs w:val="22"/>
        </w:rPr>
        <w:t xml:space="preserve">, kao i u mikronukleusnom testu kod miševa </w:t>
      </w:r>
      <w:r w:rsidRPr="0041136A">
        <w:rPr>
          <w:i/>
          <w:iCs/>
          <w:sz w:val="22"/>
          <w:szCs w:val="22"/>
        </w:rPr>
        <w:t>in vivo</w:t>
      </w:r>
      <w:r w:rsidRPr="0041136A">
        <w:rPr>
          <w:sz w:val="22"/>
          <w:szCs w:val="22"/>
        </w:rPr>
        <w:t>. Me</w:t>
      </w:r>
      <w:r w:rsidRPr="0041136A">
        <w:rPr>
          <w:rFonts w:eastAsia="TimesNewRoman"/>
          <w:sz w:val="22"/>
          <w:szCs w:val="22"/>
        </w:rPr>
        <w:t>đ</w:t>
      </w:r>
      <w:r w:rsidRPr="0041136A">
        <w:rPr>
          <w:sz w:val="22"/>
          <w:szCs w:val="22"/>
        </w:rPr>
        <w:t>utim, u Ames testu, kao ni u CHO/HGPRT analizi genske mutacije lijek nije pokazao mutagenu aktivnost. Ovi rezultati su u skladu sa farmakološkom aktivnoš</w:t>
      </w:r>
      <w:r w:rsidRPr="0041136A">
        <w:rPr>
          <w:rFonts w:eastAsia="TimesNewRoman"/>
          <w:sz w:val="22"/>
          <w:szCs w:val="22"/>
        </w:rPr>
        <w:t>ć</w:t>
      </w:r>
      <w:r w:rsidRPr="0041136A">
        <w:rPr>
          <w:sz w:val="22"/>
          <w:szCs w:val="22"/>
        </w:rPr>
        <w:t>u docetaksela.</w:t>
      </w:r>
    </w:p>
    <w:p w14:paraId="697882E4" w14:textId="77777777" w:rsidR="0071107C" w:rsidRPr="0041136A" w:rsidRDefault="0071107C" w:rsidP="0071107C">
      <w:pPr>
        <w:autoSpaceDE w:val="0"/>
        <w:autoSpaceDN w:val="0"/>
        <w:adjustRightInd w:val="0"/>
        <w:rPr>
          <w:sz w:val="22"/>
          <w:szCs w:val="22"/>
        </w:rPr>
      </w:pPr>
    </w:p>
    <w:p w14:paraId="4F424DA7" w14:textId="699F221B" w:rsidR="0071107C" w:rsidRPr="0041136A" w:rsidRDefault="0071107C" w:rsidP="0071107C">
      <w:pPr>
        <w:autoSpaceDE w:val="0"/>
        <w:autoSpaceDN w:val="0"/>
        <w:adjustRightInd w:val="0"/>
        <w:rPr>
          <w:sz w:val="22"/>
          <w:szCs w:val="22"/>
        </w:rPr>
      </w:pPr>
      <w:r w:rsidRPr="001D520F">
        <w:rPr>
          <w:sz w:val="22"/>
          <w:szCs w:val="22"/>
        </w:rPr>
        <w:t xml:space="preserve">U </w:t>
      </w:r>
      <w:r w:rsidR="00261E5A">
        <w:rPr>
          <w:sz w:val="22"/>
          <w:szCs w:val="22"/>
        </w:rPr>
        <w:t>pret</w:t>
      </w:r>
      <w:r w:rsidRPr="001D520F">
        <w:rPr>
          <w:sz w:val="22"/>
          <w:szCs w:val="22"/>
        </w:rPr>
        <w:t>kliničkim studijama na pacovima i psima, docetaksel je smanjio težinu testisa i izazvao atrofiju ili degeneraciju testisa u dozama manjim od onih koje se koriste u kliničkoj primjeni. Ne može se isključiti negativan uticaj na plodnost muškaraca.</w:t>
      </w:r>
    </w:p>
    <w:p w14:paraId="745CEA66" w14:textId="77777777" w:rsidR="00396DFD" w:rsidRPr="00786071" w:rsidRDefault="00396DFD" w:rsidP="00480FB1">
      <w:pPr>
        <w:tabs>
          <w:tab w:val="left" w:pos="540"/>
          <w:tab w:val="left" w:pos="569"/>
        </w:tabs>
        <w:rPr>
          <w:b/>
          <w:bCs/>
          <w:sz w:val="22"/>
          <w:szCs w:val="22"/>
        </w:rPr>
      </w:pPr>
    </w:p>
    <w:p w14:paraId="2B9937DA"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30007625" w14:textId="77777777" w:rsidR="00836B35" w:rsidRPr="00786071" w:rsidRDefault="00836B35" w:rsidP="00480FB1">
      <w:pPr>
        <w:tabs>
          <w:tab w:val="left" w:pos="540"/>
          <w:tab w:val="left" w:pos="569"/>
        </w:tabs>
        <w:rPr>
          <w:bCs/>
          <w:sz w:val="22"/>
          <w:szCs w:val="22"/>
        </w:rPr>
      </w:pPr>
    </w:p>
    <w:p w14:paraId="1CC13C04" w14:textId="48585805"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00359183" w14:textId="77777777" w:rsidR="00955931" w:rsidRPr="00786071" w:rsidRDefault="00955931" w:rsidP="0085722A">
      <w:pPr>
        <w:tabs>
          <w:tab w:val="left" w:pos="540"/>
          <w:tab w:val="left" w:pos="569"/>
          <w:tab w:val="left" w:pos="4678"/>
        </w:tabs>
        <w:rPr>
          <w:b/>
          <w:bCs/>
          <w:sz w:val="22"/>
          <w:szCs w:val="22"/>
        </w:rPr>
      </w:pPr>
    </w:p>
    <w:p w14:paraId="753D0A8A" w14:textId="77777777" w:rsidR="00F874C3" w:rsidRPr="0041136A" w:rsidRDefault="00F874C3" w:rsidP="00F874C3">
      <w:pPr>
        <w:autoSpaceDE w:val="0"/>
        <w:autoSpaceDN w:val="0"/>
        <w:adjustRightInd w:val="0"/>
        <w:rPr>
          <w:sz w:val="22"/>
          <w:szCs w:val="22"/>
        </w:rPr>
      </w:pPr>
      <w:r w:rsidRPr="0041136A">
        <w:rPr>
          <w:sz w:val="22"/>
          <w:szCs w:val="22"/>
        </w:rPr>
        <w:t>Limunska kiselina;</w:t>
      </w:r>
    </w:p>
    <w:p w14:paraId="41CA4A0B" w14:textId="77777777" w:rsidR="00F874C3" w:rsidRPr="0041136A" w:rsidRDefault="00F874C3" w:rsidP="00F874C3">
      <w:pPr>
        <w:autoSpaceDE w:val="0"/>
        <w:autoSpaceDN w:val="0"/>
        <w:adjustRightInd w:val="0"/>
        <w:rPr>
          <w:sz w:val="22"/>
          <w:szCs w:val="22"/>
        </w:rPr>
      </w:pPr>
      <w:r w:rsidRPr="0041136A">
        <w:rPr>
          <w:sz w:val="22"/>
          <w:szCs w:val="22"/>
        </w:rPr>
        <w:t>Etanol, bezvodni;</w:t>
      </w:r>
    </w:p>
    <w:p w14:paraId="08874FDB" w14:textId="77777777" w:rsidR="00F874C3" w:rsidRPr="0041136A" w:rsidRDefault="00F874C3" w:rsidP="00F874C3">
      <w:pPr>
        <w:autoSpaceDE w:val="0"/>
        <w:autoSpaceDN w:val="0"/>
        <w:adjustRightInd w:val="0"/>
        <w:rPr>
          <w:sz w:val="22"/>
          <w:szCs w:val="22"/>
        </w:rPr>
      </w:pPr>
      <w:r w:rsidRPr="0041136A">
        <w:rPr>
          <w:sz w:val="22"/>
          <w:szCs w:val="22"/>
        </w:rPr>
        <w:t>Makrogol 300;</w:t>
      </w:r>
    </w:p>
    <w:p w14:paraId="4A0F3F74" w14:textId="77777777" w:rsidR="00F874C3" w:rsidRPr="0041136A" w:rsidRDefault="00F874C3" w:rsidP="00F874C3">
      <w:pPr>
        <w:autoSpaceDE w:val="0"/>
        <w:autoSpaceDN w:val="0"/>
        <w:adjustRightInd w:val="0"/>
        <w:rPr>
          <w:sz w:val="22"/>
          <w:szCs w:val="22"/>
        </w:rPr>
      </w:pPr>
      <w:r w:rsidRPr="0041136A">
        <w:rPr>
          <w:sz w:val="22"/>
          <w:szCs w:val="22"/>
        </w:rPr>
        <w:t>Polisorbat 80.</w:t>
      </w:r>
    </w:p>
    <w:p w14:paraId="3C281F60" w14:textId="77777777" w:rsidR="0072020E" w:rsidRPr="00786071" w:rsidRDefault="0072020E" w:rsidP="00480FB1">
      <w:pPr>
        <w:tabs>
          <w:tab w:val="left" w:pos="540"/>
          <w:tab w:val="left" w:pos="569"/>
        </w:tabs>
        <w:rPr>
          <w:bCs/>
          <w:sz w:val="22"/>
          <w:szCs w:val="22"/>
        </w:rPr>
      </w:pPr>
    </w:p>
    <w:p w14:paraId="6A486902" w14:textId="17D2AC28"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08232BEA" w14:textId="77777777" w:rsidR="00955931" w:rsidRPr="00786071" w:rsidRDefault="00955931" w:rsidP="00480FB1">
      <w:pPr>
        <w:tabs>
          <w:tab w:val="left" w:pos="540"/>
          <w:tab w:val="left" w:pos="569"/>
        </w:tabs>
        <w:rPr>
          <w:b/>
          <w:bCs/>
          <w:sz w:val="22"/>
          <w:szCs w:val="22"/>
        </w:rPr>
      </w:pPr>
    </w:p>
    <w:p w14:paraId="489AB2A5" w14:textId="77777777" w:rsidR="00F874C3" w:rsidRPr="0041136A" w:rsidRDefault="00F874C3" w:rsidP="00F874C3">
      <w:pPr>
        <w:autoSpaceDE w:val="0"/>
        <w:autoSpaceDN w:val="0"/>
        <w:adjustRightInd w:val="0"/>
        <w:rPr>
          <w:sz w:val="22"/>
          <w:szCs w:val="22"/>
        </w:rPr>
      </w:pPr>
      <w:r w:rsidRPr="0041136A">
        <w:rPr>
          <w:sz w:val="22"/>
          <w:szCs w:val="22"/>
        </w:rPr>
        <w:t xml:space="preserve">Lijek se ne smije miješati sa drugim ljekovima, osim sa onima koji su navedeni u </w:t>
      </w:r>
      <w:r>
        <w:rPr>
          <w:sz w:val="22"/>
          <w:szCs w:val="22"/>
        </w:rPr>
        <w:t>dijel</w:t>
      </w:r>
      <w:r w:rsidRPr="0041136A">
        <w:rPr>
          <w:sz w:val="22"/>
          <w:szCs w:val="22"/>
        </w:rPr>
        <w:t>u 6.6.</w:t>
      </w:r>
    </w:p>
    <w:p w14:paraId="76F16856" w14:textId="77777777" w:rsidR="0072020E" w:rsidRPr="00786071" w:rsidRDefault="0072020E" w:rsidP="00480FB1">
      <w:pPr>
        <w:tabs>
          <w:tab w:val="left" w:pos="540"/>
          <w:tab w:val="left" w:pos="569"/>
        </w:tabs>
        <w:rPr>
          <w:bCs/>
          <w:sz w:val="22"/>
          <w:szCs w:val="22"/>
        </w:rPr>
      </w:pPr>
    </w:p>
    <w:p w14:paraId="263C99B0"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1F3FBBFF" w14:textId="77777777" w:rsidR="002C66FC" w:rsidRDefault="002C66FC" w:rsidP="00AA6FC6">
      <w:pPr>
        <w:pStyle w:val="Header"/>
        <w:tabs>
          <w:tab w:val="left" w:pos="284"/>
        </w:tabs>
        <w:rPr>
          <w:sz w:val="22"/>
          <w:szCs w:val="22"/>
        </w:rPr>
      </w:pPr>
    </w:p>
    <w:p w14:paraId="42C21FBF" w14:textId="23E18F35" w:rsidR="00AA6FC6" w:rsidRPr="0041136A" w:rsidRDefault="00AA6FC6" w:rsidP="00AA6FC6">
      <w:pPr>
        <w:pStyle w:val="Header"/>
        <w:tabs>
          <w:tab w:val="left" w:pos="284"/>
        </w:tabs>
        <w:rPr>
          <w:sz w:val="22"/>
          <w:szCs w:val="22"/>
        </w:rPr>
      </w:pPr>
      <w:r w:rsidRPr="0041136A">
        <w:rPr>
          <w:sz w:val="22"/>
          <w:szCs w:val="22"/>
        </w:rPr>
        <w:t>Rok upotrebe prije otvaranja: 36 mjeseci</w:t>
      </w:r>
    </w:p>
    <w:p w14:paraId="2C48BBED" w14:textId="77777777" w:rsidR="00AA6FC6" w:rsidRPr="0041136A" w:rsidRDefault="00AA6FC6" w:rsidP="00AA6FC6">
      <w:pPr>
        <w:pStyle w:val="Header"/>
        <w:tabs>
          <w:tab w:val="left" w:pos="284"/>
        </w:tabs>
        <w:rPr>
          <w:sz w:val="22"/>
          <w:szCs w:val="22"/>
        </w:rPr>
      </w:pPr>
    </w:p>
    <w:p w14:paraId="7D5E4F42" w14:textId="77777777" w:rsidR="00AA6FC6" w:rsidRPr="0041136A" w:rsidRDefault="00AA6FC6" w:rsidP="00AA6FC6">
      <w:pPr>
        <w:autoSpaceDE w:val="0"/>
        <w:autoSpaceDN w:val="0"/>
        <w:adjustRightInd w:val="0"/>
        <w:rPr>
          <w:sz w:val="22"/>
          <w:szCs w:val="22"/>
        </w:rPr>
      </w:pPr>
      <w:r w:rsidRPr="0041136A">
        <w:rPr>
          <w:i/>
          <w:sz w:val="22"/>
          <w:szCs w:val="22"/>
        </w:rPr>
        <w:t>Rok upotrebe nakon razblaženja:</w:t>
      </w:r>
      <w:r w:rsidRPr="0041136A">
        <w:rPr>
          <w:sz w:val="22"/>
          <w:szCs w:val="22"/>
        </w:rPr>
        <w:t xml:space="preserve"> </w:t>
      </w:r>
    </w:p>
    <w:p w14:paraId="261380DA" w14:textId="18EC5621" w:rsidR="00AA6FC6" w:rsidRPr="0041136A" w:rsidRDefault="00AA6FC6" w:rsidP="00BB3077">
      <w:pPr>
        <w:autoSpaceDE w:val="0"/>
        <w:autoSpaceDN w:val="0"/>
        <w:adjustRightInd w:val="0"/>
        <w:jc w:val="both"/>
        <w:rPr>
          <w:sz w:val="22"/>
          <w:szCs w:val="22"/>
        </w:rPr>
      </w:pPr>
      <w:r w:rsidRPr="001D520F">
        <w:rPr>
          <w:sz w:val="22"/>
          <w:szCs w:val="22"/>
        </w:rPr>
        <w:t>Nakon razblaživanja u 9 mg/m</w:t>
      </w:r>
      <w:r>
        <w:rPr>
          <w:sz w:val="22"/>
          <w:szCs w:val="22"/>
        </w:rPr>
        <w:t>l</w:t>
      </w:r>
      <w:r w:rsidRPr="001D520F">
        <w:rPr>
          <w:sz w:val="22"/>
          <w:szCs w:val="22"/>
        </w:rPr>
        <w:t xml:space="preserve"> (0,9%) rastvora natrijum</w:t>
      </w:r>
      <w:r>
        <w:rPr>
          <w:sz w:val="22"/>
          <w:szCs w:val="22"/>
        </w:rPr>
        <w:t xml:space="preserve">  </w:t>
      </w:r>
      <w:r w:rsidRPr="001D520F">
        <w:rPr>
          <w:sz w:val="22"/>
          <w:szCs w:val="22"/>
        </w:rPr>
        <w:t>hlorid</w:t>
      </w:r>
      <w:r>
        <w:rPr>
          <w:sz w:val="22"/>
          <w:szCs w:val="22"/>
        </w:rPr>
        <w:t xml:space="preserve">a </w:t>
      </w:r>
      <w:r w:rsidRPr="001D520F">
        <w:rPr>
          <w:sz w:val="22"/>
          <w:szCs w:val="22"/>
        </w:rPr>
        <w:t>za injekciju ili 5% glukoze, hemijska i fizička stabilnost tokom upotrebe dokazana je tokom 4 sata kada se čuva na temperaturi ispod 25°C</w:t>
      </w:r>
      <w:r w:rsidRPr="0041136A">
        <w:rPr>
          <w:sz w:val="22"/>
          <w:szCs w:val="22"/>
        </w:rPr>
        <w:t xml:space="preserve">. </w:t>
      </w:r>
    </w:p>
    <w:p w14:paraId="5542F7FF" w14:textId="77777777" w:rsidR="00AA6FC6" w:rsidRPr="0041136A" w:rsidRDefault="00AA6FC6" w:rsidP="00BB3077">
      <w:pPr>
        <w:autoSpaceDE w:val="0"/>
        <w:autoSpaceDN w:val="0"/>
        <w:adjustRightInd w:val="0"/>
        <w:jc w:val="both"/>
        <w:rPr>
          <w:sz w:val="22"/>
          <w:szCs w:val="22"/>
        </w:rPr>
      </w:pPr>
    </w:p>
    <w:p w14:paraId="0530D273" w14:textId="77777777" w:rsidR="00AA6FC6" w:rsidRPr="0041136A" w:rsidRDefault="00AA6FC6" w:rsidP="00BB3077">
      <w:pPr>
        <w:autoSpaceDE w:val="0"/>
        <w:autoSpaceDN w:val="0"/>
        <w:adjustRightInd w:val="0"/>
        <w:jc w:val="both"/>
        <w:rPr>
          <w:sz w:val="22"/>
          <w:szCs w:val="22"/>
        </w:rPr>
      </w:pPr>
      <w:r w:rsidRPr="0041136A">
        <w:rPr>
          <w:sz w:val="22"/>
          <w:szCs w:val="22"/>
        </w:rPr>
        <w:t xml:space="preserve">S mikrobiološke tačke gledišta rastvor treba odmah primijeniti nakon pripreme za upotrebu. </w:t>
      </w:r>
    </w:p>
    <w:p w14:paraId="3D062CF7" w14:textId="77777777" w:rsidR="00AA6FC6" w:rsidRPr="0041136A" w:rsidRDefault="00AA6FC6" w:rsidP="00BB3077">
      <w:pPr>
        <w:pStyle w:val="Header"/>
        <w:tabs>
          <w:tab w:val="left" w:pos="284"/>
        </w:tabs>
        <w:jc w:val="both"/>
        <w:rPr>
          <w:sz w:val="22"/>
          <w:szCs w:val="22"/>
        </w:rPr>
      </w:pPr>
    </w:p>
    <w:p w14:paraId="30F7D97F" w14:textId="77777777" w:rsidR="00AA6FC6" w:rsidRPr="0041136A" w:rsidRDefault="00AA6FC6" w:rsidP="00BB3077">
      <w:pPr>
        <w:pStyle w:val="Header"/>
        <w:tabs>
          <w:tab w:val="left" w:pos="284"/>
        </w:tabs>
        <w:jc w:val="both"/>
        <w:rPr>
          <w:sz w:val="22"/>
          <w:szCs w:val="22"/>
        </w:rPr>
      </w:pPr>
      <w:r w:rsidRPr="0041136A">
        <w:rPr>
          <w:sz w:val="22"/>
          <w:szCs w:val="22"/>
        </w:rPr>
        <w:t>Ako se odmah ne upotrijebi, odgovornost za vrijeme i uslove čuvanja prije upotrebe preuzima korisnik, a ono ne bi smjelo da bude duže od 24 sata na temperaturi od 2 - 8</w:t>
      </w:r>
      <w:r>
        <w:rPr>
          <w:sz w:val="22"/>
          <w:szCs w:val="22"/>
        </w:rPr>
        <w:t> </w:t>
      </w:r>
      <w:r w:rsidRPr="0041136A">
        <w:rPr>
          <w:sz w:val="22"/>
          <w:szCs w:val="22"/>
        </w:rPr>
        <w:t>°C, osim ako se rastvaranje vrši pod kontrolisanim i validiranim aseptičnim uslovima.</w:t>
      </w:r>
    </w:p>
    <w:p w14:paraId="7DE0C4E2" w14:textId="77777777" w:rsidR="0072020E" w:rsidRPr="00786071" w:rsidRDefault="0072020E" w:rsidP="00480FB1">
      <w:pPr>
        <w:tabs>
          <w:tab w:val="left" w:pos="540"/>
          <w:tab w:val="left" w:pos="569"/>
        </w:tabs>
        <w:rPr>
          <w:bCs/>
          <w:sz w:val="22"/>
          <w:szCs w:val="22"/>
        </w:rPr>
      </w:pPr>
    </w:p>
    <w:p w14:paraId="32EE0B09" w14:textId="5527DCC0"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754CA13E" w14:textId="77777777" w:rsidR="00955931" w:rsidRPr="00786071" w:rsidRDefault="00955931" w:rsidP="00480FB1">
      <w:pPr>
        <w:tabs>
          <w:tab w:val="left" w:pos="540"/>
          <w:tab w:val="left" w:pos="569"/>
        </w:tabs>
        <w:rPr>
          <w:b/>
          <w:bCs/>
          <w:sz w:val="22"/>
          <w:szCs w:val="22"/>
        </w:rPr>
      </w:pPr>
    </w:p>
    <w:p w14:paraId="147ADC1A" w14:textId="77777777" w:rsidR="00AA6FC6" w:rsidRPr="0041136A" w:rsidRDefault="00AA6FC6" w:rsidP="00AA6FC6">
      <w:pPr>
        <w:autoSpaceDE w:val="0"/>
        <w:autoSpaceDN w:val="0"/>
        <w:adjustRightInd w:val="0"/>
        <w:rPr>
          <w:sz w:val="22"/>
          <w:szCs w:val="22"/>
        </w:rPr>
      </w:pPr>
      <w:r w:rsidRPr="0041136A">
        <w:rPr>
          <w:rFonts w:eastAsia="TimesNewRoman"/>
          <w:sz w:val="22"/>
          <w:szCs w:val="22"/>
        </w:rPr>
        <w:t>Č</w:t>
      </w:r>
      <w:r w:rsidRPr="0041136A">
        <w:rPr>
          <w:sz w:val="22"/>
          <w:szCs w:val="22"/>
        </w:rPr>
        <w:t>uvati na temperaturi do 25 °C.</w:t>
      </w:r>
    </w:p>
    <w:p w14:paraId="485A8B84" w14:textId="77777777" w:rsidR="00AA6FC6" w:rsidRPr="0041136A" w:rsidRDefault="00AA6FC6" w:rsidP="00AA6FC6">
      <w:pPr>
        <w:autoSpaceDE w:val="0"/>
        <w:autoSpaceDN w:val="0"/>
        <w:adjustRightInd w:val="0"/>
        <w:rPr>
          <w:sz w:val="22"/>
          <w:szCs w:val="22"/>
        </w:rPr>
      </w:pPr>
      <w:r w:rsidRPr="0041136A">
        <w:rPr>
          <w:sz w:val="22"/>
          <w:szCs w:val="22"/>
        </w:rPr>
        <w:t xml:space="preserve">Držite bočicu u spoljnjoj kutiji kako biste je zaštitili od svjetlosti. </w:t>
      </w:r>
    </w:p>
    <w:p w14:paraId="54A71806" w14:textId="3DEE760B" w:rsidR="00AA6FC6" w:rsidRPr="0041136A" w:rsidRDefault="00AA6FC6" w:rsidP="00AA6FC6">
      <w:pPr>
        <w:autoSpaceDE w:val="0"/>
        <w:autoSpaceDN w:val="0"/>
        <w:adjustRightInd w:val="0"/>
        <w:rPr>
          <w:sz w:val="22"/>
          <w:szCs w:val="22"/>
        </w:rPr>
      </w:pPr>
      <w:r w:rsidRPr="0041136A">
        <w:rPr>
          <w:sz w:val="22"/>
          <w:szCs w:val="22"/>
        </w:rPr>
        <w:t xml:space="preserve">Za uslove čuvanja razblaženog proizvoda, pogledajte </w:t>
      </w:r>
      <w:r w:rsidR="006A399E">
        <w:rPr>
          <w:sz w:val="22"/>
          <w:szCs w:val="22"/>
        </w:rPr>
        <w:t>dio</w:t>
      </w:r>
      <w:r w:rsidRPr="0041136A">
        <w:rPr>
          <w:sz w:val="22"/>
          <w:szCs w:val="22"/>
        </w:rPr>
        <w:t xml:space="preserve"> 6.3.</w:t>
      </w:r>
    </w:p>
    <w:p w14:paraId="712A38B3" w14:textId="77777777" w:rsidR="00EC2532" w:rsidRPr="00786071" w:rsidRDefault="00EC2532" w:rsidP="00480FB1">
      <w:pPr>
        <w:tabs>
          <w:tab w:val="left" w:pos="540"/>
          <w:tab w:val="left" w:pos="569"/>
        </w:tabs>
        <w:rPr>
          <w:bCs/>
          <w:sz w:val="22"/>
          <w:szCs w:val="22"/>
        </w:rPr>
      </w:pPr>
    </w:p>
    <w:p w14:paraId="7BCE2276" w14:textId="056C99F2"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325A8187" w14:textId="77777777" w:rsidR="00955931" w:rsidRPr="00786071" w:rsidRDefault="00955931" w:rsidP="00480FB1">
      <w:pPr>
        <w:tabs>
          <w:tab w:val="left" w:pos="540"/>
          <w:tab w:val="left" w:pos="569"/>
        </w:tabs>
        <w:rPr>
          <w:b/>
          <w:bCs/>
          <w:sz w:val="22"/>
          <w:szCs w:val="22"/>
        </w:rPr>
      </w:pPr>
    </w:p>
    <w:p w14:paraId="1E8C6CEE" w14:textId="77777777" w:rsidR="003F0D2D" w:rsidRPr="0041136A" w:rsidRDefault="003F0D2D" w:rsidP="00BB3077">
      <w:pPr>
        <w:pStyle w:val="Header"/>
        <w:tabs>
          <w:tab w:val="left" w:pos="284"/>
        </w:tabs>
        <w:jc w:val="both"/>
        <w:rPr>
          <w:sz w:val="22"/>
          <w:szCs w:val="22"/>
        </w:rPr>
      </w:pPr>
      <w:r w:rsidRPr="0041136A">
        <w:rPr>
          <w:sz w:val="22"/>
          <w:szCs w:val="22"/>
        </w:rPr>
        <w:t>2 ml, 8 ml, 16 ml u bočici od bezbojnog stakla tip I (sa ili bez ONCO-TAIN</w:t>
      </w:r>
      <w:r w:rsidRPr="0041136A">
        <w:rPr>
          <w:sz w:val="22"/>
          <w:szCs w:val="22"/>
          <w:vertAlign w:val="superscript"/>
        </w:rPr>
        <w:t>®</w:t>
      </w:r>
      <w:r w:rsidRPr="0041136A">
        <w:rPr>
          <w:sz w:val="22"/>
          <w:szCs w:val="22"/>
        </w:rPr>
        <w:t xml:space="preserve"> omota) sa sivim hlorbutil gumenim </w:t>
      </w:r>
      <w:r w:rsidRPr="0041136A">
        <w:rPr>
          <w:rFonts w:eastAsia="TimesNewRoman"/>
          <w:sz w:val="22"/>
          <w:szCs w:val="22"/>
        </w:rPr>
        <w:t>zatvaračem</w:t>
      </w:r>
      <w:r w:rsidRPr="0041136A">
        <w:rPr>
          <w:sz w:val="22"/>
          <w:szCs w:val="22"/>
        </w:rPr>
        <w:t xml:space="preserve"> i aluminijumskom kapicom sa zaštitnim plastičnim poklopcem.</w:t>
      </w:r>
    </w:p>
    <w:p w14:paraId="0C3BAA6D" w14:textId="77777777" w:rsidR="003F0D2D" w:rsidRPr="0041136A" w:rsidRDefault="003F0D2D" w:rsidP="003F0D2D">
      <w:pPr>
        <w:pStyle w:val="Header"/>
        <w:tabs>
          <w:tab w:val="left" w:pos="284"/>
        </w:tabs>
        <w:rPr>
          <w:sz w:val="22"/>
          <w:szCs w:val="22"/>
        </w:rPr>
      </w:pPr>
    </w:p>
    <w:p w14:paraId="6805C168" w14:textId="77777777" w:rsidR="003F0D2D" w:rsidRPr="0041136A" w:rsidRDefault="003F0D2D" w:rsidP="003F0D2D">
      <w:pPr>
        <w:pStyle w:val="Header"/>
        <w:rPr>
          <w:sz w:val="22"/>
          <w:szCs w:val="22"/>
        </w:rPr>
      </w:pPr>
      <w:r w:rsidRPr="0041136A">
        <w:rPr>
          <w:sz w:val="22"/>
          <w:szCs w:val="22"/>
        </w:rPr>
        <w:t xml:space="preserve">Veličina pakovanja: 1 x 2 ml, 1 x 8 ml ili 1 x 16 ml.  </w:t>
      </w:r>
    </w:p>
    <w:p w14:paraId="3FD99A42" w14:textId="7FC426AB" w:rsidR="003F0D2D" w:rsidRPr="0041136A" w:rsidRDefault="003F0D2D" w:rsidP="003F0D2D">
      <w:pPr>
        <w:pStyle w:val="Header"/>
        <w:tabs>
          <w:tab w:val="left" w:pos="284"/>
        </w:tabs>
        <w:rPr>
          <w:sz w:val="22"/>
          <w:szCs w:val="22"/>
        </w:rPr>
      </w:pPr>
      <w:r w:rsidRPr="0041136A">
        <w:rPr>
          <w:sz w:val="22"/>
          <w:szCs w:val="22"/>
        </w:rPr>
        <w:t xml:space="preserve">Ne moraju sve veličine pakovanja </w:t>
      </w:r>
      <w:r w:rsidR="005F3E66">
        <w:rPr>
          <w:sz w:val="22"/>
          <w:szCs w:val="22"/>
        </w:rPr>
        <w:t>biti dostupne</w:t>
      </w:r>
      <w:r w:rsidRPr="0041136A">
        <w:rPr>
          <w:sz w:val="22"/>
          <w:szCs w:val="22"/>
        </w:rPr>
        <w:t xml:space="preserve">. </w:t>
      </w:r>
    </w:p>
    <w:p w14:paraId="2E0CF763" w14:textId="77777777" w:rsidR="0072020E" w:rsidRPr="00786071" w:rsidRDefault="0072020E" w:rsidP="00480FB1">
      <w:pPr>
        <w:tabs>
          <w:tab w:val="left" w:pos="540"/>
          <w:tab w:val="left" w:pos="569"/>
        </w:tabs>
        <w:rPr>
          <w:bCs/>
          <w:sz w:val="22"/>
          <w:szCs w:val="22"/>
        </w:rPr>
      </w:pPr>
    </w:p>
    <w:p w14:paraId="427B67CF"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134A37AF" w14:textId="77777777" w:rsidR="00B66A70" w:rsidRDefault="00B66A70" w:rsidP="00480FB1">
      <w:pPr>
        <w:tabs>
          <w:tab w:val="left" w:pos="540"/>
          <w:tab w:val="left" w:pos="569"/>
        </w:tabs>
        <w:rPr>
          <w:b/>
          <w:bCs/>
          <w:sz w:val="22"/>
          <w:szCs w:val="22"/>
        </w:rPr>
      </w:pPr>
    </w:p>
    <w:p w14:paraId="45B255FA" w14:textId="69A59B39" w:rsidR="003933C1" w:rsidRPr="0041136A" w:rsidRDefault="009D254D" w:rsidP="00BB3077">
      <w:pPr>
        <w:autoSpaceDE w:val="0"/>
        <w:autoSpaceDN w:val="0"/>
        <w:adjustRightInd w:val="0"/>
        <w:jc w:val="both"/>
        <w:rPr>
          <w:sz w:val="22"/>
          <w:szCs w:val="22"/>
        </w:rPr>
      </w:pPr>
      <w:r>
        <w:rPr>
          <w:sz w:val="22"/>
          <w:szCs w:val="22"/>
        </w:rPr>
        <w:t>Docetaxel Hospira</w:t>
      </w:r>
      <w:r w:rsidR="003933C1" w:rsidRPr="0041136A">
        <w:rPr>
          <w:sz w:val="22"/>
          <w:szCs w:val="22"/>
        </w:rPr>
        <w:t xml:space="preserve"> je antineoplasti</w:t>
      </w:r>
      <w:r w:rsidR="003933C1" w:rsidRPr="0041136A">
        <w:rPr>
          <w:rFonts w:eastAsia="TimesNewRoman"/>
          <w:sz w:val="22"/>
          <w:szCs w:val="22"/>
        </w:rPr>
        <w:t>č</w:t>
      </w:r>
      <w:r w:rsidR="003933C1" w:rsidRPr="0041136A">
        <w:rPr>
          <w:sz w:val="22"/>
          <w:szCs w:val="22"/>
        </w:rPr>
        <w:t>ni lijek i kao što je slu</w:t>
      </w:r>
      <w:r w:rsidR="003933C1" w:rsidRPr="0041136A">
        <w:rPr>
          <w:rFonts w:eastAsia="TimesNewRoman"/>
          <w:sz w:val="22"/>
          <w:szCs w:val="22"/>
        </w:rPr>
        <w:t>č</w:t>
      </w:r>
      <w:r w:rsidR="003933C1" w:rsidRPr="0041136A">
        <w:rPr>
          <w:sz w:val="22"/>
          <w:szCs w:val="22"/>
        </w:rPr>
        <w:t>aj sa drugim potencijalno toksi</w:t>
      </w:r>
      <w:r w:rsidR="003933C1" w:rsidRPr="0041136A">
        <w:rPr>
          <w:rFonts w:eastAsia="TimesNewRoman"/>
          <w:sz w:val="22"/>
          <w:szCs w:val="22"/>
        </w:rPr>
        <w:t>č</w:t>
      </w:r>
      <w:r w:rsidR="003933C1" w:rsidRPr="0041136A">
        <w:rPr>
          <w:sz w:val="22"/>
          <w:szCs w:val="22"/>
        </w:rPr>
        <w:t xml:space="preserve">nim jedinjenjima, pri rukovanju i pripremi rastvora </w:t>
      </w:r>
      <w:r w:rsidR="003933C1">
        <w:rPr>
          <w:sz w:val="22"/>
          <w:szCs w:val="22"/>
        </w:rPr>
        <w:t>ovog lijeka</w:t>
      </w:r>
      <w:r w:rsidR="005F3E66">
        <w:rPr>
          <w:sz w:val="22"/>
          <w:szCs w:val="22"/>
        </w:rPr>
        <w:t xml:space="preserve"> potreban je oprez.</w:t>
      </w:r>
    </w:p>
    <w:p w14:paraId="6599442A" w14:textId="77777777" w:rsidR="003933C1" w:rsidRPr="0041136A" w:rsidRDefault="003933C1" w:rsidP="003933C1">
      <w:pPr>
        <w:autoSpaceDE w:val="0"/>
        <w:autoSpaceDN w:val="0"/>
        <w:adjustRightInd w:val="0"/>
        <w:rPr>
          <w:sz w:val="22"/>
          <w:szCs w:val="22"/>
        </w:rPr>
      </w:pPr>
    </w:p>
    <w:p w14:paraId="43D8F21F" w14:textId="77777777" w:rsidR="003933C1" w:rsidRPr="0041136A" w:rsidRDefault="003933C1" w:rsidP="003933C1">
      <w:pPr>
        <w:pStyle w:val="Header"/>
        <w:tabs>
          <w:tab w:val="left" w:pos="284"/>
        </w:tabs>
        <w:rPr>
          <w:sz w:val="22"/>
          <w:szCs w:val="22"/>
        </w:rPr>
      </w:pPr>
      <w:bookmarkStart w:id="8" w:name="_Hlk59701319"/>
      <w:r w:rsidRPr="0041136A">
        <w:rPr>
          <w:sz w:val="22"/>
          <w:szCs w:val="22"/>
        </w:rPr>
        <w:t>Neupotrebljeni ljek</w:t>
      </w:r>
      <w:r w:rsidRPr="0041136A">
        <w:rPr>
          <w:vanish/>
          <w:sz w:val="22"/>
          <w:szCs w:val="22"/>
        </w:rPr>
        <w:t>iti samo u stacionarnoj zdravstvenoj ustanovi (SZ).emi sa vidom, savetuje se da ne upravljaju motornim vo</w:t>
      </w:r>
      <w:r w:rsidRPr="0041136A">
        <w:rPr>
          <w:sz w:val="22"/>
          <w:szCs w:val="22"/>
        </w:rPr>
        <w:t xml:space="preserve"> ili otpadni materi</w:t>
      </w:r>
      <w:r>
        <w:rPr>
          <w:sz w:val="22"/>
          <w:szCs w:val="22"/>
        </w:rPr>
        <w:t>j</w:t>
      </w:r>
      <w:r w:rsidRPr="0041136A">
        <w:rPr>
          <w:sz w:val="22"/>
          <w:szCs w:val="22"/>
        </w:rPr>
        <w:t>al treba da se odlože u skladu sa važećim propisima.</w:t>
      </w:r>
      <w:bookmarkEnd w:id="8"/>
    </w:p>
    <w:p w14:paraId="74CD7A8E" w14:textId="77777777" w:rsidR="003933C1" w:rsidRPr="0041136A" w:rsidRDefault="003933C1" w:rsidP="003933C1">
      <w:pPr>
        <w:pStyle w:val="Header"/>
        <w:tabs>
          <w:tab w:val="left" w:pos="284"/>
        </w:tabs>
        <w:rPr>
          <w:sz w:val="22"/>
          <w:szCs w:val="22"/>
        </w:rPr>
      </w:pPr>
    </w:p>
    <w:p w14:paraId="09E39DFD" w14:textId="77777777" w:rsidR="003933C1" w:rsidRPr="0041136A" w:rsidRDefault="003933C1" w:rsidP="003933C1">
      <w:pPr>
        <w:pStyle w:val="Header"/>
        <w:tabs>
          <w:tab w:val="left" w:pos="284"/>
        </w:tabs>
        <w:rPr>
          <w:b/>
          <w:bCs/>
          <w:sz w:val="22"/>
          <w:szCs w:val="22"/>
        </w:rPr>
      </w:pPr>
      <w:r w:rsidRPr="0041136A">
        <w:rPr>
          <w:b/>
          <w:bCs/>
          <w:sz w:val="22"/>
          <w:szCs w:val="22"/>
        </w:rPr>
        <w:t>Smjernice za bezbjedno rukovanje i odlaganje antineoplastičnih ljekova</w:t>
      </w:r>
    </w:p>
    <w:p w14:paraId="7C30A4E2" w14:textId="77777777" w:rsidR="003933C1" w:rsidRPr="0041136A" w:rsidRDefault="003933C1" w:rsidP="003933C1">
      <w:pPr>
        <w:pStyle w:val="Header"/>
        <w:tabs>
          <w:tab w:val="left" w:pos="284"/>
        </w:tabs>
        <w:rPr>
          <w:sz w:val="22"/>
          <w:szCs w:val="22"/>
        </w:rPr>
      </w:pPr>
    </w:p>
    <w:p w14:paraId="71327838" w14:textId="77777777" w:rsidR="003933C1" w:rsidRPr="0041136A" w:rsidRDefault="003933C1" w:rsidP="003933C1">
      <w:pPr>
        <w:pStyle w:val="Header"/>
        <w:tabs>
          <w:tab w:val="left" w:pos="284"/>
        </w:tabs>
        <w:rPr>
          <w:b/>
          <w:bCs/>
          <w:sz w:val="22"/>
          <w:szCs w:val="22"/>
        </w:rPr>
      </w:pPr>
      <w:r w:rsidRPr="0041136A">
        <w:rPr>
          <w:b/>
          <w:bCs/>
          <w:sz w:val="22"/>
          <w:szCs w:val="22"/>
        </w:rPr>
        <w:t>Priprema</w:t>
      </w:r>
    </w:p>
    <w:p w14:paraId="383B01F1" w14:textId="77777777" w:rsidR="003933C1" w:rsidRPr="0041136A" w:rsidRDefault="003933C1" w:rsidP="003933C1">
      <w:pPr>
        <w:pStyle w:val="Header"/>
        <w:tabs>
          <w:tab w:val="left" w:pos="284"/>
        </w:tabs>
        <w:rPr>
          <w:sz w:val="22"/>
          <w:szCs w:val="22"/>
        </w:rPr>
      </w:pPr>
    </w:p>
    <w:p w14:paraId="4AC64F4B" w14:textId="77777777" w:rsidR="003933C1" w:rsidRPr="0041136A" w:rsidRDefault="003933C1" w:rsidP="00BB3077">
      <w:pPr>
        <w:pStyle w:val="Header"/>
        <w:tabs>
          <w:tab w:val="left" w:pos="284"/>
        </w:tabs>
        <w:jc w:val="both"/>
        <w:rPr>
          <w:sz w:val="22"/>
          <w:szCs w:val="22"/>
        </w:rPr>
      </w:pPr>
      <w:r w:rsidRPr="0041136A">
        <w:rPr>
          <w:sz w:val="22"/>
          <w:szCs w:val="22"/>
        </w:rPr>
        <w:t>Treba konsultovati lokalne smjernice za bezbjednu pripremu i rukovanje.</w:t>
      </w:r>
    </w:p>
    <w:p w14:paraId="34DCDACC" w14:textId="77777777" w:rsidR="003933C1" w:rsidRPr="0041136A" w:rsidRDefault="003933C1" w:rsidP="00BB3077">
      <w:pPr>
        <w:pStyle w:val="Header"/>
        <w:tabs>
          <w:tab w:val="left" w:pos="284"/>
        </w:tabs>
        <w:jc w:val="both"/>
        <w:rPr>
          <w:sz w:val="22"/>
          <w:szCs w:val="22"/>
        </w:rPr>
      </w:pPr>
    </w:p>
    <w:p w14:paraId="17C282D4" w14:textId="77777777" w:rsidR="003933C1" w:rsidRPr="0041136A" w:rsidRDefault="003933C1" w:rsidP="00BB3077">
      <w:pPr>
        <w:pStyle w:val="Header"/>
        <w:tabs>
          <w:tab w:val="left" w:pos="284"/>
        </w:tabs>
        <w:jc w:val="both"/>
        <w:rPr>
          <w:sz w:val="22"/>
          <w:szCs w:val="22"/>
        </w:rPr>
      </w:pPr>
      <w:r w:rsidRPr="0041136A">
        <w:rPr>
          <w:sz w:val="22"/>
          <w:szCs w:val="22"/>
        </w:rPr>
        <w:t>Citotoksične ljekove treba da priprema i njima da rukuje samo osoblje obučeno za bezbjedno rukovanje takvim preparatima. Osobe u drugom stanju ne treba da rukuju citotoksičnim ljekovima.</w:t>
      </w:r>
    </w:p>
    <w:p w14:paraId="1C21B3C5" w14:textId="77777777" w:rsidR="003933C1" w:rsidRPr="0041136A" w:rsidRDefault="003933C1" w:rsidP="00BB3077">
      <w:pPr>
        <w:pStyle w:val="Header"/>
        <w:tabs>
          <w:tab w:val="left" w:pos="284"/>
        </w:tabs>
        <w:jc w:val="both"/>
        <w:rPr>
          <w:sz w:val="22"/>
          <w:szCs w:val="22"/>
        </w:rPr>
      </w:pPr>
    </w:p>
    <w:p w14:paraId="53FA3B3F" w14:textId="77777777" w:rsidR="003933C1" w:rsidRPr="003933C1" w:rsidRDefault="003933C1" w:rsidP="00BB3077">
      <w:pPr>
        <w:pStyle w:val="Header"/>
        <w:tabs>
          <w:tab w:val="left" w:pos="284"/>
        </w:tabs>
        <w:jc w:val="both"/>
        <w:rPr>
          <w:sz w:val="22"/>
          <w:szCs w:val="22"/>
          <w:lang w:val="de-DE"/>
        </w:rPr>
      </w:pPr>
      <w:r w:rsidRPr="0041136A">
        <w:rPr>
          <w:sz w:val="22"/>
          <w:szCs w:val="22"/>
        </w:rPr>
        <w:t xml:space="preserve">Sve osoblje koje učestvuje u rukovanju citotoksičnim ljekovima treba da bude adekvatno zaštićeno sa odgovarajućom ličnom zaštitnom opremom, uključujući jednokratne rukavice, naočare, masku i mantil dugih rukava. </w:t>
      </w:r>
      <w:r w:rsidRPr="003933C1">
        <w:rPr>
          <w:sz w:val="22"/>
          <w:szCs w:val="22"/>
          <w:lang w:val="de-DE"/>
        </w:rPr>
        <w:t>Priprema i rukovanje rastvora treba da se izvedu u određenom prostoru.</w:t>
      </w:r>
    </w:p>
    <w:p w14:paraId="41BFBFF2" w14:textId="77777777" w:rsidR="003933C1" w:rsidRPr="003933C1" w:rsidRDefault="003933C1" w:rsidP="003933C1">
      <w:pPr>
        <w:pStyle w:val="Header"/>
        <w:tabs>
          <w:tab w:val="left" w:pos="284"/>
        </w:tabs>
        <w:rPr>
          <w:sz w:val="22"/>
          <w:szCs w:val="22"/>
          <w:lang w:val="de-DE"/>
        </w:rPr>
      </w:pPr>
    </w:p>
    <w:p w14:paraId="74337B81" w14:textId="77777777" w:rsidR="003933C1" w:rsidRPr="003933C1" w:rsidRDefault="003933C1" w:rsidP="003933C1">
      <w:pPr>
        <w:pStyle w:val="Header"/>
        <w:tabs>
          <w:tab w:val="left" w:pos="284"/>
        </w:tabs>
        <w:rPr>
          <w:b/>
          <w:bCs/>
          <w:sz w:val="22"/>
          <w:szCs w:val="22"/>
          <w:lang w:val="de-DE"/>
        </w:rPr>
      </w:pPr>
      <w:r w:rsidRPr="003933C1">
        <w:rPr>
          <w:b/>
          <w:bCs/>
          <w:sz w:val="22"/>
          <w:szCs w:val="22"/>
          <w:lang w:val="de-DE"/>
        </w:rPr>
        <w:t xml:space="preserve">Kontaminacija </w:t>
      </w:r>
    </w:p>
    <w:p w14:paraId="761606D6" w14:textId="77777777" w:rsidR="003933C1" w:rsidRPr="003933C1" w:rsidRDefault="003933C1" w:rsidP="003933C1">
      <w:pPr>
        <w:pStyle w:val="Header"/>
        <w:tabs>
          <w:tab w:val="left" w:pos="284"/>
        </w:tabs>
        <w:rPr>
          <w:b/>
          <w:bCs/>
          <w:sz w:val="22"/>
          <w:szCs w:val="22"/>
          <w:lang w:val="de-DE"/>
        </w:rPr>
      </w:pPr>
    </w:p>
    <w:p w14:paraId="46112D10" w14:textId="2F7B31B1" w:rsidR="003933C1" w:rsidRPr="003933C1" w:rsidRDefault="003933C1" w:rsidP="00BB3077">
      <w:pPr>
        <w:autoSpaceDE w:val="0"/>
        <w:autoSpaceDN w:val="0"/>
        <w:adjustRightInd w:val="0"/>
        <w:jc w:val="both"/>
        <w:rPr>
          <w:sz w:val="22"/>
          <w:szCs w:val="22"/>
          <w:lang w:val="de-DE"/>
        </w:rPr>
      </w:pPr>
      <w:r w:rsidRPr="003933C1">
        <w:rPr>
          <w:sz w:val="22"/>
          <w:szCs w:val="22"/>
          <w:lang w:val="de-DE"/>
        </w:rPr>
        <w:t>U slu</w:t>
      </w:r>
      <w:r w:rsidRPr="003933C1">
        <w:rPr>
          <w:rFonts w:eastAsia="TimesNewRoman"/>
          <w:sz w:val="22"/>
          <w:szCs w:val="22"/>
          <w:lang w:val="de-DE"/>
        </w:rPr>
        <w:t>č</w:t>
      </w:r>
      <w:r w:rsidRPr="003933C1">
        <w:rPr>
          <w:sz w:val="22"/>
          <w:szCs w:val="22"/>
          <w:lang w:val="de-DE"/>
        </w:rPr>
        <w:t>aju dodira sa kožom, kožu je neophodno odmah temeljno oprati sapunom i vodom, pazeći da ne oštetite kožu. Blagom kremom se mogu tretirati prolazna crvenila kože. U slučaju dodira sa sluzokožom, potrebno je temeljno isprati obilnom količinom vode ili 0,9% natrijum hloridom. Potražiti stručno mišljenje ljekara.</w:t>
      </w:r>
    </w:p>
    <w:p w14:paraId="1BFA9941" w14:textId="77777777" w:rsidR="003933C1" w:rsidRPr="003933C1" w:rsidRDefault="003933C1" w:rsidP="003933C1">
      <w:pPr>
        <w:autoSpaceDE w:val="0"/>
        <w:autoSpaceDN w:val="0"/>
        <w:adjustRightInd w:val="0"/>
        <w:rPr>
          <w:sz w:val="22"/>
          <w:szCs w:val="22"/>
          <w:lang w:val="de-DE"/>
        </w:rPr>
      </w:pPr>
    </w:p>
    <w:p w14:paraId="77D60F4D" w14:textId="77777777" w:rsidR="003933C1" w:rsidRPr="003933C1" w:rsidRDefault="003933C1" w:rsidP="00BB3077">
      <w:pPr>
        <w:autoSpaceDE w:val="0"/>
        <w:autoSpaceDN w:val="0"/>
        <w:adjustRightInd w:val="0"/>
        <w:jc w:val="both"/>
        <w:rPr>
          <w:sz w:val="22"/>
          <w:szCs w:val="22"/>
          <w:lang w:val="de-DE"/>
        </w:rPr>
      </w:pPr>
      <w:r w:rsidRPr="003933C1">
        <w:rPr>
          <w:sz w:val="22"/>
          <w:szCs w:val="22"/>
          <w:lang w:val="de-DE"/>
        </w:rPr>
        <w:lastRenderedPageBreak/>
        <w:t>U slučaju prosipanja, obučeno osoblje u odgovarajućoj zaštitnoj opremi mora ukloniti najveću moguću količinu materijala uz upotrebu kutije sa opremom za prosuti lijek ili propisanim upijajućim materijalom. Taj prostor treba oprati sa obilnom količinom vode. Svi kontaminirani materijali upotrebljeni za čišćenje treba da se odlože kako je opisano ispod.</w:t>
      </w:r>
    </w:p>
    <w:p w14:paraId="6A16021E" w14:textId="77777777" w:rsidR="003933C1" w:rsidRPr="003933C1" w:rsidRDefault="003933C1" w:rsidP="003933C1">
      <w:pPr>
        <w:autoSpaceDE w:val="0"/>
        <w:autoSpaceDN w:val="0"/>
        <w:adjustRightInd w:val="0"/>
        <w:rPr>
          <w:sz w:val="22"/>
          <w:szCs w:val="22"/>
          <w:lang w:val="de-DE"/>
        </w:rPr>
      </w:pPr>
    </w:p>
    <w:p w14:paraId="695C308F" w14:textId="77777777" w:rsidR="003933C1" w:rsidRPr="0041136A" w:rsidRDefault="003933C1" w:rsidP="003933C1">
      <w:pPr>
        <w:autoSpaceDE w:val="0"/>
        <w:autoSpaceDN w:val="0"/>
        <w:adjustRightInd w:val="0"/>
        <w:rPr>
          <w:b/>
          <w:bCs/>
          <w:sz w:val="22"/>
          <w:szCs w:val="22"/>
        </w:rPr>
      </w:pPr>
      <w:r w:rsidRPr="0041136A">
        <w:rPr>
          <w:b/>
          <w:bCs/>
          <w:sz w:val="22"/>
          <w:szCs w:val="22"/>
        </w:rPr>
        <w:t>Odlaganje otpada</w:t>
      </w:r>
    </w:p>
    <w:p w14:paraId="10BFBADD" w14:textId="77777777" w:rsidR="003933C1" w:rsidRPr="0041136A" w:rsidRDefault="003933C1" w:rsidP="003933C1">
      <w:pPr>
        <w:autoSpaceDE w:val="0"/>
        <w:autoSpaceDN w:val="0"/>
        <w:adjustRightInd w:val="0"/>
        <w:rPr>
          <w:b/>
          <w:bCs/>
          <w:sz w:val="22"/>
          <w:szCs w:val="22"/>
        </w:rPr>
      </w:pPr>
    </w:p>
    <w:p w14:paraId="26706CC1" w14:textId="32D6EA7D" w:rsidR="003933C1" w:rsidRPr="0041136A" w:rsidRDefault="003933C1" w:rsidP="00BB3077">
      <w:pPr>
        <w:autoSpaceDE w:val="0"/>
        <w:autoSpaceDN w:val="0"/>
        <w:adjustRightInd w:val="0"/>
        <w:jc w:val="both"/>
        <w:rPr>
          <w:sz w:val="22"/>
          <w:szCs w:val="22"/>
        </w:rPr>
      </w:pPr>
      <w:r w:rsidRPr="0041136A">
        <w:rPr>
          <w:sz w:val="22"/>
          <w:szCs w:val="22"/>
        </w:rPr>
        <w:t>Svi kontaminirani otpadni materijali (uključujući sve oštro, kontejnere, upijajuće materijale, neupotrebljene rastvore, itd</w:t>
      </w:r>
      <w:r w:rsidR="005F3E66">
        <w:rPr>
          <w:sz w:val="22"/>
          <w:szCs w:val="22"/>
        </w:rPr>
        <w:t>.</w:t>
      </w:r>
      <w:r w:rsidRPr="0041136A">
        <w:rPr>
          <w:sz w:val="22"/>
          <w:szCs w:val="22"/>
        </w:rPr>
        <w:t>) treba da se stave u određenu zatvorenu i označenu nepropustljivu kesu za otpad ili čvrst kontejner za otpad i spaliti u skladu sa lokalnim zakonom o uništavanju opasnog otpada.</w:t>
      </w:r>
    </w:p>
    <w:p w14:paraId="4208F1FE" w14:textId="77777777" w:rsidR="003933C1" w:rsidRPr="0041136A" w:rsidRDefault="003933C1" w:rsidP="003933C1">
      <w:pPr>
        <w:autoSpaceDE w:val="0"/>
        <w:autoSpaceDN w:val="0"/>
        <w:adjustRightInd w:val="0"/>
        <w:rPr>
          <w:sz w:val="22"/>
          <w:szCs w:val="22"/>
        </w:rPr>
      </w:pPr>
    </w:p>
    <w:p w14:paraId="6C387ADB" w14:textId="77777777" w:rsidR="003933C1" w:rsidRPr="0041136A" w:rsidRDefault="003933C1" w:rsidP="003933C1">
      <w:pPr>
        <w:autoSpaceDE w:val="0"/>
        <w:autoSpaceDN w:val="0"/>
        <w:adjustRightInd w:val="0"/>
        <w:rPr>
          <w:b/>
          <w:bCs/>
          <w:sz w:val="22"/>
          <w:szCs w:val="22"/>
        </w:rPr>
      </w:pPr>
      <w:r w:rsidRPr="0041136A">
        <w:rPr>
          <w:b/>
          <w:bCs/>
          <w:sz w:val="22"/>
          <w:szCs w:val="22"/>
        </w:rPr>
        <w:t>Uputstva za pripremu</w:t>
      </w:r>
    </w:p>
    <w:p w14:paraId="4DCE1EBD" w14:textId="77777777" w:rsidR="003933C1" w:rsidRPr="0041136A" w:rsidRDefault="003933C1" w:rsidP="003933C1">
      <w:pPr>
        <w:autoSpaceDE w:val="0"/>
        <w:autoSpaceDN w:val="0"/>
        <w:adjustRightInd w:val="0"/>
        <w:rPr>
          <w:b/>
          <w:bCs/>
          <w:sz w:val="22"/>
          <w:szCs w:val="22"/>
        </w:rPr>
      </w:pPr>
    </w:p>
    <w:p w14:paraId="777E2A2C" w14:textId="4D41F0D0" w:rsidR="003933C1" w:rsidRDefault="003933C1" w:rsidP="003933C1">
      <w:pPr>
        <w:autoSpaceDE w:val="0"/>
        <w:autoSpaceDN w:val="0"/>
        <w:adjustRightInd w:val="0"/>
        <w:rPr>
          <w:sz w:val="22"/>
          <w:szCs w:val="22"/>
        </w:rPr>
      </w:pPr>
      <w:r w:rsidRPr="0041136A">
        <w:rPr>
          <w:sz w:val="22"/>
          <w:szCs w:val="22"/>
        </w:rPr>
        <w:t xml:space="preserve">Pogledati </w:t>
      </w:r>
      <w:r w:rsidR="006A399E">
        <w:rPr>
          <w:sz w:val="22"/>
          <w:szCs w:val="22"/>
        </w:rPr>
        <w:t>dio</w:t>
      </w:r>
      <w:r w:rsidRPr="0041136A">
        <w:rPr>
          <w:sz w:val="22"/>
          <w:szCs w:val="22"/>
        </w:rPr>
        <w:t xml:space="preserve"> 6.3 Rok upotrebe.</w:t>
      </w:r>
    </w:p>
    <w:p w14:paraId="3E24E14E" w14:textId="77777777" w:rsidR="003933C1" w:rsidRPr="0041136A" w:rsidRDefault="003933C1" w:rsidP="003933C1">
      <w:pPr>
        <w:autoSpaceDE w:val="0"/>
        <w:autoSpaceDN w:val="0"/>
        <w:adjustRightInd w:val="0"/>
        <w:rPr>
          <w:sz w:val="22"/>
          <w:szCs w:val="22"/>
        </w:rPr>
      </w:pPr>
    </w:p>
    <w:p w14:paraId="27E448FA" w14:textId="77777777" w:rsidR="003933C1" w:rsidRPr="0041136A" w:rsidRDefault="003933C1" w:rsidP="00BB3077">
      <w:pPr>
        <w:autoSpaceDE w:val="0"/>
        <w:autoSpaceDN w:val="0"/>
        <w:adjustRightInd w:val="0"/>
        <w:jc w:val="both"/>
        <w:rPr>
          <w:b/>
          <w:bCs/>
          <w:sz w:val="22"/>
          <w:szCs w:val="22"/>
        </w:rPr>
      </w:pPr>
      <w:r w:rsidRPr="0041136A">
        <w:rPr>
          <w:sz w:val="22"/>
          <w:szCs w:val="22"/>
        </w:rPr>
        <w:t xml:space="preserve">Provjeriti prije upotrebe. Samo čisti rastvori bez vidljivih čestica mogu da se upotrijebe. </w:t>
      </w:r>
      <w:r w:rsidRPr="0041136A">
        <w:rPr>
          <w:b/>
          <w:bCs/>
          <w:sz w:val="22"/>
          <w:szCs w:val="22"/>
        </w:rPr>
        <w:t>Mora se razrijediti prije upotrebe.</w:t>
      </w:r>
    </w:p>
    <w:p w14:paraId="7BD057EA" w14:textId="77777777" w:rsidR="003933C1" w:rsidRPr="0041136A" w:rsidRDefault="003933C1" w:rsidP="00BB3077">
      <w:pPr>
        <w:pStyle w:val="Header"/>
        <w:tabs>
          <w:tab w:val="left" w:pos="284"/>
        </w:tabs>
        <w:jc w:val="both"/>
        <w:rPr>
          <w:sz w:val="22"/>
          <w:szCs w:val="22"/>
        </w:rPr>
      </w:pPr>
    </w:p>
    <w:p w14:paraId="4D207F20" w14:textId="242E2DAB" w:rsidR="003933C1" w:rsidRPr="0041136A" w:rsidRDefault="003933C1" w:rsidP="00BB3077">
      <w:pPr>
        <w:pStyle w:val="Header"/>
        <w:tabs>
          <w:tab w:val="left" w:pos="284"/>
        </w:tabs>
        <w:jc w:val="both"/>
        <w:rPr>
          <w:sz w:val="22"/>
          <w:szCs w:val="22"/>
        </w:rPr>
      </w:pPr>
      <w:r w:rsidRPr="0041136A">
        <w:rPr>
          <w:sz w:val="22"/>
          <w:szCs w:val="22"/>
        </w:rPr>
        <w:t xml:space="preserve">Kontakt </w:t>
      </w:r>
      <w:r>
        <w:rPr>
          <w:sz w:val="22"/>
          <w:szCs w:val="22"/>
        </w:rPr>
        <w:t>rastvora docetaksela</w:t>
      </w:r>
      <w:r w:rsidRPr="0041136A">
        <w:rPr>
          <w:sz w:val="22"/>
          <w:szCs w:val="22"/>
        </w:rPr>
        <w:t xml:space="preserve"> sa plastičnim PVC materijalom ili uređajima upotrebljenim za pripremu rastvora</w:t>
      </w:r>
      <w:r>
        <w:rPr>
          <w:sz w:val="22"/>
          <w:szCs w:val="22"/>
        </w:rPr>
        <w:t xml:space="preserve"> </w:t>
      </w:r>
      <w:r w:rsidRPr="0041136A">
        <w:rPr>
          <w:sz w:val="22"/>
          <w:szCs w:val="22"/>
        </w:rPr>
        <w:t xml:space="preserve">za infuzije se ne preporučuje. Radi smanjenja izlaganja pacijenata sredstvu za plastifikaciju plastifikatora DEHP (di-2-etilheksil-ftalat) koji može da se spere sa PVC kesa za infuziju ili seta, </w:t>
      </w:r>
      <w:r>
        <w:rPr>
          <w:sz w:val="22"/>
          <w:szCs w:val="22"/>
        </w:rPr>
        <w:t>sve rastvore docetaksela treba čuvati</w:t>
      </w:r>
      <w:r w:rsidRPr="0041136A">
        <w:rPr>
          <w:sz w:val="22"/>
          <w:szCs w:val="22"/>
        </w:rPr>
        <w:t xml:space="preserve"> u bocama (staklenim, polipropilen</w:t>
      </w:r>
      <w:r w:rsidR="005F3E66">
        <w:rPr>
          <w:sz w:val="22"/>
          <w:szCs w:val="22"/>
        </w:rPr>
        <w:t>sk</w:t>
      </w:r>
      <w:r w:rsidRPr="0041136A">
        <w:rPr>
          <w:sz w:val="22"/>
          <w:szCs w:val="22"/>
        </w:rPr>
        <w:t>im) ili plastičnim kesama (polipropilen</w:t>
      </w:r>
      <w:r w:rsidR="005F3E66">
        <w:rPr>
          <w:sz w:val="22"/>
          <w:szCs w:val="22"/>
        </w:rPr>
        <w:t>sk</w:t>
      </w:r>
      <w:r w:rsidRPr="0041136A">
        <w:rPr>
          <w:sz w:val="22"/>
          <w:szCs w:val="22"/>
        </w:rPr>
        <w:t>im, poliolefin</w:t>
      </w:r>
      <w:r w:rsidR="007A4571">
        <w:rPr>
          <w:sz w:val="22"/>
          <w:szCs w:val="22"/>
        </w:rPr>
        <w:t>sk</w:t>
      </w:r>
      <w:r w:rsidRPr="0041136A">
        <w:rPr>
          <w:sz w:val="22"/>
          <w:szCs w:val="22"/>
        </w:rPr>
        <w:t>im) i sprovodi se kroz polietilen</w:t>
      </w:r>
      <w:r w:rsidR="007A4571">
        <w:rPr>
          <w:sz w:val="22"/>
          <w:szCs w:val="22"/>
        </w:rPr>
        <w:t>sk</w:t>
      </w:r>
      <w:r w:rsidRPr="0041136A">
        <w:rPr>
          <w:sz w:val="22"/>
          <w:szCs w:val="22"/>
        </w:rPr>
        <w:t>e sisteme za infuziju.</w:t>
      </w:r>
    </w:p>
    <w:p w14:paraId="72B9C64A" w14:textId="77777777" w:rsidR="003933C1" w:rsidRPr="0041136A" w:rsidRDefault="003933C1" w:rsidP="00BB3077">
      <w:pPr>
        <w:pStyle w:val="Header"/>
        <w:tabs>
          <w:tab w:val="left" w:pos="284"/>
        </w:tabs>
        <w:jc w:val="both"/>
        <w:rPr>
          <w:sz w:val="22"/>
          <w:szCs w:val="22"/>
        </w:rPr>
      </w:pPr>
    </w:p>
    <w:p w14:paraId="5BF8F2A7" w14:textId="77777777" w:rsidR="003933C1" w:rsidRPr="0041136A" w:rsidRDefault="003933C1" w:rsidP="00BB3077">
      <w:pPr>
        <w:pStyle w:val="Header"/>
        <w:tabs>
          <w:tab w:val="left" w:pos="284"/>
        </w:tabs>
        <w:jc w:val="both"/>
        <w:rPr>
          <w:sz w:val="22"/>
          <w:szCs w:val="22"/>
        </w:rPr>
      </w:pPr>
      <w:r w:rsidRPr="0041136A">
        <w:rPr>
          <w:sz w:val="22"/>
          <w:szCs w:val="22"/>
        </w:rPr>
        <w:t>Ubrizgati potrebnu količinu u 250 ml infuzionu kesu ili bocu koja sadrži ili:</w:t>
      </w:r>
    </w:p>
    <w:p w14:paraId="7881CE8D" w14:textId="1A9AAED9" w:rsidR="003933C1" w:rsidRPr="0041136A" w:rsidRDefault="003933C1" w:rsidP="007A4571">
      <w:pPr>
        <w:pStyle w:val="Header"/>
        <w:numPr>
          <w:ilvl w:val="0"/>
          <w:numId w:val="17"/>
        </w:numPr>
        <w:tabs>
          <w:tab w:val="clear" w:pos="4320"/>
          <w:tab w:val="clear" w:pos="8640"/>
          <w:tab w:val="left" w:pos="284"/>
        </w:tabs>
        <w:jc w:val="both"/>
        <w:rPr>
          <w:sz w:val="22"/>
          <w:szCs w:val="22"/>
        </w:rPr>
      </w:pPr>
      <w:r w:rsidRPr="0041136A">
        <w:rPr>
          <w:sz w:val="22"/>
          <w:szCs w:val="22"/>
        </w:rPr>
        <w:t>Natrijum</w:t>
      </w:r>
      <w:r>
        <w:rPr>
          <w:sz w:val="22"/>
          <w:szCs w:val="22"/>
        </w:rPr>
        <w:t xml:space="preserve"> </w:t>
      </w:r>
      <w:r w:rsidRPr="0041136A">
        <w:rPr>
          <w:sz w:val="22"/>
          <w:szCs w:val="22"/>
        </w:rPr>
        <w:t>hlorid 9 mg/ml (0,9%)</w:t>
      </w:r>
      <w:r>
        <w:rPr>
          <w:sz w:val="22"/>
          <w:szCs w:val="22"/>
        </w:rPr>
        <w:t xml:space="preserve"> rastvora </w:t>
      </w:r>
    </w:p>
    <w:p w14:paraId="26DDE7EB" w14:textId="7941F00F" w:rsidR="003933C1" w:rsidRPr="0041136A" w:rsidRDefault="003933C1">
      <w:pPr>
        <w:pStyle w:val="Header"/>
        <w:numPr>
          <w:ilvl w:val="0"/>
          <w:numId w:val="17"/>
        </w:numPr>
        <w:tabs>
          <w:tab w:val="clear" w:pos="4320"/>
          <w:tab w:val="clear" w:pos="8640"/>
          <w:tab w:val="left" w:pos="284"/>
        </w:tabs>
        <w:jc w:val="both"/>
        <w:rPr>
          <w:sz w:val="22"/>
          <w:szCs w:val="22"/>
        </w:rPr>
      </w:pPr>
      <w:r w:rsidRPr="0041136A">
        <w:rPr>
          <w:sz w:val="22"/>
          <w:szCs w:val="22"/>
        </w:rPr>
        <w:t>Glukozu 50 mg/ml (5%)</w:t>
      </w:r>
      <w:r w:rsidR="007A4571">
        <w:rPr>
          <w:sz w:val="22"/>
          <w:szCs w:val="22"/>
        </w:rPr>
        <w:t xml:space="preserve"> rastvora</w:t>
      </w:r>
    </w:p>
    <w:p w14:paraId="2A16DD0B" w14:textId="1A1A6EBA" w:rsidR="003933C1" w:rsidRPr="0041136A" w:rsidRDefault="003933C1" w:rsidP="00BB3077">
      <w:pPr>
        <w:pStyle w:val="Header"/>
        <w:tabs>
          <w:tab w:val="left" w:pos="284"/>
        </w:tabs>
        <w:jc w:val="both"/>
        <w:rPr>
          <w:sz w:val="22"/>
          <w:szCs w:val="22"/>
        </w:rPr>
      </w:pPr>
      <w:r w:rsidRPr="0041136A">
        <w:rPr>
          <w:sz w:val="22"/>
          <w:szCs w:val="22"/>
        </w:rPr>
        <w:t xml:space="preserve">Ako je </w:t>
      </w:r>
      <w:r w:rsidR="007A4571" w:rsidRPr="0041136A">
        <w:rPr>
          <w:sz w:val="22"/>
          <w:szCs w:val="22"/>
        </w:rPr>
        <w:t xml:space="preserve">potrebna veća </w:t>
      </w:r>
      <w:r w:rsidRPr="0041136A">
        <w:rPr>
          <w:sz w:val="22"/>
          <w:szCs w:val="22"/>
        </w:rPr>
        <w:t>doza od 200 mg docetaksela, upotr</w:t>
      </w:r>
      <w:r w:rsidR="007A4571">
        <w:rPr>
          <w:sz w:val="22"/>
          <w:szCs w:val="22"/>
        </w:rPr>
        <w:t>ij</w:t>
      </w:r>
      <w:r w:rsidRPr="0041136A">
        <w:rPr>
          <w:sz w:val="22"/>
          <w:szCs w:val="22"/>
        </w:rPr>
        <w:t>ebiti veću zapreminu infuzije tako da koncentracija docetaksela ne bude veća od 0,74mg/ml.</w:t>
      </w:r>
    </w:p>
    <w:p w14:paraId="4A2AAB17" w14:textId="77777777" w:rsidR="003933C1" w:rsidRPr="0041136A" w:rsidRDefault="003933C1" w:rsidP="003933C1">
      <w:pPr>
        <w:pStyle w:val="Header"/>
        <w:tabs>
          <w:tab w:val="left" w:pos="284"/>
        </w:tabs>
        <w:rPr>
          <w:sz w:val="22"/>
          <w:szCs w:val="22"/>
        </w:rPr>
      </w:pPr>
    </w:p>
    <w:p w14:paraId="61F25EC1" w14:textId="77777777" w:rsidR="003933C1" w:rsidRPr="0041136A" w:rsidRDefault="003933C1" w:rsidP="003933C1">
      <w:pPr>
        <w:pStyle w:val="Header"/>
        <w:tabs>
          <w:tab w:val="left" w:pos="284"/>
        </w:tabs>
        <w:rPr>
          <w:sz w:val="22"/>
          <w:szCs w:val="22"/>
        </w:rPr>
      </w:pPr>
      <w:r w:rsidRPr="0041136A">
        <w:rPr>
          <w:b/>
          <w:bCs/>
          <w:sz w:val="22"/>
          <w:szCs w:val="22"/>
        </w:rPr>
        <w:t xml:space="preserve">Kompatibilnost: </w:t>
      </w:r>
      <w:r w:rsidRPr="0041136A">
        <w:rPr>
          <w:sz w:val="22"/>
          <w:szCs w:val="22"/>
        </w:rPr>
        <w:t>Ne preporučuje se miješanje docetaksela sa drugim ljekovima.</w:t>
      </w:r>
    </w:p>
    <w:p w14:paraId="2A2A044E" w14:textId="77777777" w:rsidR="003933C1" w:rsidRPr="0041136A" w:rsidRDefault="003933C1" w:rsidP="003933C1">
      <w:pPr>
        <w:pStyle w:val="Header"/>
        <w:tabs>
          <w:tab w:val="left" w:pos="284"/>
        </w:tabs>
        <w:rPr>
          <w:b/>
          <w:bCs/>
          <w:sz w:val="22"/>
          <w:szCs w:val="22"/>
        </w:rPr>
      </w:pPr>
    </w:p>
    <w:p w14:paraId="28F3F749" w14:textId="7134C089" w:rsidR="003933C1" w:rsidRDefault="003933C1" w:rsidP="003933C1">
      <w:pPr>
        <w:pStyle w:val="Header"/>
        <w:tabs>
          <w:tab w:val="left" w:pos="284"/>
        </w:tabs>
        <w:rPr>
          <w:sz w:val="22"/>
          <w:szCs w:val="22"/>
        </w:rPr>
      </w:pPr>
      <w:r w:rsidRPr="0041136A">
        <w:rPr>
          <w:b/>
          <w:bCs/>
          <w:sz w:val="22"/>
          <w:szCs w:val="22"/>
        </w:rPr>
        <w:t xml:space="preserve">Primjena: </w:t>
      </w:r>
      <w:r w:rsidRPr="0041136A">
        <w:rPr>
          <w:sz w:val="22"/>
          <w:szCs w:val="22"/>
        </w:rPr>
        <w:t xml:space="preserve">Za uputstva za primjenu pogledati </w:t>
      </w:r>
      <w:r>
        <w:rPr>
          <w:sz w:val="22"/>
          <w:szCs w:val="22"/>
        </w:rPr>
        <w:t>dio</w:t>
      </w:r>
      <w:r w:rsidRPr="0041136A">
        <w:rPr>
          <w:sz w:val="22"/>
          <w:szCs w:val="22"/>
        </w:rPr>
        <w:t xml:space="preserve"> 4.2.</w:t>
      </w:r>
    </w:p>
    <w:p w14:paraId="0FCB3385" w14:textId="77777777" w:rsidR="007A4571" w:rsidRPr="0041136A" w:rsidRDefault="007A4571" w:rsidP="003933C1">
      <w:pPr>
        <w:pStyle w:val="Header"/>
        <w:tabs>
          <w:tab w:val="left" w:pos="284"/>
        </w:tabs>
        <w:rPr>
          <w:sz w:val="22"/>
          <w:szCs w:val="22"/>
        </w:rPr>
      </w:pPr>
    </w:p>
    <w:p w14:paraId="2146F2FE" w14:textId="326261EB" w:rsidR="0072020E" w:rsidRPr="00786071" w:rsidRDefault="0072020E" w:rsidP="003933C1">
      <w:pPr>
        <w:tabs>
          <w:tab w:val="left" w:pos="540"/>
          <w:tab w:val="left" w:pos="569"/>
        </w:tabs>
        <w:rPr>
          <w:bCs/>
          <w:sz w:val="22"/>
          <w:szCs w:val="22"/>
        </w:rPr>
      </w:pPr>
    </w:p>
    <w:p w14:paraId="496D6947" w14:textId="77777777" w:rsidR="0095593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p>
    <w:p w14:paraId="39E4B983" w14:textId="29875FA8" w:rsidR="00F8570A" w:rsidRPr="00786071" w:rsidRDefault="00483928" w:rsidP="00480FB1">
      <w:pPr>
        <w:tabs>
          <w:tab w:val="left" w:pos="540"/>
          <w:tab w:val="left" w:pos="569"/>
        </w:tabs>
        <w:rPr>
          <w:b/>
          <w:bCs/>
          <w:sz w:val="22"/>
          <w:szCs w:val="22"/>
        </w:rPr>
      </w:pPr>
      <w:r w:rsidRPr="00786071">
        <w:rPr>
          <w:b/>
          <w:bCs/>
          <w:sz w:val="22"/>
          <w:szCs w:val="22"/>
        </w:rPr>
        <w:t xml:space="preserve"> </w:t>
      </w:r>
    </w:p>
    <w:p w14:paraId="5F938F43" w14:textId="77777777" w:rsidR="007D21DF" w:rsidRPr="0041136A" w:rsidRDefault="007D21DF" w:rsidP="007D21DF">
      <w:pPr>
        <w:pStyle w:val="Header"/>
        <w:tabs>
          <w:tab w:val="left" w:pos="284"/>
        </w:tabs>
        <w:rPr>
          <w:sz w:val="22"/>
          <w:szCs w:val="22"/>
        </w:rPr>
      </w:pPr>
      <w:r w:rsidRPr="0041136A">
        <w:rPr>
          <w:sz w:val="22"/>
          <w:szCs w:val="22"/>
        </w:rPr>
        <w:t>Evropa Lek Pharma d.o.o. Podgorica</w:t>
      </w:r>
      <w:r w:rsidRPr="0041136A">
        <w:rPr>
          <w:sz w:val="22"/>
          <w:szCs w:val="22"/>
        </w:rPr>
        <w:tab/>
      </w:r>
    </w:p>
    <w:p w14:paraId="16ADBC1F" w14:textId="552BF053" w:rsidR="00C61BE0" w:rsidRDefault="007D21DF" w:rsidP="007D21DF">
      <w:pPr>
        <w:pStyle w:val="Header"/>
        <w:tabs>
          <w:tab w:val="left" w:pos="284"/>
        </w:tabs>
        <w:rPr>
          <w:sz w:val="22"/>
          <w:szCs w:val="22"/>
        </w:rPr>
      </w:pPr>
      <w:r w:rsidRPr="0041136A">
        <w:rPr>
          <w:sz w:val="22"/>
          <w:szCs w:val="22"/>
        </w:rPr>
        <w:t>Kritskog odreda 4/1, 81000 Podgorica, Crna Gora</w:t>
      </w:r>
      <w:r w:rsidRPr="0041136A" w:rsidDel="00B63EF5">
        <w:rPr>
          <w:sz w:val="22"/>
          <w:szCs w:val="22"/>
        </w:rPr>
        <w:t xml:space="preserve"> </w:t>
      </w:r>
    </w:p>
    <w:p w14:paraId="11AF8156" w14:textId="77777777" w:rsidR="007A4571" w:rsidRPr="007D21DF" w:rsidRDefault="007A4571" w:rsidP="007D21DF">
      <w:pPr>
        <w:pStyle w:val="Header"/>
        <w:tabs>
          <w:tab w:val="left" w:pos="284"/>
        </w:tabs>
        <w:rPr>
          <w:sz w:val="22"/>
          <w:szCs w:val="22"/>
        </w:rPr>
      </w:pPr>
    </w:p>
    <w:p w14:paraId="2216A976" w14:textId="77777777" w:rsidR="00C37FD7" w:rsidRPr="00786071" w:rsidRDefault="00C37FD7" w:rsidP="00480FB1">
      <w:pPr>
        <w:tabs>
          <w:tab w:val="left" w:pos="540"/>
          <w:tab w:val="left" w:pos="569"/>
        </w:tabs>
        <w:rPr>
          <w:bCs/>
          <w:sz w:val="22"/>
          <w:szCs w:val="22"/>
        </w:rPr>
      </w:pPr>
    </w:p>
    <w:p w14:paraId="5A6FD02F"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0E927D62" w14:textId="77777777" w:rsidR="0072020E" w:rsidRPr="00786071" w:rsidRDefault="0072020E" w:rsidP="00480FB1">
      <w:pPr>
        <w:tabs>
          <w:tab w:val="left" w:pos="540"/>
          <w:tab w:val="left" w:pos="569"/>
        </w:tabs>
        <w:rPr>
          <w:bCs/>
          <w:sz w:val="22"/>
          <w:szCs w:val="22"/>
        </w:rPr>
      </w:pPr>
    </w:p>
    <w:p w14:paraId="7BD57C46" w14:textId="7F9E6C32" w:rsidR="007D21DF" w:rsidRPr="0041136A" w:rsidRDefault="009D254D" w:rsidP="007D21DF">
      <w:pPr>
        <w:pStyle w:val="NoSpacing"/>
        <w:rPr>
          <w:sz w:val="22"/>
          <w:szCs w:val="22"/>
          <w:lang w:val="sr-Latn-ME"/>
        </w:rPr>
      </w:pPr>
      <w:r>
        <w:rPr>
          <w:sz w:val="22"/>
          <w:szCs w:val="22"/>
          <w:lang w:val="sr-Latn-ME"/>
        </w:rPr>
        <w:t>Docetaxel Hospira</w:t>
      </w:r>
      <w:r w:rsidR="007D21DF" w:rsidRPr="0041136A">
        <w:rPr>
          <w:sz w:val="22"/>
          <w:szCs w:val="22"/>
          <w:lang w:val="sr-Latn-ME"/>
        </w:rPr>
        <w:t xml:space="preserve">, koncentrat za rastvor za infuziju, 20 mg/2ml, bočica, 1x2ml: </w:t>
      </w:r>
      <w:r w:rsidR="007D21DF" w:rsidRPr="0041136A">
        <w:rPr>
          <w:bCs/>
          <w:sz w:val="22"/>
          <w:szCs w:val="22"/>
          <w:lang w:val="sr-Latn-ME" w:eastAsia="sr-Latn-RS"/>
        </w:rPr>
        <w:t>2030/13/481 - 8372</w:t>
      </w:r>
    </w:p>
    <w:p w14:paraId="4B9C4FA1" w14:textId="393A1BA7" w:rsidR="007D21DF" w:rsidRPr="0041136A" w:rsidRDefault="009D254D" w:rsidP="007D21DF">
      <w:pPr>
        <w:pStyle w:val="NoSpacing"/>
        <w:rPr>
          <w:sz w:val="22"/>
          <w:szCs w:val="22"/>
          <w:lang w:val="sr-Latn-ME"/>
        </w:rPr>
      </w:pPr>
      <w:r>
        <w:rPr>
          <w:sz w:val="22"/>
          <w:szCs w:val="22"/>
          <w:lang w:val="sr-Latn-ME"/>
        </w:rPr>
        <w:t>Docetaxel Hospira</w:t>
      </w:r>
      <w:r w:rsidR="007D21DF" w:rsidRPr="0041136A">
        <w:rPr>
          <w:sz w:val="22"/>
          <w:szCs w:val="22"/>
          <w:lang w:val="sr-Latn-ME"/>
        </w:rPr>
        <w:t xml:space="preserve">, koncentrat za rastvor za infuziju, 80 mg/8ml, bočica, 1x8ml: </w:t>
      </w:r>
      <w:r w:rsidR="007D21DF" w:rsidRPr="0041136A">
        <w:rPr>
          <w:bCs/>
          <w:sz w:val="22"/>
          <w:szCs w:val="22"/>
          <w:lang w:val="sr-Latn-ME" w:eastAsia="sr-Latn-RS"/>
        </w:rPr>
        <w:t>2030/13/482 - 8373</w:t>
      </w:r>
    </w:p>
    <w:p w14:paraId="46A7C322" w14:textId="5038704B" w:rsidR="007D21DF" w:rsidRPr="0041136A" w:rsidRDefault="009D254D" w:rsidP="007D21DF">
      <w:pPr>
        <w:pStyle w:val="NoSpacing"/>
        <w:rPr>
          <w:bCs/>
          <w:sz w:val="22"/>
          <w:szCs w:val="22"/>
          <w:lang w:val="sr-Latn-ME" w:eastAsia="sr-Latn-RS"/>
        </w:rPr>
      </w:pPr>
      <w:r>
        <w:rPr>
          <w:sz w:val="22"/>
          <w:szCs w:val="22"/>
          <w:lang w:val="sr-Latn-ME"/>
        </w:rPr>
        <w:t>Docetaxel Hospira</w:t>
      </w:r>
      <w:r w:rsidR="007D21DF" w:rsidRPr="0041136A">
        <w:rPr>
          <w:sz w:val="22"/>
          <w:szCs w:val="22"/>
          <w:lang w:val="sr-Latn-ME"/>
        </w:rPr>
        <w:t xml:space="preserve">, koncentrat za rastvor za infuziju, 160 mg/16ml, bočica, 1x16ml: </w:t>
      </w:r>
      <w:r>
        <w:rPr>
          <w:bCs/>
          <w:sz w:val="22"/>
          <w:szCs w:val="22"/>
          <w:lang w:val="sr-Latn-ME" w:eastAsia="sr-Latn-RS"/>
        </w:rPr>
        <w:t>2030/13/483 –</w:t>
      </w:r>
      <w:r w:rsidR="007D21DF" w:rsidRPr="0041136A">
        <w:rPr>
          <w:bCs/>
          <w:sz w:val="22"/>
          <w:szCs w:val="22"/>
          <w:lang w:val="sr-Latn-ME" w:eastAsia="sr-Latn-RS"/>
        </w:rPr>
        <w:t>8374</w:t>
      </w:r>
    </w:p>
    <w:p w14:paraId="2CF5BB8E" w14:textId="77777777" w:rsidR="007D21DF" w:rsidRPr="0041136A" w:rsidRDefault="007D21DF" w:rsidP="007D21DF">
      <w:pPr>
        <w:pStyle w:val="NoSpacing"/>
        <w:rPr>
          <w:sz w:val="22"/>
          <w:szCs w:val="22"/>
          <w:lang w:val="sr-Latn-ME"/>
        </w:rPr>
      </w:pPr>
    </w:p>
    <w:p w14:paraId="24E0D811" w14:textId="77777777" w:rsidR="00F45F77" w:rsidRPr="007D21DF" w:rsidRDefault="00F45F77" w:rsidP="00480FB1">
      <w:pPr>
        <w:tabs>
          <w:tab w:val="left" w:pos="540"/>
          <w:tab w:val="left" w:pos="569"/>
        </w:tabs>
        <w:rPr>
          <w:bCs/>
          <w:sz w:val="22"/>
          <w:szCs w:val="22"/>
          <w:lang w:val="sr-Latn-ME"/>
        </w:rPr>
      </w:pPr>
    </w:p>
    <w:p w14:paraId="60CDD83E" w14:textId="7A195646" w:rsidR="0072020E" w:rsidRPr="00BB3077" w:rsidRDefault="0072020E" w:rsidP="00480FB1">
      <w:pPr>
        <w:tabs>
          <w:tab w:val="left" w:pos="540"/>
          <w:tab w:val="left" w:pos="569"/>
        </w:tabs>
        <w:rPr>
          <w:b/>
          <w:bCs/>
          <w:sz w:val="22"/>
          <w:szCs w:val="22"/>
          <w:lang w:val="sr-Latn-ME"/>
        </w:rPr>
      </w:pPr>
      <w:r w:rsidRPr="00BB3077">
        <w:rPr>
          <w:b/>
          <w:bCs/>
          <w:sz w:val="22"/>
          <w:szCs w:val="22"/>
          <w:lang w:val="sr-Latn-ME"/>
        </w:rPr>
        <w:t xml:space="preserve">9. </w:t>
      </w:r>
      <w:r w:rsidR="00480FB1" w:rsidRPr="00BB3077">
        <w:rPr>
          <w:b/>
          <w:bCs/>
          <w:sz w:val="22"/>
          <w:szCs w:val="22"/>
          <w:lang w:val="sr-Latn-ME"/>
        </w:rPr>
        <w:tab/>
      </w:r>
      <w:r w:rsidRPr="00786071">
        <w:rPr>
          <w:b/>
          <w:bCs/>
          <w:sz w:val="22"/>
          <w:szCs w:val="22"/>
        </w:rPr>
        <w:t>DATUM</w:t>
      </w:r>
      <w:r w:rsidRPr="00BB3077">
        <w:rPr>
          <w:b/>
          <w:bCs/>
          <w:sz w:val="22"/>
          <w:szCs w:val="22"/>
          <w:lang w:val="sr-Latn-ME"/>
        </w:rPr>
        <w:t xml:space="preserve"> </w:t>
      </w:r>
      <w:r w:rsidR="00C05DF8">
        <w:rPr>
          <w:b/>
          <w:bCs/>
          <w:sz w:val="22"/>
          <w:szCs w:val="22"/>
        </w:rPr>
        <w:t>PRVE</w:t>
      </w:r>
      <w:r w:rsidR="00C05DF8" w:rsidRPr="00BB3077">
        <w:rPr>
          <w:b/>
          <w:bCs/>
          <w:sz w:val="22"/>
          <w:szCs w:val="22"/>
          <w:lang w:val="sr-Latn-ME"/>
        </w:rPr>
        <w:t xml:space="preserve"> </w:t>
      </w:r>
      <w:r w:rsidR="008A6D43" w:rsidRPr="00786071">
        <w:rPr>
          <w:b/>
          <w:bCs/>
          <w:sz w:val="22"/>
          <w:szCs w:val="22"/>
        </w:rPr>
        <w:t>DOZVOLE</w:t>
      </w:r>
      <w:r w:rsidR="00C05DF8" w:rsidRPr="00BB3077">
        <w:rPr>
          <w:b/>
          <w:bCs/>
          <w:sz w:val="22"/>
          <w:szCs w:val="22"/>
          <w:lang w:val="sr-Latn-ME"/>
        </w:rPr>
        <w:t>/</w:t>
      </w:r>
      <w:r w:rsidR="00C05DF8">
        <w:rPr>
          <w:b/>
          <w:bCs/>
          <w:sz w:val="22"/>
          <w:szCs w:val="22"/>
        </w:rPr>
        <w:t>OBNOVE</w:t>
      </w:r>
      <w:r w:rsidR="00C05DF8" w:rsidRPr="00BB3077">
        <w:rPr>
          <w:b/>
          <w:bCs/>
          <w:sz w:val="22"/>
          <w:szCs w:val="22"/>
          <w:lang w:val="sr-Latn-ME"/>
        </w:rPr>
        <w:t xml:space="preserve"> </w:t>
      </w:r>
      <w:r w:rsidR="00C05DF8">
        <w:rPr>
          <w:b/>
          <w:bCs/>
          <w:sz w:val="22"/>
          <w:szCs w:val="22"/>
        </w:rPr>
        <w:t>DOZVOLE</w:t>
      </w:r>
      <w:r w:rsidR="008A6D43" w:rsidRPr="00BB3077">
        <w:rPr>
          <w:b/>
          <w:bCs/>
          <w:sz w:val="22"/>
          <w:szCs w:val="22"/>
          <w:lang w:val="sr-Latn-ME"/>
        </w:rPr>
        <w:t xml:space="preserve"> </w:t>
      </w:r>
      <w:r w:rsidR="008A6D43">
        <w:rPr>
          <w:b/>
          <w:bCs/>
          <w:sz w:val="22"/>
          <w:szCs w:val="22"/>
        </w:rPr>
        <w:t>ZA</w:t>
      </w:r>
      <w:r w:rsidR="008A6D43" w:rsidRPr="00BB3077">
        <w:rPr>
          <w:b/>
          <w:bCs/>
          <w:sz w:val="22"/>
          <w:szCs w:val="22"/>
          <w:lang w:val="sr-Latn-ME"/>
        </w:rPr>
        <w:t xml:space="preserve"> </w:t>
      </w:r>
      <w:r w:rsidR="008A6D43">
        <w:rPr>
          <w:b/>
          <w:bCs/>
          <w:sz w:val="22"/>
          <w:szCs w:val="22"/>
        </w:rPr>
        <w:t>STAVLJANJE</w:t>
      </w:r>
      <w:r w:rsidR="008A6D43" w:rsidRPr="00BB3077">
        <w:rPr>
          <w:b/>
          <w:bCs/>
          <w:sz w:val="22"/>
          <w:szCs w:val="22"/>
          <w:lang w:val="sr-Latn-ME"/>
        </w:rPr>
        <w:t xml:space="preserve"> </w:t>
      </w:r>
      <w:r w:rsidR="008A6D43">
        <w:rPr>
          <w:b/>
          <w:bCs/>
          <w:sz w:val="22"/>
          <w:szCs w:val="22"/>
        </w:rPr>
        <w:t>LIJEKA</w:t>
      </w:r>
      <w:r w:rsidR="008A6D43" w:rsidRPr="00BB3077">
        <w:rPr>
          <w:b/>
          <w:bCs/>
          <w:sz w:val="22"/>
          <w:szCs w:val="22"/>
          <w:lang w:val="sr-Latn-ME"/>
        </w:rPr>
        <w:t xml:space="preserve"> </w:t>
      </w:r>
      <w:r w:rsidR="008A6D43">
        <w:rPr>
          <w:b/>
          <w:bCs/>
          <w:sz w:val="22"/>
          <w:szCs w:val="22"/>
        </w:rPr>
        <w:t>U</w:t>
      </w:r>
      <w:r w:rsidR="008A6D43" w:rsidRPr="00BB3077">
        <w:rPr>
          <w:b/>
          <w:bCs/>
          <w:sz w:val="22"/>
          <w:szCs w:val="22"/>
          <w:lang w:val="sr-Latn-ME"/>
        </w:rPr>
        <w:t xml:space="preserve"> </w:t>
      </w:r>
      <w:r w:rsidR="008A6D43">
        <w:rPr>
          <w:b/>
          <w:bCs/>
          <w:sz w:val="22"/>
          <w:szCs w:val="22"/>
        </w:rPr>
        <w:t>PROMET</w:t>
      </w:r>
    </w:p>
    <w:p w14:paraId="390FADB2" w14:textId="77777777" w:rsidR="00955931" w:rsidRPr="00BB3077" w:rsidRDefault="00955931" w:rsidP="00480FB1">
      <w:pPr>
        <w:tabs>
          <w:tab w:val="left" w:pos="540"/>
          <w:tab w:val="left" w:pos="569"/>
        </w:tabs>
        <w:rPr>
          <w:b/>
          <w:bCs/>
          <w:sz w:val="22"/>
          <w:szCs w:val="22"/>
          <w:lang w:val="sr-Latn-ME"/>
        </w:rPr>
      </w:pPr>
    </w:p>
    <w:p w14:paraId="27993A6B" w14:textId="6B9B1F2F" w:rsidR="007D21DF" w:rsidRPr="0041136A" w:rsidRDefault="009D254D" w:rsidP="007D21DF">
      <w:pPr>
        <w:pStyle w:val="NoSpacing"/>
        <w:rPr>
          <w:sz w:val="22"/>
          <w:szCs w:val="22"/>
          <w:lang w:val="sr-Latn-ME"/>
        </w:rPr>
      </w:pPr>
      <w:r>
        <w:rPr>
          <w:sz w:val="22"/>
          <w:szCs w:val="22"/>
          <w:lang w:val="sr-Latn-ME"/>
        </w:rPr>
        <w:t>Docetaxel Hospira</w:t>
      </w:r>
      <w:r w:rsidR="007D21DF" w:rsidRPr="0041136A">
        <w:rPr>
          <w:sz w:val="22"/>
          <w:szCs w:val="22"/>
          <w:lang w:val="sr-Latn-ME"/>
        </w:rPr>
        <w:t xml:space="preserve">, koncentrat za rastvor za infuziju, 20 mg/2ml, bočica, 1x2ml: </w:t>
      </w:r>
      <w:r w:rsidR="007D21DF" w:rsidRPr="0041136A">
        <w:rPr>
          <w:bCs/>
          <w:sz w:val="22"/>
          <w:szCs w:val="22"/>
          <w:lang w:val="sr-Latn-ME" w:eastAsia="sr-Latn-RS"/>
        </w:rPr>
        <w:t>09.12.2013. godine</w:t>
      </w:r>
    </w:p>
    <w:p w14:paraId="3961722A" w14:textId="0B237469" w:rsidR="007D21DF" w:rsidRPr="0041136A" w:rsidRDefault="009D254D" w:rsidP="007D21DF">
      <w:pPr>
        <w:pStyle w:val="NoSpacing"/>
        <w:rPr>
          <w:sz w:val="22"/>
          <w:szCs w:val="22"/>
          <w:lang w:val="sr-Latn-ME"/>
        </w:rPr>
      </w:pPr>
      <w:r>
        <w:rPr>
          <w:sz w:val="22"/>
          <w:szCs w:val="22"/>
          <w:lang w:val="sr-Latn-ME"/>
        </w:rPr>
        <w:t>Docetaxel Hospira</w:t>
      </w:r>
      <w:r w:rsidR="007D21DF" w:rsidRPr="0041136A">
        <w:rPr>
          <w:sz w:val="22"/>
          <w:szCs w:val="22"/>
          <w:lang w:val="sr-Latn-ME"/>
        </w:rPr>
        <w:t xml:space="preserve">, koncentrat za rastvor za infuziju, 80 mg/8ml, bočica, 1x8ml: </w:t>
      </w:r>
      <w:r w:rsidR="007D21DF" w:rsidRPr="0041136A">
        <w:rPr>
          <w:bCs/>
          <w:sz w:val="22"/>
          <w:szCs w:val="22"/>
          <w:lang w:val="sr-Latn-ME" w:eastAsia="sr-Latn-RS"/>
        </w:rPr>
        <w:t>09.12.2013. godine</w:t>
      </w:r>
    </w:p>
    <w:p w14:paraId="53EDBB15" w14:textId="2516A4CE" w:rsidR="0072020E" w:rsidRPr="007D21DF" w:rsidRDefault="009D254D" w:rsidP="007D21DF">
      <w:pPr>
        <w:tabs>
          <w:tab w:val="left" w:pos="540"/>
          <w:tab w:val="left" w:pos="569"/>
        </w:tabs>
        <w:rPr>
          <w:bCs/>
          <w:sz w:val="22"/>
          <w:szCs w:val="22"/>
          <w:lang w:val="sr-Latn-ME"/>
        </w:rPr>
      </w:pPr>
      <w:r>
        <w:rPr>
          <w:sz w:val="22"/>
          <w:szCs w:val="22"/>
          <w:lang w:val="sr-Latn-ME"/>
        </w:rPr>
        <w:t>Docetaxel Hospira</w:t>
      </w:r>
      <w:r w:rsidR="007D21DF" w:rsidRPr="0041136A">
        <w:rPr>
          <w:sz w:val="22"/>
          <w:szCs w:val="22"/>
          <w:lang w:val="sr-Latn-ME"/>
        </w:rPr>
        <w:t xml:space="preserve">, koncentrat za rastvor za infuziju, 160 mg/16ml, bočica, 1x16ml: </w:t>
      </w:r>
      <w:r w:rsidR="007D21DF" w:rsidRPr="0041136A">
        <w:rPr>
          <w:bCs/>
          <w:sz w:val="22"/>
          <w:szCs w:val="22"/>
          <w:lang w:val="sr-Latn-ME" w:eastAsia="sr-Latn-RS"/>
        </w:rPr>
        <w:t>09.12.2013. godine</w:t>
      </w:r>
    </w:p>
    <w:p w14:paraId="622EF86E" w14:textId="149A93C0" w:rsidR="00836B35" w:rsidRDefault="00836B35" w:rsidP="00480FB1">
      <w:pPr>
        <w:tabs>
          <w:tab w:val="left" w:pos="540"/>
          <w:tab w:val="left" w:pos="569"/>
        </w:tabs>
        <w:rPr>
          <w:bCs/>
          <w:sz w:val="22"/>
          <w:szCs w:val="22"/>
          <w:lang w:val="sr-Latn-ME"/>
        </w:rPr>
      </w:pPr>
    </w:p>
    <w:p w14:paraId="0922E0AE" w14:textId="679B2CF6" w:rsidR="007A4571" w:rsidRDefault="007A4571" w:rsidP="00480FB1">
      <w:pPr>
        <w:tabs>
          <w:tab w:val="left" w:pos="540"/>
          <w:tab w:val="left" w:pos="569"/>
        </w:tabs>
        <w:rPr>
          <w:bCs/>
          <w:sz w:val="22"/>
          <w:szCs w:val="22"/>
          <w:lang w:val="sr-Latn-ME"/>
        </w:rPr>
      </w:pPr>
    </w:p>
    <w:p w14:paraId="4718C796" w14:textId="77777777" w:rsidR="007A4571" w:rsidRPr="007D21DF" w:rsidRDefault="007A4571" w:rsidP="00480FB1">
      <w:pPr>
        <w:tabs>
          <w:tab w:val="left" w:pos="540"/>
          <w:tab w:val="left" w:pos="569"/>
        </w:tabs>
        <w:rPr>
          <w:bCs/>
          <w:sz w:val="22"/>
          <w:szCs w:val="22"/>
          <w:lang w:val="sr-Latn-ME"/>
        </w:rPr>
      </w:pPr>
    </w:p>
    <w:p w14:paraId="3EFD9211"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20D9648E" w14:textId="56C8AA06" w:rsidR="003F6A59" w:rsidRDefault="003F6A59" w:rsidP="00480FB1">
      <w:pPr>
        <w:tabs>
          <w:tab w:val="left" w:pos="540"/>
          <w:tab w:val="left" w:pos="569"/>
        </w:tabs>
        <w:rPr>
          <w:bCs/>
          <w:sz w:val="22"/>
          <w:szCs w:val="22"/>
        </w:rPr>
      </w:pPr>
    </w:p>
    <w:p w14:paraId="6B2F8743" w14:textId="3C89FA74" w:rsidR="007A4571" w:rsidRDefault="009D254D" w:rsidP="00480FB1">
      <w:pPr>
        <w:tabs>
          <w:tab w:val="left" w:pos="540"/>
          <w:tab w:val="left" w:pos="569"/>
        </w:tabs>
        <w:rPr>
          <w:bCs/>
          <w:sz w:val="22"/>
          <w:szCs w:val="22"/>
        </w:rPr>
      </w:pPr>
      <w:r>
        <w:rPr>
          <w:bCs/>
          <w:sz w:val="22"/>
          <w:szCs w:val="22"/>
        </w:rPr>
        <w:t>Jul</w:t>
      </w:r>
      <w:bookmarkStart w:id="9" w:name="_GoBack"/>
      <w:bookmarkEnd w:id="9"/>
      <w:r w:rsidR="007A4571">
        <w:rPr>
          <w:bCs/>
          <w:sz w:val="22"/>
          <w:szCs w:val="22"/>
        </w:rPr>
        <w:t>, 2024. godine</w:t>
      </w:r>
    </w:p>
    <w:p w14:paraId="4EF34EE9" w14:textId="77777777" w:rsidR="008A6D43" w:rsidRPr="00786071" w:rsidRDefault="008A6D43" w:rsidP="00480FB1">
      <w:pPr>
        <w:tabs>
          <w:tab w:val="left" w:pos="540"/>
          <w:tab w:val="left" w:pos="569"/>
        </w:tabs>
        <w:rPr>
          <w:bCs/>
          <w:sz w:val="22"/>
          <w:szCs w:val="22"/>
        </w:rPr>
      </w:pPr>
    </w:p>
    <w:p w14:paraId="6B2C3FDF" w14:textId="22749428" w:rsidR="003F6A59" w:rsidRPr="00786071" w:rsidRDefault="003F6A59" w:rsidP="00DE3F5C">
      <w:pPr>
        <w:rPr>
          <w:sz w:val="22"/>
          <w:szCs w:val="22"/>
          <w:lang w:val="pl-PL"/>
        </w:rPr>
      </w:pPr>
    </w:p>
    <w:sectPr w:rsidR="003F6A59" w:rsidRPr="00786071" w:rsidSect="006B5404">
      <w:footerReference w:type="default" r:id="rId14"/>
      <w:pgSz w:w="11909" w:h="16834" w:code="9"/>
      <w:pgMar w:top="1134" w:right="1418" w:bottom="1134" w:left="1418" w:header="737" w:footer="737"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WS_3" w:date="2023-10-26T12:09:00Z" w:initials="RWS_3">
    <w:p w14:paraId="30817836" w14:textId="77777777" w:rsidR="00BD2B3C" w:rsidRDefault="00BD2B3C" w:rsidP="007A05AB">
      <w:pPr>
        <w:pStyle w:val="CommentText"/>
      </w:pPr>
      <w:r>
        <w:rPr>
          <w:rStyle w:val="CommentReference"/>
        </w:rPr>
        <w:annotationRef/>
      </w:r>
      <w:r>
        <w:t>this is out of scope, however, it is ok as it corrects the typo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817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817836" w16cid:durableId="28E600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61445" w14:textId="77777777" w:rsidR="00560C27" w:rsidRDefault="00560C27">
      <w:r>
        <w:separator/>
      </w:r>
    </w:p>
  </w:endnote>
  <w:endnote w:type="continuationSeparator" w:id="0">
    <w:p w14:paraId="26010DED" w14:textId="77777777" w:rsidR="00560C27" w:rsidRDefault="0056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TimesNewRoman,Bold">
    <w:altName w:val="MS Gothic"/>
    <w:panose1 w:val="00000000000000000000"/>
    <w:charset w:val="EE"/>
    <w:family w:val="auto"/>
    <w:notTrueType/>
    <w:pitch w:val="default"/>
    <w:sig w:usb0="00000005" w:usb1="08070000" w:usb2="00000010" w:usb3="00000000" w:csb0="00020002"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0B18" w14:textId="0423A7B4" w:rsidR="00BD2B3C" w:rsidRPr="00B23F69" w:rsidRDefault="00BD2B3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D254D">
      <w:rPr>
        <w:noProof/>
        <w:sz w:val="22"/>
        <w:szCs w:val="22"/>
      </w:rPr>
      <w:t>55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D254D">
      <w:rPr>
        <w:noProof/>
        <w:sz w:val="22"/>
        <w:szCs w:val="22"/>
      </w:rPr>
      <w:t>55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CD007" w14:textId="77777777" w:rsidR="00560C27" w:rsidRDefault="00560C27">
      <w:r>
        <w:separator/>
      </w:r>
    </w:p>
  </w:footnote>
  <w:footnote w:type="continuationSeparator" w:id="0">
    <w:p w14:paraId="329D2548" w14:textId="77777777" w:rsidR="00560C27" w:rsidRDefault="00560C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 o:bullet="t">
        <v:imagedata r:id="rId1" o:title="BT_1000x858px"/>
      </v:shape>
    </w:pict>
  </w:numPicBullet>
  <w:abstractNum w:abstractNumId="0" w15:restartNumberingAfterBreak="0">
    <w:nsid w:val="01332E62"/>
    <w:multiLevelType w:val="hybridMultilevel"/>
    <w:tmpl w:val="502C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766BA"/>
    <w:multiLevelType w:val="hybridMultilevel"/>
    <w:tmpl w:val="AF909912"/>
    <w:lvl w:ilvl="0" w:tplc="EC1A22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663290C"/>
    <w:multiLevelType w:val="hybridMultilevel"/>
    <w:tmpl w:val="B79426FA"/>
    <w:lvl w:ilvl="0" w:tplc="485A3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6B87"/>
    <w:multiLevelType w:val="hybridMultilevel"/>
    <w:tmpl w:val="EDB6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3D24"/>
    <w:multiLevelType w:val="hybridMultilevel"/>
    <w:tmpl w:val="68781998"/>
    <w:lvl w:ilvl="0" w:tplc="5C86D9FE">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33DC0"/>
    <w:multiLevelType w:val="hybridMultilevel"/>
    <w:tmpl w:val="42F4EBE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C9A2E8C"/>
    <w:multiLevelType w:val="hybridMultilevel"/>
    <w:tmpl w:val="0520EF82"/>
    <w:lvl w:ilvl="0" w:tplc="D07E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242572"/>
    <w:multiLevelType w:val="hybridMultilevel"/>
    <w:tmpl w:val="9FE0D78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C5DCC"/>
    <w:multiLevelType w:val="hybridMultilevel"/>
    <w:tmpl w:val="D62E2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291AE1"/>
    <w:multiLevelType w:val="hybridMultilevel"/>
    <w:tmpl w:val="E2125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20DFB"/>
    <w:multiLevelType w:val="hybridMultilevel"/>
    <w:tmpl w:val="9B80104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F1209D6"/>
    <w:multiLevelType w:val="hybridMultilevel"/>
    <w:tmpl w:val="32429548"/>
    <w:lvl w:ilvl="0" w:tplc="EC1A22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2FE7CBE"/>
    <w:multiLevelType w:val="hybridMultilevel"/>
    <w:tmpl w:val="D3AC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34F36"/>
    <w:multiLevelType w:val="hybridMultilevel"/>
    <w:tmpl w:val="A412B234"/>
    <w:lvl w:ilvl="0" w:tplc="EC1A22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391F167A"/>
    <w:multiLevelType w:val="hybridMultilevel"/>
    <w:tmpl w:val="3648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E1F8B"/>
    <w:multiLevelType w:val="hybridMultilevel"/>
    <w:tmpl w:val="AD36672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40B108A"/>
    <w:multiLevelType w:val="hybridMultilevel"/>
    <w:tmpl w:val="4CF0FFC2"/>
    <w:lvl w:ilvl="0" w:tplc="EC1A22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393D1B"/>
    <w:multiLevelType w:val="hybridMultilevel"/>
    <w:tmpl w:val="03C632EC"/>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E144195"/>
    <w:multiLevelType w:val="hybridMultilevel"/>
    <w:tmpl w:val="75AA6B42"/>
    <w:lvl w:ilvl="0" w:tplc="EC1A22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1D65C1B"/>
    <w:multiLevelType w:val="hybridMultilevel"/>
    <w:tmpl w:val="73FAD0B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6"/>
  </w:num>
  <w:num w:numId="4">
    <w:abstractNumId w:val="25"/>
  </w:num>
  <w:num w:numId="5">
    <w:abstractNumId w:val="13"/>
  </w:num>
  <w:num w:numId="6">
    <w:abstractNumId w:val="8"/>
  </w:num>
  <w:num w:numId="7">
    <w:abstractNumId w:val="24"/>
  </w:num>
  <w:num w:numId="8">
    <w:abstractNumId w:val="12"/>
  </w:num>
  <w:num w:numId="9">
    <w:abstractNumId w:val="17"/>
  </w:num>
  <w:num w:numId="10">
    <w:abstractNumId w:val="30"/>
  </w:num>
  <w:num w:numId="11">
    <w:abstractNumId w:val="15"/>
  </w:num>
  <w:num w:numId="12">
    <w:abstractNumId w:val="16"/>
  </w:num>
  <w:num w:numId="13">
    <w:abstractNumId w:val="19"/>
  </w:num>
  <w:num w:numId="14">
    <w:abstractNumId w:val="21"/>
  </w:num>
  <w:num w:numId="15">
    <w:abstractNumId w:val="14"/>
  </w:num>
  <w:num w:numId="16">
    <w:abstractNumId w:val="0"/>
  </w:num>
  <w:num w:numId="17">
    <w:abstractNumId w:val="10"/>
  </w:num>
  <w:num w:numId="18">
    <w:abstractNumId w:val="4"/>
  </w:num>
  <w:num w:numId="19">
    <w:abstractNumId w:val="22"/>
  </w:num>
  <w:num w:numId="20">
    <w:abstractNumId w:val="29"/>
  </w:num>
  <w:num w:numId="21">
    <w:abstractNumId w:val="2"/>
  </w:num>
  <w:num w:numId="22">
    <w:abstractNumId w:val="9"/>
  </w:num>
  <w:num w:numId="23">
    <w:abstractNumId w:val="5"/>
  </w:num>
  <w:num w:numId="24">
    <w:abstractNumId w:val="3"/>
  </w:num>
  <w:num w:numId="25">
    <w:abstractNumId w:val="7"/>
  </w:num>
  <w:num w:numId="26">
    <w:abstractNumId w:val="27"/>
  </w:num>
  <w:num w:numId="27">
    <w:abstractNumId w:val="1"/>
  </w:num>
  <w:num w:numId="28">
    <w:abstractNumId w:val="18"/>
  </w:num>
  <w:num w:numId="29">
    <w:abstractNumId w:val="20"/>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CBF"/>
    <w:rsid w:val="000176CA"/>
    <w:rsid w:val="00033469"/>
    <w:rsid w:val="00036FA0"/>
    <w:rsid w:val="0003793F"/>
    <w:rsid w:val="00045130"/>
    <w:rsid w:val="000463B5"/>
    <w:rsid w:val="00057E35"/>
    <w:rsid w:val="00075E28"/>
    <w:rsid w:val="00076726"/>
    <w:rsid w:val="00080303"/>
    <w:rsid w:val="00083D02"/>
    <w:rsid w:val="000A3F58"/>
    <w:rsid w:val="000B639B"/>
    <w:rsid w:val="000D2343"/>
    <w:rsid w:val="000D3449"/>
    <w:rsid w:val="000D425A"/>
    <w:rsid w:val="000D60CC"/>
    <w:rsid w:val="000E2084"/>
    <w:rsid w:val="000E6F55"/>
    <w:rsid w:val="000F77FA"/>
    <w:rsid w:val="0010081D"/>
    <w:rsid w:val="00107BF7"/>
    <w:rsid w:val="00126F53"/>
    <w:rsid w:val="0014766D"/>
    <w:rsid w:val="001536CC"/>
    <w:rsid w:val="001A3FBA"/>
    <w:rsid w:val="001A5518"/>
    <w:rsid w:val="001B1C6A"/>
    <w:rsid w:val="001C1263"/>
    <w:rsid w:val="001C1417"/>
    <w:rsid w:val="001C63A2"/>
    <w:rsid w:val="001E390B"/>
    <w:rsid w:val="001F42FB"/>
    <w:rsid w:val="001F719A"/>
    <w:rsid w:val="002031B3"/>
    <w:rsid w:val="00215931"/>
    <w:rsid w:val="00224C91"/>
    <w:rsid w:val="00227BDB"/>
    <w:rsid w:val="00234CB1"/>
    <w:rsid w:val="002352F8"/>
    <w:rsid w:val="002510A5"/>
    <w:rsid w:val="00254A0A"/>
    <w:rsid w:val="00261E5A"/>
    <w:rsid w:val="00266046"/>
    <w:rsid w:val="002846DB"/>
    <w:rsid w:val="00284CCD"/>
    <w:rsid w:val="002C6637"/>
    <w:rsid w:val="002C66FC"/>
    <w:rsid w:val="002D39DA"/>
    <w:rsid w:val="002E0135"/>
    <w:rsid w:val="002E37A5"/>
    <w:rsid w:val="00304B3E"/>
    <w:rsid w:val="00310F03"/>
    <w:rsid w:val="003247D2"/>
    <w:rsid w:val="0033217E"/>
    <w:rsid w:val="00340369"/>
    <w:rsid w:val="003445C1"/>
    <w:rsid w:val="00355B61"/>
    <w:rsid w:val="00362686"/>
    <w:rsid w:val="00371510"/>
    <w:rsid w:val="003933C1"/>
    <w:rsid w:val="00396DFD"/>
    <w:rsid w:val="003A7059"/>
    <w:rsid w:val="003A78D0"/>
    <w:rsid w:val="003B7A36"/>
    <w:rsid w:val="003C17AB"/>
    <w:rsid w:val="003C7823"/>
    <w:rsid w:val="003E1DCC"/>
    <w:rsid w:val="003E494C"/>
    <w:rsid w:val="003F0D2D"/>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6791B"/>
    <w:rsid w:val="00471DF8"/>
    <w:rsid w:val="00480FB1"/>
    <w:rsid w:val="00483928"/>
    <w:rsid w:val="004C331F"/>
    <w:rsid w:val="004D6103"/>
    <w:rsid w:val="004E3BCE"/>
    <w:rsid w:val="004E70AD"/>
    <w:rsid w:val="004F0E97"/>
    <w:rsid w:val="004F17E2"/>
    <w:rsid w:val="00501DD1"/>
    <w:rsid w:val="00515C21"/>
    <w:rsid w:val="00530BD7"/>
    <w:rsid w:val="0054199A"/>
    <w:rsid w:val="00545CD2"/>
    <w:rsid w:val="005476F3"/>
    <w:rsid w:val="00560C27"/>
    <w:rsid w:val="00572527"/>
    <w:rsid w:val="00573E40"/>
    <w:rsid w:val="00576348"/>
    <w:rsid w:val="00586901"/>
    <w:rsid w:val="005A0B2E"/>
    <w:rsid w:val="005A23D2"/>
    <w:rsid w:val="005A36CB"/>
    <w:rsid w:val="005B49B8"/>
    <w:rsid w:val="005C0741"/>
    <w:rsid w:val="005C5EF4"/>
    <w:rsid w:val="005E2E0B"/>
    <w:rsid w:val="005E67AD"/>
    <w:rsid w:val="005E7A7D"/>
    <w:rsid w:val="005F2068"/>
    <w:rsid w:val="005F3E66"/>
    <w:rsid w:val="00602457"/>
    <w:rsid w:val="00644FC3"/>
    <w:rsid w:val="00646BD1"/>
    <w:rsid w:val="006561C2"/>
    <w:rsid w:val="00671CB3"/>
    <w:rsid w:val="00674BAF"/>
    <w:rsid w:val="00682200"/>
    <w:rsid w:val="00684F00"/>
    <w:rsid w:val="00692BF6"/>
    <w:rsid w:val="006A1351"/>
    <w:rsid w:val="006A1497"/>
    <w:rsid w:val="006A399E"/>
    <w:rsid w:val="006B0BD1"/>
    <w:rsid w:val="006B5404"/>
    <w:rsid w:val="006D20A5"/>
    <w:rsid w:val="006D37BF"/>
    <w:rsid w:val="00702E22"/>
    <w:rsid w:val="0071107C"/>
    <w:rsid w:val="0072020E"/>
    <w:rsid w:val="00725627"/>
    <w:rsid w:val="00734F14"/>
    <w:rsid w:val="00754902"/>
    <w:rsid w:val="00770F56"/>
    <w:rsid w:val="00786071"/>
    <w:rsid w:val="00797963"/>
    <w:rsid w:val="007A05AB"/>
    <w:rsid w:val="007A3ECB"/>
    <w:rsid w:val="007A4571"/>
    <w:rsid w:val="007B55AC"/>
    <w:rsid w:val="007D21DF"/>
    <w:rsid w:val="007D7BB3"/>
    <w:rsid w:val="007E31E9"/>
    <w:rsid w:val="007F05E3"/>
    <w:rsid w:val="00824AB9"/>
    <w:rsid w:val="00836B35"/>
    <w:rsid w:val="00843BDE"/>
    <w:rsid w:val="0085722A"/>
    <w:rsid w:val="00863BB0"/>
    <w:rsid w:val="0087355E"/>
    <w:rsid w:val="0087588C"/>
    <w:rsid w:val="0089705C"/>
    <w:rsid w:val="008A3E52"/>
    <w:rsid w:val="008A6D43"/>
    <w:rsid w:val="008B491E"/>
    <w:rsid w:val="008C1A28"/>
    <w:rsid w:val="008C2E98"/>
    <w:rsid w:val="008C31AB"/>
    <w:rsid w:val="008E49BD"/>
    <w:rsid w:val="008E53E9"/>
    <w:rsid w:val="008E5771"/>
    <w:rsid w:val="008F4ACF"/>
    <w:rsid w:val="00900FC9"/>
    <w:rsid w:val="00924166"/>
    <w:rsid w:val="00940B9B"/>
    <w:rsid w:val="00953573"/>
    <w:rsid w:val="00955931"/>
    <w:rsid w:val="0095676E"/>
    <w:rsid w:val="00956983"/>
    <w:rsid w:val="00963CF0"/>
    <w:rsid w:val="00964BB1"/>
    <w:rsid w:val="009775D9"/>
    <w:rsid w:val="00997175"/>
    <w:rsid w:val="009A1847"/>
    <w:rsid w:val="009B062A"/>
    <w:rsid w:val="009B18EA"/>
    <w:rsid w:val="009D254D"/>
    <w:rsid w:val="009E7C6F"/>
    <w:rsid w:val="009F1793"/>
    <w:rsid w:val="009F2D23"/>
    <w:rsid w:val="00A01D69"/>
    <w:rsid w:val="00A02335"/>
    <w:rsid w:val="00A46C9A"/>
    <w:rsid w:val="00A619F3"/>
    <w:rsid w:val="00A62A73"/>
    <w:rsid w:val="00A70DA0"/>
    <w:rsid w:val="00A87FF6"/>
    <w:rsid w:val="00AA0A3B"/>
    <w:rsid w:val="00AA2763"/>
    <w:rsid w:val="00AA33B6"/>
    <w:rsid w:val="00AA6FC6"/>
    <w:rsid w:val="00AB50CA"/>
    <w:rsid w:val="00AB6D64"/>
    <w:rsid w:val="00AC53CE"/>
    <w:rsid w:val="00AD2193"/>
    <w:rsid w:val="00AF19F4"/>
    <w:rsid w:val="00AF2AC7"/>
    <w:rsid w:val="00AF74CE"/>
    <w:rsid w:val="00B208DB"/>
    <w:rsid w:val="00B23F69"/>
    <w:rsid w:val="00B60619"/>
    <w:rsid w:val="00B66A70"/>
    <w:rsid w:val="00B67366"/>
    <w:rsid w:val="00B8085F"/>
    <w:rsid w:val="00B80EE1"/>
    <w:rsid w:val="00B84135"/>
    <w:rsid w:val="00BB3077"/>
    <w:rsid w:val="00BD2B3C"/>
    <w:rsid w:val="00C04D34"/>
    <w:rsid w:val="00C05DF8"/>
    <w:rsid w:val="00C06864"/>
    <w:rsid w:val="00C10F54"/>
    <w:rsid w:val="00C12F5F"/>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CF6935"/>
    <w:rsid w:val="00D0082A"/>
    <w:rsid w:val="00D0625D"/>
    <w:rsid w:val="00D21455"/>
    <w:rsid w:val="00D425B4"/>
    <w:rsid w:val="00D47634"/>
    <w:rsid w:val="00D709B3"/>
    <w:rsid w:val="00D74CD2"/>
    <w:rsid w:val="00D861A0"/>
    <w:rsid w:val="00DA2ED6"/>
    <w:rsid w:val="00DB1D55"/>
    <w:rsid w:val="00DB76B8"/>
    <w:rsid w:val="00DC2EA1"/>
    <w:rsid w:val="00DD6AAF"/>
    <w:rsid w:val="00DE3F5C"/>
    <w:rsid w:val="00DF1D20"/>
    <w:rsid w:val="00E14FF3"/>
    <w:rsid w:val="00E21324"/>
    <w:rsid w:val="00E246B9"/>
    <w:rsid w:val="00E27771"/>
    <w:rsid w:val="00E31FEA"/>
    <w:rsid w:val="00E45169"/>
    <w:rsid w:val="00E47787"/>
    <w:rsid w:val="00E47900"/>
    <w:rsid w:val="00E5140C"/>
    <w:rsid w:val="00E51C30"/>
    <w:rsid w:val="00E64180"/>
    <w:rsid w:val="00E7235D"/>
    <w:rsid w:val="00E74AEE"/>
    <w:rsid w:val="00E868E5"/>
    <w:rsid w:val="00E9237A"/>
    <w:rsid w:val="00E939FA"/>
    <w:rsid w:val="00EA5765"/>
    <w:rsid w:val="00EC2532"/>
    <w:rsid w:val="00ED7812"/>
    <w:rsid w:val="00EF3B86"/>
    <w:rsid w:val="00F223ED"/>
    <w:rsid w:val="00F317E9"/>
    <w:rsid w:val="00F34554"/>
    <w:rsid w:val="00F35B68"/>
    <w:rsid w:val="00F45F77"/>
    <w:rsid w:val="00F5167F"/>
    <w:rsid w:val="00F52258"/>
    <w:rsid w:val="00F84A8F"/>
    <w:rsid w:val="00F8570A"/>
    <w:rsid w:val="00F874C3"/>
    <w:rsid w:val="00F91C7B"/>
    <w:rsid w:val="00F91D5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4DC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3A78D0"/>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3A78D0"/>
    <w:pPr>
      <w:keepNext/>
      <w:ind w:left="72" w:hanging="72"/>
      <w:outlineLvl w:val="2"/>
    </w:pPr>
    <w:rPr>
      <w:rFonts w:ascii="Arial" w:hAnsi="Arial" w:cs="Arial"/>
      <w:i/>
      <w:iCs/>
      <w:color w:val="999999"/>
      <w:sz w:val="18"/>
      <w:lang w:val="sr-Latn-ME"/>
    </w:rPr>
  </w:style>
  <w:style w:type="paragraph" w:styleId="Heading4">
    <w:name w:val="heading 4"/>
    <w:basedOn w:val="Normal"/>
    <w:next w:val="Normal"/>
    <w:link w:val="Heading4Char"/>
    <w:qFormat/>
    <w:rsid w:val="003A78D0"/>
    <w:pPr>
      <w:keepNext/>
      <w:tabs>
        <w:tab w:val="left" w:pos="284"/>
      </w:tabs>
      <w:ind w:right="265"/>
      <w:jc w:val="right"/>
      <w:outlineLvl w:val="3"/>
    </w:pPr>
    <w:rPr>
      <w:rFonts w:ascii="Arial" w:hAnsi="Arial" w:cs="Arial"/>
      <w:i/>
      <w:iCs/>
      <w:color w:val="999999"/>
      <w:sz w:val="16"/>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uiPriority w:val="99"/>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B639B"/>
    <w:rPr>
      <w:sz w:val="24"/>
      <w:szCs w:val="24"/>
      <w:lang w:val="en-US" w:eastAsia="en-US"/>
    </w:rPr>
  </w:style>
  <w:style w:type="paragraph" w:styleId="NormalWeb">
    <w:name w:val="Normal (Web)"/>
    <w:basedOn w:val="Normal"/>
    <w:unhideWhenUsed/>
    <w:rsid w:val="00E5140C"/>
    <w:pPr>
      <w:spacing w:before="100" w:beforeAutospacing="1" w:after="100" w:afterAutospacing="1"/>
    </w:pPr>
    <w:rPr>
      <w:lang w:val="en-GB" w:eastAsia="en-GB"/>
    </w:rPr>
  </w:style>
  <w:style w:type="paragraph" w:styleId="ListParagraph">
    <w:name w:val="List Paragraph"/>
    <w:basedOn w:val="Normal"/>
    <w:uiPriority w:val="34"/>
    <w:qFormat/>
    <w:rsid w:val="00725627"/>
    <w:pPr>
      <w:tabs>
        <w:tab w:val="left" w:pos="284"/>
      </w:tabs>
      <w:ind w:left="720"/>
      <w:contextualSpacing/>
      <w:jc w:val="both"/>
    </w:pPr>
    <w:rPr>
      <w:rFonts w:ascii="Humanist777" w:hAnsi="Humanist777"/>
      <w:lang w:val="sr-Latn-ME"/>
    </w:rPr>
  </w:style>
  <w:style w:type="paragraph" w:styleId="NormalIndent">
    <w:name w:val="Normal Indent"/>
    <w:basedOn w:val="Normal"/>
    <w:rsid w:val="00863BB0"/>
    <w:pPr>
      <w:spacing w:after="120"/>
      <w:ind w:left="720"/>
    </w:pPr>
    <w:rPr>
      <w:sz w:val="22"/>
      <w:szCs w:val="20"/>
      <w:lang w:val="en-GB" w:eastAsia="en-GB"/>
    </w:rPr>
  </w:style>
  <w:style w:type="table" w:styleId="TableGrid">
    <w:name w:val="Table Grid"/>
    <w:basedOn w:val="TableNormal"/>
    <w:rsid w:val="003A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A78D0"/>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3A78D0"/>
    <w:rPr>
      <w:rFonts w:ascii="Arial" w:hAnsi="Arial" w:cs="Arial"/>
      <w:i/>
      <w:iCs/>
      <w:color w:val="999999"/>
      <w:sz w:val="18"/>
      <w:szCs w:val="24"/>
      <w:lang w:eastAsia="en-US"/>
    </w:rPr>
  </w:style>
  <w:style w:type="character" w:customStyle="1" w:styleId="Heading4Char">
    <w:name w:val="Heading 4 Char"/>
    <w:basedOn w:val="DefaultParagraphFont"/>
    <w:link w:val="Heading4"/>
    <w:rsid w:val="003A78D0"/>
    <w:rPr>
      <w:rFonts w:ascii="Arial" w:hAnsi="Arial" w:cs="Arial"/>
      <w:i/>
      <w:iCs/>
      <w:color w:val="999999"/>
      <w:sz w:val="16"/>
      <w:szCs w:val="24"/>
      <w:lang w:eastAsia="en-US"/>
    </w:rPr>
  </w:style>
  <w:style w:type="character" w:customStyle="1" w:styleId="FooterChar">
    <w:name w:val="Footer Char"/>
    <w:link w:val="Footer"/>
    <w:uiPriority w:val="99"/>
    <w:rsid w:val="003A78D0"/>
    <w:rPr>
      <w:sz w:val="24"/>
      <w:szCs w:val="24"/>
      <w:lang w:val="en-US" w:eastAsia="en-US"/>
    </w:rPr>
  </w:style>
  <w:style w:type="paragraph" w:styleId="Revision">
    <w:name w:val="Revision"/>
    <w:hidden/>
    <w:uiPriority w:val="99"/>
    <w:semiHidden/>
    <w:rsid w:val="003A78D0"/>
    <w:rPr>
      <w:rFonts w:ascii="Humanist777" w:hAnsi="Humanist777"/>
      <w:sz w:val="24"/>
      <w:szCs w:val="24"/>
      <w:lang w:eastAsia="en-US"/>
    </w:rPr>
  </w:style>
  <w:style w:type="paragraph" w:styleId="BodyText">
    <w:name w:val="Body Text"/>
    <w:basedOn w:val="Normal"/>
    <w:link w:val="BodyTextChar"/>
    <w:rsid w:val="003A78D0"/>
    <w:rPr>
      <w:color w:val="000000"/>
      <w:sz w:val="22"/>
      <w:szCs w:val="22"/>
      <w:lang w:val="en-GB"/>
    </w:rPr>
  </w:style>
  <w:style w:type="character" w:customStyle="1" w:styleId="BodyTextChar">
    <w:name w:val="Body Text Char"/>
    <w:basedOn w:val="DefaultParagraphFont"/>
    <w:link w:val="BodyText"/>
    <w:rsid w:val="003A78D0"/>
    <w:rPr>
      <w:color w:val="000000"/>
      <w:sz w:val="22"/>
      <w:szCs w:val="22"/>
      <w:lang w:val="en-GB" w:eastAsia="en-US"/>
    </w:rPr>
  </w:style>
  <w:style w:type="paragraph" w:customStyle="1" w:styleId="TableTextCenter">
    <w:name w:val="Table Text Center"/>
    <w:basedOn w:val="Normal"/>
    <w:link w:val="TableTextCenterChar1"/>
    <w:rsid w:val="003A78D0"/>
    <w:pPr>
      <w:overflowPunct w:val="0"/>
      <w:autoSpaceDE w:val="0"/>
      <w:autoSpaceDN w:val="0"/>
      <w:adjustRightInd w:val="0"/>
      <w:spacing w:before="60" w:after="60"/>
      <w:jc w:val="center"/>
      <w:textAlignment w:val="baseline"/>
    </w:pPr>
    <w:rPr>
      <w:rFonts w:ascii="Arial Narrow" w:hAnsi="Arial Narrow"/>
      <w:sz w:val="20"/>
      <w:szCs w:val="20"/>
    </w:rPr>
  </w:style>
  <w:style w:type="paragraph" w:customStyle="1" w:styleId="TableHeadCenter">
    <w:name w:val="Table Head Center"/>
    <w:basedOn w:val="TableTextCenter"/>
    <w:rsid w:val="003A78D0"/>
    <w:pPr>
      <w:keepNext/>
      <w:overflowPunct/>
      <w:autoSpaceDE/>
      <w:autoSpaceDN/>
      <w:adjustRightInd/>
      <w:textAlignment w:val="auto"/>
    </w:pPr>
    <w:rPr>
      <w:b/>
    </w:rPr>
  </w:style>
  <w:style w:type="character" w:customStyle="1" w:styleId="TableTextCenterChar1">
    <w:name w:val="Table Text Center Char1"/>
    <w:link w:val="TableTextCenter"/>
    <w:rsid w:val="003A78D0"/>
    <w:rPr>
      <w:rFonts w:ascii="Arial Narrow" w:hAnsi="Arial Narrow"/>
      <w:lang w:val="en-US" w:eastAsia="en-US"/>
    </w:rPr>
  </w:style>
  <w:style w:type="paragraph" w:customStyle="1" w:styleId="Table">
    <w:name w:val="Table"/>
    <w:basedOn w:val="Normal"/>
    <w:rsid w:val="003A78D0"/>
    <w:pPr>
      <w:spacing w:before="40" w:after="40"/>
    </w:pPr>
    <w:rPr>
      <w:sz w:val="22"/>
      <w:szCs w:val="20"/>
      <w:lang w:val="en-GB" w:eastAsia="en-GB"/>
    </w:rPr>
  </w:style>
  <w:style w:type="character" w:styleId="PlaceholderText">
    <w:name w:val="Placeholder Text"/>
    <w:basedOn w:val="DefaultParagraphFont"/>
    <w:uiPriority w:val="99"/>
    <w:semiHidden/>
    <w:rsid w:val="003A78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AC47-1B2C-41AC-B422-7130BC99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19695</Words>
  <Characters>112268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131700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cp:lastPrinted>2023-02-09T08:16:00Z</cp:lastPrinted>
  <dcterms:created xsi:type="dcterms:W3CDTF">2024-07-23T12:29:00Z</dcterms:created>
  <dcterms:modified xsi:type="dcterms:W3CDTF">2024-07-23T12:29:00Z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