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E7665A" w:rsidRDefault="002510A5" w:rsidP="002510A5">
      <w:pPr>
        <w:jc w:val="center"/>
        <w:rPr>
          <w:b/>
          <w:bCs/>
          <w:iCs/>
          <w:sz w:val="22"/>
          <w:szCs w:val="22"/>
          <w:u w:val="single"/>
          <w:lang w:val="sr-Latn-ME"/>
        </w:rPr>
      </w:pPr>
      <w:r w:rsidRPr="00E7665A">
        <w:rPr>
          <w:b/>
          <w:bCs/>
          <w:iCs/>
          <w:sz w:val="22"/>
          <w:szCs w:val="22"/>
          <w:u w:val="single"/>
          <w:lang w:val="sr-Latn-ME"/>
        </w:rPr>
        <w:t>SAŽETAK KARAKTERISTIKA LIJEKA</w:t>
      </w:r>
    </w:p>
    <w:p w:rsidR="002510A5" w:rsidRPr="00E7665A" w:rsidRDefault="002510A5" w:rsidP="002510A5">
      <w:pPr>
        <w:rPr>
          <w:b/>
          <w:bCs/>
          <w:i/>
          <w:iCs/>
          <w:sz w:val="22"/>
          <w:szCs w:val="22"/>
          <w:u w:val="single"/>
          <w:lang w:val="sr-Latn-ME"/>
        </w:rPr>
      </w:pPr>
    </w:p>
    <w:p w:rsidR="003C17AB" w:rsidRPr="00E7665A" w:rsidRDefault="003C17AB" w:rsidP="00F5167F">
      <w:pPr>
        <w:tabs>
          <w:tab w:val="left" w:pos="540"/>
          <w:tab w:val="left" w:pos="569"/>
        </w:tabs>
        <w:rPr>
          <w:sz w:val="22"/>
          <w:szCs w:val="22"/>
          <w:lang w:val="sr-Latn-ME"/>
        </w:rPr>
      </w:pPr>
    </w:p>
    <w:p w:rsidR="00C37FD7" w:rsidRPr="00E7665A" w:rsidRDefault="00C37FD7" w:rsidP="00BF3E6B">
      <w:pPr>
        <w:tabs>
          <w:tab w:val="left" w:pos="540"/>
          <w:tab w:val="left" w:pos="569"/>
        </w:tabs>
        <w:jc w:val="both"/>
        <w:rPr>
          <w:bCs/>
          <w:sz w:val="22"/>
          <w:szCs w:val="22"/>
          <w:lang w:val="sr-Latn-ME"/>
        </w:rPr>
      </w:pPr>
    </w:p>
    <w:p w:rsidR="00411B4B" w:rsidRPr="00E7665A" w:rsidRDefault="00411B4B" w:rsidP="00BF3E6B">
      <w:pPr>
        <w:tabs>
          <w:tab w:val="left" w:pos="540"/>
          <w:tab w:val="left" w:pos="569"/>
        </w:tabs>
        <w:jc w:val="both"/>
        <w:rPr>
          <w:b/>
          <w:bCs/>
          <w:sz w:val="22"/>
          <w:szCs w:val="22"/>
          <w:lang w:val="sr-Latn-ME"/>
        </w:rPr>
      </w:pPr>
      <w:r w:rsidRPr="00E7665A">
        <w:rPr>
          <w:b/>
          <w:bCs/>
          <w:sz w:val="22"/>
          <w:szCs w:val="22"/>
          <w:lang w:val="sr-Latn-ME"/>
        </w:rPr>
        <w:t>1.</w:t>
      </w:r>
      <w:r w:rsidR="00F5167F" w:rsidRPr="00E7665A">
        <w:rPr>
          <w:b/>
          <w:bCs/>
          <w:sz w:val="22"/>
          <w:szCs w:val="22"/>
          <w:lang w:val="sr-Latn-ME"/>
        </w:rPr>
        <w:tab/>
      </w:r>
      <w:r w:rsidR="002846DB" w:rsidRPr="00E7665A">
        <w:rPr>
          <w:b/>
          <w:bCs/>
          <w:sz w:val="22"/>
          <w:szCs w:val="22"/>
          <w:lang w:val="sr-Latn-ME"/>
        </w:rPr>
        <w:t xml:space="preserve">NAZIV </w:t>
      </w:r>
      <w:r w:rsidRPr="00E7665A">
        <w:rPr>
          <w:b/>
          <w:bCs/>
          <w:sz w:val="22"/>
          <w:szCs w:val="22"/>
          <w:lang w:val="sr-Latn-ME"/>
        </w:rPr>
        <w:t>LIJEKA</w:t>
      </w:r>
    </w:p>
    <w:p w:rsidR="002E440B" w:rsidRPr="00E7665A" w:rsidRDefault="002E440B" w:rsidP="00BF3E6B">
      <w:pPr>
        <w:jc w:val="both"/>
        <w:rPr>
          <w:bCs/>
          <w:sz w:val="22"/>
          <w:szCs w:val="22"/>
          <w:lang w:val="sr-Latn-ME"/>
        </w:rPr>
      </w:pPr>
    </w:p>
    <w:p w:rsidR="002E440B" w:rsidRPr="00E7665A" w:rsidRDefault="00980E2B" w:rsidP="00BF3E6B">
      <w:pPr>
        <w:jc w:val="both"/>
        <w:rPr>
          <w:bCs/>
          <w:sz w:val="22"/>
          <w:szCs w:val="22"/>
          <w:lang w:val="sr-Latn-ME"/>
        </w:rPr>
      </w:pPr>
      <w:proofErr w:type="spellStart"/>
      <w:r w:rsidRPr="00E7665A">
        <w:rPr>
          <w:bCs/>
          <w:sz w:val="22"/>
          <w:szCs w:val="22"/>
          <w:lang w:val="sr-Latn-ME"/>
        </w:rPr>
        <w:t>NeoRecormon</w:t>
      </w:r>
      <w:proofErr w:type="spellEnd"/>
      <w:r w:rsidR="002E440B" w:rsidRPr="00E7665A">
        <w:rPr>
          <w:bCs/>
          <w:sz w:val="22"/>
          <w:szCs w:val="22"/>
          <w:lang w:val="sr-Latn-ME"/>
        </w:rPr>
        <w:t>, 2</w:t>
      </w:r>
      <w:r w:rsidR="00EC60BC" w:rsidRPr="00E7665A">
        <w:rPr>
          <w:bCs/>
          <w:sz w:val="22"/>
          <w:szCs w:val="22"/>
          <w:lang w:val="sr-Latn-ME"/>
        </w:rPr>
        <w:t xml:space="preserve"> </w:t>
      </w:r>
      <w:r w:rsidR="002E440B" w:rsidRPr="00E7665A">
        <w:rPr>
          <w:bCs/>
          <w:sz w:val="22"/>
          <w:szCs w:val="22"/>
          <w:lang w:val="sr-Latn-ME"/>
        </w:rPr>
        <w:t xml:space="preserve">000 </w:t>
      </w:r>
      <w:proofErr w:type="spellStart"/>
      <w:r w:rsidR="002E440B" w:rsidRPr="00E7665A">
        <w:rPr>
          <w:bCs/>
          <w:sz w:val="22"/>
          <w:szCs w:val="22"/>
          <w:lang w:val="sr-Latn-ME"/>
        </w:rPr>
        <w:t>i.j</w:t>
      </w:r>
      <w:proofErr w:type="spellEnd"/>
      <w:r w:rsidR="002E440B" w:rsidRPr="00E7665A">
        <w:rPr>
          <w:bCs/>
          <w:sz w:val="22"/>
          <w:szCs w:val="22"/>
          <w:lang w:val="sr-Latn-ME"/>
        </w:rPr>
        <w:t>., rastvor za injekciju u napunjenom injekcionom špricu</w:t>
      </w:r>
    </w:p>
    <w:p w:rsidR="000D425A" w:rsidRPr="00E7665A" w:rsidRDefault="00980E2B" w:rsidP="00BF3E6B">
      <w:pPr>
        <w:jc w:val="both"/>
        <w:rPr>
          <w:bCs/>
          <w:sz w:val="22"/>
          <w:szCs w:val="22"/>
          <w:lang w:val="sr-Latn-ME"/>
        </w:rPr>
      </w:pPr>
      <w:proofErr w:type="spellStart"/>
      <w:r w:rsidRPr="00E7665A">
        <w:rPr>
          <w:bCs/>
          <w:sz w:val="22"/>
          <w:szCs w:val="22"/>
          <w:lang w:val="sr-Latn-ME"/>
        </w:rPr>
        <w:t>NeoRecormon</w:t>
      </w:r>
      <w:proofErr w:type="spellEnd"/>
      <w:r w:rsidR="002E440B" w:rsidRPr="00E7665A">
        <w:rPr>
          <w:bCs/>
          <w:sz w:val="22"/>
          <w:szCs w:val="22"/>
          <w:lang w:val="sr-Latn-ME"/>
        </w:rPr>
        <w:t>, 10</w:t>
      </w:r>
      <w:r w:rsidR="00EC60BC" w:rsidRPr="00E7665A">
        <w:rPr>
          <w:bCs/>
          <w:sz w:val="22"/>
          <w:szCs w:val="22"/>
          <w:lang w:val="sr-Latn-ME"/>
        </w:rPr>
        <w:t xml:space="preserve"> </w:t>
      </w:r>
      <w:r w:rsidR="002E440B" w:rsidRPr="00E7665A">
        <w:rPr>
          <w:bCs/>
          <w:sz w:val="22"/>
          <w:szCs w:val="22"/>
          <w:lang w:val="sr-Latn-ME"/>
        </w:rPr>
        <w:t xml:space="preserve">000 </w:t>
      </w:r>
      <w:proofErr w:type="spellStart"/>
      <w:r w:rsidR="002E440B" w:rsidRPr="00E7665A">
        <w:rPr>
          <w:bCs/>
          <w:sz w:val="22"/>
          <w:szCs w:val="22"/>
          <w:lang w:val="sr-Latn-ME"/>
        </w:rPr>
        <w:t>i.j</w:t>
      </w:r>
      <w:proofErr w:type="spellEnd"/>
      <w:r w:rsidR="002E440B" w:rsidRPr="00E7665A">
        <w:rPr>
          <w:bCs/>
          <w:sz w:val="22"/>
          <w:szCs w:val="22"/>
          <w:lang w:val="sr-Latn-ME"/>
        </w:rPr>
        <w:t>., rastvor za injekciju u napunjenom injekcionom špricu</w:t>
      </w:r>
    </w:p>
    <w:p w:rsidR="002E440B" w:rsidRPr="00E7665A" w:rsidRDefault="002E440B" w:rsidP="00BF3E6B">
      <w:pPr>
        <w:jc w:val="both"/>
        <w:rPr>
          <w:bCs/>
          <w:sz w:val="22"/>
          <w:szCs w:val="22"/>
          <w:lang w:val="sr-Latn-ME"/>
        </w:rPr>
      </w:pPr>
    </w:p>
    <w:p w:rsidR="006D20A5" w:rsidRPr="00E7665A" w:rsidRDefault="006D20A5" w:rsidP="00BF3E6B">
      <w:pPr>
        <w:jc w:val="both"/>
        <w:rPr>
          <w:sz w:val="22"/>
          <w:szCs w:val="22"/>
          <w:lang w:val="sr-Latn-ME"/>
        </w:rPr>
      </w:pPr>
      <w:proofErr w:type="spellStart"/>
      <w:r w:rsidRPr="00E7665A">
        <w:rPr>
          <w:sz w:val="22"/>
          <w:szCs w:val="22"/>
          <w:lang w:val="sr-Latn-ME"/>
        </w:rPr>
        <w:t>INN</w:t>
      </w:r>
      <w:proofErr w:type="spellEnd"/>
      <w:r w:rsidRPr="00E7665A">
        <w:rPr>
          <w:sz w:val="22"/>
          <w:szCs w:val="22"/>
          <w:lang w:val="sr-Latn-ME"/>
        </w:rPr>
        <w:t>:</w:t>
      </w:r>
      <w:r w:rsidR="002E440B" w:rsidRPr="00E7665A">
        <w:rPr>
          <w:sz w:val="22"/>
          <w:szCs w:val="22"/>
          <w:lang w:val="sr-Latn-ME"/>
        </w:rPr>
        <w:t xml:space="preserve"> </w:t>
      </w:r>
      <w:proofErr w:type="spellStart"/>
      <w:r w:rsidR="002E440B" w:rsidRPr="00E7665A">
        <w:rPr>
          <w:sz w:val="22"/>
          <w:szCs w:val="22"/>
          <w:lang w:val="sr-Latn-ME"/>
        </w:rPr>
        <w:t>epoetin</w:t>
      </w:r>
      <w:proofErr w:type="spellEnd"/>
      <w:r w:rsidR="002E440B" w:rsidRPr="00E7665A">
        <w:rPr>
          <w:sz w:val="22"/>
          <w:szCs w:val="22"/>
          <w:lang w:val="sr-Latn-ME"/>
        </w:rPr>
        <w:t xml:space="preserve"> beta</w:t>
      </w:r>
    </w:p>
    <w:p w:rsidR="006D20A5" w:rsidRPr="00E7665A" w:rsidRDefault="006D20A5" w:rsidP="00BF3E6B">
      <w:pPr>
        <w:jc w:val="both"/>
        <w:rPr>
          <w:bCs/>
          <w:sz w:val="22"/>
          <w:szCs w:val="22"/>
          <w:lang w:val="sr-Latn-ME"/>
        </w:rPr>
      </w:pPr>
    </w:p>
    <w:p w:rsidR="00530BD7" w:rsidRPr="00E7665A" w:rsidRDefault="00530BD7" w:rsidP="00BF3E6B">
      <w:pPr>
        <w:jc w:val="both"/>
        <w:rPr>
          <w:bCs/>
          <w:sz w:val="22"/>
          <w:szCs w:val="22"/>
          <w:lang w:val="sr-Latn-ME"/>
        </w:rPr>
      </w:pPr>
    </w:p>
    <w:p w:rsidR="00411B4B" w:rsidRPr="00E7665A" w:rsidRDefault="00411B4B" w:rsidP="00BF3E6B">
      <w:pPr>
        <w:tabs>
          <w:tab w:val="left" w:pos="540"/>
          <w:tab w:val="left" w:pos="569"/>
        </w:tabs>
        <w:jc w:val="both"/>
        <w:rPr>
          <w:b/>
          <w:bCs/>
          <w:sz w:val="22"/>
          <w:szCs w:val="22"/>
          <w:lang w:val="sr-Latn-ME"/>
        </w:rPr>
      </w:pPr>
      <w:r w:rsidRPr="00E7665A">
        <w:rPr>
          <w:b/>
          <w:bCs/>
          <w:sz w:val="22"/>
          <w:szCs w:val="22"/>
          <w:lang w:val="sr-Latn-ME"/>
        </w:rPr>
        <w:t xml:space="preserve">2. </w:t>
      </w:r>
      <w:r w:rsidR="00F5167F" w:rsidRPr="00E7665A">
        <w:rPr>
          <w:b/>
          <w:bCs/>
          <w:sz w:val="22"/>
          <w:szCs w:val="22"/>
          <w:lang w:val="sr-Latn-ME"/>
        </w:rPr>
        <w:tab/>
      </w:r>
      <w:r w:rsidRPr="00E7665A">
        <w:rPr>
          <w:b/>
          <w:bCs/>
          <w:sz w:val="22"/>
          <w:szCs w:val="22"/>
          <w:lang w:val="sr-Latn-ME"/>
        </w:rPr>
        <w:t>KVALITATIVNI I KVANTITATIVNI SASTAV</w:t>
      </w:r>
    </w:p>
    <w:p w:rsidR="005A0B2E" w:rsidRPr="00E7665A" w:rsidRDefault="005A0B2E" w:rsidP="00BF3E6B">
      <w:pPr>
        <w:jc w:val="both"/>
        <w:rPr>
          <w:sz w:val="22"/>
          <w:szCs w:val="22"/>
          <w:lang w:val="sr-Latn-ME"/>
        </w:rPr>
      </w:pPr>
    </w:p>
    <w:p w:rsidR="00AE6A81" w:rsidRPr="00E7665A" w:rsidRDefault="00AE6A81" w:rsidP="00BF3E6B">
      <w:pPr>
        <w:jc w:val="both"/>
        <w:rPr>
          <w:bCs/>
          <w:sz w:val="22"/>
          <w:szCs w:val="22"/>
          <w:u w:val="single"/>
          <w:lang w:val="sr-Latn-ME"/>
        </w:rPr>
      </w:pPr>
      <w:proofErr w:type="spellStart"/>
      <w:r w:rsidRPr="00E7665A">
        <w:rPr>
          <w:bCs/>
          <w:sz w:val="22"/>
          <w:szCs w:val="22"/>
          <w:u w:val="single"/>
          <w:lang w:val="sr-Latn-ME"/>
        </w:rPr>
        <w:t>NeoRecormon</w:t>
      </w:r>
      <w:proofErr w:type="spellEnd"/>
      <w:r w:rsidRPr="00E7665A">
        <w:rPr>
          <w:bCs/>
          <w:sz w:val="22"/>
          <w:szCs w:val="22"/>
          <w:u w:val="single"/>
          <w:lang w:val="sr-Latn-ME"/>
        </w:rPr>
        <w:t>, 2</w:t>
      </w:r>
      <w:r w:rsidR="00EC60BC" w:rsidRPr="00E7665A">
        <w:rPr>
          <w:bCs/>
          <w:sz w:val="22"/>
          <w:szCs w:val="22"/>
          <w:u w:val="single"/>
          <w:lang w:val="sr-Latn-ME"/>
        </w:rPr>
        <w:t xml:space="preserve"> </w:t>
      </w:r>
      <w:r w:rsidRPr="00E7665A">
        <w:rPr>
          <w:bCs/>
          <w:sz w:val="22"/>
          <w:szCs w:val="22"/>
          <w:u w:val="single"/>
          <w:lang w:val="sr-Latn-ME"/>
        </w:rPr>
        <w:t xml:space="preserve">000 </w:t>
      </w:r>
      <w:proofErr w:type="spellStart"/>
      <w:r w:rsidRPr="00E7665A">
        <w:rPr>
          <w:bCs/>
          <w:sz w:val="22"/>
          <w:szCs w:val="22"/>
          <w:u w:val="single"/>
          <w:lang w:val="sr-Latn-ME"/>
        </w:rPr>
        <w:t>i.j</w:t>
      </w:r>
      <w:proofErr w:type="spellEnd"/>
      <w:r w:rsidRPr="00E7665A">
        <w:rPr>
          <w:bCs/>
          <w:sz w:val="22"/>
          <w:szCs w:val="22"/>
          <w:u w:val="single"/>
          <w:lang w:val="sr-Latn-ME"/>
        </w:rPr>
        <w:t>., rastvor za injekciju u napunjenom injekcionom špricu</w:t>
      </w:r>
    </w:p>
    <w:p w:rsidR="002E440B" w:rsidRPr="00E7665A" w:rsidRDefault="00AE6A81" w:rsidP="00BF3E6B">
      <w:pPr>
        <w:jc w:val="both"/>
        <w:rPr>
          <w:sz w:val="22"/>
          <w:szCs w:val="22"/>
          <w:lang w:val="sr-Latn-ME"/>
        </w:rPr>
      </w:pPr>
      <w:r w:rsidRPr="00E7665A">
        <w:rPr>
          <w:sz w:val="22"/>
          <w:szCs w:val="22"/>
          <w:lang w:val="sr-Latn-ME"/>
        </w:rPr>
        <w:t>Jedan</w:t>
      </w:r>
      <w:r w:rsidR="002E440B" w:rsidRPr="00E7665A">
        <w:rPr>
          <w:sz w:val="22"/>
          <w:szCs w:val="22"/>
          <w:lang w:val="sr-Latn-ME"/>
        </w:rPr>
        <w:t xml:space="preserve"> napunjeni injekcioni špric sa 0</w:t>
      </w:r>
      <w:r w:rsidR="00C96C21" w:rsidRPr="00E7665A">
        <w:rPr>
          <w:sz w:val="22"/>
          <w:szCs w:val="22"/>
          <w:lang w:val="sr-Latn-ME"/>
        </w:rPr>
        <w:t>.</w:t>
      </w:r>
      <w:r w:rsidR="002E440B" w:rsidRPr="00E7665A">
        <w:rPr>
          <w:sz w:val="22"/>
          <w:szCs w:val="22"/>
          <w:lang w:val="sr-Latn-ME"/>
        </w:rPr>
        <w:t>3 ml rastvora za injekciju sadrži 2</w:t>
      </w:r>
      <w:r w:rsidR="00C96C21" w:rsidRPr="00E7665A">
        <w:rPr>
          <w:sz w:val="22"/>
          <w:szCs w:val="22"/>
          <w:lang w:val="sr-Latn-ME"/>
        </w:rPr>
        <w:t xml:space="preserve"> </w:t>
      </w:r>
      <w:r w:rsidR="002E440B" w:rsidRPr="00E7665A">
        <w:rPr>
          <w:sz w:val="22"/>
          <w:szCs w:val="22"/>
          <w:lang w:val="sr-Latn-ME"/>
        </w:rPr>
        <w:t>000 internacionalnih jedinica (</w:t>
      </w:r>
      <w:proofErr w:type="spellStart"/>
      <w:r w:rsidRPr="00E7665A">
        <w:rPr>
          <w:sz w:val="22"/>
          <w:szCs w:val="22"/>
          <w:lang w:val="sr-Latn-ME"/>
        </w:rPr>
        <w:t>i.j</w:t>
      </w:r>
      <w:proofErr w:type="spellEnd"/>
      <w:r w:rsidR="002E440B" w:rsidRPr="00E7665A">
        <w:rPr>
          <w:sz w:val="22"/>
          <w:szCs w:val="22"/>
          <w:lang w:val="sr-Latn-ME"/>
        </w:rPr>
        <w:t>.)</w:t>
      </w:r>
      <w:r w:rsidRPr="00E7665A">
        <w:rPr>
          <w:sz w:val="22"/>
          <w:szCs w:val="22"/>
          <w:lang w:val="sr-Latn-ME"/>
        </w:rPr>
        <w:t xml:space="preserve"> </w:t>
      </w:r>
      <w:proofErr w:type="spellStart"/>
      <w:r w:rsidRPr="00E7665A">
        <w:rPr>
          <w:sz w:val="22"/>
          <w:szCs w:val="22"/>
          <w:lang w:val="sr-Latn-ME"/>
        </w:rPr>
        <w:t>epoetina</w:t>
      </w:r>
      <w:proofErr w:type="spellEnd"/>
      <w:r w:rsidRPr="00E7665A">
        <w:rPr>
          <w:sz w:val="22"/>
          <w:szCs w:val="22"/>
          <w:lang w:val="sr-Latn-ME"/>
        </w:rPr>
        <w:t xml:space="preserve"> beta,</w:t>
      </w:r>
      <w:r w:rsidR="002E440B" w:rsidRPr="00E7665A">
        <w:rPr>
          <w:sz w:val="22"/>
          <w:szCs w:val="22"/>
          <w:lang w:val="sr-Latn-ME"/>
        </w:rPr>
        <w:t xml:space="preserve"> što odgovara 16,6 </w:t>
      </w:r>
      <w:proofErr w:type="spellStart"/>
      <w:r w:rsidR="002E440B" w:rsidRPr="00E7665A">
        <w:rPr>
          <w:sz w:val="22"/>
          <w:szCs w:val="22"/>
          <w:lang w:val="sr-Latn-ME"/>
        </w:rPr>
        <w:t>mikrograma</w:t>
      </w:r>
      <w:proofErr w:type="spellEnd"/>
      <w:r w:rsidR="002E440B" w:rsidRPr="00E7665A">
        <w:rPr>
          <w:sz w:val="22"/>
          <w:szCs w:val="22"/>
          <w:lang w:val="sr-Latn-ME"/>
        </w:rPr>
        <w:t xml:space="preserve"> </w:t>
      </w:r>
      <w:proofErr w:type="spellStart"/>
      <w:r w:rsidR="002E440B" w:rsidRPr="00E7665A">
        <w:rPr>
          <w:sz w:val="22"/>
          <w:szCs w:val="22"/>
          <w:lang w:val="sr-Latn-ME"/>
        </w:rPr>
        <w:t>epoetina</w:t>
      </w:r>
      <w:proofErr w:type="spellEnd"/>
      <w:r w:rsidR="002E440B" w:rsidRPr="00E7665A">
        <w:rPr>
          <w:sz w:val="22"/>
          <w:szCs w:val="22"/>
          <w:lang w:val="sr-Latn-ME"/>
        </w:rPr>
        <w:t xml:space="preserve"> beta* (</w:t>
      </w:r>
      <w:proofErr w:type="spellStart"/>
      <w:r w:rsidR="002E440B" w:rsidRPr="00E7665A">
        <w:rPr>
          <w:sz w:val="22"/>
          <w:szCs w:val="22"/>
          <w:lang w:val="sr-Latn-ME"/>
        </w:rPr>
        <w:t>rekombinantnog</w:t>
      </w:r>
      <w:proofErr w:type="spellEnd"/>
      <w:r w:rsidR="002E440B" w:rsidRPr="00E7665A">
        <w:rPr>
          <w:sz w:val="22"/>
          <w:szCs w:val="22"/>
          <w:lang w:val="sr-Latn-ME"/>
        </w:rPr>
        <w:t xml:space="preserve"> humanog </w:t>
      </w:r>
      <w:proofErr w:type="spellStart"/>
      <w:r w:rsidR="002E440B" w:rsidRPr="00E7665A">
        <w:rPr>
          <w:sz w:val="22"/>
          <w:szCs w:val="22"/>
          <w:lang w:val="sr-Latn-ME"/>
        </w:rPr>
        <w:t>eritropoetina</w:t>
      </w:r>
      <w:proofErr w:type="spellEnd"/>
      <w:r w:rsidR="002E440B" w:rsidRPr="00E7665A">
        <w:rPr>
          <w:sz w:val="22"/>
          <w:szCs w:val="22"/>
          <w:lang w:val="sr-Latn-ME"/>
        </w:rPr>
        <w:t>).</w:t>
      </w:r>
    </w:p>
    <w:p w:rsidR="002E440B" w:rsidRPr="00E7665A" w:rsidRDefault="00AE6A81" w:rsidP="00BF3E6B">
      <w:pPr>
        <w:jc w:val="both"/>
        <w:rPr>
          <w:sz w:val="22"/>
          <w:szCs w:val="22"/>
          <w:lang w:val="sr-Latn-ME"/>
        </w:rPr>
      </w:pPr>
      <w:r w:rsidRPr="00E7665A">
        <w:rPr>
          <w:sz w:val="22"/>
          <w:szCs w:val="22"/>
          <w:lang w:val="sr-Latn-ME"/>
        </w:rPr>
        <w:t>Jedan</w:t>
      </w:r>
      <w:r w:rsidR="002E440B" w:rsidRPr="00E7665A">
        <w:rPr>
          <w:sz w:val="22"/>
          <w:szCs w:val="22"/>
          <w:lang w:val="sr-Latn-ME"/>
        </w:rPr>
        <w:t xml:space="preserve"> ml rastvora za injekciju sadrži 6</w:t>
      </w:r>
      <w:r w:rsidR="00C96C21" w:rsidRPr="00E7665A">
        <w:rPr>
          <w:sz w:val="22"/>
          <w:szCs w:val="22"/>
          <w:lang w:val="sr-Latn-ME"/>
        </w:rPr>
        <w:t xml:space="preserve"> </w:t>
      </w:r>
      <w:r w:rsidR="002E440B" w:rsidRPr="00E7665A">
        <w:rPr>
          <w:sz w:val="22"/>
          <w:szCs w:val="22"/>
          <w:lang w:val="sr-Latn-ME"/>
        </w:rPr>
        <w:t xml:space="preserve">667 </w:t>
      </w:r>
      <w:proofErr w:type="spellStart"/>
      <w:r w:rsidRPr="00E7665A">
        <w:rPr>
          <w:sz w:val="22"/>
          <w:szCs w:val="22"/>
          <w:lang w:val="sr-Latn-ME"/>
        </w:rPr>
        <w:t>i.j</w:t>
      </w:r>
      <w:proofErr w:type="spellEnd"/>
      <w:r w:rsidRPr="00E7665A">
        <w:rPr>
          <w:sz w:val="22"/>
          <w:szCs w:val="22"/>
          <w:lang w:val="sr-Latn-ME"/>
        </w:rPr>
        <w:t>.</w:t>
      </w:r>
      <w:r w:rsidR="002E440B" w:rsidRPr="00E7665A">
        <w:rPr>
          <w:sz w:val="22"/>
          <w:szCs w:val="22"/>
          <w:lang w:val="sr-Latn-ME"/>
        </w:rPr>
        <w:t xml:space="preserve"> </w:t>
      </w:r>
      <w:proofErr w:type="spellStart"/>
      <w:r w:rsidR="002E440B" w:rsidRPr="00E7665A">
        <w:rPr>
          <w:sz w:val="22"/>
          <w:szCs w:val="22"/>
          <w:lang w:val="sr-Latn-ME"/>
        </w:rPr>
        <w:t>epoetina</w:t>
      </w:r>
      <w:proofErr w:type="spellEnd"/>
      <w:r w:rsidR="002E440B" w:rsidRPr="00E7665A">
        <w:rPr>
          <w:sz w:val="22"/>
          <w:szCs w:val="22"/>
          <w:lang w:val="sr-Latn-ME"/>
        </w:rPr>
        <w:t xml:space="preserve"> beta.</w:t>
      </w:r>
    </w:p>
    <w:p w:rsidR="00AE6A81" w:rsidRPr="00E7665A" w:rsidRDefault="00AE6A81" w:rsidP="00BF3E6B">
      <w:pPr>
        <w:jc w:val="both"/>
        <w:rPr>
          <w:sz w:val="22"/>
          <w:szCs w:val="22"/>
          <w:lang w:val="sr-Latn-ME"/>
        </w:rPr>
      </w:pPr>
    </w:p>
    <w:p w:rsidR="002E440B" w:rsidRPr="00E7665A" w:rsidRDefault="00AE6A81" w:rsidP="00BF3E6B">
      <w:pPr>
        <w:jc w:val="both"/>
        <w:rPr>
          <w:bCs/>
          <w:sz w:val="22"/>
          <w:szCs w:val="22"/>
          <w:u w:val="single"/>
          <w:lang w:val="sr-Latn-ME"/>
        </w:rPr>
      </w:pPr>
      <w:proofErr w:type="spellStart"/>
      <w:r w:rsidRPr="00E7665A">
        <w:rPr>
          <w:bCs/>
          <w:sz w:val="22"/>
          <w:szCs w:val="22"/>
          <w:u w:val="single"/>
          <w:lang w:val="sr-Latn-ME"/>
        </w:rPr>
        <w:t>NeoRecormon</w:t>
      </w:r>
      <w:proofErr w:type="spellEnd"/>
      <w:r w:rsidRPr="00E7665A">
        <w:rPr>
          <w:bCs/>
          <w:sz w:val="22"/>
          <w:szCs w:val="22"/>
          <w:u w:val="single"/>
          <w:lang w:val="sr-Latn-ME"/>
        </w:rPr>
        <w:t>, 10</w:t>
      </w:r>
      <w:r w:rsidR="00EC60BC" w:rsidRPr="00E7665A">
        <w:rPr>
          <w:bCs/>
          <w:sz w:val="22"/>
          <w:szCs w:val="22"/>
          <w:u w:val="single"/>
          <w:lang w:val="sr-Latn-ME"/>
        </w:rPr>
        <w:t xml:space="preserve"> </w:t>
      </w:r>
      <w:r w:rsidRPr="00E7665A">
        <w:rPr>
          <w:bCs/>
          <w:sz w:val="22"/>
          <w:szCs w:val="22"/>
          <w:u w:val="single"/>
          <w:lang w:val="sr-Latn-ME"/>
        </w:rPr>
        <w:t xml:space="preserve">000 </w:t>
      </w:r>
      <w:proofErr w:type="spellStart"/>
      <w:r w:rsidRPr="00E7665A">
        <w:rPr>
          <w:bCs/>
          <w:sz w:val="22"/>
          <w:szCs w:val="22"/>
          <w:u w:val="single"/>
          <w:lang w:val="sr-Latn-ME"/>
        </w:rPr>
        <w:t>i.j</w:t>
      </w:r>
      <w:proofErr w:type="spellEnd"/>
      <w:r w:rsidRPr="00E7665A">
        <w:rPr>
          <w:bCs/>
          <w:sz w:val="22"/>
          <w:szCs w:val="22"/>
          <w:u w:val="single"/>
          <w:lang w:val="sr-Latn-ME"/>
        </w:rPr>
        <w:t>., rastvor za injekciju u napunjenom injekcionom špricu</w:t>
      </w:r>
    </w:p>
    <w:p w:rsidR="002E440B" w:rsidRPr="00E7665A" w:rsidRDefault="00AE6A81" w:rsidP="00BF3E6B">
      <w:pPr>
        <w:jc w:val="both"/>
        <w:rPr>
          <w:sz w:val="22"/>
          <w:szCs w:val="22"/>
          <w:lang w:val="sr-Latn-ME"/>
        </w:rPr>
      </w:pPr>
      <w:r w:rsidRPr="00E7665A">
        <w:rPr>
          <w:sz w:val="22"/>
          <w:szCs w:val="22"/>
          <w:lang w:val="sr-Latn-ME"/>
        </w:rPr>
        <w:t xml:space="preserve">Jedan </w:t>
      </w:r>
      <w:r w:rsidR="002E440B" w:rsidRPr="00E7665A">
        <w:rPr>
          <w:sz w:val="22"/>
          <w:szCs w:val="22"/>
          <w:lang w:val="sr-Latn-ME"/>
        </w:rPr>
        <w:t>napunjeni injekcioni špric sa 0</w:t>
      </w:r>
      <w:r w:rsidR="00C96C21" w:rsidRPr="00E7665A">
        <w:rPr>
          <w:sz w:val="22"/>
          <w:szCs w:val="22"/>
          <w:lang w:val="sr-Latn-ME"/>
        </w:rPr>
        <w:t>.</w:t>
      </w:r>
      <w:r w:rsidR="002E440B" w:rsidRPr="00E7665A">
        <w:rPr>
          <w:sz w:val="22"/>
          <w:szCs w:val="22"/>
          <w:lang w:val="sr-Latn-ME"/>
        </w:rPr>
        <w:t>6 ml rastvora za injekciju sadrži 10</w:t>
      </w:r>
      <w:r w:rsidR="00767064" w:rsidRPr="00E7665A">
        <w:rPr>
          <w:sz w:val="22"/>
          <w:szCs w:val="22"/>
          <w:lang w:val="sr-Latn-ME"/>
        </w:rPr>
        <w:t xml:space="preserve"> </w:t>
      </w:r>
      <w:r w:rsidR="002E440B" w:rsidRPr="00E7665A">
        <w:rPr>
          <w:sz w:val="22"/>
          <w:szCs w:val="22"/>
          <w:lang w:val="sr-Latn-ME"/>
        </w:rPr>
        <w:t>000 internacionalnih jedinica (</w:t>
      </w:r>
      <w:proofErr w:type="spellStart"/>
      <w:r w:rsidRPr="00E7665A">
        <w:rPr>
          <w:sz w:val="22"/>
          <w:szCs w:val="22"/>
          <w:lang w:val="sr-Latn-ME"/>
        </w:rPr>
        <w:t>i.j</w:t>
      </w:r>
      <w:proofErr w:type="spellEnd"/>
      <w:r w:rsidRPr="00E7665A">
        <w:rPr>
          <w:sz w:val="22"/>
          <w:szCs w:val="22"/>
          <w:lang w:val="sr-Latn-ME"/>
        </w:rPr>
        <w:t xml:space="preserve">.) </w:t>
      </w:r>
      <w:proofErr w:type="spellStart"/>
      <w:r w:rsidRPr="00E7665A">
        <w:rPr>
          <w:sz w:val="22"/>
          <w:szCs w:val="22"/>
          <w:lang w:val="sr-Latn-ME"/>
        </w:rPr>
        <w:t>epoetina</w:t>
      </w:r>
      <w:proofErr w:type="spellEnd"/>
      <w:r w:rsidRPr="00E7665A">
        <w:rPr>
          <w:sz w:val="22"/>
          <w:szCs w:val="22"/>
          <w:lang w:val="sr-Latn-ME"/>
        </w:rPr>
        <w:t xml:space="preserve"> beta, </w:t>
      </w:r>
      <w:r w:rsidR="002E440B" w:rsidRPr="00E7665A">
        <w:rPr>
          <w:sz w:val="22"/>
          <w:szCs w:val="22"/>
          <w:lang w:val="sr-Latn-ME"/>
        </w:rPr>
        <w:t xml:space="preserve">što odgovara 83 </w:t>
      </w:r>
      <w:proofErr w:type="spellStart"/>
      <w:r w:rsidR="002E440B" w:rsidRPr="00E7665A">
        <w:rPr>
          <w:sz w:val="22"/>
          <w:szCs w:val="22"/>
          <w:lang w:val="sr-Latn-ME"/>
        </w:rPr>
        <w:t>mikrograma</w:t>
      </w:r>
      <w:proofErr w:type="spellEnd"/>
      <w:r w:rsidR="002E440B" w:rsidRPr="00E7665A">
        <w:rPr>
          <w:sz w:val="22"/>
          <w:szCs w:val="22"/>
          <w:lang w:val="sr-Latn-ME"/>
        </w:rPr>
        <w:t xml:space="preserve"> </w:t>
      </w:r>
      <w:proofErr w:type="spellStart"/>
      <w:r w:rsidR="002E440B" w:rsidRPr="00E7665A">
        <w:rPr>
          <w:sz w:val="22"/>
          <w:szCs w:val="22"/>
          <w:lang w:val="sr-Latn-ME"/>
        </w:rPr>
        <w:t>epoetina</w:t>
      </w:r>
      <w:proofErr w:type="spellEnd"/>
      <w:r w:rsidR="002E440B" w:rsidRPr="00E7665A">
        <w:rPr>
          <w:sz w:val="22"/>
          <w:szCs w:val="22"/>
          <w:lang w:val="sr-Latn-ME"/>
        </w:rPr>
        <w:t xml:space="preserve"> beta* (</w:t>
      </w:r>
      <w:proofErr w:type="spellStart"/>
      <w:r w:rsidR="002E440B" w:rsidRPr="00E7665A">
        <w:rPr>
          <w:sz w:val="22"/>
          <w:szCs w:val="22"/>
          <w:lang w:val="sr-Latn-ME"/>
        </w:rPr>
        <w:t>rekombinantnog</w:t>
      </w:r>
      <w:proofErr w:type="spellEnd"/>
      <w:r w:rsidR="002E440B" w:rsidRPr="00E7665A">
        <w:rPr>
          <w:sz w:val="22"/>
          <w:szCs w:val="22"/>
          <w:lang w:val="sr-Latn-ME"/>
        </w:rPr>
        <w:t xml:space="preserve"> humanog </w:t>
      </w:r>
      <w:proofErr w:type="spellStart"/>
      <w:r w:rsidR="002E440B" w:rsidRPr="00E7665A">
        <w:rPr>
          <w:sz w:val="22"/>
          <w:szCs w:val="22"/>
          <w:lang w:val="sr-Latn-ME"/>
        </w:rPr>
        <w:t>eritropoetina</w:t>
      </w:r>
      <w:proofErr w:type="spellEnd"/>
      <w:r w:rsidR="002E440B" w:rsidRPr="00E7665A">
        <w:rPr>
          <w:sz w:val="22"/>
          <w:szCs w:val="22"/>
          <w:lang w:val="sr-Latn-ME"/>
        </w:rPr>
        <w:t>).</w:t>
      </w:r>
    </w:p>
    <w:p w:rsidR="002E440B" w:rsidRPr="00E7665A" w:rsidRDefault="00AE6A81" w:rsidP="00BF3E6B">
      <w:pPr>
        <w:jc w:val="both"/>
        <w:rPr>
          <w:sz w:val="22"/>
          <w:szCs w:val="22"/>
          <w:lang w:val="sr-Latn-ME"/>
        </w:rPr>
      </w:pPr>
      <w:r w:rsidRPr="00E7665A">
        <w:rPr>
          <w:sz w:val="22"/>
          <w:szCs w:val="22"/>
          <w:lang w:val="sr-Latn-ME"/>
        </w:rPr>
        <w:t xml:space="preserve">Jedan </w:t>
      </w:r>
      <w:r w:rsidR="002E440B" w:rsidRPr="00E7665A">
        <w:rPr>
          <w:sz w:val="22"/>
          <w:szCs w:val="22"/>
          <w:lang w:val="sr-Latn-ME"/>
        </w:rPr>
        <w:t>ml rastvora za injekciju sadrži 16</w:t>
      </w:r>
      <w:r w:rsidR="00767064" w:rsidRPr="00E7665A">
        <w:rPr>
          <w:sz w:val="22"/>
          <w:szCs w:val="22"/>
          <w:lang w:val="sr-Latn-ME"/>
        </w:rPr>
        <w:t xml:space="preserve"> </w:t>
      </w:r>
      <w:r w:rsidR="002E440B" w:rsidRPr="00E7665A">
        <w:rPr>
          <w:sz w:val="22"/>
          <w:szCs w:val="22"/>
          <w:lang w:val="sr-Latn-ME"/>
        </w:rPr>
        <w:t xml:space="preserve">667 </w:t>
      </w:r>
      <w:proofErr w:type="spellStart"/>
      <w:r w:rsidRPr="00E7665A">
        <w:rPr>
          <w:sz w:val="22"/>
          <w:szCs w:val="22"/>
          <w:lang w:val="sr-Latn-ME"/>
        </w:rPr>
        <w:t>i.j</w:t>
      </w:r>
      <w:proofErr w:type="spellEnd"/>
      <w:r w:rsidRPr="00E7665A">
        <w:rPr>
          <w:sz w:val="22"/>
          <w:szCs w:val="22"/>
          <w:lang w:val="sr-Latn-ME"/>
        </w:rPr>
        <w:t>.</w:t>
      </w:r>
      <w:r w:rsidR="002E440B" w:rsidRPr="00E7665A">
        <w:rPr>
          <w:sz w:val="22"/>
          <w:szCs w:val="22"/>
          <w:lang w:val="sr-Latn-ME"/>
        </w:rPr>
        <w:t xml:space="preserve"> </w:t>
      </w:r>
      <w:proofErr w:type="spellStart"/>
      <w:r w:rsidR="002E440B" w:rsidRPr="00E7665A">
        <w:rPr>
          <w:sz w:val="22"/>
          <w:szCs w:val="22"/>
          <w:lang w:val="sr-Latn-ME"/>
        </w:rPr>
        <w:t>epoetina</w:t>
      </w:r>
      <w:proofErr w:type="spellEnd"/>
      <w:r w:rsidR="002E440B" w:rsidRPr="00E7665A">
        <w:rPr>
          <w:sz w:val="22"/>
          <w:szCs w:val="22"/>
          <w:lang w:val="sr-Latn-ME"/>
        </w:rPr>
        <w:t xml:space="preserve"> beta.</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*Proizvodi se </w:t>
      </w:r>
      <w:proofErr w:type="spellStart"/>
      <w:r w:rsidRPr="00E7665A">
        <w:rPr>
          <w:sz w:val="22"/>
          <w:szCs w:val="22"/>
          <w:lang w:val="sr-Latn-ME"/>
        </w:rPr>
        <w:t>rekombinantnom</w:t>
      </w:r>
      <w:proofErr w:type="spellEnd"/>
      <w:r w:rsidRPr="00E7665A">
        <w:rPr>
          <w:sz w:val="22"/>
          <w:szCs w:val="22"/>
          <w:lang w:val="sr-Latn-ME"/>
        </w:rPr>
        <w:t xml:space="preserve"> </w:t>
      </w:r>
      <w:proofErr w:type="spellStart"/>
      <w:r w:rsidRPr="00E7665A">
        <w:rPr>
          <w:sz w:val="22"/>
          <w:szCs w:val="22"/>
          <w:lang w:val="sr-Latn-ME"/>
        </w:rPr>
        <w:t>DNK</w:t>
      </w:r>
      <w:proofErr w:type="spellEnd"/>
      <w:r w:rsidRPr="00E7665A">
        <w:rPr>
          <w:sz w:val="22"/>
          <w:szCs w:val="22"/>
          <w:lang w:val="sr-Latn-ME"/>
        </w:rPr>
        <w:t xml:space="preserve"> tehnologijom u ćelij</w:t>
      </w:r>
      <w:r w:rsidR="00AE6A81" w:rsidRPr="00E7665A">
        <w:rPr>
          <w:sz w:val="22"/>
          <w:szCs w:val="22"/>
          <w:lang w:val="sr-Latn-ME"/>
        </w:rPr>
        <w:t>ama</w:t>
      </w:r>
      <w:r w:rsidRPr="00E7665A">
        <w:rPr>
          <w:sz w:val="22"/>
          <w:szCs w:val="22"/>
          <w:lang w:val="sr-Latn-ME"/>
        </w:rPr>
        <w:t xml:space="preserve"> jajnika kineskog hrčka.</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u w:val="single"/>
          <w:lang w:val="sr-Latn-ME"/>
        </w:rPr>
        <w:t xml:space="preserve">Pomoćne supstance sa </w:t>
      </w:r>
      <w:r w:rsidR="00AE6A81" w:rsidRPr="00E7665A">
        <w:rPr>
          <w:sz w:val="22"/>
          <w:szCs w:val="22"/>
          <w:u w:val="single"/>
          <w:lang w:val="sr-Latn-ME"/>
        </w:rPr>
        <w:t xml:space="preserve">potvrđenim </w:t>
      </w:r>
      <w:r w:rsidRPr="00E7665A">
        <w:rPr>
          <w:sz w:val="22"/>
          <w:szCs w:val="22"/>
          <w:u w:val="single"/>
          <w:lang w:val="sr-Latn-ME"/>
        </w:rPr>
        <w:t>dejstvom</w:t>
      </w:r>
      <w:r w:rsidRPr="00E7665A">
        <w:rPr>
          <w:sz w:val="22"/>
          <w:szCs w:val="22"/>
          <w:lang w:val="sr-Latn-ME"/>
        </w:rPr>
        <w:t>:</w:t>
      </w:r>
    </w:p>
    <w:p w:rsidR="002E440B" w:rsidRPr="00E7665A" w:rsidRDefault="002E440B" w:rsidP="00BF3E6B">
      <w:pPr>
        <w:jc w:val="both"/>
        <w:rPr>
          <w:sz w:val="22"/>
          <w:szCs w:val="22"/>
          <w:lang w:val="sr-Latn-ME"/>
        </w:rPr>
      </w:pPr>
      <w:proofErr w:type="spellStart"/>
      <w:r w:rsidRPr="00E7665A">
        <w:rPr>
          <w:sz w:val="22"/>
          <w:szCs w:val="22"/>
          <w:lang w:val="sr-Latn-ME"/>
        </w:rPr>
        <w:t>Fenilalanin</w:t>
      </w:r>
      <w:proofErr w:type="spellEnd"/>
      <w:r w:rsidRPr="00E7665A">
        <w:rPr>
          <w:sz w:val="22"/>
          <w:szCs w:val="22"/>
          <w:lang w:val="sr-Latn-ME"/>
        </w:rPr>
        <w:t xml:space="preserve"> (do 0.3</w:t>
      </w:r>
      <w:r w:rsidR="00AE6A81" w:rsidRPr="00E7665A">
        <w:rPr>
          <w:sz w:val="22"/>
          <w:szCs w:val="22"/>
          <w:lang w:val="sr-Latn-ME"/>
        </w:rPr>
        <w:t xml:space="preserve"> </w:t>
      </w:r>
      <w:r w:rsidRPr="00E7665A">
        <w:rPr>
          <w:sz w:val="22"/>
          <w:szCs w:val="22"/>
          <w:lang w:val="sr-Latn-ME"/>
        </w:rPr>
        <w:t>mg/špric)</w:t>
      </w:r>
    </w:p>
    <w:p w:rsidR="002E440B" w:rsidRPr="00E7665A" w:rsidRDefault="002E440B" w:rsidP="00BF3E6B">
      <w:pPr>
        <w:jc w:val="both"/>
        <w:rPr>
          <w:sz w:val="22"/>
          <w:szCs w:val="22"/>
          <w:lang w:val="sr-Latn-ME"/>
        </w:rPr>
      </w:pPr>
      <w:r w:rsidRPr="00E7665A">
        <w:rPr>
          <w:sz w:val="22"/>
          <w:szCs w:val="22"/>
          <w:lang w:val="sr-Latn-ME"/>
        </w:rPr>
        <w:t>Natrijum (manje od 1mmol/špric)</w:t>
      </w:r>
    </w:p>
    <w:p w:rsidR="002E440B" w:rsidRPr="00E7665A" w:rsidRDefault="002E440B" w:rsidP="00BF3E6B">
      <w:pPr>
        <w:jc w:val="both"/>
        <w:rPr>
          <w:sz w:val="22"/>
          <w:szCs w:val="22"/>
          <w:lang w:val="sr-Latn-ME"/>
        </w:rPr>
      </w:pPr>
    </w:p>
    <w:p w:rsidR="0003793F" w:rsidRPr="00E7665A" w:rsidRDefault="0003793F" w:rsidP="00BF3E6B">
      <w:pPr>
        <w:jc w:val="both"/>
        <w:rPr>
          <w:sz w:val="22"/>
          <w:szCs w:val="22"/>
          <w:lang w:val="sr-Latn-ME"/>
        </w:rPr>
      </w:pPr>
      <w:r w:rsidRPr="00E7665A">
        <w:rPr>
          <w:sz w:val="22"/>
          <w:szCs w:val="22"/>
          <w:lang w:val="sr-Latn-ME"/>
        </w:rPr>
        <w:t xml:space="preserve">Za spisak svih </w:t>
      </w:r>
      <w:proofErr w:type="spellStart"/>
      <w:r w:rsidRPr="00E7665A">
        <w:rPr>
          <w:sz w:val="22"/>
          <w:szCs w:val="22"/>
          <w:lang w:val="sr-Latn-ME"/>
        </w:rPr>
        <w:t>ekscipijenasa</w:t>
      </w:r>
      <w:proofErr w:type="spellEnd"/>
      <w:r w:rsidRPr="00E7665A">
        <w:rPr>
          <w:sz w:val="22"/>
          <w:szCs w:val="22"/>
          <w:lang w:val="sr-Latn-ME"/>
        </w:rPr>
        <w:t>, pogledati dio 6.1.</w:t>
      </w:r>
    </w:p>
    <w:p w:rsidR="0003793F" w:rsidRPr="00E7665A" w:rsidRDefault="0003793F" w:rsidP="00BF3E6B">
      <w:pPr>
        <w:jc w:val="both"/>
        <w:rPr>
          <w:sz w:val="22"/>
          <w:szCs w:val="22"/>
          <w:lang w:val="sr-Latn-ME"/>
        </w:rPr>
      </w:pPr>
    </w:p>
    <w:p w:rsidR="00C37FD7" w:rsidRPr="00E7665A" w:rsidRDefault="00C37FD7" w:rsidP="00BF3E6B">
      <w:pPr>
        <w:jc w:val="both"/>
        <w:rPr>
          <w:sz w:val="22"/>
          <w:szCs w:val="22"/>
          <w:lang w:val="sr-Latn-ME"/>
        </w:rPr>
      </w:pPr>
    </w:p>
    <w:p w:rsidR="00411B4B" w:rsidRPr="00E7665A" w:rsidRDefault="00411B4B" w:rsidP="00BF3E6B">
      <w:pPr>
        <w:tabs>
          <w:tab w:val="left" w:pos="540"/>
          <w:tab w:val="left" w:pos="569"/>
        </w:tabs>
        <w:jc w:val="both"/>
        <w:rPr>
          <w:b/>
          <w:bCs/>
          <w:sz w:val="22"/>
          <w:szCs w:val="22"/>
          <w:lang w:val="sr-Latn-ME"/>
        </w:rPr>
      </w:pPr>
      <w:r w:rsidRPr="00E7665A">
        <w:rPr>
          <w:b/>
          <w:bCs/>
          <w:sz w:val="22"/>
          <w:szCs w:val="22"/>
          <w:lang w:val="sr-Latn-ME"/>
        </w:rPr>
        <w:t xml:space="preserve">3. </w:t>
      </w:r>
      <w:r w:rsidR="00F5167F" w:rsidRPr="00E7665A">
        <w:rPr>
          <w:b/>
          <w:bCs/>
          <w:sz w:val="22"/>
          <w:szCs w:val="22"/>
          <w:lang w:val="sr-Latn-ME"/>
        </w:rPr>
        <w:tab/>
      </w:r>
      <w:r w:rsidRPr="00E7665A">
        <w:rPr>
          <w:b/>
          <w:bCs/>
          <w:sz w:val="22"/>
          <w:szCs w:val="22"/>
          <w:lang w:val="sr-Latn-ME"/>
        </w:rPr>
        <w:t>FARMACEUTSKI OBLIK</w:t>
      </w:r>
      <w:r w:rsidR="009F2D23" w:rsidRPr="00E7665A">
        <w:rPr>
          <w:b/>
          <w:bCs/>
          <w:sz w:val="22"/>
          <w:szCs w:val="22"/>
          <w:lang w:val="sr-Latn-ME"/>
        </w:rPr>
        <w:t xml:space="preserve"> </w:t>
      </w:r>
    </w:p>
    <w:p w:rsidR="00411B4B" w:rsidRPr="00E7665A" w:rsidRDefault="00411B4B" w:rsidP="00BF3E6B">
      <w:pPr>
        <w:jc w:val="both"/>
        <w:rPr>
          <w:bCs/>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Rastvor za injekciju u napunjenom injekcionom špricu.</w:t>
      </w:r>
    </w:p>
    <w:p w:rsidR="002E440B" w:rsidRPr="00E7665A" w:rsidRDefault="00447569" w:rsidP="00BF3E6B">
      <w:pPr>
        <w:jc w:val="both"/>
        <w:rPr>
          <w:sz w:val="22"/>
          <w:szCs w:val="22"/>
          <w:lang w:val="sr-Latn-ME"/>
        </w:rPr>
      </w:pPr>
      <w:r w:rsidRPr="00E7665A">
        <w:rPr>
          <w:sz w:val="22"/>
          <w:szCs w:val="22"/>
          <w:lang w:val="sr-Latn-ME"/>
        </w:rPr>
        <w:t>B</w:t>
      </w:r>
      <w:r w:rsidR="002E440B" w:rsidRPr="00E7665A">
        <w:rPr>
          <w:sz w:val="22"/>
          <w:szCs w:val="22"/>
          <w:lang w:val="sr-Latn-ME"/>
        </w:rPr>
        <w:t xml:space="preserve">ezbojan, bistar do slabo </w:t>
      </w:r>
      <w:proofErr w:type="spellStart"/>
      <w:r w:rsidR="002E440B" w:rsidRPr="00E7665A">
        <w:rPr>
          <w:sz w:val="22"/>
          <w:szCs w:val="22"/>
          <w:lang w:val="sr-Latn-ME"/>
        </w:rPr>
        <w:t>opalescentan</w:t>
      </w:r>
      <w:proofErr w:type="spellEnd"/>
      <w:r w:rsidR="002E440B" w:rsidRPr="00E7665A">
        <w:rPr>
          <w:sz w:val="22"/>
          <w:szCs w:val="22"/>
          <w:lang w:val="sr-Latn-ME"/>
        </w:rPr>
        <w:t xml:space="preserve"> rastvor. </w:t>
      </w:r>
    </w:p>
    <w:p w:rsidR="00EC2532" w:rsidRPr="00E7665A" w:rsidRDefault="00EC2532" w:rsidP="00BF3E6B">
      <w:pPr>
        <w:jc w:val="both"/>
        <w:rPr>
          <w:bCs/>
          <w:sz w:val="22"/>
          <w:szCs w:val="22"/>
          <w:lang w:val="sr-Latn-ME"/>
        </w:rPr>
      </w:pPr>
    </w:p>
    <w:p w:rsidR="00447569" w:rsidRPr="00E7665A" w:rsidRDefault="00447569" w:rsidP="00BF3E6B">
      <w:pPr>
        <w:jc w:val="both"/>
        <w:rPr>
          <w:bCs/>
          <w:sz w:val="22"/>
          <w:szCs w:val="22"/>
          <w:lang w:val="sr-Latn-ME"/>
        </w:rPr>
      </w:pPr>
    </w:p>
    <w:p w:rsidR="00411B4B" w:rsidRPr="00E7665A" w:rsidRDefault="00411B4B" w:rsidP="00BF3E6B">
      <w:pPr>
        <w:tabs>
          <w:tab w:val="left" w:pos="540"/>
          <w:tab w:val="left" w:pos="569"/>
        </w:tabs>
        <w:jc w:val="both"/>
        <w:rPr>
          <w:b/>
          <w:bCs/>
          <w:sz w:val="22"/>
          <w:szCs w:val="22"/>
          <w:lang w:val="sr-Latn-ME"/>
        </w:rPr>
      </w:pPr>
      <w:r w:rsidRPr="00E7665A">
        <w:rPr>
          <w:b/>
          <w:bCs/>
          <w:sz w:val="22"/>
          <w:szCs w:val="22"/>
          <w:lang w:val="sr-Latn-ME"/>
        </w:rPr>
        <w:t xml:space="preserve">4. </w:t>
      </w:r>
      <w:r w:rsidR="00480FB1" w:rsidRPr="00E7665A">
        <w:rPr>
          <w:b/>
          <w:bCs/>
          <w:sz w:val="22"/>
          <w:szCs w:val="22"/>
          <w:lang w:val="sr-Latn-ME"/>
        </w:rPr>
        <w:tab/>
      </w:r>
      <w:r w:rsidRPr="00E7665A">
        <w:rPr>
          <w:b/>
          <w:bCs/>
          <w:sz w:val="22"/>
          <w:szCs w:val="22"/>
          <w:lang w:val="sr-Latn-ME"/>
        </w:rPr>
        <w:t>KLINIČKI PODACI</w:t>
      </w:r>
    </w:p>
    <w:p w:rsidR="00CD6F02" w:rsidRPr="00E7665A" w:rsidRDefault="00CD6F02" w:rsidP="00BF3E6B">
      <w:pPr>
        <w:tabs>
          <w:tab w:val="left" w:pos="540"/>
          <w:tab w:val="left" w:pos="569"/>
        </w:tabs>
        <w:jc w:val="both"/>
        <w:rPr>
          <w:bCs/>
          <w:sz w:val="22"/>
          <w:szCs w:val="22"/>
          <w:lang w:val="sr-Latn-ME"/>
        </w:rPr>
      </w:pPr>
    </w:p>
    <w:p w:rsidR="00411B4B" w:rsidRPr="00E7665A" w:rsidRDefault="00411B4B" w:rsidP="00BF3E6B">
      <w:pPr>
        <w:tabs>
          <w:tab w:val="left" w:pos="540"/>
          <w:tab w:val="left" w:pos="569"/>
        </w:tabs>
        <w:jc w:val="both"/>
        <w:rPr>
          <w:b/>
          <w:bCs/>
          <w:sz w:val="22"/>
          <w:szCs w:val="22"/>
          <w:lang w:val="sr-Latn-ME"/>
        </w:rPr>
      </w:pPr>
      <w:r w:rsidRPr="00E7665A">
        <w:rPr>
          <w:b/>
          <w:bCs/>
          <w:sz w:val="22"/>
          <w:szCs w:val="22"/>
          <w:lang w:val="sr-Latn-ME"/>
        </w:rPr>
        <w:t xml:space="preserve">4.1. </w:t>
      </w:r>
      <w:r w:rsidR="00480FB1" w:rsidRPr="00E7665A">
        <w:rPr>
          <w:b/>
          <w:bCs/>
          <w:sz w:val="22"/>
          <w:szCs w:val="22"/>
          <w:lang w:val="sr-Latn-ME"/>
        </w:rPr>
        <w:tab/>
      </w:r>
      <w:r w:rsidRPr="00E7665A">
        <w:rPr>
          <w:b/>
          <w:bCs/>
          <w:sz w:val="22"/>
          <w:szCs w:val="22"/>
          <w:lang w:val="sr-Latn-ME"/>
        </w:rPr>
        <w:t>Terapijske indikacije</w:t>
      </w:r>
    </w:p>
    <w:p w:rsidR="002E440B" w:rsidRPr="00E7665A" w:rsidRDefault="002E440B" w:rsidP="00094AC4">
      <w:pPr>
        <w:pStyle w:val="Header"/>
        <w:tabs>
          <w:tab w:val="left" w:pos="284"/>
        </w:tabs>
        <w:jc w:val="both"/>
        <w:rPr>
          <w:bCs/>
          <w:sz w:val="22"/>
          <w:szCs w:val="22"/>
          <w:lang w:val="sr-Latn-ME"/>
        </w:rPr>
      </w:pPr>
    </w:p>
    <w:p w:rsidR="002E440B" w:rsidRPr="00E7665A" w:rsidRDefault="001215F0" w:rsidP="00BF3E6B">
      <w:pPr>
        <w:tabs>
          <w:tab w:val="left" w:pos="540"/>
          <w:tab w:val="left" w:pos="569"/>
        </w:tabs>
        <w:jc w:val="both"/>
        <w:rPr>
          <w:bCs/>
          <w:sz w:val="22"/>
          <w:szCs w:val="22"/>
          <w:lang w:val="sr-Latn-ME"/>
        </w:rPr>
      </w:pPr>
      <w:r w:rsidRPr="00E7665A">
        <w:rPr>
          <w:bCs/>
          <w:sz w:val="22"/>
          <w:szCs w:val="22"/>
          <w:lang w:val="sr-Latn-ME"/>
        </w:rPr>
        <w:t xml:space="preserve">Lijek </w:t>
      </w:r>
      <w:proofErr w:type="spellStart"/>
      <w:r w:rsidR="00980E2B" w:rsidRPr="00E7665A">
        <w:rPr>
          <w:bCs/>
          <w:sz w:val="22"/>
          <w:szCs w:val="22"/>
          <w:lang w:val="sr-Latn-ME"/>
        </w:rPr>
        <w:t>NeoRecormon</w:t>
      </w:r>
      <w:proofErr w:type="spellEnd"/>
      <w:r w:rsidR="002E440B" w:rsidRPr="00E7665A">
        <w:rPr>
          <w:bCs/>
          <w:sz w:val="22"/>
          <w:szCs w:val="22"/>
          <w:lang w:val="sr-Latn-ME"/>
        </w:rPr>
        <w:t xml:space="preserve"> je </w:t>
      </w:r>
      <w:proofErr w:type="spellStart"/>
      <w:r w:rsidR="002E440B" w:rsidRPr="00E7665A">
        <w:rPr>
          <w:bCs/>
          <w:sz w:val="22"/>
          <w:szCs w:val="22"/>
          <w:lang w:val="sr-Latn-ME"/>
        </w:rPr>
        <w:t>indikovan</w:t>
      </w:r>
      <w:proofErr w:type="spellEnd"/>
      <w:r w:rsidR="002E440B" w:rsidRPr="00E7665A">
        <w:rPr>
          <w:bCs/>
          <w:sz w:val="22"/>
          <w:szCs w:val="22"/>
          <w:lang w:val="sr-Latn-ME"/>
        </w:rPr>
        <w:t xml:space="preserve"> za:</w:t>
      </w:r>
    </w:p>
    <w:p w:rsidR="002E440B" w:rsidRPr="00E7665A" w:rsidRDefault="002E440B" w:rsidP="00BF3E6B">
      <w:pPr>
        <w:numPr>
          <w:ilvl w:val="0"/>
          <w:numId w:val="12"/>
        </w:numPr>
        <w:jc w:val="both"/>
        <w:rPr>
          <w:sz w:val="22"/>
          <w:szCs w:val="22"/>
          <w:lang w:val="sr-Latn-ME"/>
        </w:rPr>
      </w:pPr>
      <w:r w:rsidRPr="00E7665A">
        <w:rPr>
          <w:sz w:val="22"/>
          <w:szCs w:val="22"/>
          <w:lang w:val="sr-Latn-ME"/>
        </w:rPr>
        <w:t>Terapij</w:t>
      </w:r>
      <w:r w:rsidR="001215F0" w:rsidRPr="00E7665A">
        <w:rPr>
          <w:sz w:val="22"/>
          <w:szCs w:val="22"/>
          <w:lang w:val="sr-Latn-ME"/>
        </w:rPr>
        <w:t>u</w:t>
      </w:r>
      <w:r w:rsidRPr="00E7665A">
        <w:rPr>
          <w:sz w:val="22"/>
          <w:szCs w:val="22"/>
          <w:lang w:val="sr-Latn-ME"/>
        </w:rPr>
        <w:t xml:space="preserve"> </w:t>
      </w:r>
      <w:proofErr w:type="spellStart"/>
      <w:r w:rsidRPr="00E7665A">
        <w:rPr>
          <w:sz w:val="22"/>
          <w:szCs w:val="22"/>
          <w:lang w:val="sr-Latn-ME"/>
        </w:rPr>
        <w:t>simptomatske</w:t>
      </w:r>
      <w:proofErr w:type="spellEnd"/>
      <w:r w:rsidRPr="00E7665A">
        <w:rPr>
          <w:sz w:val="22"/>
          <w:szCs w:val="22"/>
          <w:lang w:val="sr-Latn-ME"/>
        </w:rPr>
        <w:t xml:space="preserve"> anemije povezane sa hroničnom bubrežnom </w:t>
      </w:r>
      <w:proofErr w:type="spellStart"/>
      <w:r w:rsidRPr="00E7665A">
        <w:rPr>
          <w:sz w:val="22"/>
          <w:szCs w:val="22"/>
          <w:lang w:val="sr-Latn-ME"/>
        </w:rPr>
        <w:t>insuficijencijom</w:t>
      </w:r>
      <w:proofErr w:type="spellEnd"/>
      <w:r w:rsidRPr="00E7665A">
        <w:rPr>
          <w:sz w:val="22"/>
          <w:szCs w:val="22"/>
          <w:lang w:val="sr-Latn-ME"/>
        </w:rPr>
        <w:t xml:space="preserve"> kod odraslih i pedijatrijskih pacijenata.</w:t>
      </w:r>
    </w:p>
    <w:p w:rsidR="002E440B" w:rsidRPr="00E7665A" w:rsidRDefault="002E440B" w:rsidP="00BF3E6B">
      <w:pPr>
        <w:numPr>
          <w:ilvl w:val="0"/>
          <w:numId w:val="12"/>
        </w:numPr>
        <w:jc w:val="both"/>
        <w:rPr>
          <w:sz w:val="22"/>
          <w:szCs w:val="22"/>
          <w:lang w:val="sr-Latn-ME"/>
        </w:rPr>
      </w:pPr>
      <w:r w:rsidRPr="00E7665A">
        <w:rPr>
          <w:sz w:val="22"/>
          <w:szCs w:val="22"/>
          <w:lang w:val="sr-Latn-ME"/>
        </w:rPr>
        <w:t>Prevencij</w:t>
      </w:r>
      <w:r w:rsidR="001215F0" w:rsidRPr="00E7665A">
        <w:rPr>
          <w:sz w:val="22"/>
          <w:szCs w:val="22"/>
          <w:lang w:val="sr-Latn-ME"/>
        </w:rPr>
        <w:t>u</w:t>
      </w:r>
      <w:r w:rsidRPr="00E7665A">
        <w:rPr>
          <w:sz w:val="22"/>
          <w:szCs w:val="22"/>
          <w:lang w:val="sr-Latn-ME"/>
        </w:rPr>
        <w:t xml:space="preserve"> anemije kod prijevremeno ro</w:t>
      </w:r>
      <w:r w:rsidR="00447569" w:rsidRPr="00E7665A">
        <w:rPr>
          <w:sz w:val="22"/>
          <w:szCs w:val="22"/>
          <w:lang w:val="sr-Latn-ME"/>
        </w:rPr>
        <w:t>đ</w:t>
      </w:r>
      <w:r w:rsidRPr="00E7665A">
        <w:rPr>
          <w:sz w:val="22"/>
          <w:szCs w:val="22"/>
          <w:lang w:val="sr-Latn-ME"/>
        </w:rPr>
        <w:t xml:space="preserve">ene  djece sa tjelesnom </w:t>
      </w:r>
      <w:r w:rsidR="001215F0" w:rsidRPr="00E7665A">
        <w:rPr>
          <w:sz w:val="22"/>
          <w:szCs w:val="22"/>
          <w:lang w:val="sr-Latn-ME"/>
        </w:rPr>
        <w:t xml:space="preserve">masom </w:t>
      </w:r>
      <w:r w:rsidRPr="00E7665A">
        <w:rPr>
          <w:sz w:val="22"/>
          <w:szCs w:val="22"/>
          <w:lang w:val="sr-Latn-ME"/>
        </w:rPr>
        <w:t>na ro</w:t>
      </w:r>
      <w:r w:rsidR="00447569" w:rsidRPr="00E7665A">
        <w:rPr>
          <w:sz w:val="22"/>
          <w:szCs w:val="22"/>
          <w:lang w:val="sr-Latn-ME"/>
        </w:rPr>
        <w:t>đ</w:t>
      </w:r>
      <w:r w:rsidRPr="00E7665A">
        <w:rPr>
          <w:sz w:val="22"/>
          <w:szCs w:val="22"/>
          <w:lang w:val="sr-Latn-ME"/>
        </w:rPr>
        <w:t>enju od 750 do 1500</w:t>
      </w:r>
      <w:r w:rsidR="001215F0" w:rsidRPr="00E7665A">
        <w:rPr>
          <w:sz w:val="22"/>
          <w:szCs w:val="22"/>
          <w:lang w:val="sr-Latn-ME"/>
        </w:rPr>
        <w:t xml:space="preserve"> </w:t>
      </w:r>
      <w:r w:rsidRPr="00E7665A">
        <w:rPr>
          <w:sz w:val="22"/>
          <w:szCs w:val="22"/>
          <w:lang w:val="sr-Latn-ME"/>
        </w:rPr>
        <w:t>g i rođenim prije 34-te nedjelje trudnoće.</w:t>
      </w:r>
    </w:p>
    <w:p w:rsidR="002E440B" w:rsidRPr="00E7665A" w:rsidRDefault="002E440B" w:rsidP="00BF3E6B">
      <w:pPr>
        <w:numPr>
          <w:ilvl w:val="0"/>
          <w:numId w:val="13"/>
        </w:numPr>
        <w:jc w:val="both"/>
        <w:rPr>
          <w:sz w:val="22"/>
          <w:szCs w:val="22"/>
          <w:lang w:val="sr-Latn-ME"/>
        </w:rPr>
      </w:pPr>
      <w:r w:rsidRPr="00E7665A">
        <w:rPr>
          <w:sz w:val="22"/>
          <w:szCs w:val="22"/>
          <w:lang w:val="sr-Latn-ME"/>
        </w:rPr>
        <w:t xml:space="preserve">Liječenje </w:t>
      </w:r>
      <w:proofErr w:type="spellStart"/>
      <w:r w:rsidRPr="00E7665A">
        <w:rPr>
          <w:sz w:val="22"/>
          <w:szCs w:val="22"/>
          <w:lang w:val="sr-Latn-ME"/>
        </w:rPr>
        <w:t>simptomatske</w:t>
      </w:r>
      <w:proofErr w:type="spellEnd"/>
      <w:r w:rsidRPr="00E7665A">
        <w:rPr>
          <w:sz w:val="22"/>
          <w:szCs w:val="22"/>
          <w:lang w:val="sr-Latn-ME"/>
        </w:rPr>
        <w:t xml:space="preserve"> anemije kod odraslih pacijenata sa </w:t>
      </w:r>
      <w:proofErr w:type="spellStart"/>
      <w:r w:rsidRPr="00E7665A">
        <w:rPr>
          <w:sz w:val="22"/>
          <w:szCs w:val="22"/>
          <w:lang w:val="sr-Latn-ME"/>
        </w:rPr>
        <w:t>nemijeloidnim</w:t>
      </w:r>
      <w:proofErr w:type="spellEnd"/>
      <w:r w:rsidRPr="00E7665A">
        <w:rPr>
          <w:sz w:val="22"/>
          <w:szCs w:val="22"/>
          <w:lang w:val="sr-Latn-ME"/>
        </w:rPr>
        <w:t xml:space="preserve"> </w:t>
      </w:r>
      <w:proofErr w:type="spellStart"/>
      <w:r w:rsidRPr="00E7665A">
        <w:rPr>
          <w:sz w:val="22"/>
          <w:szCs w:val="22"/>
          <w:lang w:val="sr-Latn-ME"/>
        </w:rPr>
        <w:t>malignitetima</w:t>
      </w:r>
      <w:proofErr w:type="spellEnd"/>
      <w:r w:rsidRPr="00E7665A">
        <w:rPr>
          <w:sz w:val="22"/>
          <w:szCs w:val="22"/>
          <w:lang w:val="sr-Latn-ME"/>
        </w:rPr>
        <w:t xml:space="preserve"> koji primaju hemoterapiju. </w:t>
      </w:r>
    </w:p>
    <w:p w:rsidR="002E440B" w:rsidRPr="00E7665A" w:rsidRDefault="002E440B" w:rsidP="00574D16">
      <w:pPr>
        <w:numPr>
          <w:ilvl w:val="0"/>
          <w:numId w:val="14"/>
        </w:numPr>
        <w:ind w:left="540"/>
        <w:jc w:val="both"/>
        <w:rPr>
          <w:sz w:val="22"/>
          <w:szCs w:val="22"/>
          <w:lang w:val="sr-Latn-ME"/>
        </w:rPr>
      </w:pPr>
      <w:r w:rsidRPr="00E7665A">
        <w:rPr>
          <w:sz w:val="22"/>
          <w:szCs w:val="22"/>
          <w:lang w:val="sr-Latn-ME"/>
        </w:rPr>
        <w:t xml:space="preserve">Povećanje </w:t>
      </w:r>
      <w:proofErr w:type="spellStart"/>
      <w:r w:rsidRPr="00E7665A">
        <w:rPr>
          <w:sz w:val="22"/>
          <w:szCs w:val="22"/>
          <w:lang w:val="sr-Latn-ME"/>
        </w:rPr>
        <w:t>udjela</w:t>
      </w:r>
      <w:proofErr w:type="spellEnd"/>
      <w:r w:rsidRPr="00E7665A">
        <w:rPr>
          <w:sz w:val="22"/>
          <w:szCs w:val="22"/>
          <w:lang w:val="sr-Latn-ME"/>
        </w:rPr>
        <w:t xml:space="preserve"> autologne krvi od pacijenata u </w:t>
      </w:r>
      <w:proofErr w:type="spellStart"/>
      <w:r w:rsidRPr="00E7665A">
        <w:rPr>
          <w:sz w:val="22"/>
          <w:szCs w:val="22"/>
          <w:lang w:val="sr-Latn-ME"/>
        </w:rPr>
        <w:t>predonacijskom</w:t>
      </w:r>
      <w:proofErr w:type="spellEnd"/>
      <w:r w:rsidRPr="00E7665A">
        <w:rPr>
          <w:sz w:val="22"/>
          <w:szCs w:val="22"/>
          <w:lang w:val="sr-Latn-ME"/>
        </w:rPr>
        <w:t xml:space="preserve"> programu. Upotreba </w:t>
      </w:r>
      <w:r w:rsidR="001215F0" w:rsidRPr="00E7665A">
        <w:rPr>
          <w:sz w:val="22"/>
          <w:szCs w:val="22"/>
          <w:lang w:val="sr-Latn-ME"/>
        </w:rPr>
        <w:t xml:space="preserve">lijeka </w:t>
      </w:r>
      <w:proofErr w:type="spellStart"/>
      <w:r w:rsidR="00980E2B" w:rsidRPr="00E7665A">
        <w:rPr>
          <w:sz w:val="22"/>
          <w:szCs w:val="22"/>
          <w:lang w:val="sr-Latn-ME"/>
        </w:rPr>
        <w:t>NeoRecormon</w:t>
      </w:r>
      <w:proofErr w:type="spellEnd"/>
      <w:r w:rsidRPr="00E7665A">
        <w:rPr>
          <w:sz w:val="22"/>
          <w:szCs w:val="22"/>
          <w:lang w:val="sr-Latn-ME"/>
        </w:rPr>
        <w:t xml:space="preserve"> u ovoj indikaciji mora da se uravnoteži obzirom na poznati povećani rizik od </w:t>
      </w:r>
      <w:proofErr w:type="spellStart"/>
      <w:r w:rsidRPr="00E7665A">
        <w:rPr>
          <w:sz w:val="22"/>
          <w:szCs w:val="22"/>
          <w:lang w:val="sr-Latn-ME"/>
        </w:rPr>
        <w:t>tromboembolijskih</w:t>
      </w:r>
      <w:proofErr w:type="spellEnd"/>
      <w:r w:rsidRPr="00E7665A">
        <w:rPr>
          <w:sz w:val="22"/>
          <w:szCs w:val="22"/>
          <w:lang w:val="sr-Latn-ME"/>
        </w:rPr>
        <w:t xml:space="preserve"> događaja. Terapiju treba davati samo pacijentima sa umjerenom anemijom (</w:t>
      </w:r>
      <w:proofErr w:type="spellStart"/>
      <w:r w:rsidRPr="00E7665A">
        <w:rPr>
          <w:sz w:val="22"/>
          <w:szCs w:val="22"/>
          <w:lang w:val="sr-Latn-ME"/>
        </w:rPr>
        <w:t>Hb</w:t>
      </w:r>
      <w:proofErr w:type="spellEnd"/>
      <w:r w:rsidRPr="00E7665A">
        <w:rPr>
          <w:sz w:val="22"/>
          <w:szCs w:val="22"/>
          <w:lang w:val="sr-Latn-ME"/>
        </w:rPr>
        <w:t xml:space="preserve"> 10–13 g/dl [6,21–8,07 </w:t>
      </w:r>
      <w:proofErr w:type="spellStart"/>
      <w:r w:rsidRPr="00E7665A">
        <w:rPr>
          <w:sz w:val="22"/>
          <w:szCs w:val="22"/>
          <w:lang w:val="sr-Latn-ME"/>
        </w:rPr>
        <w:t>mmol</w:t>
      </w:r>
      <w:proofErr w:type="spellEnd"/>
      <w:r w:rsidRPr="00E7665A">
        <w:rPr>
          <w:sz w:val="22"/>
          <w:szCs w:val="22"/>
          <w:lang w:val="sr-Latn-ME"/>
        </w:rPr>
        <w:t xml:space="preserve">/l], bez deficita gvožđa) </w:t>
      </w:r>
      <w:r w:rsidR="001215F0" w:rsidRPr="00E7665A">
        <w:rPr>
          <w:sz w:val="22"/>
          <w:szCs w:val="22"/>
          <w:lang w:val="sr-Latn-ME"/>
        </w:rPr>
        <w:t xml:space="preserve">kada postupak prikupljanja krvi nije </w:t>
      </w:r>
      <w:r w:rsidR="001215F0" w:rsidRPr="00E7665A">
        <w:rPr>
          <w:sz w:val="22"/>
          <w:szCs w:val="22"/>
          <w:lang w:val="sr-Latn-ME"/>
        </w:rPr>
        <w:lastRenderedPageBreak/>
        <w:t xml:space="preserve">moguć </w:t>
      </w:r>
      <w:r w:rsidRPr="00E7665A">
        <w:rPr>
          <w:sz w:val="22"/>
          <w:szCs w:val="22"/>
          <w:lang w:val="sr-Latn-ME"/>
        </w:rPr>
        <w:t xml:space="preserve"> ili </w:t>
      </w:r>
      <w:r w:rsidR="001215F0" w:rsidRPr="00E7665A">
        <w:rPr>
          <w:sz w:val="22"/>
          <w:szCs w:val="22"/>
          <w:lang w:val="sr-Latn-ME"/>
        </w:rPr>
        <w:t xml:space="preserve">nije </w:t>
      </w:r>
      <w:r w:rsidRPr="00E7665A">
        <w:rPr>
          <w:sz w:val="22"/>
          <w:szCs w:val="22"/>
          <w:lang w:val="sr-Latn-ME"/>
        </w:rPr>
        <w:t>dovolj</w:t>
      </w:r>
      <w:r w:rsidR="001215F0" w:rsidRPr="00E7665A">
        <w:rPr>
          <w:sz w:val="22"/>
          <w:szCs w:val="22"/>
          <w:lang w:val="sr-Latn-ME"/>
        </w:rPr>
        <w:t>a</w:t>
      </w:r>
      <w:r w:rsidRPr="00E7665A">
        <w:rPr>
          <w:sz w:val="22"/>
          <w:szCs w:val="22"/>
          <w:lang w:val="sr-Latn-ME"/>
        </w:rPr>
        <w:t xml:space="preserve">n, </w:t>
      </w:r>
      <w:r w:rsidR="001215F0" w:rsidRPr="00E7665A">
        <w:rPr>
          <w:sz w:val="22"/>
          <w:szCs w:val="22"/>
          <w:lang w:val="sr-Latn-ME"/>
        </w:rPr>
        <w:t>za planiran</w:t>
      </w:r>
      <w:r w:rsidR="0099683E" w:rsidRPr="00E7665A">
        <w:rPr>
          <w:sz w:val="22"/>
          <w:szCs w:val="22"/>
          <w:lang w:val="sr-Latn-ME"/>
        </w:rPr>
        <w:t>i</w:t>
      </w:r>
      <w:r w:rsidR="001215F0" w:rsidRPr="00E7665A">
        <w:rPr>
          <w:sz w:val="22"/>
          <w:szCs w:val="22"/>
          <w:lang w:val="sr-Latn-ME"/>
        </w:rPr>
        <w:t xml:space="preserve"> operativni zahvat koji</w:t>
      </w:r>
      <w:r w:rsidRPr="00E7665A">
        <w:rPr>
          <w:sz w:val="22"/>
          <w:szCs w:val="22"/>
          <w:lang w:val="sr-Latn-ME"/>
        </w:rPr>
        <w:t xml:space="preserve"> iziskuje velike količine krvi (4 ili više jedinica krvi za žene ili 5 ili više jedinica krvi za muškarce). Vidjeti dio 5.1.</w:t>
      </w:r>
    </w:p>
    <w:p w:rsidR="002E440B" w:rsidRPr="00E7665A" w:rsidRDefault="002E440B" w:rsidP="00BF3E6B">
      <w:pPr>
        <w:tabs>
          <w:tab w:val="left" w:pos="540"/>
          <w:tab w:val="left" w:pos="569"/>
        </w:tabs>
        <w:jc w:val="both"/>
        <w:rPr>
          <w:bCs/>
          <w:sz w:val="22"/>
          <w:szCs w:val="22"/>
          <w:lang w:val="sr-Latn-ME"/>
        </w:rPr>
      </w:pPr>
    </w:p>
    <w:p w:rsidR="00411B4B" w:rsidRPr="00E7665A" w:rsidRDefault="00411B4B" w:rsidP="00BF3E6B">
      <w:pPr>
        <w:tabs>
          <w:tab w:val="left" w:pos="540"/>
          <w:tab w:val="left" w:pos="569"/>
        </w:tabs>
        <w:jc w:val="both"/>
        <w:rPr>
          <w:b/>
          <w:bCs/>
          <w:sz w:val="22"/>
          <w:szCs w:val="22"/>
          <w:lang w:val="sr-Latn-ME"/>
        </w:rPr>
      </w:pPr>
      <w:r w:rsidRPr="00E7665A">
        <w:rPr>
          <w:b/>
          <w:bCs/>
          <w:sz w:val="22"/>
          <w:szCs w:val="22"/>
          <w:lang w:val="sr-Latn-ME"/>
        </w:rPr>
        <w:t xml:space="preserve">4.2. </w:t>
      </w:r>
      <w:r w:rsidR="00480FB1" w:rsidRPr="00E7665A">
        <w:rPr>
          <w:b/>
          <w:bCs/>
          <w:sz w:val="22"/>
          <w:szCs w:val="22"/>
          <w:lang w:val="sr-Latn-ME"/>
        </w:rPr>
        <w:tab/>
      </w:r>
      <w:r w:rsidRPr="00E7665A">
        <w:rPr>
          <w:b/>
          <w:bCs/>
          <w:sz w:val="22"/>
          <w:szCs w:val="22"/>
          <w:lang w:val="sr-Latn-ME"/>
        </w:rPr>
        <w:t>Doziranje i način primjene</w:t>
      </w:r>
    </w:p>
    <w:p w:rsidR="0072020E" w:rsidRPr="00E7665A" w:rsidRDefault="0072020E" w:rsidP="00BF3E6B">
      <w:pPr>
        <w:tabs>
          <w:tab w:val="left" w:pos="540"/>
          <w:tab w:val="left" w:pos="569"/>
        </w:tabs>
        <w:jc w:val="both"/>
        <w:rPr>
          <w:bCs/>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Terapiju</w:t>
      </w:r>
      <w:r w:rsidR="009F07B1" w:rsidRPr="00E7665A">
        <w:rPr>
          <w:sz w:val="22"/>
          <w:szCs w:val="22"/>
          <w:lang w:val="sr-Latn-ME"/>
        </w:rPr>
        <w:t xml:space="preserve"> lijekom</w:t>
      </w:r>
      <w:r w:rsidRPr="00E7665A">
        <w:rPr>
          <w:sz w:val="22"/>
          <w:szCs w:val="22"/>
          <w:lang w:val="sr-Latn-ME"/>
        </w:rPr>
        <w:t xml:space="preserve"> </w:t>
      </w:r>
      <w:proofErr w:type="spellStart"/>
      <w:r w:rsidR="00980E2B" w:rsidRPr="00E7665A">
        <w:rPr>
          <w:sz w:val="22"/>
          <w:szCs w:val="22"/>
          <w:lang w:val="sr-Latn-ME"/>
        </w:rPr>
        <w:t>NeoRecormon</w:t>
      </w:r>
      <w:proofErr w:type="spellEnd"/>
      <w:r w:rsidRPr="00E7665A">
        <w:rPr>
          <w:sz w:val="22"/>
          <w:szCs w:val="22"/>
          <w:lang w:val="sr-Latn-ME"/>
        </w:rPr>
        <w:t xml:space="preserve"> treba da započne ljekar koji ima iskustva u liječenju gore navedenih indikacija. S obzirom da su u izolovanim slučajevima zabilježene </w:t>
      </w:r>
      <w:proofErr w:type="spellStart"/>
      <w:r w:rsidRPr="00E7665A">
        <w:rPr>
          <w:sz w:val="22"/>
          <w:szCs w:val="22"/>
          <w:lang w:val="sr-Latn-ME"/>
        </w:rPr>
        <w:t>anafilaktoidne</w:t>
      </w:r>
      <w:proofErr w:type="spellEnd"/>
      <w:r w:rsidRPr="00E7665A">
        <w:rPr>
          <w:sz w:val="22"/>
          <w:szCs w:val="22"/>
          <w:lang w:val="sr-Latn-ME"/>
        </w:rPr>
        <w:t xml:space="preserve"> reakcije, preporučuje se primjena prve doze pod nadzorom ljekara. </w:t>
      </w:r>
    </w:p>
    <w:p w:rsidR="002E440B" w:rsidRPr="00E7665A" w:rsidRDefault="002E440B" w:rsidP="00BF3E6B">
      <w:pPr>
        <w:tabs>
          <w:tab w:val="left" w:pos="540"/>
          <w:tab w:val="left" w:pos="569"/>
        </w:tabs>
        <w:jc w:val="both"/>
        <w:rPr>
          <w:bCs/>
          <w:sz w:val="22"/>
          <w:szCs w:val="22"/>
          <w:lang w:val="sr-Latn-ME"/>
        </w:rPr>
      </w:pPr>
    </w:p>
    <w:p w:rsidR="00452E9D" w:rsidRPr="00E7665A" w:rsidRDefault="00452E9D" w:rsidP="00BF3E6B">
      <w:pPr>
        <w:tabs>
          <w:tab w:val="left" w:pos="540"/>
          <w:tab w:val="left" w:pos="569"/>
        </w:tabs>
        <w:jc w:val="both"/>
        <w:rPr>
          <w:bCs/>
          <w:sz w:val="22"/>
          <w:szCs w:val="22"/>
          <w:u w:val="single"/>
          <w:lang w:val="sr-Latn-ME"/>
        </w:rPr>
      </w:pPr>
      <w:r w:rsidRPr="00E7665A">
        <w:rPr>
          <w:bCs/>
          <w:sz w:val="22"/>
          <w:szCs w:val="22"/>
          <w:u w:val="single"/>
          <w:lang w:val="sr-Latn-ME"/>
        </w:rPr>
        <w:t>Doziranje</w:t>
      </w:r>
    </w:p>
    <w:p w:rsidR="00452E9D" w:rsidRPr="00E7665A" w:rsidRDefault="00452E9D" w:rsidP="00BF3E6B">
      <w:pPr>
        <w:tabs>
          <w:tab w:val="left" w:pos="540"/>
          <w:tab w:val="left" w:pos="569"/>
        </w:tabs>
        <w:jc w:val="both"/>
        <w:rPr>
          <w:bCs/>
          <w:sz w:val="22"/>
          <w:szCs w:val="22"/>
          <w:u w:val="single"/>
          <w:lang w:val="sr-Latn-ME"/>
        </w:rPr>
      </w:pPr>
    </w:p>
    <w:p w:rsidR="002E440B" w:rsidRPr="00E7665A" w:rsidRDefault="002E440B" w:rsidP="00BF3E6B">
      <w:pPr>
        <w:autoSpaceDE w:val="0"/>
        <w:autoSpaceDN w:val="0"/>
        <w:adjustRightInd w:val="0"/>
        <w:jc w:val="both"/>
        <w:rPr>
          <w:i/>
          <w:sz w:val="22"/>
          <w:szCs w:val="22"/>
          <w:lang w:val="sr-Latn-ME" w:eastAsia="de-AT"/>
        </w:rPr>
      </w:pPr>
      <w:r w:rsidRPr="00E7665A">
        <w:rPr>
          <w:i/>
          <w:sz w:val="22"/>
          <w:szCs w:val="22"/>
          <w:lang w:val="sr-Latn-ME" w:eastAsia="de-AT"/>
        </w:rPr>
        <w:t xml:space="preserve">Liječenje </w:t>
      </w:r>
      <w:proofErr w:type="spellStart"/>
      <w:r w:rsidRPr="00E7665A">
        <w:rPr>
          <w:i/>
          <w:sz w:val="22"/>
          <w:szCs w:val="22"/>
          <w:lang w:val="sr-Latn-ME" w:eastAsia="de-AT"/>
        </w:rPr>
        <w:t>simptomatske</w:t>
      </w:r>
      <w:proofErr w:type="spellEnd"/>
      <w:r w:rsidRPr="00E7665A">
        <w:rPr>
          <w:i/>
          <w:sz w:val="22"/>
          <w:szCs w:val="22"/>
          <w:lang w:val="sr-Latn-ME" w:eastAsia="de-AT"/>
        </w:rPr>
        <w:t xml:space="preserve"> anemije kod odraslih i djece sa hroni</w:t>
      </w:r>
      <w:r w:rsidR="00574D16" w:rsidRPr="00E7665A">
        <w:rPr>
          <w:i/>
          <w:sz w:val="22"/>
          <w:szCs w:val="22"/>
          <w:lang w:val="sr-Latn-ME" w:eastAsia="de-AT"/>
        </w:rPr>
        <w:t xml:space="preserve">čnom bubrežnom </w:t>
      </w:r>
      <w:proofErr w:type="spellStart"/>
      <w:r w:rsidR="00574D16" w:rsidRPr="00E7665A">
        <w:rPr>
          <w:i/>
          <w:sz w:val="22"/>
          <w:szCs w:val="22"/>
          <w:lang w:val="sr-Latn-ME" w:eastAsia="de-AT"/>
        </w:rPr>
        <w:t>insuficijencijom</w:t>
      </w:r>
      <w:proofErr w:type="spellEnd"/>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 xml:space="preserve">Simptomi i posljedice bolesti mogu varirati u odnosu na godine, pol i cjelokupnu težinu bolesti; potrebna je individualna procjena kliničkog toka i stanja </w:t>
      </w:r>
      <w:r w:rsidR="009F07B1" w:rsidRPr="00E7665A">
        <w:rPr>
          <w:sz w:val="22"/>
          <w:szCs w:val="22"/>
          <w:lang w:val="sr-Latn-ME" w:eastAsia="de-AT"/>
        </w:rPr>
        <w:t xml:space="preserve">svakog  pojedinačnog </w:t>
      </w:r>
      <w:r w:rsidRPr="00E7665A">
        <w:rPr>
          <w:sz w:val="22"/>
          <w:szCs w:val="22"/>
          <w:lang w:val="sr-Latn-ME" w:eastAsia="de-AT"/>
        </w:rPr>
        <w:t xml:space="preserve">pacijenta od strane ljekara. </w:t>
      </w:r>
      <w:r w:rsidR="009F07B1" w:rsidRPr="00E7665A">
        <w:rPr>
          <w:sz w:val="22"/>
          <w:szCs w:val="22"/>
          <w:lang w:val="sr-Latn-ME" w:eastAsia="de-AT"/>
        </w:rPr>
        <w:t xml:space="preserve">Lijek </w:t>
      </w:r>
      <w:proofErr w:type="spellStart"/>
      <w:r w:rsidR="00980E2B" w:rsidRPr="00E7665A">
        <w:rPr>
          <w:sz w:val="22"/>
          <w:szCs w:val="22"/>
          <w:lang w:val="sr-Latn-ME" w:eastAsia="de-AT"/>
        </w:rPr>
        <w:t>NeoRecormon</w:t>
      </w:r>
      <w:proofErr w:type="spellEnd"/>
      <w:r w:rsidRPr="00E7665A">
        <w:rPr>
          <w:sz w:val="22"/>
          <w:szCs w:val="22"/>
          <w:lang w:val="sr-Latn-ME" w:eastAsia="de-AT"/>
        </w:rPr>
        <w:t xml:space="preserve"> treba primjen</w:t>
      </w:r>
      <w:r w:rsidR="009F07B1" w:rsidRPr="00E7665A">
        <w:rPr>
          <w:sz w:val="22"/>
          <w:szCs w:val="22"/>
          <w:lang w:val="sr-Latn-ME" w:eastAsia="de-AT"/>
        </w:rPr>
        <w:t>jivati</w:t>
      </w:r>
      <w:r w:rsidRPr="00E7665A">
        <w:rPr>
          <w:sz w:val="22"/>
          <w:szCs w:val="22"/>
          <w:lang w:val="sr-Latn-ME" w:eastAsia="de-AT"/>
        </w:rPr>
        <w:t xml:space="preserve"> </w:t>
      </w:r>
      <w:proofErr w:type="spellStart"/>
      <w:r w:rsidRPr="00E7665A">
        <w:rPr>
          <w:sz w:val="22"/>
          <w:szCs w:val="22"/>
          <w:lang w:val="sr-Latn-ME" w:eastAsia="de-AT"/>
        </w:rPr>
        <w:t>subkutano</w:t>
      </w:r>
      <w:proofErr w:type="spellEnd"/>
      <w:r w:rsidRPr="00E7665A">
        <w:rPr>
          <w:sz w:val="22"/>
          <w:szCs w:val="22"/>
          <w:lang w:val="sr-Latn-ME" w:eastAsia="de-AT"/>
        </w:rPr>
        <w:t xml:space="preserve"> ili </w:t>
      </w:r>
      <w:proofErr w:type="spellStart"/>
      <w:r w:rsidRPr="00E7665A">
        <w:rPr>
          <w:sz w:val="22"/>
          <w:szCs w:val="22"/>
          <w:lang w:val="sr-Latn-ME" w:eastAsia="de-AT"/>
        </w:rPr>
        <w:t>intravenski</w:t>
      </w:r>
      <w:proofErr w:type="spellEnd"/>
      <w:r w:rsidRPr="00E7665A">
        <w:rPr>
          <w:sz w:val="22"/>
          <w:szCs w:val="22"/>
          <w:lang w:val="sr-Latn-ME" w:eastAsia="de-AT"/>
        </w:rPr>
        <w:t xml:space="preserve"> kako bi se vrijednost hemoglobina povećala ali ne </w:t>
      </w:r>
      <w:proofErr w:type="spellStart"/>
      <w:r w:rsidRPr="00E7665A">
        <w:rPr>
          <w:sz w:val="22"/>
          <w:szCs w:val="22"/>
          <w:lang w:val="sr-Latn-ME" w:eastAsia="de-AT"/>
        </w:rPr>
        <w:t>preko</w:t>
      </w:r>
      <w:proofErr w:type="spellEnd"/>
      <w:r w:rsidRPr="00E7665A">
        <w:rPr>
          <w:sz w:val="22"/>
          <w:szCs w:val="22"/>
          <w:lang w:val="sr-Latn-ME" w:eastAsia="de-AT"/>
        </w:rPr>
        <w:t xml:space="preserve"> </w:t>
      </w:r>
      <w:proofErr w:type="spellStart"/>
      <w:r w:rsidRPr="00E7665A">
        <w:rPr>
          <w:sz w:val="22"/>
          <w:szCs w:val="22"/>
          <w:lang w:val="sr-Latn-ME" w:eastAsia="de-AT"/>
        </w:rPr>
        <w:t>12g</w:t>
      </w:r>
      <w:proofErr w:type="spellEnd"/>
      <w:r w:rsidRPr="00E7665A">
        <w:rPr>
          <w:sz w:val="22"/>
          <w:szCs w:val="22"/>
          <w:lang w:val="sr-Latn-ME" w:eastAsia="de-AT"/>
        </w:rPr>
        <w:t>/dl (</w:t>
      </w:r>
      <w:proofErr w:type="spellStart"/>
      <w:r w:rsidRPr="00E7665A">
        <w:rPr>
          <w:sz w:val="22"/>
          <w:szCs w:val="22"/>
          <w:lang w:val="sr-Latn-ME" w:eastAsia="de-AT"/>
        </w:rPr>
        <w:t>7,5mmol</w:t>
      </w:r>
      <w:proofErr w:type="spellEnd"/>
      <w:r w:rsidRPr="00E7665A">
        <w:rPr>
          <w:sz w:val="22"/>
          <w:szCs w:val="22"/>
          <w:lang w:val="sr-Latn-ME" w:eastAsia="de-AT"/>
        </w:rPr>
        <w:t xml:space="preserve">/l). </w:t>
      </w:r>
      <w:proofErr w:type="spellStart"/>
      <w:r w:rsidRPr="00E7665A">
        <w:rPr>
          <w:sz w:val="22"/>
          <w:szCs w:val="22"/>
          <w:lang w:val="sr-Latn-ME" w:eastAsia="de-AT"/>
        </w:rPr>
        <w:t>Subkutana</w:t>
      </w:r>
      <w:proofErr w:type="spellEnd"/>
      <w:r w:rsidRPr="00E7665A">
        <w:rPr>
          <w:sz w:val="22"/>
          <w:szCs w:val="22"/>
          <w:lang w:val="sr-Latn-ME" w:eastAsia="de-AT"/>
        </w:rPr>
        <w:t xml:space="preserve"> upotreba se preporučuje kod pacijenata koji nijesu na </w:t>
      </w:r>
      <w:proofErr w:type="spellStart"/>
      <w:r w:rsidRPr="00E7665A">
        <w:rPr>
          <w:sz w:val="22"/>
          <w:szCs w:val="22"/>
          <w:lang w:val="sr-Latn-ME" w:eastAsia="de-AT"/>
        </w:rPr>
        <w:t>hemodijalizi</w:t>
      </w:r>
      <w:proofErr w:type="spellEnd"/>
      <w:r w:rsidRPr="00E7665A">
        <w:rPr>
          <w:sz w:val="22"/>
          <w:szCs w:val="22"/>
          <w:lang w:val="sr-Latn-ME" w:eastAsia="de-AT"/>
        </w:rPr>
        <w:t xml:space="preserve"> kako bi se izbjegl</w:t>
      </w:r>
      <w:r w:rsidR="009F07B1" w:rsidRPr="00E7665A">
        <w:rPr>
          <w:sz w:val="22"/>
          <w:szCs w:val="22"/>
          <w:lang w:val="sr-Latn-ME" w:eastAsia="de-AT"/>
        </w:rPr>
        <w:t>e</w:t>
      </w:r>
      <w:r w:rsidRPr="00E7665A">
        <w:rPr>
          <w:sz w:val="22"/>
          <w:szCs w:val="22"/>
          <w:lang w:val="sr-Latn-ME" w:eastAsia="de-AT"/>
        </w:rPr>
        <w:t xml:space="preserve"> punk</w:t>
      </w:r>
      <w:r w:rsidR="009F07B1" w:rsidRPr="00E7665A">
        <w:rPr>
          <w:sz w:val="22"/>
          <w:szCs w:val="22"/>
          <w:lang w:val="sr-Latn-ME" w:eastAsia="de-AT"/>
        </w:rPr>
        <w:t>cije</w:t>
      </w:r>
      <w:r w:rsidRPr="00E7665A">
        <w:rPr>
          <w:sz w:val="22"/>
          <w:szCs w:val="22"/>
          <w:lang w:val="sr-Latn-ME" w:eastAsia="de-AT"/>
        </w:rPr>
        <w:t xml:space="preserve"> perifernih vena. U slučaju </w:t>
      </w:r>
      <w:proofErr w:type="spellStart"/>
      <w:r w:rsidRPr="00E7665A">
        <w:rPr>
          <w:sz w:val="22"/>
          <w:szCs w:val="22"/>
          <w:lang w:val="sr-Latn-ME" w:eastAsia="de-AT"/>
        </w:rPr>
        <w:t>intravenske</w:t>
      </w:r>
      <w:proofErr w:type="spellEnd"/>
      <w:r w:rsidRPr="00E7665A">
        <w:rPr>
          <w:sz w:val="22"/>
          <w:szCs w:val="22"/>
          <w:lang w:val="sr-Latn-ME" w:eastAsia="de-AT"/>
        </w:rPr>
        <w:t xml:space="preserve"> primjene, rastvor treba ubrizgavati oko 2 minuta, npr. kod pacijenata na </w:t>
      </w:r>
      <w:proofErr w:type="spellStart"/>
      <w:r w:rsidRPr="00E7665A">
        <w:rPr>
          <w:sz w:val="22"/>
          <w:szCs w:val="22"/>
          <w:lang w:val="sr-Latn-ME" w:eastAsia="de-AT"/>
        </w:rPr>
        <w:t>hemodijalizi</w:t>
      </w:r>
      <w:proofErr w:type="spellEnd"/>
      <w:r w:rsidRPr="00E7665A">
        <w:rPr>
          <w:sz w:val="22"/>
          <w:szCs w:val="22"/>
          <w:lang w:val="sr-Latn-ME" w:eastAsia="de-AT"/>
        </w:rPr>
        <w:t xml:space="preserve"> </w:t>
      </w:r>
      <w:proofErr w:type="spellStart"/>
      <w:r w:rsidRPr="00E7665A">
        <w:rPr>
          <w:sz w:val="22"/>
          <w:szCs w:val="22"/>
          <w:lang w:val="sr-Latn-ME" w:eastAsia="de-AT"/>
        </w:rPr>
        <w:t>preko</w:t>
      </w:r>
      <w:proofErr w:type="spellEnd"/>
      <w:r w:rsidRPr="00E7665A">
        <w:rPr>
          <w:sz w:val="22"/>
          <w:szCs w:val="22"/>
          <w:lang w:val="sr-Latn-ME" w:eastAsia="de-AT"/>
        </w:rPr>
        <w:t xml:space="preserve"> arter</w:t>
      </w:r>
      <w:r w:rsidR="00447569" w:rsidRPr="00E7665A">
        <w:rPr>
          <w:sz w:val="22"/>
          <w:szCs w:val="22"/>
          <w:lang w:val="sr-Latn-ME" w:eastAsia="de-AT"/>
        </w:rPr>
        <w:t>i</w:t>
      </w:r>
      <w:r w:rsidRPr="00E7665A">
        <w:rPr>
          <w:sz w:val="22"/>
          <w:szCs w:val="22"/>
          <w:lang w:val="sr-Latn-ME" w:eastAsia="de-AT"/>
        </w:rPr>
        <w:t xml:space="preserve">jsko-venske fistule na kraju dijalize. </w:t>
      </w:r>
    </w:p>
    <w:p w:rsidR="009F07B1" w:rsidRPr="00E7665A" w:rsidRDefault="009F07B1" w:rsidP="00BF3E6B">
      <w:pPr>
        <w:autoSpaceDE w:val="0"/>
        <w:autoSpaceDN w:val="0"/>
        <w:adjustRightInd w:val="0"/>
        <w:jc w:val="both"/>
        <w:rPr>
          <w:sz w:val="22"/>
          <w:szCs w:val="22"/>
          <w:lang w:val="sr-Latn-ME" w:eastAsia="de-AT"/>
        </w:rPr>
      </w:pP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 xml:space="preserve">Zbog varijabilnosti među pacijentima, </w:t>
      </w:r>
      <w:r w:rsidR="009F07B1" w:rsidRPr="00E7665A">
        <w:rPr>
          <w:sz w:val="22"/>
          <w:szCs w:val="22"/>
          <w:lang w:val="sr-Latn-ME" w:eastAsia="de-AT"/>
        </w:rPr>
        <w:t>kod</w:t>
      </w:r>
      <w:r w:rsidRPr="00E7665A">
        <w:rPr>
          <w:sz w:val="22"/>
          <w:szCs w:val="22"/>
          <w:lang w:val="sr-Latn-ME" w:eastAsia="de-AT"/>
        </w:rPr>
        <w:t xml:space="preserve"> pojedinih pacijenata povremeno mogu biti primijećene vrijednosti hemoglobina koje su ispod ili iznad željenih nivoa. Varijabilnost hemoglobina treba rješavati prilago</w:t>
      </w:r>
      <w:r w:rsidR="00447569" w:rsidRPr="00E7665A">
        <w:rPr>
          <w:sz w:val="22"/>
          <w:szCs w:val="22"/>
          <w:lang w:val="sr-Latn-ME" w:eastAsia="de-AT"/>
        </w:rPr>
        <w:t>đ</w:t>
      </w:r>
      <w:r w:rsidRPr="00E7665A">
        <w:rPr>
          <w:sz w:val="22"/>
          <w:szCs w:val="22"/>
          <w:lang w:val="sr-Latn-ME" w:eastAsia="de-AT"/>
        </w:rPr>
        <w:t>avanjem doze, imajući u vidu ciljni opseg hemoglobina od 10</w:t>
      </w:r>
      <w:r w:rsidR="009F07B1" w:rsidRPr="00E7665A">
        <w:rPr>
          <w:sz w:val="22"/>
          <w:szCs w:val="22"/>
          <w:lang w:val="sr-Latn-ME" w:eastAsia="de-AT"/>
        </w:rPr>
        <w:t xml:space="preserve"> </w:t>
      </w:r>
      <w:r w:rsidRPr="00E7665A">
        <w:rPr>
          <w:sz w:val="22"/>
          <w:szCs w:val="22"/>
          <w:lang w:val="sr-Latn-ME" w:eastAsia="de-AT"/>
        </w:rPr>
        <w:t xml:space="preserve">g/dl (6.2 </w:t>
      </w:r>
      <w:proofErr w:type="spellStart"/>
      <w:r w:rsidRPr="00E7665A">
        <w:rPr>
          <w:sz w:val="22"/>
          <w:szCs w:val="22"/>
          <w:lang w:val="sr-Latn-ME" w:eastAsia="de-AT"/>
        </w:rPr>
        <w:t>mmol</w:t>
      </w:r>
      <w:proofErr w:type="spellEnd"/>
      <w:r w:rsidRPr="00E7665A">
        <w:rPr>
          <w:sz w:val="22"/>
          <w:szCs w:val="22"/>
          <w:lang w:val="sr-Latn-ME" w:eastAsia="de-AT"/>
        </w:rPr>
        <w:t xml:space="preserve">/l) do 12 g/dl (7.5 </w:t>
      </w:r>
      <w:proofErr w:type="spellStart"/>
      <w:r w:rsidRPr="00E7665A">
        <w:rPr>
          <w:sz w:val="22"/>
          <w:szCs w:val="22"/>
          <w:lang w:val="sr-Latn-ME" w:eastAsia="de-AT"/>
        </w:rPr>
        <w:t>mmol</w:t>
      </w:r>
      <w:proofErr w:type="spellEnd"/>
      <w:r w:rsidRPr="00E7665A">
        <w:rPr>
          <w:sz w:val="22"/>
          <w:szCs w:val="22"/>
          <w:lang w:val="sr-Latn-ME" w:eastAsia="de-AT"/>
        </w:rPr>
        <w:t>/l). Održavanje nivoa hemoglobina iznad 12 g/dl</w:t>
      </w:r>
      <w:r w:rsidR="009F07B1" w:rsidRPr="00E7665A">
        <w:rPr>
          <w:sz w:val="22"/>
          <w:szCs w:val="22"/>
          <w:lang w:val="sr-Latn-ME" w:eastAsia="de-AT"/>
        </w:rPr>
        <w:t xml:space="preserve"> </w:t>
      </w:r>
      <w:r w:rsidRPr="00E7665A">
        <w:rPr>
          <w:sz w:val="22"/>
          <w:szCs w:val="22"/>
          <w:lang w:val="sr-Latn-ME" w:eastAsia="de-AT"/>
        </w:rPr>
        <w:t xml:space="preserve">(7.5 </w:t>
      </w:r>
      <w:proofErr w:type="spellStart"/>
      <w:r w:rsidRPr="00E7665A">
        <w:rPr>
          <w:sz w:val="22"/>
          <w:szCs w:val="22"/>
          <w:lang w:val="sr-Latn-ME" w:eastAsia="de-AT"/>
        </w:rPr>
        <w:t>mmol</w:t>
      </w:r>
      <w:proofErr w:type="spellEnd"/>
      <w:r w:rsidRPr="00E7665A">
        <w:rPr>
          <w:sz w:val="22"/>
          <w:szCs w:val="22"/>
          <w:lang w:val="sr-Latn-ME" w:eastAsia="de-AT"/>
        </w:rPr>
        <w:t xml:space="preserve">/l) treba izbjegavati; smjernice za odgovarajuće podešavanje doze kada su vrijednosti hemoglobina </w:t>
      </w:r>
      <w:proofErr w:type="spellStart"/>
      <w:r w:rsidRPr="00E7665A">
        <w:rPr>
          <w:sz w:val="22"/>
          <w:szCs w:val="22"/>
          <w:lang w:val="sr-Latn-ME" w:eastAsia="de-AT"/>
        </w:rPr>
        <w:t>preko</w:t>
      </w:r>
      <w:proofErr w:type="spellEnd"/>
      <w:r w:rsidRPr="00E7665A">
        <w:rPr>
          <w:sz w:val="22"/>
          <w:szCs w:val="22"/>
          <w:lang w:val="sr-Latn-ME" w:eastAsia="de-AT"/>
        </w:rPr>
        <w:t xml:space="preserve"> 12 g/dl (7.5 </w:t>
      </w:r>
      <w:proofErr w:type="spellStart"/>
      <w:r w:rsidRPr="00E7665A">
        <w:rPr>
          <w:sz w:val="22"/>
          <w:szCs w:val="22"/>
          <w:lang w:val="sr-Latn-ME" w:eastAsia="de-AT"/>
        </w:rPr>
        <w:t>mmol</w:t>
      </w:r>
      <w:proofErr w:type="spellEnd"/>
      <w:r w:rsidRPr="00E7665A">
        <w:rPr>
          <w:sz w:val="22"/>
          <w:szCs w:val="22"/>
          <w:lang w:val="sr-Latn-ME" w:eastAsia="de-AT"/>
        </w:rPr>
        <w:t xml:space="preserve">/l) su opisane i objašnjene </w:t>
      </w:r>
      <w:r w:rsidR="009F07B1" w:rsidRPr="00E7665A">
        <w:rPr>
          <w:sz w:val="22"/>
          <w:szCs w:val="22"/>
          <w:lang w:val="sr-Latn-ME" w:eastAsia="de-AT"/>
        </w:rPr>
        <w:t>u daljem tekstu</w:t>
      </w:r>
      <w:r w:rsidRPr="00E7665A">
        <w:rPr>
          <w:sz w:val="22"/>
          <w:szCs w:val="22"/>
          <w:lang w:val="sr-Latn-ME" w:eastAsia="de-AT"/>
        </w:rPr>
        <w:t>.</w:t>
      </w:r>
    </w:p>
    <w:p w:rsidR="009F07B1" w:rsidRPr="00E7665A" w:rsidRDefault="009F07B1" w:rsidP="00BF3E6B">
      <w:pPr>
        <w:autoSpaceDE w:val="0"/>
        <w:autoSpaceDN w:val="0"/>
        <w:adjustRightInd w:val="0"/>
        <w:jc w:val="both"/>
        <w:rPr>
          <w:sz w:val="22"/>
          <w:szCs w:val="22"/>
          <w:lang w:val="sr-Latn-ME" w:eastAsia="de-AT"/>
        </w:rPr>
      </w:pP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 xml:space="preserve">Porast  hemoglobina veći od 2 g/dl (1.25 </w:t>
      </w:r>
      <w:proofErr w:type="spellStart"/>
      <w:r w:rsidRPr="00E7665A">
        <w:rPr>
          <w:sz w:val="22"/>
          <w:szCs w:val="22"/>
          <w:lang w:val="sr-Latn-ME" w:eastAsia="de-AT"/>
        </w:rPr>
        <w:t>mmol</w:t>
      </w:r>
      <w:proofErr w:type="spellEnd"/>
      <w:r w:rsidRPr="00E7665A">
        <w:rPr>
          <w:sz w:val="22"/>
          <w:szCs w:val="22"/>
          <w:lang w:val="sr-Latn-ME" w:eastAsia="de-AT"/>
        </w:rPr>
        <w:t>/l) tokom perioda od 4 nedjelje treba izbjegavati.</w:t>
      </w:r>
    </w:p>
    <w:p w:rsidR="009F07B1"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 xml:space="preserve">Ukoliko se javi, treba </w:t>
      </w:r>
      <w:proofErr w:type="spellStart"/>
      <w:r w:rsidRPr="00E7665A">
        <w:rPr>
          <w:sz w:val="22"/>
          <w:szCs w:val="22"/>
          <w:lang w:val="sr-Latn-ME" w:eastAsia="de-AT"/>
        </w:rPr>
        <w:t>podesiti</w:t>
      </w:r>
      <w:proofErr w:type="spellEnd"/>
      <w:r w:rsidRPr="00E7665A">
        <w:rPr>
          <w:sz w:val="22"/>
          <w:szCs w:val="22"/>
          <w:lang w:val="sr-Latn-ME" w:eastAsia="de-AT"/>
        </w:rPr>
        <w:t xml:space="preserve"> odgovarajuću dozu kao što je opisano. Ako je brzina porasta hemoglobina veća od 2</w:t>
      </w:r>
      <w:r w:rsidR="009F07B1" w:rsidRPr="00E7665A">
        <w:rPr>
          <w:sz w:val="22"/>
          <w:szCs w:val="22"/>
          <w:lang w:val="sr-Latn-ME" w:eastAsia="de-AT"/>
        </w:rPr>
        <w:t xml:space="preserve"> </w:t>
      </w:r>
      <w:r w:rsidRPr="00E7665A">
        <w:rPr>
          <w:sz w:val="22"/>
          <w:szCs w:val="22"/>
          <w:lang w:val="sr-Latn-ME" w:eastAsia="de-AT"/>
        </w:rPr>
        <w:t xml:space="preserve">g/dl (1.25 </w:t>
      </w:r>
      <w:proofErr w:type="spellStart"/>
      <w:r w:rsidRPr="00E7665A">
        <w:rPr>
          <w:sz w:val="22"/>
          <w:szCs w:val="22"/>
          <w:lang w:val="sr-Latn-ME" w:eastAsia="de-AT"/>
        </w:rPr>
        <w:t>mmol</w:t>
      </w:r>
      <w:proofErr w:type="spellEnd"/>
      <w:r w:rsidRPr="00E7665A">
        <w:rPr>
          <w:sz w:val="22"/>
          <w:szCs w:val="22"/>
          <w:lang w:val="sr-Latn-ME" w:eastAsia="de-AT"/>
        </w:rPr>
        <w:t xml:space="preserve">/l) unutar jednog mjeseca ili ako vrijednost hemoglobina raste i približava se vrijednosti od </w:t>
      </w:r>
      <w:proofErr w:type="spellStart"/>
      <w:r w:rsidRPr="00E7665A">
        <w:rPr>
          <w:sz w:val="22"/>
          <w:szCs w:val="22"/>
          <w:lang w:val="sr-Latn-ME" w:eastAsia="de-AT"/>
        </w:rPr>
        <w:t>12g</w:t>
      </w:r>
      <w:proofErr w:type="spellEnd"/>
      <w:r w:rsidRPr="00E7665A">
        <w:rPr>
          <w:sz w:val="22"/>
          <w:szCs w:val="22"/>
          <w:lang w:val="sr-Latn-ME" w:eastAsia="de-AT"/>
        </w:rPr>
        <w:t xml:space="preserve">/dl (7.45 </w:t>
      </w:r>
      <w:proofErr w:type="spellStart"/>
      <w:r w:rsidRPr="00E7665A">
        <w:rPr>
          <w:sz w:val="22"/>
          <w:szCs w:val="22"/>
          <w:lang w:val="sr-Latn-ME" w:eastAsia="de-AT"/>
        </w:rPr>
        <w:t>mmol</w:t>
      </w:r>
      <w:proofErr w:type="spellEnd"/>
      <w:r w:rsidRPr="00E7665A">
        <w:rPr>
          <w:sz w:val="22"/>
          <w:szCs w:val="22"/>
          <w:lang w:val="sr-Latn-ME" w:eastAsia="de-AT"/>
        </w:rPr>
        <w:t>/l), dozu je potrebno smanjiti za 25%. Ukoliko nivo hemoglobina nastavlja da raste terapiju treba prekinuti dok nivo hemoglobina ne počne da opada, kada terapiju treba pon</w:t>
      </w:r>
      <w:r w:rsidR="00447569" w:rsidRPr="00E7665A">
        <w:rPr>
          <w:sz w:val="22"/>
          <w:szCs w:val="22"/>
          <w:lang w:val="sr-Latn-ME" w:eastAsia="de-AT"/>
        </w:rPr>
        <w:t>o</w:t>
      </w:r>
      <w:r w:rsidRPr="00E7665A">
        <w:rPr>
          <w:sz w:val="22"/>
          <w:szCs w:val="22"/>
          <w:lang w:val="sr-Latn-ME" w:eastAsia="de-AT"/>
        </w:rPr>
        <w:t>vo započeti doz</w:t>
      </w:r>
      <w:r w:rsidR="009F07B1" w:rsidRPr="00E7665A">
        <w:rPr>
          <w:sz w:val="22"/>
          <w:szCs w:val="22"/>
          <w:lang w:val="sr-Latn-ME" w:eastAsia="de-AT"/>
        </w:rPr>
        <w:t>om</w:t>
      </w:r>
      <w:r w:rsidRPr="00E7665A">
        <w:rPr>
          <w:sz w:val="22"/>
          <w:szCs w:val="22"/>
          <w:lang w:val="sr-Latn-ME" w:eastAsia="de-AT"/>
        </w:rPr>
        <w:t xml:space="preserve"> koja je za 25% niža od prethodno primijenjene doze. </w:t>
      </w: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 xml:space="preserve"> </w:t>
      </w: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 xml:space="preserve">Pacijente treba pažljivo pratiti kako bi se osiguralo da se upotrebljava najmanja dozvoljena efikasna doza </w:t>
      </w:r>
      <w:r w:rsidR="009F07B1" w:rsidRPr="00E7665A">
        <w:rPr>
          <w:sz w:val="22"/>
          <w:szCs w:val="22"/>
          <w:lang w:val="sr-Latn-ME" w:eastAsia="de-AT"/>
        </w:rPr>
        <w:t xml:space="preserve">lijeka </w:t>
      </w:r>
      <w:proofErr w:type="spellStart"/>
      <w:r w:rsidR="00447569" w:rsidRPr="00E7665A">
        <w:rPr>
          <w:sz w:val="22"/>
          <w:szCs w:val="22"/>
          <w:lang w:val="sr-Latn-ME" w:eastAsia="de-AT"/>
        </w:rPr>
        <w:t>Neo</w:t>
      </w:r>
      <w:r w:rsidRPr="00E7665A">
        <w:rPr>
          <w:sz w:val="22"/>
          <w:szCs w:val="22"/>
          <w:lang w:val="sr-Latn-ME" w:eastAsia="de-AT"/>
        </w:rPr>
        <w:t>Re</w:t>
      </w:r>
      <w:r w:rsidR="00447569" w:rsidRPr="00E7665A">
        <w:rPr>
          <w:sz w:val="22"/>
          <w:szCs w:val="22"/>
          <w:lang w:val="sr-Latn-ME" w:eastAsia="de-AT"/>
        </w:rPr>
        <w:t>c</w:t>
      </w:r>
      <w:r w:rsidRPr="00E7665A">
        <w:rPr>
          <w:sz w:val="22"/>
          <w:szCs w:val="22"/>
          <w:lang w:val="sr-Latn-ME" w:eastAsia="de-AT"/>
        </w:rPr>
        <w:t>ormon</w:t>
      </w:r>
      <w:proofErr w:type="spellEnd"/>
      <w:r w:rsidRPr="00E7665A">
        <w:rPr>
          <w:sz w:val="22"/>
          <w:szCs w:val="22"/>
          <w:lang w:val="sr-Latn-ME" w:eastAsia="de-AT"/>
        </w:rPr>
        <w:t xml:space="preserve"> koja obezbje</w:t>
      </w:r>
      <w:r w:rsidR="00447569" w:rsidRPr="00E7665A">
        <w:rPr>
          <w:sz w:val="22"/>
          <w:szCs w:val="22"/>
          <w:lang w:val="sr-Latn-ME" w:eastAsia="de-AT"/>
        </w:rPr>
        <w:t>đ</w:t>
      </w:r>
      <w:r w:rsidRPr="00E7665A">
        <w:rPr>
          <w:sz w:val="22"/>
          <w:szCs w:val="22"/>
          <w:lang w:val="sr-Latn-ME" w:eastAsia="de-AT"/>
        </w:rPr>
        <w:t>uje adekvatnu kontrolu simptoma anemije, a koncentracija hemoglobina istovremeno održala ispod ili na 12g/dl (7,45mmol/l).</w:t>
      </w:r>
    </w:p>
    <w:p w:rsidR="009F07B1" w:rsidRPr="00E7665A" w:rsidRDefault="009F07B1" w:rsidP="00BF3E6B">
      <w:pPr>
        <w:autoSpaceDE w:val="0"/>
        <w:autoSpaceDN w:val="0"/>
        <w:adjustRightInd w:val="0"/>
        <w:jc w:val="both"/>
        <w:rPr>
          <w:sz w:val="22"/>
          <w:szCs w:val="22"/>
          <w:lang w:val="sr-Latn-ME" w:eastAsia="de-AT"/>
        </w:rPr>
      </w:pP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 xml:space="preserve">Potreban je oprez prilikom povećanja doza lijeka </w:t>
      </w:r>
      <w:proofErr w:type="spellStart"/>
      <w:r w:rsidR="00980E2B" w:rsidRPr="00E7665A">
        <w:rPr>
          <w:sz w:val="22"/>
          <w:szCs w:val="22"/>
          <w:lang w:val="sr-Latn-ME" w:eastAsia="de-AT"/>
        </w:rPr>
        <w:t>NeoRecormon</w:t>
      </w:r>
      <w:proofErr w:type="spellEnd"/>
      <w:r w:rsidRPr="00E7665A">
        <w:rPr>
          <w:sz w:val="22"/>
          <w:szCs w:val="22"/>
          <w:lang w:val="sr-Latn-ME" w:eastAsia="de-AT"/>
        </w:rPr>
        <w:t xml:space="preserve"> kod pacijenata sa hroničnom </w:t>
      </w:r>
      <w:proofErr w:type="spellStart"/>
      <w:r w:rsidRPr="00E7665A">
        <w:rPr>
          <w:sz w:val="22"/>
          <w:szCs w:val="22"/>
          <w:lang w:val="sr-Latn-ME" w:eastAsia="de-AT"/>
        </w:rPr>
        <w:t>insuficijencijom</w:t>
      </w:r>
      <w:proofErr w:type="spellEnd"/>
      <w:r w:rsidRPr="00E7665A">
        <w:rPr>
          <w:sz w:val="22"/>
          <w:szCs w:val="22"/>
          <w:lang w:val="sr-Latn-ME" w:eastAsia="de-AT"/>
        </w:rPr>
        <w:t xml:space="preserve"> bubrega. Kod pacijenata sa slabim hemoglobinskim odgovorom na lijek </w:t>
      </w:r>
      <w:proofErr w:type="spellStart"/>
      <w:r w:rsidR="00980E2B" w:rsidRPr="00E7665A">
        <w:rPr>
          <w:sz w:val="22"/>
          <w:szCs w:val="22"/>
          <w:lang w:val="sr-Latn-ME" w:eastAsia="de-AT"/>
        </w:rPr>
        <w:t>NeoRecormon</w:t>
      </w:r>
      <w:proofErr w:type="spellEnd"/>
      <w:r w:rsidRPr="00E7665A">
        <w:rPr>
          <w:sz w:val="22"/>
          <w:szCs w:val="22"/>
          <w:lang w:val="sr-Latn-ME" w:eastAsia="de-AT"/>
        </w:rPr>
        <w:t xml:space="preserve"> potrebno je razmotriti druga moguća objašnjenja slabog odgovora (vidjeti djelove 4.4 i 5.1).</w:t>
      </w:r>
    </w:p>
    <w:p w:rsidR="009F07B1" w:rsidRPr="00E7665A" w:rsidRDefault="009F07B1" w:rsidP="00BF3E6B">
      <w:pPr>
        <w:autoSpaceDE w:val="0"/>
        <w:autoSpaceDN w:val="0"/>
        <w:adjustRightInd w:val="0"/>
        <w:jc w:val="both"/>
        <w:rPr>
          <w:sz w:val="22"/>
          <w:szCs w:val="22"/>
          <w:lang w:val="sr-Latn-ME" w:eastAsia="de-AT"/>
        </w:rPr>
      </w:pP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rPr>
        <w:t xml:space="preserve">U prisustvu hipertenzije ili postojećih </w:t>
      </w:r>
      <w:proofErr w:type="spellStart"/>
      <w:r w:rsidRPr="00E7665A">
        <w:rPr>
          <w:sz w:val="22"/>
          <w:szCs w:val="22"/>
          <w:lang w:val="sr-Latn-ME"/>
        </w:rPr>
        <w:t>kardiovaskularnih</w:t>
      </w:r>
      <w:proofErr w:type="spellEnd"/>
      <w:r w:rsidRPr="00E7665A">
        <w:rPr>
          <w:sz w:val="22"/>
          <w:szCs w:val="22"/>
          <w:lang w:val="sr-Latn-ME"/>
        </w:rPr>
        <w:t xml:space="preserve">, </w:t>
      </w:r>
      <w:proofErr w:type="spellStart"/>
      <w:r w:rsidRPr="00E7665A">
        <w:rPr>
          <w:sz w:val="22"/>
          <w:szCs w:val="22"/>
          <w:lang w:val="sr-Latn-ME"/>
        </w:rPr>
        <w:t>cerebrovaskularnih</w:t>
      </w:r>
      <w:proofErr w:type="spellEnd"/>
      <w:r w:rsidRPr="00E7665A">
        <w:rPr>
          <w:sz w:val="22"/>
          <w:szCs w:val="22"/>
          <w:lang w:val="sr-Latn-ME"/>
        </w:rPr>
        <w:t xml:space="preserve"> ili oboljenja perifernih krvnih sudova, nedjeljno povećanje </w:t>
      </w:r>
      <w:proofErr w:type="spellStart"/>
      <w:r w:rsidRPr="00E7665A">
        <w:rPr>
          <w:sz w:val="22"/>
          <w:szCs w:val="22"/>
          <w:lang w:val="sr-Latn-ME"/>
        </w:rPr>
        <w:t>Hb</w:t>
      </w:r>
      <w:proofErr w:type="spellEnd"/>
      <w:r w:rsidRPr="00E7665A">
        <w:rPr>
          <w:sz w:val="22"/>
          <w:szCs w:val="22"/>
          <w:lang w:val="sr-Latn-ME"/>
        </w:rPr>
        <w:t xml:space="preserve"> i ciljne vrijednosti </w:t>
      </w:r>
      <w:proofErr w:type="spellStart"/>
      <w:r w:rsidRPr="00E7665A">
        <w:rPr>
          <w:sz w:val="22"/>
          <w:szCs w:val="22"/>
          <w:lang w:val="sr-Latn-ME"/>
        </w:rPr>
        <w:t>Hb</w:t>
      </w:r>
      <w:proofErr w:type="spellEnd"/>
      <w:r w:rsidRPr="00E7665A">
        <w:rPr>
          <w:sz w:val="22"/>
          <w:szCs w:val="22"/>
          <w:lang w:val="sr-Latn-ME"/>
        </w:rPr>
        <w:t xml:space="preserve"> treba odrediti individualno uzimajući u obzir kliničku sliku pacijenta. </w:t>
      </w:r>
    </w:p>
    <w:p w:rsidR="002E440B" w:rsidRPr="00E7665A" w:rsidRDefault="002E440B" w:rsidP="00BF3E6B">
      <w:pPr>
        <w:jc w:val="both"/>
        <w:rPr>
          <w:sz w:val="22"/>
          <w:szCs w:val="22"/>
          <w:lang w:val="sr-Latn-ME"/>
        </w:rPr>
      </w:pPr>
    </w:p>
    <w:p w:rsidR="00CA04B9" w:rsidRPr="00E7665A" w:rsidRDefault="002E440B" w:rsidP="00BF3E6B">
      <w:pPr>
        <w:jc w:val="both"/>
        <w:rPr>
          <w:sz w:val="22"/>
          <w:szCs w:val="22"/>
          <w:lang w:val="sr-Latn-ME"/>
        </w:rPr>
      </w:pPr>
      <w:r w:rsidRPr="00E7665A">
        <w:rPr>
          <w:sz w:val="22"/>
          <w:szCs w:val="22"/>
          <w:lang w:val="sr-Latn-ME"/>
        </w:rPr>
        <w:t xml:space="preserve">Terapija </w:t>
      </w:r>
      <w:r w:rsidR="00CA04B9"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se dijeli u dvije faze:</w:t>
      </w:r>
    </w:p>
    <w:p w:rsidR="002E440B" w:rsidRPr="00E7665A" w:rsidRDefault="002E440B" w:rsidP="00BF3E6B">
      <w:pPr>
        <w:jc w:val="both"/>
        <w:rPr>
          <w:sz w:val="22"/>
          <w:szCs w:val="22"/>
          <w:lang w:val="sr-Latn-ME"/>
        </w:rPr>
      </w:pPr>
      <w:r w:rsidRPr="00E7665A">
        <w:rPr>
          <w:sz w:val="22"/>
          <w:szCs w:val="22"/>
          <w:lang w:val="sr-Latn-ME"/>
        </w:rPr>
        <w:t xml:space="preserve"> </w:t>
      </w:r>
    </w:p>
    <w:p w:rsidR="002E440B" w:rsidRPr="00E7665A" w:rsidRDefault="002E440B" w:rsidP="00BF3E6B">
      <w:pPr>
        <w:numPr>
          <w:ilvl w:val="0"/>
          <w:numId w:val="15"/>
        </w:numPr>
        <w:jc w:val="both"/>
        <w:rPr>
          <w:sz w:val="22"/>
          <w:szCs w:val="22"/>
          <w:u w:val="single"/>
          <w:lang w:val="sr-Latn-ME"/>
        </w:rPr>
      </w:pPr>
      <w:r w:rsidRPr="00E7665A">
        <w:rPr>
          <w:sz w:val="22"/>
          <w:szCs w:val="22"/>
          <w:u w:val="single"/>
          <w:lang w:val="sr-Latn-ME"/>
        </w:rPr>
        <w:t>Faza korekcije</w:t>
      </w:r>
    </w:p>
    <w:p w:rsidR="00447569" w:rsidRPr="00E7665A" w:rsidRDefault="00447569" w:rsidP="00094AC4">
      <w:pPr>
        <w:ind w:left="567"/>
        <w:jc w:val="both"/>
        <w:rPr>
          <w:sz w:val="22"/>
          <w:szCs w:val="22"/>
          <w:u w:val="single"/>
          <w:lang w:val="sr-Latn-ME"/>
        </w:rPr>
      </w:pPr>
    </w:p>
    <w:p w:rsidR="002E440B" w:rsidRPr="00E7665A" w:rsidRDefault="002E440B" w:rsidP="00BF3E6B">
      <w:pPr>
        <w:numPr>
          <w:ilvl w:val="0"/>
          <w:numId w:val="16"/>
        </w:numPr>
        <w:tabs>
          <w:tab w:val="left" w:pos="284"/>
        </w:tabs>
        <w:jc w:val="both"/>
        <w:rPr>
          <w:sz w:val="22"/>
          <w:szCs w:val="22"/>
          <w:lang w:val="sr-Latn-ME"/>
        </w:rPr>
      </w:pPr>
      <w:proofErr w:type="spellStart"/>
      <w:r w:rsidRPr="00E7665A">
        <w:rPr>
          <w:sz w:val="22"/>
          <w:szCs w:val="22"/>
          <w:lang w:val="sr-Latn-ME"/>
        </w:rPr>
        <w:t>Subkutana</w:t>
      </w:r>
      <w:proofErr w:type="spellEnd"/>
      <w:r w:rsidRPr="00E7665A">
        <w:rPr>
          <w:sz w:val="22"/>
          <w:szCs w:val="22"/>
          <w:lang w:val="sr-Latn-ME"/>
        </w:rPr>
        <w:t xml:space="preserve"> primjena:</w:t>
      </w:r>
    </w:p>
    <w:p w:rsidR="002E440B" w:rsidRPr="00E7665A" w:rsidRDefault="002E440B" w:rsidP="00BF3E6B">
      <w:pPr>
        <w:ind w:left="284"/>
        <w:jc w:val="both"/>
        <w:rPr>
          <w:sz w:val="22"/>
          <w:szCs w:val="22"/>
          <w:lang w:val="sr-Latn-ME"/>
        </w:rPr>
      </w:pPr>
      <w:r w:rsidRPr="00E7665A">
        <w:rPr>
          <w:sz w:val="22"/>
          <w:szCs w:val="22"/>
          <w:lang w:val="sr-Latn-ME"/>
        </w:rPr>
        <w:t xml:space="preserve">Inicijalna doza je 3 x 20 </w:t>
      </w:r>
      <w:proofErr w:type="spellStart"/>
      <w:r w:rsidR="00CA04B9" w:rsidRPr="00E7665A">
        <w:rPr>
          <w:sz w:val="22"/>
          <w:szCs w:val="22"/>
          <w:lang w:val="sr-Latn-ME"/>
        </w:rPr>
        <w:t>i.j</w:t>
      </w:r>
      <w:proofErr w:type="spellEnd"/>
      <w:r w:rsidRPr="00E7665A">
        <w:rPr>
          <w:sz w:val="22"/>
          <w:szCs w:val="22"/>
          <w:lang w:val="sr-Latn-ME"/>
        </w:rPr>
        <w:t xml:space="preserve">./kg tjelesne </w:t>
      </w:r>
      <w:r w:rsidR="00CA04B9" w:rsidRPr="00E7665A">
        <w:rPr>
          <w:sz w:val="22"/>
          <w:szCs w:val="22"/>
          <w:lang w:val="sr-Latn-ME"/>
        </w:rPr>
        <w:t xml:space="preserve">mase </w:t>
      </w:r>
      <w:r w:rsidRPr="00E7665A">
        <w:rPr>
          <w:sz w:val="22"/>
          <w:szCs w:val="22"/>
          <w:lang w:val="sr-Latn-ME"/>
        </w:rPr>
        <w:t xml:space="preserve">nedjeljno. Ova doza se može povećavati svake 4 nedjelje za 3 x 20 </w:t>
      </w:r>
      <w:proofErr w:type="spellStart"/>
      <w:r w:rsidR="00CA04B9" w:rsidRPr="00E7665A">
        <w:rPr>
          <w:sz w:val="22"/>
          <w:szCs w:val="22"/>
          <w:lang w:val="sr-Latn-ME"/>
        </w:rPr>
        <w:t>i.j</w:t>
      </w:r>
      <w:proofErr w:type="spellEnd"/>
      <w:r w:rsidR="00CA04B9" w:rsidRPr="00E7665A">
        <w:rPr>
          <w:sz w:val="22"/>
          <w:szCs w:val="22"/>
          <w:lang w:val="sr-Latn-ME"/>
        </w:rPr>
        <w:t>.</w:t>
      </w:r>
      <w:r w:rsidRPr="00E7665A">
        <w:rPr>
          <w:sz w:val="22"/>
          <w:szCs w:val="22"/>
          <w:lang w:val="sr-Latn-ME"/>
        </w:rPr>
        <w:t xml:space="preserve">/kg tjelesne </w:t>
      </w:r>
      <w:r w:rsidR="00CA04B9" w:rsidRPr="00E7665A">
        <w:rPr>
          <w:sz w:val="22"/>
          <w:szCs w:val="22"/>
          <w:lang w:val="sr-Latn-ME"/>
        </w:rPr>
        <w:t xml:space="preserve">mase </w:t>
      </w:r>
      <w:r w:rsidRPr="00E7665A">
        <w:rPr>
          <w:sz w:val="22"/>
          <w:szCs w:val="22"/>
          <w:lang w:val="sr-Latn-ME"/>
        </w:rPr>
        <w:t xml:space="preserve">nedjeljno ako povećanje </w:t>
      </w:r>
      <w:proofErr w:type="spellStart"/>
      <w:r w:rsidRPr="00E7665A">
        <w:rPr>
          <w:sz w:val="22"/>
          <w:szCs w:val="22"/>
          <w:lang w:val="sr-Latn-ME"/>
        </w:rPr>
        <w:t>Hb</w:t>
      </w:r>
      <w:proofErr w:type="spellEnd"/>
      <w:r w:rsidRPr="00E7665A">
        <w:rPr>
          <w:sz w:val="22"/>
          <w:szCs w:val="22"/>
          <w:lang w:val="sr-Latn-ME"/>
        </w:rPr>
        <w:t xml:space="preserve"> nije adekvatno (&lt;</w:t>
      </w:r>
      <w:r w:rsidR="00CA04B9" w:rsidRPr="00E7665A">
        <w:rPr>
          <w:sz w:val="22"/>
          <w:szCs w:val="22"/>
          <w:lang w:val="sr-Latn-ME"/>
        </w:rPr>
        <w:t xml:space="preserve"> </w:t>
      </w:r>
      <w:r w:rsidRPr="00E7665A">
        <w:rPr>
          <w:sz w:val="22"/>
          <w:szCs w:val="22"/>
          <w:lang w:val="sr-Latn-ME"/>
        </w:rPr>
        <w:t>0,25g/dl nedjeljno).</w:t>
      </w:r>
    </w:p>
    <w:p w:rsidR="003D02AF" w:rsidRDefault="003D02AF"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Ova nedjeljna doza se može podijeliti u dnevne doze. </w:t>
      </w:r>
    </w:p>
    <w:p w:rsidR="002E440B" w:rsidRDefault="002E440B" w:rsidP="00BF3E6B">
      <w:pPr>
        <w:ind w:left="567"/>
        <w:jc w:val="both"/>
        <w:rPr>
          <w:sz w:val="22"/>
          <w:szCs w:val="22"/>
          <w:lang w:val="sr-Latn-ME"/>
        </w:rPr>
      </w:pPr>
    </w:p>
    <w:p w:rsidR="003D02AF" w:rsidRPr="00E7665A" w:rsidRDefault="003D02AF" w:rsidP="00BF3E6B">
      <w:pPr>
        <w:ind w:left="567"/>
        <w:jc w:val="both"/>
        <w:rPr>
          <w:sz w:val="22"/>
          <w:szCs w:val="22"/>
          <w:lang w:val="sr-Latn-ME"/>
        </w:rPr>
      </w:pPr>
    </w:p>
    <w:p w:rsidR="002E440B" w:rsidRPr="00E7665A" w:rsidRDefault="002E440B" w:rsidP="00BF3E6B">
      <w:pPr>
        <w:numPr>
          <w:ilvl w:val="0"/>
          <w:numId w:val="16"/>
        </w:numPr>
        <w:tabs>
          <w:tab w:val="left" w:pos="284"/>
        </w:tabs>
        <w:jc w:val="both"/>
        <w:rPr>
          <w:sz w:val="22"/>
          <w:szCs w:val="22"/>
          <w:lang w:val="sr-Latn-ME"/>
        </w:rPr>
      </w:pPr>
      <w:proofErr w:type="spellStart"/>
      <w:r w:rsidRPr="00E7665A">
        <w:rPr>
          <w:sz w:val="22"/>
          <w:szCs w:val="22"/>
          <w:lang w:val="sr-Latn-ME"/>
        </w:rPr>
        <w:lastRenderedPageBreak/>
        <w:t>Intravenska</w:t>
      </w:r>
      <w:proofErr w:type="spellEnd"/>
      <w:r w:rsidRPr="00E7665A">
        <w:rPr>
          <w:sz w:val="22"/>
          <w:szCs w:val="22"/>
          <w:lang w:val="sr-Latn-ME"/>
        </w:rPr>
        <w:t xml:space="preserve"> primjena:</w:t>
      </w:r>
    </w:p>
    <w:p w:rsidR="002E440B" w:rsidRPr="00E7665A" w:rsidRDefault="002E440B" w:rsidP="00BF3E6B">
      <w:pPr>
        <w:ind w:left="284"/>
        <w:jc w:val="both"/>
        <w:rPr>
          <w:sz w:val="22"/>
          <w:szCs w:val="22"/>
          <w:lang w:val="sr-Latn-ME"/>
        </w:rPr>
      </w:pPr>
      <w:r w:rsidRPr="00E7665A">
        <w:rPr>
          <w:sz w:val="22"/>
          <w:szCs w:val="22"/>
          <w:lang w:val="sr-Latn-ME"/>
        </w:rPr>
        <w:t xml:space="preserve">Inicijalna doza je 3 x 40 </w:t>
      </w:r>
      <w:proofErr w:type="spellStart"/>
      <w:r w:rsidR="00CA04B9" w:rsidRPr="00E7665A">
        <w:rPr>
          <w:sz w:val="22"/>
          <w:szCs w:val="22"/>
          <w:lang w:val="sr-Latn-ME"/>
        </w:rPr>
        <w:t>i.j</w:t>
      </w:r>
      <w:proofErr w:type="spellEnd"/>
      <w:r w:rsidR="00CA04B9" w:rsidRPr="00E7665A">
        <w:rPr>
          <w:sz w:val="22"/>
          <w:szCs w:val="22"/>
          <w:lang w:val="sr-Latn-ME"/>
        </w:rPr>
        <w:t>.</w:t>
      </w:r>
      <w:r w:rsidRPr="00E7665A">
        <w:rPr>
          <w:sz w:val="22"/>
          <w:szCs w:val="22"/>
          <w:lang w:val="sr-Latn-ME"/>
        </w:rPr>
        <w:t xml:space="preserve">/kg tjelesne </w:t>
      </w:r>
      <w:r w:rsidR="00CA04B9" w:rsidRPr="00E7665A">
        <w:rPr>
          <w:sz w:val="22"/>
          <w:szCs w:val="22"/>
          <w:lang w:val="sr-Latn-ME"/>
        </w:rPr>
        <w:t xml:space="preserve">mase </w:t>
      </w:r>
      <w:r w:rsidRPr="00E7665A">
        <w:rPr>
          <w:sz w:val="22"/>
          <w:szCs w:val="22"/>
          <w:lang w:val="sr-Latn-ME"/>
        </w:rPr>
        <w:t>nedjeljno. Doza se može povećati nakon 4 nedjelje na 80</w:t>
      </w:r>
      <w:r w:rsidR="00CA04B9" w:rsidRPr="00E7665A">
        <w:rPr>
          <w:sz w:val="22"/>
          <w:szCs w:val="22"/>
          <w:lang w:val="sr-Latn-ME"/>
        </w:rPr>
        <w:t xml:space="preserve"> </w:t>
      </w:r>
      <w:proofErr w:type="spellStart"/>
      <w:r w:rsidR="00CA04B9" w:rsidRPr="00E7665A">
        <w:rPr>
          <w:sz w:val="22"/>
          <w:szCs w:val="22"/>
          <w:lang w:val="sr-Latn-ME"/>
        </w:rPr>
        <w:t>i.j</w:t>
      </w:r>
      <w:proofErr w:type="spellEnd"/>
      <w:r w:rsidR="00CA04B9" w:rsidRPr="00E7665A">
        <w:rPr>
          <w:sz w:val="22"/>
          <w:szCs w:val="22"/>
          <w:lang w:val="sr-Latn-ME"/>
        </w:rPr>
        <w:t>.</w:t>
      </w:r>
      <w:r w:rsidRPr="00E7665A">
        <w:rPr>
          <w:sz w:val="22"/>
          <w:szCs w:val="22"/>
          <w:lang w:val="sr-Latn-ME"/>
        </w:rPr>
        <w:t>/kg tri puta nedjeljno</w:t>
      </w:r>
      <w:r w:rsidR="00CA04B9" w:rsidRPr="00E7665A">
        <w:rPr>
          <w:sz w:val="22"/>
          <w:szCs w:val="22"/>
          <w:lang w:val="sr-Latn-ME"/>
        </w:rPr>
        <w:t xml:space="preserve"> </w:t>
      </w:r>
      <w:r w:rsidRPr="00E7665A">
        <w:rPr>
          <w:sz w:val="22"/>
          <w:szCs w:val="22"/>
          <w:lang w:val="sr-Latn-ME"/>
        </w:rPr>
        <w:t>- kao i daljim povećanjima od 20</w:t>
      </w:r>
      <w:r w:rsidR="00CA04B9" w:rsidRPr="00E7665A">
        <w:rPr>
          <w:sz w:val="22"/>
          <w:szCs w:val="22"/>
          <w:lang w:val="sr-Latn-ME"/>
        </w:rPr>
        <w:t xml:space="preserve"> </w:t>
      </w:r>
      <w:proofErr w:type="spellStart"/>
      <w:r w:rsidR="00CA04B9" w:rsidRPr="00E7665A">
        <w:rPr>
          <w:sz w:val="22"/>
          <w:szCs w:val="22"/>
          <w:lang w:val="sr-Latn-ME"/>
        </w:rPr>
        <w:t>i.j</w:t>
      </w:r>
      <w:proofErr w:type="spellEnd"/>
      <w:r w:rsidR="00CA04B9" w:rsidRPr="00E7665A">
        <w:rPr>
          <w:sz w:val="22"/>
          <w:szCs w:val="22"/>
          <w:lang w:val="sr-Latn-ME"/>
        </w:rPr>
        <w:t>.</w:t>
      </w:r>
      <w:r w:rsidRPr="00E7665A">
        <w:rPr>
          <w:sz w:val="22"/>
          <w:szCs w:val="22"/>
          <w:lang w:val="sr-Latn-ME"/>
        </w:rPr>
        <w:t xml:space="preserve">/kg tjelesne </w:t>
      </w:r>
      <w:r w:rsidR="00CA04B9" w:rsidRPr="00E7665A">
        <w:rPr>
          <w:sz w:val="22"/>
          <w:szCs w:val="22"/>
          <w:lang w:val="sr-Latn-ME"/>
        </w:rPr>
        <w:t xml:space="preserve">mase </w:t>
      </w:r>
      <w:r w:rsidRPr="00E7665A">
        <w:rPr>
          <w:sz w:val="22"/>
          <w:szCs w:val="22"/>
          <w:lang w:val="sr-Latn-ME"/>
        </w:rPr>
        <w:t>ukoliko je potrebno, tri puta nedjeljno, u mjesečnim intervalima.</w:t>
      </w:r>
    </w:p>
    <w:p w:rsidR="00447569" w:rsidRPr="00E7665A" w:rsidRDefault="00447569" w:rsidP="00BF3E6B">
      <w:pPr>
        <w:ind w:left="284"/>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Za oba načina primjene, maksimalna doza ne smije da pređe 720 </w:t>
      </w:r>
      <w:proofErr w:type="spellStart"/>
      <w:r w:rsidR="00CA04B9" w:rsidRPr="00E7665A">
        <w:rPr>
          <w:sz w:val="22"/>
          <w:szCs w:val="22"/>
          <w:lang w:val="sr-Latn-ME"/>
        </w:rPr>
        <w:t>i.j</w:t>
      </w:r>
      <w:proofErr w:type="spellEnd"/>
      <w:r w:rsidR="00CA04B9" w:rsidRPr="00E7665A">
        <w:rPr>
          <w:sz w:val="22"/>
          <w:szCs w:val="22"/>
          <w:lang w:val="sr-Latn-ME"/>
        </w:rPr>
        <w:t>.</w:t>
      </w:r>
      <w:r w:rsidRPr="00E7665A">
        <w:rPr>
          <w:sz w:val="22"/>
          <w:szCs w:val="22"/>
          <w:lang w:val="sr-Latn-ME"/>
        </w:rPr>
        <w:t xml:space="preserve">/kg tjelesne </w:t>
      </w:r>
      <w:r w:rsidR="00CA04B9" w:rsidRPr="00E7665A">
        <w:rPr>
          <w:sz w:val="22"/>
          <w:szCs w:val="22"/>
          <w:lang w:val="sr-Latn-ME"/>
        </w:rPr>
        <w:t xml:space="preserve">mase </w:t>
      </w:r>
      <w:r w:rsidRPr="00E7665A">
        <w:rPr>
          <w:sz w:val="22"/>
          <w:szCs w:val="22"/>
          <w:lang w:val="sr-Latn-ME"/>
        </w:rPr>
        <w:t xml:space="preserve">nedjeljno. </w:t>
      </w:r>
    </w:p>
    <w:p w:rsidR="00447569" w:rsidRPr="00E7665A" w:rsidRDefault="00447569" w:rsidP="00BF3E6B">
      <w:pPr>
        <w:jc w:val="both"/>
        <w:rPr>
          <w:sz w:val="22"/>
          <w:szCs w:val="22"/>
          <w:lang w:val="sr-Latn-ME"/>
        </w:rPr>
      </w:pPr>
    </w:p>
    <w:p w:rsidR="002E440B" w:rsidRPr="00E7665A" w:rsidRDefault="002E440B" w:rsidP="00BF3E6B">
      <w:pPr>
        <w:numPr>
          <w:ilvl w:val="0"/>
          <w:numId w:val="15"/>
        </w:numPr>
        <w:jc w:val="both"/>
        <w:rPr>
          <w:sz w:val="22"/>
          <w:szCs w:val="22"/>
          <w:u w:val="single"/>
          <w:lang w:val="sr-Latn-ME"/>
        </w:rPr>
      </w:pPr>
      <w:r w:rsidRPr="00E7665A">
        <w:rPr>
          <w:sz w:val="22"/>
          <w:szCs w:val="22"/>
          <w:u w:val="single"/>
          <w:lang w:val="sr-Latn-ME"/>
        </w:rPr>
        <w:t>Faza održavanja</w:t>
      </w:r>
    </w:p>
    <w:p w:rsidR="00447569" w:rsidRPr="00E7665A" w:rsidRDefault="00447569" w:rsidP="00094AC4">
      <w:pPr>
        <w:ind w:left="567"/>
        <w:jc w:val="both"/>
        <w:rPr>
          <w:sz w:val="22"/>
          <w:szCs w:val="22"/>
          <w:u w:val="single"/>
          <w:lang w:val="sr-Latn-ME"/>
        </w:rPr>
      </w:pPr>
    </w:p>
    <w:p w:rsidR="002E440B" w:rsidRPr="00E7665A" w:rsidRDefault="002E440B" w:rsidP="00BF3E6B">
      <w:pPr>
        <w:jc w:val="both"/>
        <w:rPr>
          <w:sz w:val="22"/>
          <w:szCs w:val="22"/>
          <w:lang w:val="sr-Latn-ME"/>
        </w:rPr>
      </w:pPr>
      <w:r w:rsidRPr="00E7665A">
        <w:rPr>
          <w:sz w:val="22"/>
          <w:szCs w:val="22"/>
          <w:lang w:val="sr-Latn-ME"/>
        </w:rPr>
        <w:t xml:space="preserve">Da bi se </w:t>
      </w:r>
      <w:proofErr w:type="spellStart"/>
      <w:r w:rsidRPr="00E7665A">
        <w:rPr>
          <w:sz w:val="22"/>
          <w:szCs w:val="22"/>
          <w:lang w:val="sr-Latn-ME"/>
        </w:rPr>
        <w:t>Hb</w:t>
      </w:r>
      <w:proofErr w:type="spellEnd"/>
      <w:r w:rsidRPr="00E7665A">
        <w:rPr>
          <w:sz w:val="22"/>
          <w:szCs w:val="22"/>
          <w:lang w:val="sr-Latn-ME"/>
        </w:rPr>
        <w:t xml:space="preserve"> održao na nivou između 10 i 12 g/dl, doziranje se najprije smanjuje na polovinu prethodno date doze. Poslije toga se doza podešava u intervalima od jedne do dvije nedjelje individualno za svakog pacijenta (doza održavanja). </w:t>
      </w:r>
    </w:p>
    <w:p w:rsidR="002E440B" w:rsidRPr="00E7665A" w:rsidRDefault="002E440B" w:rsidP="00BF3E6B">
      <w:pPr>
        <w:jc w:val="both"/>
        <w:rPr>
          <w:sz w:val="22"/>
          <w:szCs w:val="22"/>
          <w:lang w:val="sr-Latn-ME"/>
        </w:rPr>
      </w:pPr>
      <w:r w:rsidRPr="00E7665A">
        <w:rPr>
          <w:sz w:val="22"/>
          <w:szCs w:val="22"/>
          <w:lang w:val="sr-Latn-ME"/>
        </w:rPr>
        <w:t xml:space="preserve">U slučaju </w:t>
      </w:r>
      <w:proofErr w:type="spellStart"/>
      <w:r w:rsidRPr="00E7665A">
        <w:rPr>
          <w:sz w:val="22"/>
          <w:szCs w:val="22"/>
          <w:lang w:val="sr-Latn-ME"/>
        </w:rPr>
        <w:t>subkutane</w:t>
      </w:r>
      <w:proofErr w:type="spellEnd"/>
      <w:r w:rsidRPr="00E7665A">
        <w:rPr>
          <w:sz w:val="22"/>
          <w:szCs w:val="22"/>
          <w:lang w:val="sr-Latn-ME"/>
        </w:rPr>
        <w:t xml:space="preserve"> primjene, nedjeljna doza može da se primijeni u vidu jedne injekcije nedjeljno ili u podijeljenim dozama tri ili sedam puta nedjeljno. Pacijenti koji su stabilni sa režimom primjene jednom nedjeljno mogu se prebac</w:t>
      </w:r>
      <w:r w:rsidR="00CA04B9" w:rsidRPr="00E7665A">
        <w:rPr>
          <w:sz w:val="22"/>
          <w:szCs w:val="22"/>
          <w:lang w:val="sr-Latn-ME"/>
        </w:rPr>
        <w:t>iti</w:t>
      </w:r>
      <w:r w:rsidRPr="00E7665A">
        <w:rPr>
          <w:sz w:val="22"/>
          <w:szCs w:val="22"/>
          <w:lang w:val="sr-Latn-ME"/>
        </w:rPr>
        <w:t xml:space="preserve"> na primjenu jednom u dvije nedjelje. U ovom slučaju može biti neophodno da se poveća doza. </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Rezultati kliničkih ispitivanja kod djece pokazali </w:t>
      </w:r>
      <w:r w:rsidR="00CA04B9" w:rsidRPr="00E7665A">
        <w:rPr>
          <w:sz w:val="22"/>
          <w:szCs w:val="22"/>
          <w:lang w:val="sr-Latn-ME"/>
        </w:rPr>
        <w:t xml:space="preserve">su </w:t>
      </w:r>
      <w:r w:rsidRPr="00E7665A">
        <w:rPr>
          <w:sz w:val="22"/>
          <w:szCs w:val="22"/>
          <w:lang w:val="sr-Latn-ME"/>
        </w:rPr>
        <w:t xml:space="preserve">da, u prosjeku, što je pacijent mlađi, potrebna je veća doza </w:t>
      </w:r>
      <w:r w:rsidR="00CA04B9" w:rsidRPr="00E7665A">
        <w:rPr>
          <w:sz w:val="22"/>
          <w:szCs w:val="22"/>
          <w:lang w:val="sr-Latn-ME"/>
        </w:rPr>
        <w:t xml:space="preserve">lijeka </w:t>
      </w:r>
      <w:proofErr w:type="spellStart"/>
      <w:r w:rsidR="00980E2B" w:rsidRPr="00E7665A">
        <w:rPr>
          <w:sz w:val="22"/>
          <w:szCs w:val="22"/>
          <w:lang w:val="sr-Latn-ME"/>
        </w:rPr>
        <w:t>NeoRecormon</w:t>
      </w:r>
      <w:proofErr w:type="spellEnd"/>
      <w:r w:rsidRPr="00E7665A">
        <w:rPr>
          <w:sz w:val="22"/>
          <w:szCs w:val="22"/>
          <w:lang w:val="sr-Latn-ME"/>
        </w:rPr>
        <w:t xml:space="preserve">. Ipak, preporučena šema doziranja mora da se prati, jer se ne može predvidjeti individualni odgovor.  </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Terapija </w:t>
      </w:r>
      <w:r w:rsidR="00CA04B9"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je uobičajeno dugotrajna terapija. Međutim, može se prekinuti, ako je to neophodno, u bilo kom trenutku. Podaci o šemi doziranja jednom nedjeljno zasnivaju se na kliničkim ispitivanjima sa trajanjem terapije od 24 nedjelje. </w:t>
      </w:r>
    </w:p>
    <w:p w:rsidR="002E440B" w:rsidRPr="00E7665A" w:rsidRDefault="002E440B" w:rsidP="00BF3E6B">
      <w:pPr>
        <w:jc w:val="both"/>
        <w:rPr>
          <w:color w:val="FF0000"/>
          <w:sz w:val="22"/>
          <w:szCs w:val="22"/>
          <w:lang w:val="sr-Latn-ME"/>
        </w:rPr>
      </w:pPr>
    </w:p>
    <w:p w:rsidR="002E440B" w:rsidRPr="00E7665A" w:rsidRDefault="002E440B" w:rsidP="00BF3E6B">
      <w:pPr>
        <w:jc w:val="both"/>
        <w:rPr>
          <w:i/>
          <w:color w:val="000000"/>
          <w:sz w:val="22"/>
          <w:szCs w:val="22"/>
          <w:lang w:val="sr-Latn-ME"/>
        </w:rPr>
      </w:pPr>
      <w:r w:rsidRPr="00E7665A">
        <w:rPr>
          <w:i/>
          <w:color w:val="000000"/>
          <w:sz w:val="22"/>
          <w:szCs w:val="22"/>
          <w:lang w:val="sr-Latn-ME"/>
        </w:rPr>
        <w:t>Prevencija anemij</w:t>
      </w:r>
      <w:r w:rsidR="00574D16" w:rsidRPr="00E7665A">
        <w:rPr>
          <w:i/>
          <w:color w:val="000000"/>
          <w:sz w:val="22"/>
          <w:szCs w:val="22"/>
          <w:lang w:val="sr-Latn-ME"/>
        </w:rPr>
        <w:t>e kod prijevremeno rođene djece</w:t>
      </w:r>
    </w:p>
    <w:p w:rsidR="002E440B" w:rsidRPr="00E7665A" w:rsidRDefault="002E440B" w:rsidP="00BF3E6B">
      <w:pPr>
        <w:jc w:val="both"/>
        <w:rPr>
          <w:color w:val="000000"/>
          <w:sz w:val="22"/>
          <w:szCs w:val="22"/>
          <w:lang w:val="sr-Latn-ME"/>
        </w:rPr>
      </w:pPr>
      <w:r w:rsidRPr="00E7665A">
        <w:rPr>
          <w:color w:val="000000"/>
          <w:sz w:val="22"/>
          <w:szCs w:val="22"/>
          <w:lang w:val="sr-Latn-ME"/>
        </w:rPr>
        <w:t xml:space="preserve">Rastvor se primjenjuje </w:t>
      </w:r>
      <w:proofErr w:type="spellStart"/>
      <w:r w:rsidRPr="00E7665A">
        <w:rPr>
          <w:color w:val="000000"/>
          <w:sz w:val="22"/>
          <w:szCs w:val="22"/>
          <w:lang w:val="sr-Latn-ME"/>
        </w:rPr>
        <w:t>subkutano</w:t>
      </w:r>
      <w:proofErr w:type="spellEnd"/>
      <w:r w:rsidRPr="00E7665A">
        <w:rPr>
          <w:color w:val="000000"/>
          <w:sz w:val="22"/>
          <w:szCs w:val="22"/>
          <w:lang w:val="sr-Latn-ME"/>
        </w:rPr>
        <w:t xml:space="preserve"> u dozi od 250</w:t>
      </w:r>
      <w:r w:rsidR="00CA04B9" w:rsidRPr="00E7665A">
        <w:rPr>
          <w:color w:val="000000"/>
          <w:sz w:val="22"/>
          <w:szCs w:val="22"/>
          <w:lang w:val="sr-Latn-ME"/>
        </w:rPr>
        <w:t xml:space="preserve"> </w:t>
      </w:r>
      <w:proofErr w:type="spellStart"/>
      <w:r w:rsidR="00CA04B9" w:rsidRPr="00E7665A">
        <w:rPr>
          <w:color w:val="000000"/>
          <w:sz w:val="22"/>
          <w:szCs w:val="22"/>
          <w:lang w:val="sr-Latn-ME"/>
        </w:rPr>
        <w:t>i.j</w:t>
      </w:r>
      <w:proofErr w:type="spellEnd"/>
      <w:r w:rsidR="00CA04B9" w:rsidRPr="00E7665A">
        <w:rPr>
          <w:color w:val="000000"/>
          <w:sz w:val="22"/>
          <w:szCs w:val="22"/>
          <w:lang w:val="sr-Latn-ME"/>
        </w:rPr>
        <w:t>.</w:t>
      </w:r>
      <w:r w:rsidRPr="00E7665A">
        <w:rPr>
          <w:color w:val="000000"/>
          <w:sz w:val="22"/>
          <w:szCs w:val="22"/>
          <w:lang w:val="sr-Latn-ME"/>
        </w:rPr>
        <w:t xml:space="preserve">/kg tjelesne </w:t>
      </w:r>
      <w:r w:rsidR="00CA04B9" w:rsidRPr="00E7665A">
        <w:rPr>
          <w:color w:val="000000"/>
          <w:sz w:val="22"/>
          <w:szCs w:val="22"/>
          <w:lang w:val="sr-Latn-ME"/>
        </w:rPr>
        <w:t xml:space="preserve">mase </w:t>
      </w:r>
      <w:r w:rsidRPr="00E7665A">
        <w:rPr>
          <w:color w:val="000000"/>
          <w:sz w:val="22"/>
          <w:szCs w:val="22"/>
          <w:lang w:val="sr-Latn-ME"/>
        </w:rPr>
        <w:t>na ro</w:t>
      </w:r>
      <w:r w:rsidR="00447569" w:rsidRPr="00E7665A">
        <w:rPr>
          <w:color w:val="000000"/>
          <w:sz w:val="22"/>
          <w:szCs w:val="22"/>
          <w:lang w:val="sr-Latn-ME"/>
        </w:rPr>
        <w:t>đ</w:t>
      </w:r>
      <w:r w:rsidRPr="00E7665A">
        <w:rPr>
          <w:color w:val="000000"/>
          <w:sz w:val="22"/>
          <w:szCs w:val="22"/>
          <w:lang w:val="sr-Latn-ME"/>
        </w:rPr>
        <w:t xml:space="preserve">enju tri puta nedjeljno. Liječenje lijekom </w:t>
      </w:r>
      <w:proofErr w:type="spellStart"/>
      <w:r w:rsidR="00980E2B" w:rsidRPr="00E7665A">
        <w:rPr>
          <w:color w:val="000000"/>
          <w:sz w:val="22"/>
          <w:szCs w:val="22"/>
          <w:lang w:val="sr-Latn-ME"/>
        </w:rPr>
        <w:t>NeoRecormon</w:t>
      </w:r>
      <w:proofErr w:type="spellEnd"/>
      <w:r w:rsidRPr="00E7665A">
        <w:rPr>
          <w:color w:val="000000"/>
          <w:sz w:val="22"/>
          <w:szCs w:val="22"/>
          <w:lang w:val="sr-Latn-ME"/>
        </w:rPr>
        <w:t xml:space="preserve"> treba početi što je moguće ranije, poželjno je od trećeg dana po ro</w:t>
      </w:r>
      <w:r w:rsidR="00447569" w:rsidRPr="00E7665A">
        <w:rPr>
          <w:color w:val="000000"/>
          <w:sz w:val="22"/>
          <w:szCs w:val="22"/>
          <w:lang w:val="sr-Latn-ME"/>
        </w:rPr>
        <w:t>đ</w:t>
      </w:r>
      <w:r w:rsidRPr="00E7665A">
        <w:rPr>
          <w:color w:val="000000"/>
          <w:sz w:val="22"/>
          <w:szCs w:val="22"/>
          <w:lang w:val="sr-Latn-ME"/>
        </w:rPr>
        <w:t xml:space="preserve">enju. Prijevremeno rođena djeca koja su dobila transfuziju prije primjene </w:t>
      </w:r>
      <w:r w:rsidR="00CA04B9" w:rsidRPr="00E7665A">
        <w:rPr>
          <w:color w:val="000000"/>
          <w:sz w:val="22"/>
          <w:szCs w:val="22"/>
          <w:lang w:val="sr-Latn-ME"/>
        </w:rPr>
        <w:t xml:space="preserve">lijeka </w:t>
      </w:r>
      <w:proofErr w:type="spellStart"/>
      <w:r w:rsidR="00980E2B" w:rsidRPr="00E7665A">
        <w:rPr>
          <w:color w:val="000000"/>
          <w:sz w:val="22"/>
          <w:szCs w:val="22"/>
          <w:lang w:val="sr-Latn-ME"/>
        </w:rPr>
        <w:t>NeoRecormon</w:t>
      </w:r>
      <w:proofErr w:type="spellEnd"/>
      <w:r w:rsidRPr="00E7665A">
        <w:rPr>
          <w:color w:val="000000"/>
          <w:sz w:val="22"/>
          <w:szCs w:val="22"/>
          <w:lang w:val="sr-Latn-ME"/>
        </w:rPr>
        <w:t>, vjerovatno neće imati onoliku korist od terapije kolika je kod djece koja nijesu prethodno primala transfuziju. Terapija treba da traje 6 nedjelja.</w:t>
      </w:r>
    </w:p>
    <w:p w:rsidR="002E440B" w:rsidRPr="00E7665A" w:rsidRDefault="002E440B" w:rsidP="00BF3E6B">
      <w:pPr>
        <w:jc w:val="both"/>
        <w:rPr>
          <w:i/>
          <w:color w:val="FF0000"/>
          <w:sz w:val="22"/>
          <w:szCs w:val="22"/>
          <w:lang w:val="sr-Latn-ME"/>
        </w:rPr>
      </w:pPr>
    </w:p>
    <w:p w:rsidR="002E440B" w:rsidRPr="00E7665A" w:rsidRDefault="002E440B" w:rsidP="00BF3E6B">
      <w:pPr>
        <w:jc w:val="both"/>
        <w:rPr>
          <w:i/>
          <w:sz w:val="22"/>
          <w:szCs w:val="22"/>
          <w:lang w:val="sr-Latn-ME"/>
        </w:rPr>
      </w:pPr>
      <w:r w:rsidRPr="00E7665A">
        <w:rPr>
          <w:i/>
          <w:sz w:val="22"/>
          <w:szCs w:val="22"/>
          <w:lang w:val="sr-Latn-ME"/>
        </w:rPr>
        <w:t xml:space="preserve">Terapija </w:t>
      </w:r>
      <w:proofErr w:type="spellStart"/>
      <w:r w:rsidRPr="00E7665A">
        <w:rPr>
          <w:i/>
          <w:sz w:val="22"/>
          <w:szCs w:val="22"/>
          <w:lang w:val="sr-Latn-ME"/>
        </w:rPr>
        <w:t>simptomatske</w:t>
      </w:r>
      <w:proofErr w:type="spellEnd"/>
      <w:r w:rsidRPr="00E7665A">
        <w:rPr>
          <w:i/>
          <w:sz w:val="22"/>
          <w:szCs w:val="22"/>
          <w:lang w:val="sr-Latn-ME"/>
        </w:rPr>
        <w:t xml:space="preserve"> anemije indukovane hemoterapijom kod pacijenata sa </w:t>
      </w:r>
      <w:proofErr w:type="spellStart"/>
      <w:r w:rsidRPr="00E7665A">
        <w:rPr>
          <w:i/>
          <w:sz w:val="22"/>
          <w:szCs w:val="22"/>
          <w:lang w:val="sr-Latn-ME"/>
        </w:rPr>
        <w:t>karcinomom</w:t>
      </w:r>
      <w:proofErr w:type="spellEnd"/>
    </w:p>
    <w:p w:rsidR="002E440B" w:rsidRPr="00E7665A" w:rsidRDefault="002E440B" w:rsidP="00BF3E6B">
      <w:pPr>
        <w:jc w:val="both"/>
        <w:rPr>
          <w:sz w:val="22"/>
          <w:szCs w:val="22"/>
          <w:lang w:val="sr-Latn-ME" w:eastAsia="de-AT"/>
        </w:rPr>
      </w:pPr>
      <w:r w:rsidRPr="00E7665A">
        <w:rPr>
          <w:sz w:val="22"/>
          <w:szCs w:val="22"/>
          <w:lang w:val="sr-Latn-ME"/>
        </w:rPr>
        <w:t xml:space="preserve">Terapija </w:t>
      </w:r>
      <w:r w:rsidR="00CA04B9"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se primjenjuje </w:t>
      </w:r>
      <w:proofErr w:type="spellStart"/>
      <w:r w:rsidRPr="00E7665A">
        <w:rPr>
          <w:sz w:val="22"/>
          <w:szCs w:val="22"/>
          <w:lang w:val="sr-Latn-ME"/>
        </w:rPr>
        <w:t>subkutano</w:t>
      </w:r>
      <w:proofErr w:type="spellEnd"/>
      <w:r w:rsidRPr="00E7665A">
        <w:rPr>
          <w:sz w:val="22"/>
          <w:szCs w:val="22"/>
          <w:lang w:val="sr-Latn-ME"/>
        </w:rPr>
        <w:t xml:space="preserve"> kod pacijenata sa anemijom (npr. ako je koncentracija  hemoglobina</w:t>
      </w:r>
      <w:r w:rsidR="00CA04B9" w:rsidRPr="00E7665A">
        <w:rPr>
          <w:sz w:val="22"/>
          <w:szCs w:val="22"/>
          <w:lang w:val="sr-Latn-ME"/>
        </w:rPr>
        <w:t xml:space="preserve"> </w:t>
      </w:r>
      <w:r w:rsidRPr="00E7665A">
        <w:rPr>
          <w:sz w:val="22"/>
          <w:szCs w:val="22"/>
          <w:lang w:val="sr-Latn-ME"/>
        </w:rPr>
        <w:t xml:space="preserve"> ≤</w:t>
      </w:r>
      <w:r w:rsidR="00CA04B9" w:rsidRPr="00E7665A">
        <w:rPr>
          <w:sz w:val="22"/>
          <w:szCs w:val="22"/>
          <w:lang w:val="sr-Latn-ME"/>
        </w:rPr>
        <w:t xml:space="preserve"> </w:t>
      </w:r>
      <w:r w:rsidRPr="00E7665A">
        <w:rPr>
          <w:sz w:val="22"/>
          <w:szCs w:val="22"/>
          <w:lang w:val="sr-Latn-ME"/>
        </w:rPr>
        <w:t xml:space="preserve">10 g/dl (6,2 </w:t>
      </w:r>
      <w:proofErr w:type="spellStart"/>
      <w:r w:rsidRPr="00E7665A">
        <w:rPr>
          <w:sz w:val="22"/>
          <w:szCs w:val="22"/>
          <w:lang w:val="sr-Latn-ME"/>
        </w:rPr>
        <w:t>mmol</w:t>
      </w:r>
      <w:proofErr w:type="spellEnd"/>
      <w:r w:rsidRPr="00E7665A">
        <w:rPr>
          <w:sz w:val="22"/>
          <w:szCs w:val="22"/>
          <w:lang w:val="sr-Latn-ME"/>
        </w:rPr>
        <w:t xml:space="preserve">/l)). </w:t>
      </w:r>
      <w:r w:rsidRPr="00E7665A">
        <w:rPr>
          <w:sz w:val="22"/>
          <w:szCs w:val="22"/>
          <w:lang w:val="sr-Latn-ME" w:eastAsia="de-AT"/>
        </w:rPr>
        <w:t>Simptomi i posljedice bolesti mogu varirati u odnosu na godine, pol i cjelokupnu  težinu bolesti; potrebna je individualna procjena  kliničkog toka i stanja</w:t>
      </w:r>
      <w:r w:rsidR="00CA04B9" w:rsidRPr="00E7665A">
        <w:rPr>
          <w:sz w:val="22"/>
          <w:szCs w:val="22"/>
          <w:lang w:val="sr-Latn-ME" w:eastAsia="de-AT"/>
        </w:rPr>
        <w:t xml:space="preserve"> svakog</w:t>
      </w:r>
      <w:r w:rsidRPr="00E7665A">
        <w:rPr>
          <w:sz w:val="22"/>
          <w:szCs w:val="22"/>
          <w:lang w:val="sr-Latn-ME" w:eastAsia="de-AT"/>
        </w:rPr>
        <w:t xml:space="preserve"> pacijenta. </w:t>
      </w:r>
    </w:p>
    <w:p w:rsidR="002E440B" w:rsidRPr="00E7665A" w:rsidRDefault="002E440B" w:rsidP="00BF3E6B">
      <w:pPr>
        <w:jc w:val="both"/>
        <w:rPr>
          <w:sz w:val="22"/>
          <w:szCs w:val="22"/>
          <w:lang w:val="sr-Latn-ME" w:eastAsia="de-AT"/>
        </w:rPr>
      </w:pPr>
    </w:p>
    <w:p w:rsidR="002E440B" w:rsidRPr="00E7665A" w:rsidRDefault="002E440B" w:rsidP="00BF3E6B">
      <w:pPr>
        <w:jc w:val="both"/>
        <w:rPr>
          <w:sz w:val="22"/>
          <w:szCs w:val="22"/>
          <w:lang w:val="sr-Latn-ME" w:eastAsia="de-AT"/>
        </w:rPr>
      </w:pPr>
      <w:r w:rsidRPr="00E7665A">
        <w:rPr>
          <w:sz w:val="22"/>
          <w:szCs w:val="22"/>
          <w:lang w:val="sr-Latn-ME" w:eastAsia="de-AT"/>
        </w:rPr>
        <w:t>Nedjeljna doza se može dati kao jedna injekcija nedjeljno ili u podijeljenim dozama 3 do 7</w:t>
      </w:r>
      <w:r w:rsidR="00CA04B9" w:rsidRPr="00E7665A">
        <w:rPr>
          <w:sz w:val="22"/>
          <w:szCs w:val="22"/>
          <w:lang w:val="sr-Latn-ME" w:eastAsia="de-AT"/>
        </w:rPr>
        <w:t xml:space="preserve"> </w:t>
      </w:r>
      <w:r w:rsidRPr="00E7665A">
        <w:rPr>
          <w:sz w:val="22"/>
          <w:szCs w:val="22"/>
          <w:lang w:val="sr-Latn-ME" w:eastAsia="de-AT"/>
        </w:rPr>
        <w:t xml:space="preserve">puta nedjeljno. </w:t>
      </w:r>
    </w:p>
    <w:p w:rsidR="002E440B" w:rsidRPr="00E7665A" w:rsidRDefault="002E440B" w:rsidP="00BF3E6B">
      <w:pPr>
        <w:jc w:val="both"/>
        <w:rPr>
          <w:sz w:val="22"/>
          <w:szCs w:val="22"/>
          <w:lang w:val="sr-Latn-ME" w:eastAsia="de-AT"/>
        </w:rPr>
      </w:pPr>
    </w:p>
    <w:p w:rsidR="002E440B" w:rsidRPr="00E7665A" w:rsidRDefault="002E440B" w:rsidP="00BF3E6B">
      <w:pPr>
        <w:jc w:val="both"/>
        <w:rPr>
          <w:sz w:val="22"/>
          <w:szCs w:val="22"/>
          <w:lang w:val="sr-Latn-ME"/>
        </w:rPr>
      </w:pPr>
      <w:r w:rsidRPr="00E7665A">
        <w:rPr>
          <w:sz w:val="22"/>
          <w:szCs w:val="22"/>
          <w:lang w:val="sr-Latn-ME"/>
        </w:rPr>
        <w:t xml:space="preserve">Preporučena inicijalna doza je 30.000 </w:t>
      </w:r>
      <w:proofErr w:type="spellStart"/>
      <w:r w:rsidR="00CA04B9" w:rsidRPr="00E7665A">
        <w:rPr>
          <w:sz w:val="22"/>
          <w:szCs w:val="22"/>
          <w:lang w:val="sr-Latn-ME"/>
        </w:rPr>
        <w:t>i.j</w:t>
      </w:r>
      <w:proofErr w:type="spellEnd"/>
      <w:r w:rsidR="00CA04B9" w:rsidRPr="00E7665A">
        <w:rPr>
          <w:sz w:val="22"/>
          <w:szCs w:val="22"/>
          <w:lang w:val="sr-Latn-ME"/>
        </w:rPr>
        <w:t>.</w:t>
      </w:r>
      <w:r w:rsidRPr="00E7665A">
        <w:rPr>
          <w:sz w:val="22"/>
          <w:szCs w:val="22"/>
          <w:lang w:val="sr-Latn-ME"/>
        </w:rPr>
        <w:t xml:space="preserve"> nedjeljno (što odgovara dozi od 450 </w:t>
      </w:r>
      <w:proofErr w:type="spellStart"/>
      <w:r w:rsidR="00CA04B9" w:rsidRPr="00E7665A">
        <w:rPr>
          <w:sz w:val="22"/>
          <w:szCs w:val="22"/>
          <w:lang w:val="sr-Latn-ME"/>
        </w:rPr>
        <w:t>i.j</w:t>
      </w:r>
      <w:proofErr w:type="spellEnd"/>
      <w:r w:rsidR="00CA04B9" w:rsidRPr="00E7665A">
        <w:rPr>
          <w:sz w:val="22"/>
          <w:szCs w:val="22"/>
          <w:lang w:val="sr-Latn-ME"/>
        </w:rPr>
        <w:t>.</w:t>
      </w:r>
      <w:r w:rsidRPr="00E7665A">
        <w:rPr>
          <w:sz w:val="22"/>
          <w:szCs w:val="22"/>
          <w:lang w:val="sr-Latn-ME"/>
        </w:rPr>
        <w:t xml:space="preserve">/kg tjelesne </w:t>
      </w:r>
      <w:r w:rsidR="00CA04B9" w:rsidRPr="00E7665A">
        <w:rPr>
          <w:sz w:val="22"/>
          <w:szCs w:val="22"/>
          <w:lang w:val="sr-Latn-ME"/>
        </w:rPr>
        <w:t xml:space="preserve">mase </w:t>
      </w:r>
      <w:r w:rsidRPr="00E7665A">
        <w:rPr>
          <w:sz w:val="22"/>
          <w:szCs w:val="22"/>
          <w:lang w:val="sr-Latn-ME"/>
        </w:rPr>
        <w:t xml:space="preserve">nedjeljno, bazirano na pacijentu prosječne tjelesne </w:t>
      </w:r>
      <w:r w:rsidR="00CA04B9" w:rsidRPr="00E7665A">
        <w:rPr>
          <w:sz w:val="22"/>
          <w:szCs w:val="22"/>
          <w:lang w:val="sr-Latn-ME"/>
        </w:rPr>
        <w:t>mase</w:t>
      </w:r>
      <w:r w:rsidRPr="00E7665A">
        <w:rPr>
          <w:sz w:val="22"/>
          <w:szCs w:val="22"/>
          <w:lang w:val="sr-Latn-ME"/>
        </w:rPr>
        <w:t xml:space="preserve">). </w:t>
      </w:r>
    </w:p>
    <w:p w:rsidR="002E440B" w:rsidRPr="00E7665A" w:rsidRDefault="002E440B" w:rsidP="00BF3E6B">
      <w:pPr>
        <w:autoSpaceDE w:val="0"/>
        <w:autoSpaceDN w:val="0"/>
        <w:adjustRightInd w:val="0"/>
        <w:jc w:val="both"/>
        <w:rPr>
          <w:sz w:val="22"/>
          <w:szCs w:val="22"/>
          <w:lang w:val="sr-Latn-ME" w:eastAsia="de-AT"/>
        </w:rPr>
      </w:pP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Povremene pojedinačne vrijednosti hemoglobina koje su ispod ili iznad željenih, mogu se zabilježiti kod pacijenta zbog varijabilnosti. Varijabilnost hemoglobina treba rješavati prilago</w:t>
      </w:r>
      <w:r w:rsidR="00447569" w:rsidRPr="00E7665A">
        <w:rPr>
          <w:sz w:val="22"/>
          <w:szCs w:val="22"/>
          <w:lang w:val="sr-Latn-ME" w:eastAsia="de-AT"/>
        </w:rPr>
        <w:t>đ</w:t>
      </w:r>
      <w:r w:rsidRPr="00E7665A">
        <w:rPr>
          <w:sz w:val="22"/>
          <w:szCs w:val="22"/>
          <w:lang w:val="sr-Latn-ME" w:eastAsia="de-AT"/>
        </w:rPr>
        <w:t>avanjem doze, imajući u vidu ciljni opseg hemoglobina od 10</w:t>
      </w:r>
      <w:r w:rsidR="00CA04B9" w:rsidRPr="00E7665A">
        <w:rPr>
          <w:sz w:val="22"/>
          <w:szCs w:val="22"/>
          <w:lang w:val="sr-Latn-ME" w:eastAsia="de-AT"/>
        </w:rPr>
        <w:t xml:space="preserve"> </w:t>
      </w:r>
      <w:r w:rsidRPr="00E7665A">
        <w:rPr>
          <w:sz w:val="22"/>
          <w:szCs w:val="22"/>
          <w:lang w:val="sr-Latn-ME" w:eastAsia="de-AT"/>
        </w:rPr>
        <w:t xml:space="preserve">g/dl (6.2 </w:t>
      </w:r>
      <w:proofErr w:type="spellStart"/>
      <w:r w:rsidRPr="00E7665A">
        <w:rPr>
          <w:sz w:val="22"/>
          <w:szCs w:val="22"/>
          <w:lang w:val="sr-Latn-ME" w:eastAsia="de-AT"/>
        </w:rPr>
        <w:t>mmol</w:t>
      </w:r>
      <w:proofErr w:type="spellEnd"/>
      <w:r w:rsidRPr="00E7665A">
        <w:rPr>
          <w:sz w:val="22"/>
          <w:szCs w:val="22"/>
          <w:lang w:val="sr-Latn-ME" w:eastAsia="de-AT"/>
        </w:rPr>
        <w:t xml:space="preserve">/l) do 12 g/dl (7.5 </w:t>
      </w:r>
      <w:proofErr w:type="spellStart"/>
      <w:r w:rsidRPr="00E7665A">
        <w:rPr>
          <w:sz w:val="22"/>
          <w:szCs w:val="22"/>
          <w:lang w:val="sr-Latn-ME" w:eastAsia="de-AT"/>
        </w:rPr>
        <w:t>mmol</w:t>
      </w:r>
      <w:proofErr w:type="spellEnd"/>
      <w:r w:rsidRPr="00E7665A">
        <w:rPr>
          <w:sz w:val="22"/>
          <w:szCs w:val="22"/>
          <w:lang w:val="sr-Latn-ME" w:eastAsia="de-AT"/>
        </w:rPr>
        <w:t xml:space="preserve">/l). Održavanje nivoa hemoglobina iznad 12 g/dl (7.5 </w:t>
      </w:r>
      <w:proofErr w:type="spellStart"/>
      <w:r w:rsidRPr="00E7665A">
        <w:rPr>
          <w:sz w:val="22"/>
          <w:szCs w:val="22"/>
          <w:lang w:val="sr-Latn-ME" w:eastAsia="de-AT"/>
        </w:rPr>
        <w:t>mmol</w:t>
      </w:r>
      <w:proofErr w:type="spellEnd"/>
      <w:r w:rsidRPr="00E7665A">
        <w:rPr>
          <w:sz w:val="22"/>
          <w:szCs w:val="22"/>
          <w:lang w:val="sr-Latn-ME" w:eastAsia="de-AT"/>
        </w:rPr>
        <w:t xml:space="preserve">/l) treba izbjegavati; smjernice za odgovarajuće podešavanje doze kada su vrijednosti hemoglobina </w:t>
      </w:r>
      <w:proofErr w:type="spellStart"/>
      <w:r w:rsidRPr="00E7665A">
        <w:rPr>
          <w:sz w:val="22"/>
          <w:szCs w:val="22"/>
          <w:lang w:val="sr-Latn-ME" w:eastAsia="de-AT"/>
        </w:rPr>
        <w:t>preko</w:t>
      </w:r>
      <w:proofErr w:type="spellEnd"/>
      <w:r w:rsidRPr="00E7665A">
        <w:rPr>
          <w:sz w:val="22"/>
          <w:szCs w:val="22"/>
          <w:lang w:val="sr-Latn-ME" w:eastAsia="de-AT"/>
        </w:rPr>
        <w:t xml:space="preserve"> 12 g/dl (7.5 </w:t>
      </w:r>
      <w:proofErr w:type="spellStart"/>
      <w:r w:rsidRPr="00E7665A">
        <w:rPr>
          <w:sz w:val="22"/>
          <w:szCs w:val="22"/>
          <w:lang w:val="sr-Latn-ME" w:eastAsia="de-AT"/>
        </w:rPr>
        <w:t>mmol</w:t>
      </w:r>
      <w:proofErr w:type="spellEnd"/>
      <w:r w:rsidRPr="00E7665A">
        <w:rPr>
          <w:sz w:val="22"/>
          <w:szCs w:val="22"/>
          <w:lang w:val="sr-Latn-ME" w:eastAsia="de-AT"/>
        </w:rPr>
        <w:t>/l) su opisane i objašnjen</w:t>
      </w:r>
      <w:r w:rsidR="00447569" w:rsidRPr="00E7665A">
        <w:rPr>
          <w:sz w:val="22"/>
          <w:szCs w:val="22"/>
          <w:lang w:val="sr-Latn-ME" w:eastAsia="de-AT"/>
        </w:rPr>
        <w:t>e</w:t>
      </w:r>
      <w:r w:rsidR="008B77C6" w:rsidRPr="00E7665A">
        <w:rPr>
          <w:sz w:val="22"/>
          <w:szCs w:val="22"/>
          <w:lang w:val="sr-Latn-ME" w:eastAsia="de-AT"/>
        </w:rPr>
        <w:t xml:space="preserve"> </w:t>
      </w:r>
      <w:r w:rsidR="00447569" w:rsidRPr="00E7665A">
        <w:rPr>
          <w:sz w:val="22"/>
          <w:szCs w:val="22"/>
          <w:lang w:val="sr-Latn-ME" w:eastAsia="de-AT"/>
        </w:rPr>
        <w:t xml:space="preserve">u </w:t>
      </w:r>
      <w:r w:rsidR="008B77C6" w:rsidRPr="00E7665A">
        <w:rPr>
          <w:sz w:val="22"/>
          <w:szCs w:val="22"/>
          <w:lang w:val="sr-Latn-ME" w:eastAsia="de-AT"/>
        </w:rPr>
        <w:t>daljem tekstu</w:t>
      </w:r>
      <w:r w:rsidRPr="00E7665A">
        <w:rPr>
          <w:sz w:val="22"/>
          <w:szCs w:val="22"/>
          <w:lang w:val="sr-Latn-ME" w:eastAsia="de-AT"/>
        </w:rPr>
        <w:t>.</w:t>
      </w:r>
    </w:p>
    <w:p w:rsidR="002E440B" w:rsidRPr="00E7665A" w:rsidRDefault="002E440B" w:rsidP="00BF3E6B">
      <w:pPr>
        <w:jc w:val="both"/>
        <w:rPr>
          <w:sz w:val="22"/>
          <w:szCs w:val="22"/>
          <w:lang w:val="sr-Latn-ME"/>
        </w:rPr>
      </w:pPr>
    </w:p>
    <w:p w:rsidR="008B77C6" w:rsidRPr="00E7665A" w:rsidRDefault="002E440B" w:rsidP="00BF3E6B">
      <w:pPr>
        <w:jc w:val="both"/>
        <w:rPr>
          <w:sz w:val="22"/>
          <w:szCs w:val="22"/>
          <w:lang w:val="sr-Latn-ME"/>
        </w:rPr>
      </w:pPr>
      <w:r w:rsidRPr="00E7665A">
        <w:rPr>
          <w:sz w:val="22"/>
          <w:szCs w:val="22"/>
          <w:lang w:val="sr-Latn-ME"/>
        </w:rPr>
        <w:t xml:space="preserve">Ako, poslije 4 nedjelje terapije, vrijednost hemoglobina poraste za najmanje </w:t>
      </w:r>
      <w:proofErr w:type="spellStart"/>
      <w:r w:rsidRPr="00E7665A">
        <w:rPr>
          <w:sz w:val="22"/>
          <w:szCs w:val="22"/>
          <w:lang w:val="sr-Latn-ME"/>
        </w:rPr>
        <w:t>1g</w:t>
      </w:r>
      <w:proofErr w:type="spellEnd"/>
      <w:r w:rsidRPr="00E7665A">
        <w:rPr>
          <w:sz w:val="22"/>
          <w:szCs w:val="22"/>
          <w:lang w:val="sr-Latn-ME"/>
        </w:rPr>
        <w:t>/dl (0.62</w:t>
      </w:r>
      <w:r w:rsidR="008B77C6" w:rsidRPr="00E7665A">
        <w:rPr>
          <w:sz w:val="22"/>
          <w:szCs w:val="22"/>
          <w:lang w:val="sr-Latn-ME"/>
        </w:rPr>
        <w:t xml:space="preserve"> </w:t>
      </w:r>
      <w:proofErr w:type="spellStart"/>
      <w:r w:rsidRPr="00E7665A">
        <w:rPr>
          <w:sz w:val="22"/>
          <w:szCs w:val="22"/>
          <w:lang w:val="sr-Latn-ME"/>
        </w:rPr>
        <w:t>mmol</w:t>
      </w:r>
      <w:proofErr w:type="spellEnd"/>
      <w:r w:rsidRPr="00E7665A">
        <w:rPr>
          <w:sz w:val="22"/>
          <w:szCs w:val="22"/>
          <w:lang w:val="sr-Latn-ME"/>
        </w:rPr>
        <w:t>/l), te</w:t>
      </w:r>
      <w:r w:rsidR="00447569" w:rsidRPr="00E7665A">
        <w:rPr>
          <w:sz w:val="22"/>
          <w:szCs w:val="22"/>
          <w:lang w:val="sr-Latn-ME"/>
        </w:rPr>
        <w:t>r</w:t>
      </w:r>
      <w:r w:rsidRPr="00E7665A">
        <w:rPr>
          <w:sz w:val="22"/>
          <w:szCs w:val="22"/>
          <w:lang w:val="sr-Latn-ME"/>
        </w:rPr>
        <w:t xml:space="preserve">apiju treba nastaviti u istoj dozi.  Ako se nivo hemoglobina ne poveća za najmanje </w:t>
      </w:r>
      <w:proofErr w:type="spellStart"/>
      <w:r w:rsidRPr="00E7665A">
        <w:rPr>
          <w:sz w:val="22"/>
          <w:szCs w:val="22"/>
          <w:lang w:val="sr-Latn-ME"/>
        </w:rPr>
        <w:t>1g</w:t>
      </w:r>
      <w:proofErr w:type="spellEnd"/>
      <w:r w:rsidRPr="00E7665A">
        <w:rPr>
          <w:sz w:val="22"/>
          <w:szCs w:val="22"/>
          <w:lang w:val="sr-Latn-ME"/>
        </w:rPr>
        <w:t>/dl (0.62</w:t>
      </w:r>
      <w:r w:rsidR="008B77C6" w:rsidRPr="00E7665A">
        <w:rPr>
          <w:sz w:val="22"/>
          <w:szCs w:val="22"/>
          <w:lang w:val="sr-Latn-ME"/>
        </w:rPr>
        <w:t xml:space="preserve"> </w:t>
      </w:r>
      <w:proofErr w:type="spellStart"/>
      <w:r w:rsidRPr="00E7665A">
        <w:rPr>
          <w:sz w:val="22"/>
          <w:szCs w:val="22"/>
          <w:lang w:val="sr-Latn-ME"/>
        </w:rPr>
        <w:t>mmol</w:t>
      </w:r>
      <w:proofErr w:type="spellEnd"/>
      <w:r w:rsidRPr="00E7665A">
        <w:rPr>
          <w:sz w:val="22"/>
          <w:szCs w:val="22"/>
          <w:lang w:val="sr-Latn-ME"/>
        </w:rPr>
        <w:t>/l), treba razmotriti udvostručavanje nedjeljne doze. Ako se ni nakon 8 nedjelja terapije vrijednost hemoglobina ne poveća za</w:t>
      </w:r>
      <w:r w:rsidR="008B77C6" w:rsidRPr="00E7665A">
        <w:rPr>
          <w:sz w:val="22"/>
          <w:szCs w:val="22"/>
          <w:lang w:val="sr-Latn-ME"/>
        </w:rPr>
        <w:t xml:space="preserve"> </w:t>
      </w:r>
      <w:r w:rsidRPr="00E7665A">
        <w:rPr>
          <w:sz w:val="22"/>
          <w:szCs w:val="22"/>
          <w:lang w:val="sr-Latn-ME"/>
        </w:rPr>
        <w:t xml:space="preserve">najmanje </w:t>
      </w:r>
      <w:proofErr w:type="spellStart"/>
      <w:r w:rsidRPr="00E7665A">
        <w:rPr>
          <w:sz w:val="22"/>
          <w:szCs w:val="22"/>
          <w:lang w:val="sr-Latn-ME"/>
        </w:rPr>
        <w:t>1g</w:t>
      </w:r>
      <w:proofErr w:type="spellEnd"/>
      <w:r w:rsidRPr="00E7665A">
        <w:rPr>
          <w:sz w:val="22"/>
          <w:szCs w:val="22"/>
          <w:lang w:val="sr-Latn-ME"/>
        </w:rPr>
        <w:t>/dl (0.62</w:t>
      </w:r>
      <w:r w:rsidR="008B77C6" w:rsidRPr="00E7665A">
        <w:rPr>
          <w:sz w:val="22"/>
          <w:szCs w:val="22"/>
          <w:lang w:val="sr-Latn-ME"/>
        </w:rPr>
        <w:t xml:space="preserve"> </w:t>
      </w:r>
      <w:proofErr w:type="spellStart"/>
      <w:r w:rsidRPr="00E7665A">
        <w:rPr>
          <w:sz w:val="22"/>
          <w:szCs w:val="22"/>
          <w:lang w:val="sr-Latn-ME"/>
        </w:rPr>
        <w:t>mmol</w:t>
      </w:r>
      <w:proofErr w:type="spellEnd"/>
      <w:r w:rsidRPr="00E7665A">
        <w:rPr>
          <w:sz w:val="22"/>
          <w:szCs w:val="22"/>
          <w:lang w:val="sr-Latn-ME"/>
        </w:rPr>
        <w:t>/l ), terapijski odgovor je nezadovoljavajući i terapiju treba prekinuti.</w:t>
      </w:r>
    </w:p>
    <w:p w:rsidR="002E440B" w:rsidRPr="00E7665A" w:rsidRDefault="002E440B" w:rsidP="00BF3E6B">
      <w:pPr>
        <w:jc w:val="both"/>
        <w:rPr>
          <w:sz w:val="22"/>
          <w:szCs w:val="22"/>
          <w:lang w:val="sr-Latn-ME"/>
        </w:rPr>
      </w:pPr>
      <w:r w:rsidRPr="00E7665A">
        <w:rPr>
          <w:sz w:val="22"/>
          <w:szCs w:val="22"/>
          <w:lang w:val="sr-Latn-ME"/>
        </w:rPr>
        <w:t xml:space="preserve"> </w:t>
      </w:r>
    </w:p>
    <w:p w:rsidR="002E440B" w:rsidRPr="00E7665A" w:rsidRDefault="002E440B" w:rsidP="00BF3E6B">
      <w:pPr>
        <w:jc w:val="both"/>
        <w:rPr>
          <w:sz w:val="22"/>
          <w:szCs w:val="22"/>
          <w:lang w:val="sr-Latn-ME"/>
        </w:rPr>
      </w:pPr>
      <w:r w:rsidRPr="00E7665A">
        <w:rPr>
          <w:sz w:val="22"/>
          <w:szCs w:val="22"/>
          <w:lang w:val="sr-Latn-ME"/>
        </w:rPr>
        <w:t>Terapiju treba nastaviti do 4 nedjelje nakon završetka hemoterapije.</w:t>
      </w:r>
    </w:p>
    <w:p w:rsidR="002E440B" w:rsidRPr="00E7665A" w:rsidRDefault="002E440B" w:rsidP="00BF3E6B">
      <w:pPr>
        <w:jc w:val="both"/>
        <w:rPr>
          <w:sz w:val="22"/>
          <w:szCs w:val="22"/>
          <w:lang w:val="sr-Latn-ME"/>
        </w:rPr>
      </w:pPr>
      <w:r w:rsidRPr="00E7665A">
        <w:rPr>
          <w:sz w:val="22"/>
          <w:szCs w:val="22"/>
          <w:lang w:val="sr-Latn-ME"/>
        </w:rPr>
        <w:lastRenderedPageBreak/>
        <w:t xml:space="preserve">Maksimalna doza ne smije </w:t>
      </w:r>
      <w:proofErr w:type="spellStart"/>
      <w:r w:rsidRPr="00E7665A">
        <w:rPr>
          <w:sz w:val="22"/>
          <w:szCs w:val="22"/>
          <w:lang w:val="sr-Latn-ME"/>
        </w:rPr>
        <w:t>preći</w:t>
      </w:r>
      <w:proofErr w:type="spellEnd"/>
      <w:r w:rsidRPr="00E7665A">
        <w:rPr>
          <w:sz w:val="22"/>
          <w:szCs w:val="22"/>
          <w:lang w:val="sr-Latn-ME"/>
        </w:rPr>
        <w:t xml:space="preserve"> 60 000</w:t>
      </w:r>
      <w:r w:rsidR="008B77C6" w:rsidRPr="00E7665A">
        <w:rPr>
          <w:sz w:val="22"/>
          <w:szCs w:val="22"/>
          <w:lang w:val="sr-Latn-ME"/>
        </w:rPr>
        <w:t xml:space="preserve"> </w:t>
      </w:r>
      <w:proofErr w:type="spellStart"/>
      <w:r w:rsidR="008B77C6" w:rsidRPr="00E7665A">
        <w:rPr>
          <w:sz w:val="22"/>
          <w:szCs w:val="22"/>
          <w:lang w:val="sr-Latn-ME"/>
        </w:rPr>
        <w:t>i.j</w:t>
      </w:r>
      <w:proofErr w:type="spellEnd"/>
      <w:r w:rsidR="008B77C6" w:rsidRPr="00E7665A">
        <w:rPr>
          <w:sz w:val="22"/>
          <w:szCs w:val="22"/>
          <w:lang w:val="sr-Latn-ME"/>
        </w:rPr>
        <w:t>.</w:t>
      </w:r>
      <w:r w:rsidRPr="00E7665A">
        <w:rPr>
          <w:sz w:val="22"/>
          <w:szCs w:val="22"/>
          <w:lang w:val="sr-Latn-ME"/>
        </w:rPr>
        <w:t xml:space="preserve"> ned</w:t>
      </w:r>
      <w:r w:rsidR="008B77C6" w:rsidRPr="00E7665A">
        <w:rPr>
          <w:sz w:val="22"/>
          <w:szCs w:val="22"/>
          <w:lang w:val="sr-Latn-ME"/>
        </w:rPr>
        <w:t>j</w:t>
      </w:r>
      <w:r w:rsidRPr="00E7665A">
        <w:rPr>
          <w:sz w:val="22"/>
          <w:szCs w:val="22"/>
          <w:lang w:val="sr-Latn-ME"/>
        </w:rPr>
        <w:t>eljno.</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Kada se cilj terapije postigne kod pacijenta, dozu treba sman</w:t>
      </w:r>
      <w:r w:rsidR="00447569" w:rsidRPr="00E7665A">
        <w:rPr>
          <w:sz w:val="22"/>
          <w:szCs w:val="22"/>
          <w:lang w:val="sr-Latn-ME"/>
        </w:rPr>
        <w:t>ji</w:t>
      </w:r>
      <w:r w:rsidRPr="00E7665A">
        <w:rPr>
          <w:sz w:val="22"/>
          <w:szCs w:val="22"/>
          <w:lang w:val="sr-Latn-ME"/>
        </w:rPr>
        <w:t xml:space="preserve">ti za oko 25% do 50% kako bi se održao postignuti nivo hemoglobina. Treba razmotriti odgovarajuću </w:t>
      </w:r>
      <w:proofErr w:type="spellStart"/>
      <w:r w:rsidRPr="00E7665A">
        <w:rPr>
          <w:sz w:val="22"/>
          <w:szCs w:val="22"/>
          <w:lang w:val="sr-Latn-ME"/>
        </w:rPr>
        <w:t>titraciju</w:t>
      </w:r>
      <w:proofErr w:type="spellEnd"/>
      <w:r w:rsidRPr="00E7665A">
        <w:rPr>
          <w:sz w:val="22"/>
          <w:szCs w:val="22"/>
          <w:lang w:val="sr-Latn-ME"/>
        </w:rPr>
        <w:t xml:space="preserve"> doze.</w:t>
      </w:r>
    </w:p>
    <w:p w:rsidR="008B77C6" w:rsidRPr="00E7665A" w:rsidRDefault="008B77C6"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Ako hemoglobin prelazi nivo od 12</w:t>
      </w:r>
      <w:r w:rsidR="008B77C6" w:rsidRPr="00E7665A">
        <w:rPr>
          <w:sz w:val="22"/>
          <w:szCs w:val="22"/>
          <w:lang w:val="sr-Latn-ME"/>
        </w:rPr>
        <w:t xml:space="preserve"> </w:t>
      </w:r>
      <w:r w:rsidRPr="00E7665A">
        <w:rPr>
          <w:sz w:val="22"/>
          <w:szCs w:val="22"/>
          <w:lang w:val="sr-Latn-ME"/>
        </w:rPr>
        <w:t>g/dl (7.5</w:t>
      </w:r>
      <w:r w:rsidR="008B77C6" w:rsidRPr="00E7665A">
        <w:rPr>
          <w:sz w:val="22"/>
          <w:szCs w:val="22"/>
          <w:lang w:val="sr-Latn-ME"/>
        </w:rPr>
        <w:t xml:space="preserve"> </w:t>
      </w:r>
      <w:proofErr w:type="spellStart"/>
      <w:r w:rsidRPr="00E7665A">
        <w:rPr>
          <w:sz w:val="22"/>
          <w:szCs w:val="22"/>
          <w:lang w:val="sr-Latn-ME"/>
        </w:rPr>
        <w:t>mmol</w:t>
      </w:r>
      <w:proofErr w:type="spellEnd"/>
      <w:r w:rsidRPr="00E7665A">
        <w:rPr>
          <w:sz w:val="22"/>
          <w:szCs w:val="22"/>
          <w:lang w:val="sr-Latn-ME"/>
        </w:rPr>
        <w:t>/l), dozu treba smanj</w:t>
      </w:r>
      <w:r w:rsidR="00447569" w:rsidRPr="00E7665A">
        <w:rPr>
          <w:sz w:val="22"/>
          <w:szCs w:val="22"/>
          <w:lang w:val="sr-Latn-ME"/>
        </w:rPr>
        <w:t>i</w:t>
      </w:r>
      <w:r w:rsidRPr="00E7665A">
        <w:rPr>
          <w:sz w:val="22"/>
          <w:szCs w:val="22"/>
          <w:lang w:val="sr-Latn-ME"/>
        </w:rPr>
        <w:t xml:space="preserve">ti za oko 25% do 50%. Ako vrijednosti hemoglobina pređu 13 g/dl (8,07 </w:t>
      </w:r>
      <w:proofErr w:type="spellStart"/>
      <w:r w:rsidRPr="00E7665A">
        <w:rPr>
          <w:sz w:val="22"/>
          <w:szCs w:val="22"/>
          <w:lang w:val="sr-Latn-ME"/>
        </w:rPr>
        <w:t>mmol</w:t>
      </w:r>
      <w:proofErr w:type="spellEnd"/>
      <w:r w:rsidRPr="00E7665A">
        <w:rPr>
          <w:sz w:val="22"/>
          <w:szCs w:val="22"/>
          <w:lang w:val="sr-Latn-ME"/>
        </w:rPr>
        <w:t xml:space="preserve">/l) terapiju </w:t>
      </w:r>
      <w:r w:rsidR="008B77C6"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treba prekinuti dok se ne postigne vrijednost ≤</w:t>
      </w:r>
      <w:r w:rsidR="008B77C6" w:rsidRPr="00E7665A">
        <w:rPr>
          <w:sz w:val="22"/>
          <w:szCs w:val="22"/>
          <w:lang w:val="sr-Latn-ME"/>
        </w:rPr>
        <w:t xml:space="preserve"> </w:t>
      </w:r>
      <w:r w:rsidRPr="00E7665A">
        <w:rPr>
          <w:sz w:val="22"/>
          <w:szCs w:val="22"/>
          <w:lang w:val="sr-Latn-ME"/>
        </w:rPr>
        <w:t xml:space="preserve">12 g/dl (7,45 </w:t>
      </w:r>
      <w:proofErr w:type="spellStart"/>
      <w:r w:rsidRPr="00E7665A">
        <w:rPr>
          <w:sz w:val="22"/>
          <w:szCs w:val="22"/>
          <w:lang w:val="sr-Latn-ME"/>
        </w:rPr>
        <w:t>mmol</w:t>
      </w:r>
      <w:proofErr w:type="spellEnd"/>
      <w:r w:rsidRPr="00E7665A">
        <w:rPr>
          <w:sz w:val="22"/>
          <w:szCs w:val="22"/>
          <w:lang w:val="sr-Latn-ME"/>
        </w:rPr>
        <w:t>/l), a onda treba ponovo započeti dozom nižom za 25% od prethodne ned</w:t>
      </w:r>
      <w:r w:rsidR="008B77C6" w:rsidRPr="00E7665A">
        <w:rPr>
          <w:sz w:val="22"/>
          <w:szCs w:val="22"/>
          <w:lang w:val="sr-Latn-ME"/>
        </w:rPr>
        <w:t>j</w:t>
      </w:r>
      <w:r w:rsidRPr="00E7665A">
        <w:rPr>
          <w:sz w:val="22"/>
          <w:szCs w:val="22"/>
          <w:lang w:val="sr-Latn-ME"/>
        </w:rPr>
        <w:t>eljne doze.</w:t>
      </w:r>
    </w:p>
    <w:p w:rsidR="002E440B" w:rsidRPr="00E7665A" w:rsidRDefault="002E440B" w:rsidP="00BF3E6B">
      <w:pPr>
        <w:jc w:val="both"/>
        <w:rPr>
          <w:sz w:val="22"/>
          <w:szCs w:val="22"/>
          <w:lang w:val="sr-Latn-ME"/>
        </w:rPr>
      </w:pPr>
      <w:r w:rsidRPr="00E7665A">
        <w:rPr>
          <w:sz w:val="22"/>
          <w:szCs w:val="22"/>
          <w:lang w:val="sr-Latn-ME"/>
        </w:rPr>
        <w:t xml:space="preserve">Povećanje hemoglobina za više od 2 g/dl (1,3 </w:t>
      </w:r>
      <w:proofErr w:type="spellStart"/>
      <w:r w:rsidRPr="00E7665A">
        <w:rPr>
          <w:sz w:val="22"/>
          <w:szCs w:val="22"/>
          <w:lang w:val="sr-Latn-ME"/>
        </w:rPr>
        <w:t>mmol</w:t>
      </w:r>
      <w:proofErr w:type="spellEnd"/>
      <w:r w:rsidRPr="00E7665A">
        <w:rPr>
          <w:sz w:val="22"/>
          <w:szCs w:val="22"/>
          <w:lang w:val="sr-Latn-ME"/>
        </w:rPr>
        <w:t>/l) tokom 4 nedjelje, dozu treba smanj</w:t>
      </w:r>
      <w:r w:rsidR="00447569" w:rsidRPr="00E7665A">
        <w:rPr>
          <w:sz w:val="22"/>
          <w:szCs w:val="22"/>
          <w:lang w:val="sr-Latn-ME"/>
        </w:rPr>
        <w:t>i</w:t>
      </w:r>
      <w:r w:rsidRPr="00E7665A">
        <w:rPr>
          <w:sz w:val="22"/>
          <w:szCs w:val="22"/>
          <w:lang w:val="sr-Latn-ME"/>
        </w:rPr>
        <w:t xml:space="preserve">ti za 25% do 50%. </w:t>
      </w:r>
    </w:p>
    <w:p w:rsidR="002E440B" w:rsidRPr="00E7665A" w:rsidRDefault="002E440B" w:rsidP="00BF3E6B">
      <w:pPr>
        <w:jc w:val="both"/>
        <w:rPr>
          <w:sz w:val="22"/>
          <w:szCs w:val="22"/>
          <w:lang w:val="sr-Latn-ME"/>
        </w:rPr>
      </w:pP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Pacijente treba pažljivo pratiti kako bi se osigurala primjena najmanje dozvoljene doze</w:t>
      </w:r>
      <w:r w:rsidR="008B77C6" w:rsidRPr="00E7665A">
        <w:rPr>
          <w:sz w:val="22"/>
          <w:szCs w:val="22"/>
          <w:lang w:val="sr-Latn-ME" w:eastAsia="de-AT"/>
        </w:rPr>
        <w:t xml:space="preserve"> lijeka</w:t>
      </w:r>
      <w:r w:rsidRPr="00E7665A">
        <w:rPr>
          <w:sz w:val="22"/>
          <w:szCs w:val="22"/>
          <w:lang w:val="sr-Latn-ME" w:eastAsia="de-AT"/>
        </w:rPr>
        <w:t xml:space="preserve"> </w:t>
      </w:r>
      <w:proofErr w:type="spellStart"/>
      <w:r w:rsidR="00980E2B" w:rsidRPr="00E7665A">
        <w:rPr>
          <w:sz w:val="22"/>
          <w:szCs w:val="22"/>
          <w:lang w:val="sr-Latn-ME" w:eastAsia="de-AT"/>
        </w:rPr>
        <w:t>NeoRecormon</w:t>
      </w:r>
      <w:proofErr w:type="spellEnd"/>
      <w:r w:rsidRPr="00E7665A">
        <w:rPr>
          <w:sz w:val="22"/>
          <w:szCs w:val="22"/>
          <w:lang w:val="sr-Latn-ME" w:eastAsia="de-AT"/>
        </w:rPr>
        <w:t xml:space="preserve"> koja obezbje</w:t>
      </w:r>
      <w:r w:rsidR="00447569" w:rsidRPr="00E7665A">
        <w:rPr>
          <w:sz w:val="22"/>
          <w:szCs w:val="22"/>
          <w:lang w:val="sr-Latn-ME" w:eastAsia="de-AT"/>
        </w:rPr>
        <w:t>đ</w:t>
      </w:r>
      <w:r w:rsidRPr="00E7665A">
        <w:rPr>
          <w:sz w:val="22"/>
          <w:szCs w:val="22"/>
          <w:lang w:val="sr-Latn-ME" w:eastAsia="de-AT"/>
        </w:rPr>
        <w:t xml:space="preserve">uje adekvatnu kontrolu simptoma anemije. </w:t>
      </w:r>
    </w:p>
    <w:p w:rsidR="002E440B" w:rsidRPr="00E7665A" w:rsidRDefault="002E440B" w:rsidP="00BF3E6B">
      <w:pPr>
        <w:jc w:val="both"/>
        <w:rPr>
          <w:sz w:val="22"/>
          <w:szCs w:val="22"/>
          <w:lang w:val="sr-Latn-ME"/>
        </w:rPr>
      </w:pPr>
    </w:p>
    <w:p w:rsidR="002E440B" w:rsidRPr="00E7665A" w:rsidRDefault="002E440B" w:rsidP="00BF3E6B">
      <w:pPr>
        <w:jc w:val="both"/>
        <w:rPr>
          <w:i/>
          <w:sz w:val="22"/>
          <w:szCs w:val="22"/>
          <w:lang w:val="sr-Latn-ME"/>
        </w:rPr>
      </w:pPr>
      <w:r w:rsidRPr="00E7665A">
        <w:rPr>
          <w:i/>
          <w:sz w:val="22"/>
          <w:szCs w:val="22"/>
          <w:lang w:val="sr-Latn-ME"/>
        </w:rPr>
        <w:t>Terapija za povećanje količine autologne krvi</w:t>
      </w:r>
    </w:p>
    <w:p w:rsidR="008B77C6" w:rsidRPr="00E7665A" w:rsidRDefault="008B77C6" w:rsidP="00BF3E6B">
      <w:pPr>
        <w:jc w:val="both"/>
        <w:rPr>
          <w:sz w:val="22"/>
          <w:szCs w:val="22"/>
          <w:lang w:val="sr-Latn-ME"/>
        </w:rPr>
      </w:pPr>
      <w:r w:rsidRPr="00E7665A">
        <w:rPr>
          <w:sz w:val="22"/>
          <w:szCs w:val="22"/>
          <w:lang w:val="sr-Latn-ME"/>
        </w:rPr>
        <w:t xml:space="preserve">Lijek </w:t>
      </w:r>
      <w:proofErr w:type="spellStart"/>
      <w:r w:rsidR="00980E2B" w:rsidRPr="00E7665A">
        <w:rPr>
          <w:sz w:val="22"/>
          <w:szCs w:val="22"/>
          <w:lang w:val="sr-Latn-ME"/>
        </w:rPr>
        <w:t>NeoRecormon</w:t>
      </w:r>
      <w:proofErr w:type="spellEnd"/>
      <w:r w:rsidR="002E440B" w:rsidRPr="00E7665A">
        <w:rPr>
          <w:sz w:val="22"/>
          <w:szCs w:val="22"/>
          <w:lang w:val="sr-Latn-ME"/>
        </w:rPr>
        <w:t xml:space="preserve"> se primjenjuje </w:t>
      </w:r>
      <w:proofErr w:type="spellStart"/>
      <w:r w:rsidR="002E440B" w:rsidRPr="00E7665A">
        <w:rPr>
          <w:sz w:val="22"/>
          <w:szCs w:val="22"/>
          <w:lang w:val="sr-Latn-ME"/>
        </w:rPr>
        <w:t>intravenski</w:t>
      </w:r>
      <w:proofErr w:type="spellEnd"/>
      <w:r w:rsidR="002E440B" w:rsidRPr="00E7665A">
        <w:rPr>
          <w:sz w:val="22"/>
          <w:szCs w:val="22"/>
          <w:lang w:val="sr-Latn-ME"/>
        </w:rPr>
        <w:t xml:space="preserve"> tokom 2 minuta ili </w:t>
      </w:r>
      <w:proofErr w:type="spellStart"/>
      <w:r w:rsidR="002E440B" w:rsidRPr="00E7665A">
        <w:rPr>
          <w:sz w:val="22"/>
          <w:szCs w:val="22"/>
          <w:lang w:val="sr-Latn-ME"/>
        </w:rPr>
        <w:t>subkutano</w:t>
      </w:r>
      <w:proofErr w:type="spellEnd"/>
      <w:r w:rsidR="002E440B" w:rsidRPr="00E7665A">
        <w:rPr>
          <w:sz w:val="22"/>
          <w:szCs w:val="22"/>
          <w:lang w:val="sr-Latn-ME"/>
        </w:rPr>
        <w:t xml:space="preserve">. </w:t>
      </w:r>
      <w:r w:rsidRPr="00E7665A">
        <w:rPr>
          <w:sz w:val="22"/>
          <w:szCs w:val="22"/>
          <w:lang w:val="sr-Latn-ME"/>
        </w:rPr>
        <w:t xml:space="preserve">Lijek </w:t>
      </w:r>
      <w:proofErr w:type="spellStart"/>
      <w:r w:rsidR="00980E2B" w:rsidRPr="00E7665A">
        <w:rPr>
          <w:sz w:val="22"/>
          <w:szCs w:val="22"/>
          <w:lang w:val="sr-Latn-ME"/>
        </w:rPr>
        <w:t>NeoRecormon</w:t>
      </w:r>
      <w:proofErr w:type="spellEnd"/>
      <w:r w:rsidR="002E440B" w:rsidRPr="00E7665A">
        <w:rPr>
          <w:sz w:val="22"/>
          <w:szCs w:val="22"/>
          <w:lang w:val="sr-Latn-ME"/>
        </w:rPr>
        <w:t xml:space="preserve"> se daje dva puta ned</w:t>
      </w:r>
      <w:r w:rsidRPr="00E7665A">
        <w:rPr>
          <w:sz w:val="22"/>
          <w:szCs w:val="22"/>
          <w:lang w:val="sr-Latn-ME"/>
        </w:rPr>
        <w:t>j</w:t>
      </w:r>
      <w:r w:rsidR="002E440B" w:rsidRPr="00E7665A">
        <w:rPr>
          <w:sz w:val="22"/>
          <w:szCs w:val="22"/>
          <w:lang w:val="sr-Latn-ME"/>
        </w:rPr>
        <w:t xml:space="preserve">eljno u toku 4 nedjelje. U situacijama kada </w:t>
      </w:r>
      <w:proofErr w:type="spellStart"/>
      <w:r w:rsidRPr="00E7665A">
        <w:rPr>
          <w:sz w:val="22"/>
          <w:szCs w:val="22"/>
          <w:lang w:val="sr-Latn-ME"/>
        </w:rPr>
        <w:t>hematokrit</w:t>
      </w:r>
      <w:proofErr w:type="spellEnd"/>
      <w:r w:rsidRPr="00E7665A">
        <w:rPr>
          <w:sz w:val="22"/>
          <w:szCs w:val="22"/>
          <w:lang w:val="sr-Latn-ME"/>
        </w:rPr>
        <w:t xml:space="preserve"> </w:t>
      </w:r>
      <w:r w:rsidR="002E440B" w:rsidRPr="00E7665A">
        <w:rPr>
          <w:sz w:val="22"/>
          <w:szCs w:val="22"/>
          <w:lang w:val="sr-Latn-ME"/>
        </w:rPr>
        <w:t>pacijenta dozvoljava davanje krvi, tj. PCV ≥</w:t>
      </w:r>
      <w:r w:rsidRPr="00E7665A">
        <w:rPr>
          <w:sz w:val="22"/>
          <w:szCs w:val="22"/>
          <w:lang w:val="sr-Latn-ME"/>
        </w:rPr>
        <w:t xml:space="preserve"> </w:t>
      </w:r>
      <w:r w:rsidR="002E440B" w:rsidRPr="00E7665A">
        <w:rPr>
          <w:sz w:val="22"/>
          <w:szCs w:val="22"/>
          <w:lang w:val="sr-Latn-ME"/>
        </w:rPr>
        <w:t xml:space="preserve">33%, </w:t>
      </w:r>
      <w:r w:rsidRPr="00E7665A">
        <w:rPr>
          <w:sz w:val="22"/>
          <w:szCs w:val="22"/>
          <w:lang w:val="sr-Latn-ME"/>
        </w:rPr>
        <w:t xml:space="preserve">lijek </w:t>
      </w:r>
      <w:proofErr w:type="spellStart"/>
      <w:r w:rsidR="00980E2B" w:rsidRPr="00E7665A">
        <w:rPr>
          <w:sz w:val="22"/>
          <w:szCs w:val="22"/>
          <w:lang w:val="sr-Latn-ME"/>
        </w:rPr>
        <w:t>NeoRecormon</w:t>
      </w:r>
      <w:proofErr w:type="spellEnd"/>
      <w:r w:rsidR="002E440B" w:rsidRPr="00E7665A">
        <w:rPr>
          <w:sz w:val="22"/>
          <w:szCs w:val="22"/>
          <w:lang w:val="sr-Latn-ME"/>
        </w:rPr>
        <w:t xml:space="preserve"> se daje na kraju postupka vađenja krvi. </w:t>
      </w:r>
    </w:p>
    <w:p w:rsidR="008B77C6" w:rsidRPr="00E7665A" w:rsidRDefault="002E440B" w:rsidP="00BF3E6B">
      <w:pPr>
        <w:jc w:val="both"/>
        <w:rPr>
          <w:sz w:val="22"/>
          <w:szCs w:val="22"/>
          <w:lang w:val="sr-Latn-ME"/>
        </w:rPr>
      </w:pPr>
      <w:r w:rsidRPr="00E7665A">
        <w:rPr>
          <w:sz w:val="22"/>
          <w:szCs w:val="22"/>
          <w:lang w:val="sr-Latn-ME"/>
        </w:rPr>
        <w:t xml:space="preserve">Tokom cijelog terapijskog perioda ne smije se prekoračiti vrijednost </w:t>
      </w:r>
      <w:proofErr w:type="spellStart"/>
      <w:r w:rsidR="008B77C6" w:rsidRPr="00E7665A">
        <w:rPr>
          <w:sz w:val="22"/>
          <w:szCs w:val="22"/>
          <w:lang w:val="sr-Latn-ME"/>
        </w:rPr>
        <w:t>hematokrita</w:t>
      </w:r>
      <w:proofErr w:type="spellEnd"/>
      <w:r w:rsidRPr="00E7665A">
        <w:rPr>
          <w:sz w:val="22"/>
          <w:szCs w:val="22"/>
          <w:lang w:val="sr-Latn-ME"/>
        </w:rPr>
        <w:t xml:space="preserve"> od 48%.</w:t>
      </w:r>
    </w:p>
    <w:p w:rsidR="002E440B" w:rsidRPr="00E7665A" w:rsidRDefault="002E440B" w:rsidP="00BF3E6B">
      <w:pPr>
        <w:jc w:val="both"/>
        <w:rPr>
          <w:sz w:val="22"/>
          <w:szCs w:val="22"/>
          <w:lang w:val="sr-Latn-ME"/>
        </w:rPr>
      </w:pPr>
      <w:r w:rsidRPr="00E7665A">
        <w:rPr>
          <w:sz w:val="22"/>
          <w:szCs w:val="22"/>
          <w:lang w:val="sr-Latn-ME"/>
        </w:rPr>
        <w:t xml:space="preserve"> </w:t>
      </w:r>
    </w:p>
    <w:p w:rsidR="002E440B" w:rsidRPr="00E7665A" w:rsidRDefault="002E440B" w:rsidP="00BF3E6B">
      <w:pPr>
        <w:jc w:val="both"/>
        <w:rPr>
          <w:sz w:val="22"/>
          <w:szCs w:val="22"/>
          <w:lang w:val="sr-Latn-ME"/>
        </w:rPr>
      </w:pPr>
      <w:r w:rsidRPr="00E7665A">
        <w:rPr>
          <w:sz w:val="22"/>
          <w:szCs w:val="22"/>
          <w:lang w:val="sr-Latn-ME"/>
        </w:rPr>
        <w:t xml:space="preserve">Dozu mora da odredi hirurški tim individualno za svakog pacijenta u zavisnosti od potrebne količine krvi koja se unaprijed daje i endogene rezerve crvenih krvnih </w:t>
      </w:r>
      <w:r w:rsidR="008B77C6" w:rsidRPr="00E7665A">
        <w:rPr>
          <w:sz w:val="22"/>
          <w:szCs w:val="22"/>
          <w:lang w:val="sr-Latn-ME"/>
        </w:rPr>
        <w:t>ćelija</w:t>
      </w:r>
      <w:r w:rsidRPr="00E7665A">
        <w:rPr>
          <w:sz w:val="22"/>
          <w:szCs w:val="22"/>
          <w:lang w:val="sr-Latn-ME"/>
        </w:rPr>
        <w:t xml:space="preserve">: </w:t>
      </w:r>
    </w:p>
    <w:p w:rsidR="002E440B" w:rsidRPr="00E7665A" w:rsidRDefault="002E440B" w:rsidP="00BF3E6B">
      <w:pPr>
        <w:numPr>
          <w:ilvl w:val="0"/>
          <w:numId w:val="17"/>
        </w:numPr>
        <w:jc w:val="both"/>
        <w:rPr>
          <w:sz w:val="22"/>
          <w:szCs w:val="22"/>
          <w:lang w:val="sr-Latn-ME"/>
        </w:rPr>
      </w:pPr>
      <w:r w:rsidRPr="00E7665A">
        <w:rPr>
          <w:sz w:val="22"/>
          <w:szCs w:val="22"/>
          <w:lang w:val="sr-Latn-ME"/>
        </w:rPr>
        <w:t xml:space="preserve">Potrebna količina krvi koja se daje unaprijed zavisi od predviđenog gubitka krvi, od tipa procedure za konzervisanje krvi i fizičkog stanja pacijenta. </w:t>
      </w:r>
    </w:p>
    <w:p w:rsidR="002E440B" w:rsidRPr="00E7665A" w:rsidRDefault="002E440B" w:rsidP="00BF3E6B">
      <w:pPr>
        <w:ind w:left="567"/>
        <w:jc w:val="both"/>
        <w:rPr>
          <w:sz w:val="22"/>
          <w:szCs w:val="22"/>
          <w:lang w:val="sr-Latn-ME"/>
        </w:rPr>
      </w:pPr>
      <w:r w:rsidRPr="00E7665A">
        <w:rPr>
          <w:sz w:val="22"/>
          <w:szCs w:val="22"/>
          <w:lang w:val="sr-Latn-ME"/>
        </w:rPr>
        <w:t xml:space="preserve">Ova količina treba da bude količina za koju se očekuje da će biti dovoljna da se izbjegnu homologne transfuzije krvi. </w:t>
      </w:r>
    </w:p>
    <w:p w:rsidR="002E440B" w:rsidRPr="00E7665A" w:rsidRDefault="002E440B" w:rsidP="00BF3E6B">
      <w:pPr>
        <w:ind w:left="567"/>
        <w:jc w:val="both"/>
        <w:rPr>
          <w:sz w:val="22"/>
          <w:szCs w:val="22"/>
          <w:lang w:val="sr-Latn-ME"/>
        </w:rPr>
      </w:pPr>
      <w:r w:rsidRPr="00E7665A">
        <w:rPr>
          <w:sz w:val="22"/>
          <w:szCs w:val="22"/>
          <w:lang w:val="sr-Latn-ME"/>
        </w:rPr>
        <w:t>Potrebna količina krvi koja se daje unaprijed izražava se u jedinicama</w:t>
      </w:r>
      <w:r w:rsidR="000A4BF1" w:rsidRPr="00E7665A">
        <w:rPr>
          <w:sz w:val="22"/>
          <w:szCs w:val="22"/>
          <w:lang w:val="sr-Latn-ME"/>
        </w:rPr>
        <w:t>,</w:t>
      </w:r>
      <w:r w:rsidRPr="00E7665A">
        <w:rPr>
          <w:sz w:val="22"/>
          <w:szCs w:val="22"/>
          <w:lang w:val="sr-Latn-ME"/>
        </w:rPr>
        <w:t xml:space="preserve"> gd</w:t>
      </w:r>
      <w:r w:rsidR="00447569" w:rsidRPr="00E7665A">
        <w:rPr>
          <w:sz w:val="22"/>
          <w:szCs w:val="22"/>
          <w:lang w:val="sr-Latn-ME"/>
        </w:rPr>
        <w:t>j</w:t>
      </w:r>
      <w:r w:rsidRPr="00E7665A">
        <w:rPr>
          <w:sz w:val="22"/>
          <w:szCs w:val="22"/>
          <w:lang w:val="sr-Latn-ME"/>
        </w:rPr>
        <w:t xml:space="preserve">e je jedna jedinica </w:t>
      </w:r>
      <w:proofErr w:type="spellStart"/>
      <w:r w:rsidRPr="00E7665A">
        <w:rPr>
          <w:sz w:val="22"/>
          <w:szCs w:val="22"/>
          <w:lang w:val="sr-Latn-ME"/>
        </w:rPr>
        <w:t>nomograma</w:t>
      </w:r>
      <w:proofErr w:type="spellEnd"/>
      <w:r w:rsidRPr="00E7665A">
        <w:rPr>
          <w:sz w:val="22"/>
          <w:szCs w:val="22"/>
          <w:lang w:val="sr-Latn-ME"/>
        </w:rPr>
        <w:t xml:space="preserve"> ekvivalentna 180 ml </w:t>
      </w:r>
      <w:proofErr w:type="spellStart"/>
      <w:r w:rsidRPr="00E7665A">
        <w:rPr>
          <w:sz w:val="22"/>
          <w:szCs w:val="22"/>
          <w:lang w:val="sr-Latn-ME"/>
        </w:rPr>
        <w:t>eritrocita</w:t>
      </w:r>
      <w:proofErr w:type="spellEnd"/>
      <w:r w:rsidRPr="00E7665A">
        <w:rPr>
          <w:sz w:val="22"/>
          <w:szCs w:val="22"/>
          <w:lang w:val="sr-Latn-ME"/>
        </w:rPr>
        <w:t xml:space="preserve">. </w:t>
      </w:r>
    </w:p>
    <w:p w:rsidR="002E440B" w:rsidRPr="00E7665A" w:rsidRDefault="002E440B" w:rsidP="00BF3E6B">
      <w:pPr>
        <w:numPr>
          <w:ilvl w:val="0"/>
          <w:numId w:val="17"/>
        </w:numPr>
        <w:jc w:val="both"/>
        <w:rPr>
          <w:sz w:val="22"/>
          <w:szCs w:val="22"/>
          <w:lang w:val="sr-Latn-ME"/>
        </w:rPr>
      </w:pPr>
      <w:r w:rsidRPr="00E7665A">
        <w:rPr>
          <w:sz w:val="22"/>
          <w:szCs w:val="22"/>
          <w:lang w:val="sr-Latn-ME"/>
        </w:rPr>
        <w:t xml:space="preserve">Sposobnost </w:t>
      </w:r>
      <w:r w:rsidR="008B77C6" w:rsidRPr="00E7665A">
        <w:rPr>
          <w:sz w:val="22"/>
          <w:szCs w:val="22"/>
          <w:lang w:val="sr-Latn-ME"/>
        </w:rPr>
        <w:t xml:space="preserve">pacijenta za </w:t>
      </w:r>
      <w:r w:rsidRPr="00E7665A">
        <w:rPr>
          <w:sz w:val="22"/>
          <w:szCs w:val="22"/>
          <w:lang w:val="sr-Latn-ME"/>
        </w:rPr>
        <w:t>da</w:t>
      </w:r>
      <w:r w:rsidR="008B77C6" w:rsidRPr="00E7665A">
        <w:rPr>
          <w:sz w:val="22"/>
          <w:szCs w:val="22"/>
          <w:lang w:val="sr-Latn-ME"/>
        </w:rPr>
        <w:t>vanje</w:t>
      </w:r>
      <w:r w:rsidRPr="00E7665A">
        <w:rPr>
          <w:sz w:val="22"/>
          <w:szCs w:val="22"/>
          <w:lang w:val="sr-Latn-ME"/>
        </w:rPr>
        <w:t xml:space="preserve"> krv zavisi predominantno od zapremine krvi pacijenta i </w:t>
      </w:r>
      <w:r w:rsidR="008B77C6" w:rsidRPr="00E7665A">
        <w:rPr>
          <w:sz w:val="22"/>
          <w:szCs w:val="22"/>
          <w:lang w:val="sr-Latn-ME"/>
        </w:rPr>
        <w:t xml:space="preserve">početne </w:t>
      </w:r>
      <w:r w:rsidRPr="00E7665A">
        <w:rPr>
          <w:sz w:val="22"/>
          <w:szCs w:val="22"/>
          <w:lang w:val="sr-Latn-ME"/>
        </w:rPr>
        <w:t xml:space="preserve">vrijednosti </w:t>
      </w:r>
      <w:proofErr w:type="spellStart"/>
      <w:r w:rsidR="008B77C6" w:rsidRPr="00E7665A">
        <w:rPr>
          <w:sz w:val="22"/>
          <w:szCs w:val="22"/>
          <w:lang w:val="sr-Latn-ME"/>
        </w:rPr>
        <w:t>hematokrita</w:t>
      </w:r>
      <w:proofErr w:type="spellEnd"/>
      <w:r w:rsidRPr="00E7665A">
        <w:rPr>
          <w:sz w:val="22"/>
          <w:szCs w:val="22"/>
          <w:lang w:val="sr-Latn-ME"/>
        </w:rPr>
        <w:t xml:space="preserve">. Obje </w:t>
      </w:r>
      <w:r w:rsidR="008B77C6" w:rsidRPr="00E7665A">
        <w:rPr>
          <w:sz w:val="22"/>
          <w:szCs w:val="22"/>
          <w:lang w:val="sr-Latn-ME"/>
        </w:rPr>
        <w:t xml:space="preserve">varijable </w:t>
      </w:r>
      <w:r w:rsidRPr="00E7665A">
        <w:rPr>
          <w:sz w:val="22"/>
          <w:szCs w:val="22"/>
          <w:lang w:val="sr-Latn-ME"/>
        </w:rPr>
        <w:t xml:space="preserve">određuju endogenu rezervu </w:t>
      </w:r>
      <w:proofErr w:type="spellStart"/>
      <w:r w:rsidRPr="00E7665A">
        <w:rPr>
          <w:sz w:val="22"/>
          <w:szCs w:val="22"/>
          <w:lang w:val="sr-Latn-ME"/>
        </w:rPr>
        <w:t>eritrocita</w:t>
      </w:r>
      <w:proofErr w:type="spellEnd"/>
      <w:r w:rsidRPr="00E7665A">
        <w:rPr>
          <w:sz w:val="22"/>
          <w:szCs w:val="22"/>
          <w:lang w:val="sr-Latn-ME"/>
        </w:rPr>
        <w:t xml:space="preserve">, koja se može izračunati po sljedećoj formuli: </w:t>
      </w:r>
    </w:p>
    <w:p w:rsidR="002E440B" w:rsidRPr="00E7665A" w:rsidRDefault="002E440B" w:rsidP="00BF3E6B">
      <w:pPr>
        <w:ind w:left="567"/>
        <w:jc w:val="both"/>
        <w:rPr>
          <w:sz w:val="22"/>
          <w:szCs w:val="22"/>
          <w:lang w:val="sr-Latn-ME"/>
        </w:rPr>
      </w:pPr>
      <w:r w:rsidRPr="00E7665A">
        <w:rPr>
          <w:sz w:val="22"/>
          <w:szCs w:val="22"/>
          <w:lang w:val="sr-Latn-ME"/>
        </w:rPr>
        <w:t xml:space="preserve">Endogena rezerva </w:t>
      </w:r>
      <w:proofErr w:type="spellStart"/>
      <w:r w:rsidRPr="00E7665A">
        <w:rPr>
          <w:sz w:val="22"/>
          <w:szCs w:val="22"/>
          <w:lang w:val="sr-Latn-ME"/>
        </w:rPr>
        <w:t>eritrocita</w:t>
      </w:r>
      <w:proofErr w:type="spellEnd"/>
      <w:r w:rsidRPr="00E7665A">
        <w:rPr>
          <w:sz w:val="22"/>
          <w:szCs w:val="22"/>
          <w:lang w:val="sr-Latn-ME"/>
        </w:rPr>
        <w:t xml:space="preserve"> = zapremina krvi [ml] x (</w:t>
      </w:r>
      <w:proofErr w:type="spellStart"/>
      <w:r w:rsidRPr="00E7665A">
        <w:rPr>
          <w:sz w:val="22"/>
          <w:szCs w:val="22"/>
          <w:lang w:val="sr-Latn-ME"/>
        </w:rPr>
        <w:t>PCV</w:t>
      </w:r>
      <w:proofErr w:type="spellEnd"/>
      <w:r w:rsidR="008B77C6" w:rsidRPr="00E7665A">
        <w:rPr>
          <w:sz w:val="22"/>
          <w:szCs w:val="22"/>
          <w:lang w:val="sr-Latn-ME"/>
        </w:rPr>
        <w:t xml:space="preserve"> (vrijednost </w:t>
      </w:r>
      <w:proofErr w:type="spellStart"/>
      <w:r w:rsidR="008B77C6" w:rsidRPr="00E7665A">
        <w:rPr>
          <w:sz w:val="22"/>
          <w:szCs w:val="22"/>
          <w:lang w:val="sr-Latn-ME"/>
        </w:rPr>
        <w:t>hematokrita</w:t>
      </w:r>
      <w:proofErr w:type="spellEnd"/>
      <w:r w:rsidR="008B77C6" w:rsidRPr="00E7665A">
        <w:rPr>
          <w:sz w:val="22"/>
          <w:szCs w:val="22"/>
          <w:lang w:val="sr-Latn-ME"/>
        </w:rPr>
        <w:t>)</w:t>
      </w:r>
      <w:r w:rsidRPr="00E7665A">
        <w:rPr>
          <w:sz w:val="22"/>
          <w:szCs w:val="22"/>
          <w:lang w:val="sr-Latn-ME"/>
        </w:rPr>
        <w:t xml:space="preserve"> – 33) </w:t>
      </w:r>
      <w:r w:rsidR="000453BE" w:rsidRPr="00E7665A">
        <w:rPr>
          <w:sz w:val="22"/>
          <w:szCs w:val="22"/>
          <w:lang w:val="sr-Latn-ME"/>
        </w:rPr>
        <w:t xml:space="preserve">÷ </w:t>
      </w:r>
      <w:r w:rsidRPr="00E7665A">
        <w:rPr>
          <w:sz w:val="22"/>
          <w:szCs w:val="22"/>
          <w:lang w:val="sr-Latn-ME"/>
        </w:rPr>
        <w:t>100</w:t>
      </w:r>
    </w:p>
    <w:p w:rsidR="002E440B" w:rsidRPr="00E7665A" w:rsidRDefault="002E440B" w:rsidP="00BF3E6B">
      <w:pPr>
        <w:ind w:firstLine="567"/>
        <w:jc w:val="both"/>
        <w:rPr>
          <w:sz w:val="22"/>
          <w:szCs w:val="22"/>
          <w:lang w:val="sr-Latn-ME"/>
        </w:rPr>
      </w:pPr>
      <w:r w:rsidRPr="00E7665A">
        <w:rPr>
          <w:sz w:val="22"/>
          <w:szCs w:val="22"/>
          <w:lang w:val="sr-Latn-ME"/>
        </w:rPr>
        <w:t xml:space="preserve">Žene: zapremina krvi [ml] = 41 [ml/kg] x tjelesna </w:t>
      </w:r>
      <w:r w:rsidR="000453BE" w:rsidRPr="00E7665A">
        <w:rPr>
          <w:sz w:val="22"/>
          <w:szCs w:val="22"/>
          <w:lang w:val="sr-Latn-ME"/>
        </w:rPr>
        <w:t xml:space="preserve">masa </w:t>
      </w:r>
      <w:r w:rsidRPr="00E7665A">
        <w:rPr>
          <w:sz w:val="22"/>
          <w:szCs w:val="22"/>
          <w:lang w:val="sr-Latn-ME"/>
        </w:rPr>
        <w:t>[kg] + 1200 [ml]</w:t>
      </w:r>
    </w:p>
    <w:p w:rsidR="002E440B" w:rsidRPr="00E7665A" w:rsidRDefault="002E440B" w:rsidP="00BF3E6B">
      <w:pPr>
        <w:ind w:firstLine="567"/>
        <w:jc w:val="both"/>
        <w:rPr>
          <w:sz w:val="22"/>
          <w:szCs w:val="22"/>
          <w:lang w:val="sr-Latn-ME"/>
        </w:rPr>
      </w:pPr>
      <w:r w:rsidRPr="00E7665A">
        <w:rPr>
          <w:sz w:val="22"/>
          <w:szCs w:val="22"/>
          <w:lang w:val="sr-Latn-ME"/>
        </w:rPr>
        <w:t xml:space="preserve">Muškarci: zapremina krvi [ml] = 44 [ml/kg] x tjelesna </w:t>
      </w:r>
      <w:r w:rsidR="000453BE" w:rsidRPr="00E7665A">
        <w:rPr>
          <w:sz w:val="22"/>
          <w:szCs w:val="22"/>
          <w:lang w:val="sr-Latn-ME"/>
        </w:rPr>
        <w:t xml:space="preserve">masa </w:t>
      </w:r>
      <w:r w:rsidRPr="00E7665A">
        <w:rPr>
          <w:sz w:val="22"/>
          <w:szCs w:val="22"/>
          <w:lang w:val="sr-Latn-ME"/>
        </w:rPr>
        <w:t>[kg] + 1600 [ml]</w:t>
      </w:r>
    </w:p>
    <w:p w:rsidR="002E440B" w:rsidRPr="00E7665A" w:rsidRDefault="002E440B" w:rsidP="00BF3E6B">
      <w:pPr>
        <w:ind w:firstLine="567"/>
        <w:jc w:val="both"/>
        <w:rPr>
          <w:sz w:val="22"/>
          <w:szCs w:val="22"/>
          <w:lang w:val="sr-Latn-ME"/>
        </w:rPr>
      </w:pPr>
      <w:r w:rsidRPr="00E7665A">
        <w:rPr>
          <w:sz w:val="22"/>
          <w:szCs w:val="22"/>
          <w:lang w:val="sr-Latn-ME"/>
        </w:rPr>
        <w:t xml:space="preserve">Tjelesna </w:t>
      </w:r>
      <w:r w:rsidR="000453BE" w:rsidRPr="00E7665A">
        <w:rPr>
          <w:sz w:val="22"/>
          <w:szCs w:val="22"/>
          <w:lang w:val="sr-Latn-ME"/>
        </w:rPr>
        <w:t xml:space="preserve">masa </w:t>
      </w:r>
      <w:r w:rsidRPr="00E7665A">
        <w:rPr>
          <w:sz w:val="22"/>
          <w:szCs w:val="22"/>
          <w:lang w:val="sr-Latn-ME"/>
        </w:rPr>
        <w:t>≥ 45 kg)</w:t>
      </w:r>
    </w:p>
    <w:p w:rsidR="000453BE" w:rsidRPr="00E7665A" w:rsidRDefault="000453BE" w:rsidP="00BF3E6B">
      <w:pPr>
        <w:ind w:firstLine="567"/>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Indikaciju za terapiju </w:t>
      </w:r>
      <w:r w:rsidR="000453BE"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i pojedinačnu dozu treba odrediti iz potrebne količine prethodno date krvi i endogene rezerve crvenih krvnih </w:t>
      </w:r>
      <w:r w:rsidR="000453BE" w:rsidRPr="00E7665A">
        <w:rPr>
          <w:sz w:val="22"/>
          <w:szCs w:val="22"/>
          <w:lang w:val="sr-Latn-ME"/>
        </w:rPr>
        <w:t xml:space="preserve">ćelija </w:t>
      </w:r>
      <w:r w:rsidRPr="00E7665A">
        <w:rPr>
          <w:sz w:val="22"/>
          <w:szCs w:val="22"/>
          <w:lang w:val="sr-Latn-ME"/>
        </w:rPr>
        <w:t xml:space="preserve">po sljedećim grafikonima: </w:t>
      </w:r>
    </w:p>
    <w:p w:rsidR="006D0193" w:rsidRPr="00E7665A" w:rsidRDefault="006D0193">
      <w:pPr>
        <w:rPr>
          <w:sz w:val="22"/>
          <w:szCs w:val="22"/>
          <w:lang w:val="sr-Latn-ME"/>
        </w:rPr>
      </w:pPr>
      <w:r w:rsidRPr="00E7665A">
        <w:rPr>
          <w:sz w:val="22"/>
          <w:szCs w:val="22"/>
          <w:lang w:val="sr-Latn-ME"/>
        </w:rPr>
        <w:br w:type="page"/>
      </w:r>
    </w:p>
    <w:p w:rsidR="000453BE" w:rsidRPr="00E7665A" w:rsidRDefault="000453BE" w:rsidP="00BF3E6B">
      <w:pPr>
        <w:jc w:val="both"/>
        <w:rPr>
          <w:sz w:val="22"/>
          <w:szCs w:val="22"/>
          <w:lang w:val="sr-Latn-M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8"/>
        <w:gridCol w:w="4227"/>
      </w:tblGrid>
      <w:tr w:rsidR="002E440B" w:rsidRPr="00E7665A" w:rsidTr="00094AC4">
        <w:trPr>
          <w:trHeight w:val="258"/>
        </w:trPr>
        <w:tc>
          <w:tcPr>
            <w:tcW w:w="4268" w:type="dxa"/>
            <w:shd w:val="clear" w:color="auto" w:fill="auto"/>
          </w:tcPr>
          <w:p w:rsidR="002E440B" w:rsidRPr="00E7665A" w:rsidRDefault="002E440B" w:rsidP="00094AC4">
            <w:pPr>
              <w:jc w:val="center"/>
              <w:rPr>
                <w:sz w:val="22"/>
                <w:szCs w:val="22"/>
                <w:lang w:val="sr-Latn-ME"/>
              </w:rPr>
            </w:pPr>
            <w:r w:rsidRPr="00E7665A">
              <w:rPr>
                <w:sz w:val="22"/>
                <w:szCs w:val="22"/>
                <w:lang w:val="sr-Latn-ME"/>
              </w:rPr>
              <w:t>Žene</w:t>
            </w:r>
          </w:p>
        </w:tc>
        <w:tc>
          <w:tcPr>
            <w:tcW w:w="4227" w:type="dxa"/>
            <w:shd w:val="clear" w:color="auto" w:fill="auto"/>
          </w:tcPr>
          <w:p w:rsidR="002E440B" w:rsidRPr="00E7665A" w:rsidRDefault="002E440B" w:rsidP="00094AC4">
            <w:pPr>
              <w:jc w:val="center"/>
              <w:rPr>
                <w:sz w:val="22"/>
                <w:szCs w:val="22"/>
                <w:lang w:val="sr-Latn-ME"/>
              </w:rPr>
            </w:pPr>
            <w:r w:rsidRPr="00E7665A">
              <w:rPr>
                <w:sz w:val="22"/>
                <w:szCs w:val="22"/>
                <w:lang w:val="sr-Latn-ME"/>
              </w:rPr>
              <w:t>Muškarci</w:t>
            </w:r>
          </w:p>
        </w:tc>
      </w:tr>
      <w:tr w:rsidR="002E440B" w:rsidRPr="00E7665A" w:rsidTr="00094AC4">
        <w:trPr>
          <w:trHeight w:val="484"/>
        </w:trPr>
        <w:tc>
          <w:tcPr>
            <w:tcW w:w="4268" w:type="dxa"/>
            <w:shd w:val="clear" w:color="auto" w:fill="auto"/>
          </w:tcPr>
          <w:p w:rsidR="002E440B" w:rsidRPr="00E7665A" w:rsidRDefault="002E440B" w:rsidP="00094AC4">
            <w:pPr>
              <w:jc w:val="center"/>
              <w:rPr>
                <w:sz w:val="22"/>
                <w:szCs w:val="22"/>
                <w:lang w:val="sr-Latn-ME"/>
              </w:rPr>
            </w:pPr>
            <w:r w:rsidRPr="00E7665A">
              <w:rPr>
                <w:sz w:val="22"/>
                <w:szCs w:val="22"/>
                <w:lang w:val="sr-Latn-ME"/>
              </w:rPr>
              <w:t>Potrebna količina prethodno date krvi</w:t>
            </w:r>
          </w:p>
          <w:p w:rsidR="002E440B" w:rsidRPr="00E7665A" w:rsidRDefault="002E440B" w:rsidP="00094AC4">
            <w:pPr>
              <w:jc w:val="center"/>
              <w:rPr>
                <w:sz w:val="22"/>
                <w:szCs w:val="22"/>
                <w:lang w:val="sr-Latn-ME"/>
              </w:rPr>
            </w:pPr>
            <w:r w:rsidRPr="00E7665A">
              <w:rPr>
                <w:sz w:val="22"/>
                <w:szCs w:val="22"/>
                <w:lang w:val="sr-Latn-ME"/>
              </w:rPr>
              <w:t>(u jedinicama)</w:t>
            </w:r>
          </w:p>
        </w:tc>
        <w:tc>
          <w:tcPr>
            <w:tcW w:w="4227" w:type="dxa"/>
            <w:shd w:val="clear" w:color="auto" w:fill="auto"/>
          </w:tcPr>
          <w:p w:rsidR="002E440B" w:rsidRPr="00E7665A" w:rsidRDefault="002E440B" w:rsidP="00094AC4">
            <w:pPr>
              <w:jc w:val="center"/>
              <w:rPr>
                <w:sz w:val="22"/>
                <w:szCs w:val="22"/>
                <w:lang w:val="sr-Latn-ME"/>
              </w:rPr>
            </w:pPr>
            <w:r w:rsidRPr="00E7665A">
              <w:rPr>
                <w:sz w:val="22"/>
                <w:szCs w:val="22"/>
                <w:lang w:val="sr-Latn-ME"/>
              </w:rPr>
              <w:t>Potrebna količina prethodno date krvi</w:t>
            </w:r>
          </w:p>
          <w:p w:rsidR="002E440B" w:rsidRPr="00E7665A" w:rsidRDefault="002E440B" w:rsidP="00094AC4">
            <w:pPr>
              <w:jc w:val="center"/>
              <w:rPr>
                <w:sz w:val="22"/>
                <w:szCs w:val="22"/>
                <w:lang w:val="sr-Latn-ME"/>
              </w:rPr>
            </w:pPr>
            <w:r w:rsidRPr="00E7665A">
              <w:rPr>
                <w:sz w:val="22"/>
                <w:szCs w:val="22"/>
                <w:lang w:val="sr-Latn-ME"/>
              </w:rPr>
              <w:t>(u jedinicama)</w:t>
            </w:r>
          </w:p>
        </w:tc>
      </w:tr>
    </w:tbl>
    <w:p w:rsidR="002E440B" w:rsidRPr="00E7665A" w:rsidRDefault="002E440B" w:rsidP="00BF3E6B">
      <w:pPr>
        <w:jc w:val="both"/>
        <w:rPr>
          <w:sz w:val="22"/>
          <w:szCs w:val="22"/>
          <w:lang w:val="sr-Latn-ME"/>
        </w:rPr>
      </w:pPr>
      <w:r w:rsidRPr="00E7665A">
        <w:rPr>
          <w:noProof/>
          <w:sz w:val="22"/>
          <w:szCs w:val="22"/>
          <w:lang w:val="sr-Latn-ME" w:eastAsia="sr-Latn-ME"/>
        </w:rPr>
        <w:drawing>
          <wp:inline distT="0" distB="0" distL="0" distR="0">
            <wp:extent cx="5591175" cy="2647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2647950"/>
                    </a:xfrm>
                    <a:prstGeom prst="rect">
                      <a:avLst/>
                    </a:prstGeom>
                    <a:noFill/>
                    <a:ln>
                      <a:noFill/>
                    </a:ln>
                  </pic:spPr>
                </pic:pic>
              </a:graphicData>
            </a:graphic>
          </wp:inline>
        </w:drawing>
      </w:r>
    </w:p>
    <w:p w:rsidR="000A4BF1" w:rsidRPr="00E7665A" w:rsidRDefault="000A4BF1" w:rsidP="00BF3E6B">
      <w:pP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214"/>
      </w:tblGrid>
      <w:tr w:rsidR="002E440B" w:rsidRPr="00E7665A" w:rsidTr="00094AC4">
        <w:tc>
          <w:tcPr>
            <w:tcW w:w="4428" w:type="dxa"/>
            <w:shd w:val="clear" w:color="auto" w:fill="auto"/>
          </w:tcPr>
          <w:p w:rsidR="002E440B" w:rsidRPr="00E7665A" w:rsidRDefault="000A4BF1" w:rsidP="00BF3E6B">
            <w:pPr>
              <w:jc w:val="both"/>
              <w:rPr>
                <w:sz w:val="22"/>
                <w:szCs w:val="22"/>
                <w:lang w:val="sr-Latn-ME"/>
              </w:rPr>
            </w:pPr>
            <w:r w:rsidRPr="00E7665A">
              <w:rPr>
                <w:sz w:val="22"/>
                <w:szCs w:val="22"/>
                <w:lang w:val="sr-Latn-ME"/>
              </w:rPr>
              <w:t xml:space="preserve">        </w:t>
            </w:r>
            <w:r w:rsidR="002E440B" w:rsidRPr="00E7665A">
              <w:rPr>
                <w:sz w:val="22"/>
                <w:szCs w:val="22"/>
                <w:lang w:val="sr-Latn-ME"/>
              </w:rPr>
              <w:t xml:space="preserve">Endogena rezerva </w:t>
            </w:r>
            <w:proofErr w:type="spellStart"/>
            <w:r w:rsidR="002E440B" w:rsidRPr="00E7665A">
              <w:rPr>
                <w:sz w:val="22"/>
                <w:szCs w:val="22"/>
                <w:lang w:val="sr-Latn-ME"/>
              </w:rPr>
              <w:t>eritrocita</w:t>
            </w:r>
            <w:proofErr w:type="spellEnd"/>
            <w:r w:rsidR="002E440B" w:rsidRPr="00E7665A">
              <w:rPr>
                <w:sz w:val="22"/>
                <w:szCs w:val="22"/>
                <w:lang w:val="sr-Latn-ME"/>
              </w:rPr>
              <w:t xml:space="preserve"> [ml]</w:t>
            </w:r>
          </w:p>
        </w:tc>
        <w:tc>
          <w:tcPr>
            <w:tcW w:w="4214" w:type="dxa"/>
            <w:shd w:val="clear" w:color="auto" w:fill="auto"/>
          </w:tcPr>
          <w:p w:rsidR="002E440B" w:rsidRPr="00E7665A" w:rsidRDefault="000A4BF1" w:rsidP="00BF3E6B">
            <w:pPr>
              <w:jc w:val="both"/>
              <w:rPr>
                <w:sz w:val="22"/>
                <w:szCs w:val="22"/>
                <w:lang w:val="sr-Latn-ME"/>
              </w:rPr>
            </w:pPr>
            <w:r w:rsidRPr="00E7665A">
              <w:rPr>
                <w:sz w:val="22"/>
                <w:szCs w:val="22"/>
                <w:lang w:val="sr-Latn-ME"/>
              </w:rPr>
              <w:t xml:space="preserve">                   </w:t>
            </w:r>
            <w:r w:rsidR="002E440B" w:rsidRPr="00E7665A">
              <w:rPr>
                <w:sz w:val="22"/>
                <w:szCs w:val="22"/>
                <w:lang w:val="sr-Latn-ME"/>
              </w:rPr>
              <w:t xml:space="preserve">Endogena rezerva </w:t>
            </w:r>
            <w:proofErr w:type="spellStart"/>
            <w:r w:rsidR="002E440B" w:rsidRPr="00E7665A">
              <w:rPr>
                <w:sz w:val="22"/>
                <w:szCs w:val="22"/>
                <w:lang w:val="sr-Latn-ME"/>
              </w:rPr>
              <w:t>eritrocita</w:t>
            </w:r>
            <w:proofErr w:type="spellEnd"/>
            <w:r w:rsidR="002E440B" w:rsidRPr="00E7665A">
              <w:rPr>
                <w:sz w:val="22"/>
                <w:szCs w:val="22"/>
                <w:lang w:val="sr-Latn-ME"/>
              </w:rPr>
              <w:t xml:space="preserve"> [ml]</w:t>
            </w:r>
          </w:p>
        </w:tc>
      </w:tr>
    </w:tbl>
    <w:p w:rsidR="000453BE" w:rsidRPr="00E7665A" w:rsidRDefault="000453BE"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Pojedinačna doza koja se ovako utvrdi daje se dva puta nedjeljno tokom 4 nedjelje. Maksimalna doza ne treba da pređe 1600 </w:t>
      </w:r>
      <w:proofErr w:type="spellStart"/>
      <w:r w:rsidR="000453BE" w:rsidRPr="00E7665A">
        <w:rPr>
          <w:sz w:val="22"/>
          <w:szCs w:val="22"/>
          <w:lang w:val="sr-Latn-ME"/>
        </w:rPr>
        <w:t>i.j</w:t>
      </w:r>
      <w:proofErr w:type="spellEnd"/>
      <w:r w:rsidR="000453BE" w:rsidRPr="00E7665A">
        <w:rPr>
          <w:sz w:val="22"/>
          <w:szCs w:val="22"/>
          <w:lang w:val="sr-Latn-ME"/>
        </w:rPr>
        <w:t>.</w:t>
      </w:r>
      <w:r w:rsidRPr="00E7665A">
        <w:rPr>
          <w:sz w:val="22"/>
          <w:szCs w:val="22"/>
          <w:lang w:val="sr-Latn-ME"/>
        </w:rPr>
        <w:t xml:space="preserve">/kg za </w:t>
      </w:r>
      <w:proofErr w:type="spellStart"/>
      <w:r w:rsidRPr="00E7665A">
        <w:rPr>
          <w:sz w:val="22"/>
          <w:szCs w:val="22"/>
          <w:lang w:val="sr-Latn-ME"/>
        </w:rPr>
        <w:t>intravensku</w:t>
      </w:r>
      <w:proofErr w:type="spellEnd"/>
      <w:r w:rsidRPr="00E7665A">
        <w:rPr>
          <w:sz w:val="22"/>
          <w:szCs w:val="22"/>
          <w:lang w:val="sr-Latn-ME"/>
        </w:rPr>
        <w:t xml:space="preserve">, odnosno 1200 </w:t>
      </w:r>
      <w:proofErr w:type="spellStart"/>
      <w:r w:rsidR="000453BE" w:rsidRPr="00E7665A">
        <w:rPr>
          <w:sz w:val="22"/>
          <w:szCs w:val="22"/>
          <w:lang w:val="sr-Latn-ME"/>
        </w:rPr>
        <w:t>i.j</w:t>
      </w:r>
      <w:proofErr w:type="spellEnd"/>
      <w:r w:rsidR="000453BE" w:rsidRPr="00E7665A">
        <w:rPr>
          <w:sz w:val="22"/>
          <w:szCs w:val="22"/>
          <w:lang w:val="sr-Latn-ME"/>
        </w:rPr>
        <w:t>.</w:t>
      </w:r>
      <w:r w:rsidRPr="00E7665A">
        <w:rPr>
          <w:sz w:val="22"/>
          <w:szCs w:val="22"/>
          <w:lang w:val="sr-Latn-ME"/>
        </w:rPr>
        <w:t xml:space="preserve">/kg  tjelesne </w:t>
      </w:r>
      <w:r w:rsidR="000453BE" w:rsidRPr="00E7665A">
        <w:rPr>
          <w:sz w:val="22"/>
          <w:szCs w:val="22"/>
          <w:lang w:val="sr-Latn-ME"/>
        </w:rPr>
        <w:t xml:space="preserve">mase </w:t>
      </w:r>
      <w:r w:rsidRPr="00E7665A">
        <w:rPr>
          <w:sz w:val="22"/>
          <w:szCs w:val="22"/>
          <w:lang w:val="sr-Latn-ME"/>
        </w:rPr>
        <w:t xml:space="preserve">nedjeljno za </w:t>
      </w:r>
      <w:proofErr w:type="spellStart"/>
      <w:r w:rsidRPr="00E7665A">
        <w:rPr>
          <w:sz w:val="22"/>
          <w:szCs w:val="22"/>
          <w:lang w:val="sr-Latn-ME"/>
        </w:rPr>
        <w:t>subkutanu</w:t>
      </w:r>
      <w:proofErr w:type="spellEnd"/>
      <w:r w:rsidRPr="00E7665A">
        <w:rPr>
          <w:sz w:val="22"/>
          <w:szCs w:val="22"/>
          <w:lang w:val="sr-Latn-ME"/>
        </w:rPr>
        <w:t xml:space="preserve"> primjenu. </w:t>
      </w:r>
    </w:p>
    <w:p w:rsidR="002E440B" w:rsidRPr="00E7665A" w:rsidRDefault="002E440B" w:rsidP="00BF3E6B">
      <w:pPr>
        <w:tabs>
          <w:tab w:val="left" w:pos="540"/>
          <w:tab w:val="left" w:pos="569"/>
        </w:tabs>
        <w:jc w:val="both"/>
        <w:rPr>
          <w:bCs/>
          <w:sz w:val="22"/>
          <w:szCs w:val="22"/>
          <w:u w:val="single"/>
          <w:lang w:val="sr-Latn-ME"/>
        </w:rPr>
      </w:pPr>
    </w:p>
    <w:p w:rsidR="00452E9D" w:rsidRPr="00E7665A" w:rsidRDefault="00452E9D" w:rsidP="00BF3E6B">
      <w:pPr>
        <w:tabs>
          <w:tab w:val="left" w:pos="540"/>
          <w:tab w:val="left" w:pos="569"/>
        </w:tabs>
        <w:jc w:val="both"/>
        <w:rPr>
          <w:bCs/>
          <w:sz w:val="22"/>
          <w:szCs w:val="22"/>
          <w:u w:val="single"/>
          <w:lang w:val="sr-Latn-ME"/>
        </w:rPr>
      </w:pPr>
      <w:r w:rsidRPr="00E7665A">
        <w:rPr>
          <w:bCs/>
          <w:sz w:val="22"/>
          <w:szCs w:val="22"/>
          <w:u w:val="single"/>
          <w:lang w:val="sr-Latn-ME"/>
        </w:rPr>
        <w:t>Način primjene</w:t>
      </w:r>
    </w:p>
    <w:p w:rsidR="00452E9D" w:rsidRPr="00E7665A" w:rsidRDefault="00452E9D" w:rsidP="00BF3E6B">
      <w:pPr>
        <w:tabs>
          <w:tab w:val="left" w:pos="540"/>
          <w:tab w:val="left" w:pos="569"/>
        </w:tabs>
        <w:jc w:val="both"/>
        <w:rPr>
          <w:bCs/>
          <w:sz w:val="22"/>
          <w:szCs w:val="22"/>
          <w:lang w:val="sr-Latn-ME"/>
        </w:rPr>
      </w:pPr>
    </w:p>
    <w:p w:rsidR="002E440B" w:rsidRPr="00E7665A" w:rsidRDefault="000453BE" w:rsidP="00BF3E6B">
      <w:pPr>
        <w:jc w:val="both"/>
        <w:rPr>
          <w:bCs/>
          <w:sz w:val="22"/>
          <w:szCs w:val="22"/>
          <w:lang w:val="sr-Latn-ME"/>
        </w:rPr>
      </w:pPr>
      <w:r w:rsidRPr="00E7665A">
        <w:rPr>
          <w:sz w:val="22"/>
          <w:szCs w:val="22"/>
          <w:lang w:val="sr-Latn-ME"/>
        </w:rPr>
        <w:t xml:space="preserve">Lijek </w:t>
      </w:r>
      <w:proofErr w:type="spellStart"/>
      <w:r w:rsidR="00980E2B" w:rsidRPr="00E7665A">
        <w:rPr>
          <w:sz w:val="22"/>
          <w:szCs w:val="22"/>
          <w:lang w:val="sr-Latn-ME"/>
        </w:rPr>
        <w:t>NeoRecormon</w:t>
      </w:r>
      <w:proofErr w:type="spellEnd"/>
      <w:r w:rsidR="002E440B" w:rsidRPr="00E7665A">
        <w:rPr>
          <w:sz w:val="22"/>
          <w:szCs w:val="22"/>
          <w:lang w:val="sr-Latn-ME"/>
        </w:rPr>
        <w:t xml:space="preserve"> napunjeni špric je spreman za upotrebu. Ubrizgati  jedino rastvor koji je bistar ili blago </w:t>
      </w:r>
      <w:proofErr w:type="spellStart"/>
      <w:r w:rsidR="002E440B" w:rsidRPr="00E7665A">
        <w:rPr>
          <w:sz w:val="22"/>
          <w:szCs w:val="22"/>
          <w:lang w:val="sr-Latn-ME"/>
        </w:rPr>
        <w:t>opalescentan</w:t>
      </w:r>
      <w:proofErr w:type="spellEnd"/>
      <w:r w:rsidR="002E440B" w:rsidRPr="00E7665A">
        <w:rPr>
          <w:sz w:val="22"/>
          <w:szCs w:val="22"/>
          <w:lang w:val="sr-Latn-ME"/>
        </w:rPr>
        <w:t xml:space="preserve">, bezbojan i praktično bez vidljivih čestica. </w:t>
      </w:r>
      <w:r w:rsidRPr="00E7665A">
        <w:rPr>
          <w:sz w:val="22"/>
          <w:szCs w:val="22"/>
          <w:lang w:val="sr-Latn-ME"/>
        </w:rPr>
        <w:t xml:space="preserve">Lijek </w:t>
      </w:r>
      <w:proofErr w:type="spellStart"/>
      <w:r w:rsidR="00980E2B" w:rsidRPr="00E7665A">
        <w:rPr>
          <w:sz w:val="22"/>
          <w:szCs w:val="22"/>
          <w:lang w:val="sr-Latn-ME"/>
        </w:rPr>
        <w:t>NeoRecormon</w:t>
      </w:r>
      <w:proofErr w:type="spellEnd"/>
      <w:r w:rsidR="002E440B" w:rsidRPr="00E7665A">
        <w:rPr>
          <w:sz w:val="22"/>
          <w:szCs w:val="22"/>
          <w:lang w:val="sr-Latn-ME"/>
        </w:rPr>
        <w:t xml:space="preserve"> napunjeni špric je sterilan rastvor, ali </w:t>
      </w:r>
      <w:r w:rsidRPr="00E7665A">
        <w:rPr>
          <w:sz w:val="22"/>
          <w:szCs w:val="22"/>
          <w:lang w:val="sr-Latn-ME"/>
        </w:rPr>
        <w:t>bez</w:t>
      </w:r>
      <w:r w:rsidR="002E440B" w:rsidRPr="00E7665A">
        <w:rPr>
          <w:sz w:val="22"/>
          <w:szCs w:val="22"/>
          <w:lang w:val="sr-Latn-ME"/>
        </w:rPr>
        <w:t xml:space="preserve"> </w:t>
      </w:r>
      <w:proofErr w:type="spellStart"/>
      <w:r w:rsidR="002E440B" w:rsidRPr="00E7665A">
        <w:rPr>
          <w:sz w:val="22"/>
          <w:szCs w:val="22"/>
          <w:lang w:val="sr-Latn-ME"/>
        </w:rPr>
        <w:t>konzervans</w:t>
      </w:r>
      <w:r w:rsidRPr="00E7665A">
        <w:rPr>
          <w:sz w:val="22"/>
          <w:szCs w:val="22"/>
          <w:lang w:val="sr-Latn-ME"/>
        </w:rPr>
        <w:t>a</w:t>
      </w:r>
      <w:proofErr w:type="spellEnd"/>
      <w:r w:rsidR="002E440B" w:rsidRPr="00E7665A">
        <w:rPr>
          <w:sz w:val="22"/>
          <w:szCs w:val="22"/>
          <w:lang w:val="sr-Latn-ME"/>
        </w:rPr>
        <w:t xml:space="preserve">. Ni u kojem slučaju ne smije se upotrebljavati za više od jedne doze; ovaj medicinski proizvod je isključivo za </w:t>
      </w:r>
      <w:r w:rsidRPr="00E7665A">
        <w:rPr>
          <w:sz w:val="22"/>
          <w:szCs w:val="22"/>
          <w:lang w:val="sr-Latn-ME"/>
        </w:rPr>
        <w:t>pojedinačnu primjenu</w:t>
      </w:r>
      <w:r w:rsidR="002E440B" w:rsidRPr="00E7665A">
        <w:rPr>
          <w:sz w:val="22"/>
          <w:szCs w:val="22"/>
          <w:lang w:val="sr-Latn-ME"/>
        </w:rPr>
        <w:t>.</w:t>
      </w:r>
      <w:r w:rsidR="002E440B" w:rsidRPr="00E7665A">
        <w:rPr>
          <w:bCs/>
          <w:sz w:val="22"/>
          <w:szCs w:val="22"/>
          <w:lang w:val="sr-Latn-ME"/>
        </w:rPr>
        <w:t xml:space="preserve"> </w:t>
      </w:r>
    </w:p>
    <w:p w:rsidR="002E440B" w:rsidRPr="00E7665A" w:rsidRDefault="002E440B" w:rsidP="00BF3E6B">
      <w:pPr>
        <w:tabs>
          <w:tab w:val="left" w:pos="540"/>
          <w:tab w:val="left" w:pos="569"/>
        </w:tabs>
        <w:jc w:val="both"/>
        <w:rPr>
          <w:bCs/>
          <w:sz w:val="22"/>
          <w:szCs w:val="22"/>
          <w:lang w:val="sr-Latn-ME"/>
        </w:rPr>
      </w:pPr>
    </w:p>
    <w:p w:rsidR="00411B4B" w:rsidRPr="00E7665A" w:rsidRDefault="00411B4B" w:rsidP="00BF3E6B">
      <w:pPr>
        <w:tabs>
          <w:tab w:val="left" w:pos="540"/>
          <w:tab w:val="left" w:pos="569"/>
        </w:tabs>
        <w:jc w:val="both"/>
        <w:rPr>
          <w:b/>
          <w:bCs/>
          <w:sz w:val="22"/>
          <w:szCs w:val="22"/>
          <w:lang w:val="sr-Latn-ME"/>
        </w:rPr>
      </w:pPr>
      <w:r w:rsidRPr="00E7665A">
        <w:rPr>
          <w:b/>
          <w:bCs/>
          <w:sz w:val="22"/>
          <w:szCs w:val="22"/>
          <w:lang w:val="sr-Latn-ME"/>
        </w:rPr>
        <w:t xml:space="preserve">4.3. </w:t>
      </w:r>
      <w:r w:rsidR="00480FB1" w:rsidRPr="00E7665A">
        <w:rPr>
          <w:b/>
          <w:bCs/>
          <w:sz w:val="22"/>
          <w:szCs w:val="22"/>
          <w:lang w:val="sr-Latn-ME"/>
        </w:rPr>
        <w:tab/>
      </w:r>
      <w:proofErr w:type="spellStart"/>
      <w:r w:rsidRPr="00E7665A">
        <w:rPr>
          <w:b/>
          <w:bCs/>
          <w:sz w:val="22"/>
          <w:szCs w:val="22"/>
          <w:lang w:val="sr-Latn-ME"/>
        </w:rPr>
        <w:t>Kontraindikacije</w:t>
      </w:r>
      <w:proofErr w:type="spellEnd"/>
    </w:p>
    <w:p w:rsidR="0072020E" w:rsidRPr="00E7665A" w:rsidRDefault="0072020E" w:rsidP="00BF3E6B">
      <w:pPr>
        <w:tabs>
          <w:tab w:val="left" w:pos="540"/>
          <w:tab w:val="left" w:pos="569"/>
        </w:tabs>
        <w:jc w:val="both"/>
        <w:rPr>
          <w:bCs/>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Preosjetljivost (</w:t>
      </w:r>
      <w:proofErr w:type="spellStart"/>
      <w:r w:rsidRPr="00E7665A">
        <w:rPr>
          <w:sz w:val="22"/>
          <w:szCs w:val="22"/>
          <w:lang w:val="sr-Latn-ME"/>
        </w:rPr>
        <w:t>hiperosjetljivost</w:t>
      </w:r>
      <w:proofErr w:type="spellEnd"/>
      <w:r w:rsidRPr="00E7665A">
        <w:rPr>
          <w:sz w:val="22"/>
          <w:szCs w:val="22"/>
          <w:lang w:val="sr-Latn-ME"/>
        </w:rPr>
        <w:t>) na aktivnu supstancu ili bilo koju od pomoćnih supstanci navedenih u dijelu 6.1.</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Loše kontrolisana hipertenzija.</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U indikaciji “povećanje </w:t>
      </w:r>
      <w:proofErr w:type="spellStart"/>
      <w:r w:rsidRPr="00E7665A">
        <w:rPr>
          <w:sz w:val="22"/>
          <w:szCs w:val="22"/>
          <w:lang w:val="sr-Latn-ME"/>
        </w:rPr>
        <w:t>udjela</w:t>
      </w:r>
      <w:proofErr w:type="spellEnd"/>
      <w:r w:rsidRPr="00E7665A">
        <w:rPr>
          <w:sz w:val="22"/>
          <w:szCs w:val="22"/>
          <w:lang w:val="sr-Latn-ME"/>
        </w:rPr>
        <w:t xml:space="preserve"> autologne krvi“: infarkt </w:t>
      </w:r>
      <w:proofErr w:type="spellStart"/>
      <w:r w:rsidRPr="00E7665A">
        <w:rPr>
          <w:sz w:val="22"/>
          <w:szCs w:val="22"/>
          <w:lang w:val="sr-Latn-ME"/>
        </w:rPr>
        <w:t>miokarda</w:t>
      </w:r>
      <w:proofErr w:type="spellEnd"/>
      <w:r w:rsidRPr="00E7665A">
        <w:rPr>
          <w:sz w:val="22"/>
          <w:szCs w:val="22"/>
          <w:lang w:val="sr-Latn-ME"/>
        </w:rPr>
        <w:t xml:space="preserve"> ili moždani udar u mjesecu koji prethodi liječenju, nestabilna angina </w:t>
      </w:r>
      <w:proofErr w:type="spellStart"/>
      <w:r w:rsidRPr="00E7665A">
        <w:rPr>
          <w:sz w:val="22"/>
          <w:szCs w:val="22"/>
          <w:lang w:val="sr-Latn-ME"/>
        </w:rPr>
        <w:t>pektoris</w:t>
      </w:r>
      <w:proofErr w:type="spellEnd"/>
      <w:r w:rsidRPr="00E7665A">
        <w:rPr>
          <w:sz w:val="22"/>
          <w:szCs w:val="22"/>
          <w:lang w:val="sr-Latn-ME"/>
        </w:rPr>
        <w:t xml:space="preserve"> ili povećani rizik od tromboze dubokih vena poput venske </w:t>
      </w:r>
      <w:proofErr w:type="spellStart"/>
      <w:r w:rsidRPr="00E7665A">
        <w:rPr>
          <w:sz w:val="22"/>
          <w:szCs w:val="22"/>
          <w:lang w:val="sr-Latn-ME"/>
        </w:rPr>
        <w:t>tromboembolije</w:t>
      </w:r>
      <w:proofErr w:type="spellEnd"/>
      <w:r w:rsidRPr="00E7665A">
        <w:rPr>
          <w:sz w:val="22"/>
          <w:szCs w:val="22"/>
          <w:lang w:val="sr-Latn-ME"/>
        </w:rPr>
        <w:t xml:space="preserve"> u istoriji bolesti.</w:t>
      </w:r>
    </w:p>
    <w:p w:rsidR="002E440B" w:rsidRPr="00E7665A" w:rsidRDefault="002E440B" w:rsidP="00BF3E6B">
      <w:pPr>
        <w:tabs>
          <w:tab w:val="left" w:pos="540"/>
          <w:tab w:val="left" w:pos="569"/>
        </w:tabs>
        <w:jc w:val="both"/>
        <w:rPr>
          <w:bCs/>
          <w:sz w:val="22"/>
          <w:szCs w:val="22"/>
          <w:lang w:val="sr-Latn-ME"/>
        </w:rPr>
      </w:pPr>
    </w:p>
    <w:p w:rsidR="00411B4B" w:rsidRPr="00E7665A" w:rsidRDefault="00411B4B" w:rsidP="00BF3E6B">
      <w:pPr>
        <w:tabs>
          <w:tab w:val="left" w:pos="540"/>
          <w:tab w:val="left" w:pos="569"/>
        </w:tabs>
        <w:jc w:val="both"/>
        <w:rPr>
          <w:b/>
          <w:bCs/>
          <w:sz w:val="22"/>
          <w:szCs w:val="22"/>
          <w:lang w:val="sr-Latn-ME"/>
        </w:rPr>
      </w:pPr>
      <w:r w:rsidRPr="00E7665A">
        <w:rPr>
          <w:b/>
          <w:bCs/>
          <w:sz w:val="22"/>
          <w:szCs w:val="22"/>
          <w:lang w:val="sr-Latn-ME"/>
        </w:rPr>
        <w:t xml:space="preserve">4.4. </w:t>
      </w:r>
      <w:r w:rsidR="00480FB1" w:rsidRPr="00E7665A">
        <w:rPr>
          <w:b/>
          <w:bCs/>
          <w:sz w:val="22"/>
          <w:szCs w:val="22"/>
          <w:lang w:val="sr-Latn-ME"/>
        </w:rPr>
        <w:tab/>
      </w:r>
      <w:r w:rsidRPr="00E7665A">
        <w:rPr>
          <w:b/>
          <w:bCs/>
          <w:sz w:val="22"/>
          <w:szCs w:val="22"/>
          <w:lang w:val="sr-Latn-ME"/>
        </w:rPr>
        <w:t>Posebna upozorenja i mjere opreza pri upotrebi lijeka</w:t>
      </w:r>
    </w:p>
    <w:p w:rsidR="000453BE" w:rsidRPr="00E7665A" w:rsidRDefault="000453BE" w:rsidP="00BF3E6B">
      <w:pPr>
        <w:tabs>
          <w:tab w:val="left" w:pos="540"/>
          <w:tab w:val="left" w:pos="569"/>
        </w:tabs>
        <w:jc w:val="both"/>
        <w:rPr>
          <w:b/>
          <w:bCs/>
          <w:sz w:val="22"/>
          <w:szCs w:val="22"/>
          <w:lang w:val="sr-Latn-ME"/>
        </w:rPr>
      </w:pPr>
    </w:p>
    <w:p w:rsidR="000453BE" w:rsidRPr="00E7665A" w:rsidRDefault="000453BE" w:rsidP="000453BE">
      <w:pPr>
        <w:tabs>
          <w:tab w:val="left" w:pos="540"/>
          <w:tab w:val="left" w:pos="569"/>
        </w:tabs>
        <w:jc w:val="both"/>
        <w:rPr>
          <w:bCs/>
          <w:sz w:val="22"/>
          <w:szCs w:val="22"/>
          <w:lang w:val="sr-Latn-ME"/>
        </w:rPr>
      </w:pPr>
      <w:proofErr w:type="spellStart"/>
      <w:r w:rsidRPr="00E7665A">
        <w:rPr>
          <w:bCs/>
          <w:sz w:val="22"/>
          <w:szCs w:val="22"/>
          <w:lang w:val="sr-Latn-ME"/>
        </w:rPr>
        <w:t>Sljed</w:t>
      </w:r>
      <w:r w:rsidR="000A4BF1" w:rsidRPr="00E7665A">
        <w:rPr>
          <w:bCs/>
          <w:sz w:val="22"/>
          <w:szCs w:val="22"/>
          <w:lang w:val="sr-Latn-ME"/>
        </w:rPr>
        <w:t>lji</w:t>
      </w:r>
      <w:r w:rsidRPr="00E7665A">
        <w:rPr>
          <w:bCs/>
          <w:sz w:val="22"/>
          <w:szCs w:val="22"/>
          <w:lang w:val="sr-Latn-ME"/>
        </w:rPr>
        <w:t>vost</w:t>
      </w:r>
      <w:proofErr w:type="spellEnd"/>
    </w:p>
    <w:p w:rsidR="000453BE" w:rsidRPr="00E7665A" w:rsidRDefault="000453BE" w:rsidP="000453BE">
      <w:pPr>
        <w:tabs>
          <w:tab w:val="left" w:pos="540"/>
          <w:tab w:val="left" w:pos="569"/>
        </w:tabs>
        <w:jc w:val="both"/>
        <w:rPr>
          <w:bCs/>
          <w:sz w:val="22"/>
          <w:szCs w:val="22"/>
          <w:lang w:val="sr-Latn-ME"/>
        </w:rPr>
      </w:pPr>
      <w:r w:rsidRPr="00E7665A">
        <w:rPr>
          <w:bCs/>
          <w:sz w:val="22"/>
          <w:szCs w:val="22"/>
          <w:lang w:val="sr-Latn-ME"/>
        </w:rPr>
        <w:t xml:space="preserve">Kako bi se poboljšala </w:t>
      </w:r>
      <w:proofErr w:type="spellStart"/>
      <w:r w:rsidRPr="00E7665A">
        <w:rPr>
          <w:bCs/>
          <w:sz w:val="22"/>
          <w:szCs w:val="22"/>
          <w:lang w:val="sr-Latn-ME"/>
        </w:rPr>
        <w:t>sljed</w:t>
      </w:r>
      <w:r w:rsidR="000A4BF1" w:rsidRPr="00E7665A">
        <w:rPr>
          <w:bCs/>
          <w:sz w:val="22"/>
          <w:szCs w:val="22"/>
          <w:lang w:val="sr-Latn-ME"/>
        </w:rPr>
        <w:t>lji</w:t>
      </w:r>
      <w:r w:rsidRPr="00E7665A">
        <w:rPr>
          <w:bCs/>
          <w:sz w:val="22"/>
          <w:szCs w:val="22"/>
          <w:lang w:val="sr-Latn-ME"/>
        </w:rPr>
        <w:t>vost</w:t>
      </w:r>
      <w:proofErr w:type="spellEnd"/>
      <w:r w:rsidRPr="00E7665A">
        <w:rPr>
          <w:bCs/>
          <w:sz w:val="22"/>
          <w:szCs w:val="22"/>
          <w:lang w:val="sr-Latn-ME"/>
        </w:rPr>
        <w:t xml:space="preserve"> bioloških ljekova, naziv i broj serije primijenjenog lijeka potrebno je</w:t>
      </w:r>
    </w:p>
    <w:p w:rsidR="000453BE" w:rsidRPr="00E7665A" w:rsidRDefault="000453BE" w:rsidP="000453BE">
      <w:pPr>
        <w:tabs>
          <w:tab w:val="left" w:pos="540"/>
          <w:tab w:val="left" w:pos="569"/>
        </w:tabs>
        <w:jc w:val="both"/>
        <w:rPr>
          <w:bCs/>
          <w:sz w:val="22"/>
          <w:szCs w:val="22"/>
          <w:lang w:val="sr-Latn-ME"/>
        </w:rPr>
      </w:pPr>
      <w:r w:rsidRPr="00E7665A">
        <w:rPr>
          <w:bCs/>
          <w:sz w:val="22"/>
          <w:szCs w:val="22"/>
          <w:lang w:val="sr-Latn-ME"/>
        </w:rPr>
        <w:t>jasno evidentirati.</w:t>
      </w:r>
    </w:p>
    <w:p w:rsidR="0072020E" w:rsidRPr="00E7665A" w:rsidRDefault="0072020E" w:rsidP="00BF3E6B">
      <w:pPr>
        <w:tabs>
          <w:tab w:val="left" w:pos="540"/>
          <w:tab w:val="left" w:pos="569"/>
        </w:tabs>
        <w:jc w:val="both"/>
        <w:rPr>
          <w:bCs/>
          <w:sz w:val="22"/>
          <w:szCs w:val="22"/>
          <w:lang w:val="sr-Latn-ME"/>
        </w:rPr>
      </w:pPr>
    </w:p>
    <w:p w:rsidR="002E440B" w:rsidRPr="00E7665A" w:rsidRDefault="000453BE" w:rsidP="00BF3E6B">
      <w:pPr>
        <w:jc w:val="both"/>
        <w:rPr>
          <w:sz w:val="22"/>
          <w:szCs w:val="22"/>
          <w:lang w:val="sr-Latn-ME"/>
        </w:rPr>
      </w:pPr>
      <w:r w:rsidRPr="00E7665A">
        <w:rPr>
          <w:sz w:val="22"/>
          <w:szCs w:val="22"/>
          <w:lang w:val="sr-Latn-ME"/>
        </w:rPr>
        <w:t xml:space="preserve">Lijek </w:t>
      </w:r>
      <w:proofErr w:type="spellStart"/>
      <w:r w:rsidR="00980E2B" w:rsidRPr="00E7665A">
        <w:rPr>
          <w:sz w:val="22"/>
          <w:szCs w:val="22"/>
          <w:lang w:val="sr-Latn-ME"/>
        </w:rPr>
        <w:t>NeoRecormon</w:t>
      </w:r>
      <w:proofErr w:type="spellEnd"/>
      <w:r w:rsidR="002E440B" w:rsidRPr="00E7665A">
        <w:rPr>
          <w:sz w:val="22"/>
          <w:szCs w:val="22"/>
          <w:lang w:val="sr-Latn-ME"/>
        </w:rPr>
        <w:t xml:space="preserve"> treba koristiti oprezno u slučaju postojanja </w:t>
      </w:r>
      <w:proofErr w:type="spellStart"/>
      <w:r w:rsidR="002E440B" w:rsidRPr="00E7665A">
        <w:rPr>
          <w:sz w:val="22"/>
          <w:szCs w:val="22"/>
          <w:lang w:val="sr-Latn-ME"/>
        </w:rPr>
        <w:t>refraktorne</w:t>
      </w:r>
      <w:proofErr w:type="spellEnd"/>
      <w:r w:rsidR="002E440B" w:rsidRPr="00E7665A">
        <w:rPr>
          <w:sz w:val="22"/>
          <w:szCs w:val="22"/>
          <w:lang w:val="sr-Latn-ME"/>
        </w:rPr>
        <w:t xml:space="preserve"> anemije sa viškom </w:t>
      </w:r>
      <w:proofErr w:type="spellStart"/>
      <w:r w:rsidR="002E440B" w:rsidRPr="00E7665A">
        <w:rPr>
          <w:sz w:val="22"/>
          <w:szCs w:val="22"/>
          <w:lang w:val="sr-Latn-ME"/>
        </w:rPr>
        <w:t>blasta</w:t>
      </w:r>
      <w:proofErr w:type="spellEnd"/>
      <w:r w:rsidR="002E440B" w:rsidRPr="00E7665A">
        <w:rPr>
          <w:sz w:val="22"/>
          <w:szCs w:val="22"/>
          <w:lang w:val="sr-Latn-ME"/>
        </w:rPr>
        <w:t xml:space="preserve"> u transformaciji, epilepsije, </w:t>
      </w:r>
      <w:proofErr w:type="spellStart"/>
      <w:r w:rsidR="002E440B" w:rsidRPr="00E7665A">
        <w:rPr>
          <w:sz w:val="22"/>
          <w:szCs w:val="22"/>
          <w:lang w:val="sr-Latn-ME"/>
        </w:rPr>
        <w:t>trombocitoze</w:t>
      </w:r>
      <w:proofErr w:type="spellEnd"/>
      <w:r w:rsidR="002E440B" w:rsidRPr="00E7665A">
        <w:rPr>
          <w:sz w:val="22"/>
          <w:szCs w:val="22"/>
          <w:lang w:val="sr-Latn-ME"/>
        </w:rPr>
        <w:t xml:space="preserve"> i hronične </w:t>
      </w:r>
      <w:proofErr w:type="spellStart"/>
      <w:r w:rsidR="002E440B" w:rsidRPr="00E7665A">
        <w:rPr>
          <w:sz w:val="22"/>
          <w:szCs w:val="22"/>
          <w:lang w:val="sr-Latn-ME"/>
        </w:rPr>
        <w:t>hepatičke</w:t>
      </w:r>
      <w:proofErr w:type="spellEnd"/>
      <w:r w:rsidR="002E440B" w:rsidRPr="00E7665A">
        <w:rPr>
          <w:sz w:val="22"/>
          <w:szCs w:val="22"/>
          <w:lang w:val="sr-Latn-ME"/>
        </w:rPr>
        <w:t xml:space="preserve"> </w:t>
      </w:r>
      <w:proofErr w:type="spellStart"/>
      <w:r w:rsidR="002E440B" w:rsidRPr="00E7665A">
        <w:rPr>
          <w:sz w:val="22"/>
          <w:szCs w:val="22"/>
          <w:lang w:val="sr-Latn-ME"/>
        </w:rPr>
        <w:t>insuficijencije</w:t>
      </w:r>
      <w:proofErr w:type="spellEnd"/>
      <w:r w:rsidR="002E440B" w:rsidRPr="00E7665A">
        <w:rPr>
          <w:sz w:val="22"/>
          <w:szCs w:val="22"/>
          <w:lang w:val="sr-Latn-ME"/>
        </w:rPr>
        <w:t xml:space="preserve">. Treba isključiti </w:t>
      </w:r>
      <w:proofErr w:type="spellStart"/>
      <w:r w:rsidR="002E440B" w:rsidRPr="00E7665A">
        <w:rPr>
          <w:sz w:val="22"/>
          <w:szCs w:val="22"/>
          <w:lang w:val="sr-Latn-ME"/>
        </w:rPr>
        <w:t>deficijenciju</w:t>
      </w:r>
      <w:proofErr w:type="spellEnd"/>
      <w:r w:rsidR="002E440B" w:rsidRPr="00E7665A">
        <w:rPr>
          <w:sz w:val="22"/>
          <w:szCs w:val="22"/>
          <w:lang w:val="sr-Latn-ME"/>
        </w:rPr>
        <w:t xml:space="preserve"> </w:t>
      </w:r>
      <w:proofErr w:type="spellStart"/>
      <w:r w:rsidR="002E440B" w:rsidRPr="00E7665A">
        <w:rPr>
          <w:sz w:val="22"/>
          <w:szCs w:val="22"/>
          <w:lang w:val="sr-Latn-ME"/>
        </w:rPr>
        <w:t>folne</w:t>
      </w:r>
      <w:proofErr w:type="spellEnd"/>
      <w:r w:rsidR="002E440B" w:rsidRPr="00E7665A">
        <w:rPr>
          <w:sz w:val="22"/>
          <w:szCs w:val="22"/>
          <w:lang w:val="sr-Latn-ME"/>
        </w:rPr>
        <w:t xml:space="preserve"> kiseline i vitamina B</w:t>
      </w:r>
      <w:r w:rsidR="002E440B" w:rsidRPr="00E7665A">
        <w:rPr>
          <w:sz w:val="22"/>
          <w:szCs w:val="22"/>
          <w:vertAlign w:val="subscript"/>
          <w:lang w:val="sr-Latn-ME"/>
        </w:rPr>
        <w:t>12</w:t>
      </w:r>
      <w:r w:rsidR="002E440B" w:rsidRPr="00E7665A">
        <w:rPr>
          <w:sz w:val="22"/>
          <w:szCs w:val="22"/>
          <w:lang w:val="sr-Latn-ME"/>
        </w:rPr>
        <w:t xml:space="preserve">, jer oni smanjuju efikasnost </w:t>
      </w:r>
      <w:r w:rsidRPr="00E7665A">
        <w:rPr>
          <w:sz w:val="22"/>
          <w:szCs w:val="22"/>
          <w:lang w:val="sr-Latn-ME"/>
        </w:rPr>
        <w:t xml:space="preserve">lijeka </w:t>
      </w:r>
      <w:proofErr w:type="spellStart"/>
      <w:r w:rsidR="00980E2B" w:rsidRPr="00E7665A">
        <w:rPr>
          <w:sz w:val="22"/>
          <w:szCs w:val="22"/>
          <w:lang w:val="sr-Latn-ME"/>
        </w:rPr>
        <w:t>NeoRecormon</w:t>
      </w:r>
      <w:proofErr w:type="spellEnd"/>
      <w:r w:rsidR="002E440B" w:rsidRPr="00E7665A">
        <w:rPr>
          <w:sz w:val="22"/>
          <w:szCs w:val="22"/>
          <w:lang w:val="sr-Latn-ME"/>
        </w:rPr>
        <w:t xml:space="preserve">. </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lastRenderedPageBreak/>
        <w:t xml:space="preserve">Potreban je oprez prilikom povećanja doza lijeka </w:t>
      </w:r>
      <w:proofErr w:type="spellStart"/>
      <w:r w:rsidR="00980E2B" w:rsidRPr="00E7665A">
        <w:rPr>
          <w:sz w:val="22"/>
          <w:szCs w:val="22"/>
          <w:lang w:val="sr-Latn-ME"/>
        </w:rPr>
        <w:t>NeoRecormon</w:t>
      </w:r>
      <w:proofErr w:type="spellEnd"/>
      <w:r w:rsidRPr="00E7665A">
        <w:rPr>
          <w:sz w:val="22"/>
          <w:szCs w:val="22"/>
          <w:lang w:val="sr-Latn-ME"/>
        </w:rPr>
        <w:t xml:space="preserve"> kod pacijenata sa hroničnom bubrežnom </w:t>
      </w:r>
      <w:proofErr w:type="spellStart"/>
      <w:r w:rsidRPr="00E7665A">
        <w:rPr>
          <w:sz w:val="22"/>
          <w:szCs w:val="22"/>
          <w:lang w:val="sr-Latn-ME"/>
        </w:rPr>
        <w:t>insuficijencijom</w:t>
      </w:r>
      <w:proofErr w:type="spellEnd"/>
      <w:r w:rsidRPr="00E7665A">
        <w:rPr>
          <w:sz w:val="22"/>
          <w:szCs w:val="22"/>
          <w:lang w:val="sr-Latn-ME"/>
        </w:rPr>
        <w:t xml:space="preserve"> jer visoke kumulativne doze </w:t>
      </w:r>
      <w:proofErr w:type="spellStart"/>
      <w:r w:rsidRPr="00E7665A">
        <w:rPr>
          <w:sz w:val="22"/>
          <w:szCs w:val="22"/>
          <w:lang w:val="sr-Latn-ME"/>
        </w:rPr>
        <w:t>epoetina</w:t>
      </w:r>
      <w:proofErr w:type="spellEnd"/>
      <w:r w:rsidRPr="00E7665A">
        <w:rPr>
          <w:sz w:val="22"/>
          <w:szCs w:val="22"/>
          <w:lang w:val="sr-Latn-ME"/>
        </w:rPr>
        <w:t xml:space="preserve"> mogu da budu povezane sa povećanim rizikom od smrtnosti kao i ozbiljnih </w:t>
      </w:r>
      <w:proofErr w:type="spellStart"/>
      <w:r w:rsidRPr="00E7665A">
        <w:rPr>
          <w:sz w:val="22"/>
          <w:szCs w:val="22"/>
          <w:lang w:val="sr-Latn-ME"/>
        </w:rPr>
        <w:t>kardiovaskularnih</w:t>
      </w:r>
      <w:proofErr w:type="spellEnd"/>
      <w:r w:rsidRPr="00E7665A">
        <w:rPr>
          <w:sz w:val="22"/>
          <w:szCs w:val="22"/>
          <w:lang w:val="sr-Latn-ME"/>
        </w:rPr>
        <w:t xml:space="preserve"> i </w:t>
      </w:r>
      <w:proofErr w:type="spellStart"/>
      <w:r w:rsidRPr="00E7665A">
        <w:rPr>
          <w:sz w:val="22"/>
          <w:szCs w:val="22"/>
          <w:lang w:val="sr-Latn-ME"/>
        </w:rPr>
        <w:t>cerebrovaskularnih</w:t>
      </w:r>
      <w:proofErr w:type="spellEnd"/>
      <w:r w:rsidRPr="00E7665A">
        <w:rPr>
          <w:sz w:val="22"/>
          <w:szCs w:val="22"/>
          <w:lang w:val="sr-Latn-ME"/>
        </w:rPr>
        <w:t xml:space="preserve"> događaja. Kod pacijenata sa slabim hemoglobinskim odgovorom na </w:t>
      </w:r>
      <w:proofErr w:type="spellStart"/>
      <w:r w:rsidRPr="00E7665A">
        <w:rPr>
          <w:sz w:val="22"/>
          <w:szCs w:val="22"/>
          <w:lang w:val="sr-Latn-ME"/>
        </w:rPr>
        <w:t>epoetine</w:t>
      </w:r>
      <w:proofErr w:type="spellEnd"/>
      <w:r w:rsidRPr="00E7665A">
        <w:rPr>
          <w:sz w:val="22"/>
          <w:szCs w:val="22"/>
          <w:lang w:val="sr-Latn-ME"/>
        </w:rPr>
        <w:t xml:space="preserve"> potrebno je razmotriti druga moguća objašnjenja slabog odgovora (vidjeti djelove 4.2 i 5.1).</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Kako bi se osigurala efektivna </w:t>
      </w:r>
      <w:proofErr w:type="spellStart"/>
      <w:r w:rsidRPr="00E7665A">
        <w:rPr>
          <w:sz w:val="22"/>
          <w:szCs w:val="22"/>
          <w:lang w:val="sr-Latn-ME"/>
        </w:rPr>
        <w:t>eritropoeza</w:t>
      </w:r>
      <w:proofErr w:type="spellEnd"/>
      <w:r w:rsidRPr="00E7665A">
        <w:rPr>
          <w:sz w:val="22"/>
          <w:szCs w:val="22"/>
          <w:lang w:val="sr-Latn-ME"/>
        </w:rPr>
        <w:t>, nivo gvož</w:t>
      </w:r>
      <w:r w:rsidR="000A4BF1" w:rsidRPr="00E7665A">
        <w:rPr>
          <w:sz w:val="22"/>
          <w:szCs w:val="22"/>
          <w:lang w:val="sr-Latn-ME"/>
        </w:rPr>
        <w:t>đ</w:t>
      </w:r>
      <w:r w:rsidRPr="00E7665A">
        <w:rPr>
          <w:sz w:val="22"/>
          <w:szCs w:val="22"/>
          <w:lang w:val="sr-Latn-ME"/>
        </w:rPr>
        <w:t>a treba određivati kod svih pacijenata prije i tokom terapije i suplementarna terapija gvož</w:t>
      </w:r>
      <w:r w:rsidR="000A4BF1" w:rsidRPr="00E7665A">
        <w:rPr>
          <w:sz w:val="22"/>
          <w:szCs w:val="22"/>
          <w:lang w:val="sr-Latn-ME"/>
        </w:rPr>
        <w:t>đ</w:t>
      </w:r>
      <w:r w:rsidRPr="00E7665A">
        <w:rPr>
          <w:sz w:val="22"/>
          <w:szCs w:val="22"/>
          <w:lang w:val="sr-Latn-ME"/>
        </w:rPr>
        <w:t xml:space="preserve">em može biti potrebna i treba </w:t>
      </w:r>
      <w:r w:rsidR="009E22D0" w:rsidRPr="00E7665A">
        <w:rPr>
          <w:sz w:val="22"/>
          <w:szCs w:val="22"/>
          <w:lang w:val="sr-Latn-ME"/>
        </w:rPr>
        <w:t xml:space="preserve">da se </w:t>
      </w:r>
      <w:r w:rsidRPr="00E7665A">
        <w:rPr>
          <w:sz w:val="22"/>
          <w:szCs w:val="22"/>
          <w:lang w:val="sr-Latn-ME"/>
        </w:rPr>
        <w:t>primjenj</w:t>
      </w:r>
      <w:r w:rsidR="000A4BF1" w:rsidRPr="00E7665A">
        <w:rPr>
          <w:sz w:val="22"/>
          <w:szCs w:val="22"/>
          <w:lang w:val="sr-Latn-ME"/>
        </w:rPr>
        <w:t>u</w:t>
      </w:r>
      <w:r w:rsidR="009E22D0" w:rsidRPr="00E7665A">
        <w:rPr>
          <w:sz w:val="22"/>
          <w:szCs w:val="22"/>
          <w:lang w:val="sr-Latn-ME"/>
        </w:rPr>
        <w:t xml:space="preserve">je </w:t>
      </w:r>
      <w:r w:rsidRPr="00E7665A">
        <w:rPr>
          <w:sz w:val="22"/>
          <w:szCs w:val="22"/>
          <w:lang w:val="sr-Latn-ME"/>
        </w:rPr>
        <w:t xml:space="preserve">u skladu sa važećim vodičima. </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Teško </w:t>
      </w:r>
      <w:proofErr w:type="spellStart"/>
      <w:r w:rsidRPr="00E7665A">
        <w:rPr>
          <w:sz w:val="22"/>
          <w:szCs w:val="22"/>
          <w:lang w:val="sr-Latn-ME"/>
        </w:rPr>
        <w:t>predoziranje</w:t>
      </w:r>
      <w:proofErr w:type="spellEnd"/>
      <w:r w:rsidRPr="00E7665A">
        <w:rPr>
          <w:sz w:val="22"/>
          <w:szCs w:val="22"/>
          <w:lang w:val="sr-Latn-ME"/>
        </w:rPr>
        <w:t xml:space="preserve"> aluminijumom nastalo zbog terapije bubrežne </w:t>
      </w:r>
      <w:proofErr w:type="spellStart"/>
      <w:r w:rsidRPr="00E7665A">
        <w:rPr>
          <w:sz w:val="22"/>
          <w:szCs w:val="22"/>
          <w:lang w:val="sr-Latn-ME"/>
        </w:rPr>
        <w:t>insuficijencije</w:t>
      </w:r>
      <w:proofErr w:type="spellEnd"/>
      <w:r w:rsidRPr="00E7665A">
        <w:rPr>
          <w:sz w:val="22"/>
          <w:szCs w:val="22"/>
          <w:lang w:val="sr-Latn-ME"/>
        </w:rPr>
        <w:t xml:space="preserve">, može da kompromituje efikasnost lijeka  </w:t>
      </w:r>
      <w:proofErr w:type="spellStart"/>
      <w:r w:rsidR="00980E2B" w:rsidRPr="00E7665A">
        <w:rPr>
          <w:sz w:val="22"/>
          <w:szCs w:val="22"/>
          <w:lang w:val="sr-Latn-ME"/>
        </w:rPr>
        <w:t>NeoRecormon</w:t>
      </w:r>
      <w:proofErr w:type="spellEnd"/>
      <w:r w:rsidRPr="00E7665A">
        <w:rPr>
          <w:sz w:val="22"/>
          <w:szCs w:val="22"/>
          <w:lang w:val="sr-Latn-ME"/>
        </w:rPr>
        <w:t xml:space="preserve">. </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Indikaciju za terapiju lijekom </w:t>
      </w:r>
      <w:proofErr w:type="spellStart"/>
      <w:r w:rsidR="00980E2B" w:rsidRPr="00E7665A">
        <w:rPr>
          <w:sz w:val="22"/>
          <w:szCs w:val="22"/>
          <w:lang w:val="sr-Latn-ME"/>
        </w:rPr>
        <w:t>NeoRecormon</w:t>
      </w:r>
      <w:proofErr w:type="spellEnd"/>
      <w:r w:rsidRPr="00E7665A">
        <w:rPr>
          <w:sz w:val="22"/>
          <w:szCs w:val="22"/>
          <w:lang w:val="sr-Latn-ME"/>
        </w:rPr>
        <w:t xml:space="preserve"> </w:t>
      </w:r>
      <w:r w:rsidR="000A4BF1" w:rsidRPr="00E7665A">
        <w:rPr>
          <w:sz w:val="22"/>
          <w:szCs w:val="22"/>
          <w:lang w:val="sr-Latn-ME"/>
        </w:rPr>
        <w:t xml:space="preserve">kod </w:t>
      </w:r>
      <w:r w:rsidRPr="00E7665A">
        <w:rPr>
          <w:sz w:val="22"/>
          <w:szCs w:val="22"/>
          <w:lang w:val="sr-Latn-ME"/>
        </w:rPr>
        <w:t xml:space="preserve">pacijenata sa </w:t>
      </w:r>
      <w:proofErr w:type="spellStart"/>
      <w:r w:rsidRPr="00E7665A">
        <w:rPr>
          <w:sz w:val="22"/>
          <w:szCs w:val="22"/>
          <w:lang w:val="sr-Latn-ME"/>
        </w:rPr>
        <w:t>nefroskl</w:t>
      </w:r>
      <w:r w:rsidR="000A4BF1" w:rsidRPr="00E7665A">
        <w:rPr>
          <w:sz w:val="22"/>
          <w:szCs w:val="22"/>
          <w:lang w:val="sr-Latn-ME"/>
        </w:rPr>
        <w:t>er</w:t>
      </w:r>
      <w:r w:rsidRPr="00E7665A">
        <w:rPr>
          <w:sz w:val="22"/>
          <w:szCs w:val="22"/>
          <w:lang w:val="sr-Latn-ME"/>
        </w:rPr>
        <w:t>ozom</w:t>
      </w:r>
      <w:proofErr w:type="spellEnd"/>
      <w:r w:rsidR="000A4BF1" w:rsidRPr="00E7665A">
        <w:rPr>
          <w:sz w:val="22"/>
          <w:szCs w:val="22"/>
          <w:lang w:val="sr-Latn-ME"/>
        </w:rPr>
        <w:t>,</w:t>
      </w:r>
      <w:r w:rsidRPr="00E7665A">
        <w:rPr>
          <w:sz w:val="22"/>
          <w:szCs w:val="22"/>
          <w:lang w:val="sr-Latn-ME"/>
        </w:rPr>
        <w:t xml:space="preserve"> koji još nijesu na dijalizi</w:t>
      </w:r>
      <w:r w:rsidR="000A4BF1" w:rsidRPr="00E7665A">
        <w:rPr>
          <w:sz w:val="22"/>
          <w:szCs w:val="22"/>
          <w:lang w:val="sr-Latn-ME"/>
        </w:rPr>
        <w:t>,</w:t>
      </w:r>
      <w:r w:rsidRPr="00E7665A">
        <w:rPr>
          <w:sz w:val="22"/>
          <w:szCs w:val="22"/>
          <w:lang w:val="sr-Latn-ME"/>
        </w:rPr>
        <w:t xml:space="preserve"> treba </w:t>
      </w:r>
      <w:r w:rsidR="000A4BF1" w:rsidRPr="00E7665A">
        <w:rPr>
          <w:sz w:val="22"/>
          <w:szCs w:val="22"/>
          <w:lang w:val="sr-Latn-ME"/>
        </w:rPr>
        <w:t>definisati</w:t>
      </w:r>
      <w:r w:rsidR="009E22D0" w:rsidRPr="00E7665A">
        <w:rPr>
          <w:sz w:val="22"/>
          <w:szCs w:val="22"/>
          <w:lang w:val="sr-Latn-ME"/>
        </w:rPr>
        <w:t xml:space="preserve"> </w:t>
      </w:r>
      <w:r w:rsidRPr="00E7665A">
        <w:rPr>
          <w:sz w:val="22"/>
          <w:szCs w:val="22"/>
          <w:lang w:val="sr-Latn-ME"/>
        </w:rPr>
        <w:t>individualno, budući da se kod tih pacijenata ne može sa sigurnošću isključiti moguće ubrzavanje</w:t>
      </w:r>
      <w:r w:rsidR="003570B1" w:rsidRPr="00E7665A">
        <w:rPr>
          <w:sz w:val="22"/>
          <w:szCs w:val="22"/>
          <w:lang w:val="sr-Latn-ME"/>
        </w:rPr>
        <w:t xml:space="preserve"> </w:t>
      </w:r>
      <w:r w:rsidRPr="00E7665A">
        <w:rPr>
          <w:sz w:val="22"/>
          <w:szCs w:val="22"/>
          <w:lang w:val="sr-Latn-ME"/>
        </w:rPr>
        <w:t xml:space="preserve">progresije bubrežne </w:t>
      </w:r>
      <w:proofErr w:type="spellStart"/>
      <w:r w:rsidRPr="00E7665A">
        <w:rPr>
          <w:sz w:val="22"/>
          <w:szCs w:val="22"/>
          <w:lang w:val="sr-Latn-ME"/>
        </w:rPr>
        <w:t>insuficijencije</w:t>
      </w:r>
      <w:proofErr w:type="spellEnd"/>
      <w:r w:rsidRPr="00E7665A">
        <w:rPr>
          <w:sz w:val="22"/>
          <w:szCs w:val="22"/>
          <w:lang w:val="sr-Latn-ME"/>
        </w:rPr>
        <w:t xml:space="preserve">. </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u w:val="single"/>
          <w:lang w:val="sr-Latn-ME"/>
        </w:rPr>
      </w:pPr>
      <w:r w:rsidRPr="00E7665A">
        <w:rPr>
          <w:sz w:val="22"/>
          <w:szCs w:val="22"/>
          <w:u w:val="single"/>
          <w:lang w:val="sr-Latn-ME"/>
        </w:rPr>
        <w:t xml:space="preserve">Izolovana </w:t>
      </w:r>
      <w:proofErr w:type="spellStart"/>
      <w:r w:rsidRPr="00E7665A">
        <w:rPr>
          <w:sz w:val="22"/>
          <w:szCs w:val="22"/>
          <w:u w:val="single"/>
          <w:lang w:val="sr-Latn-ME"/>
        </w:rPr>
        <w:t>aplazija</w:t>
      </w:r>
      <w:proofErr w:type="spellEnd"/>
      <w:r w:rsidRPr="00E7665A">
        <w:rPr>
          <w:sz w:val="22"/>
          <w:szCs w:val="22"/>
          <w:u w:val="single"/>
          <w:lang w:val="sr-Latn-ME"/>
        </w:rPr>
        <w:t xml:space="preserve"> crvene krvne loze (engl. </w:t>
      </w:r>
      <w:r w:rsidRPr="00E7665A">
        <w:rPr>
          <w:i/>
          <w:sz w:val="22"/>
          <w:szCs w:val="22"/>
          <w:u w:val="single"/>
          <w:lang w:val="sr-Latn-ME"/>
        </w:rPr>
        <w:t xml:space="preserve">Pure red </w:t>
      </w:r>
      <w:proofErr w:type="spellStart"/>
      <w:r w:rsidRPr="00E7665A">
        <w:rPr>
          <w:i/>
          <w:sz w:val="22"/>
          <w:szCs w:val="22"/>
          <w:u w:val="single"/>
          <w:lang w:val="sr-Latn-ME"/>
        </w:rPr>
        <w:t>cell</w:t>
      </w:r>
      <w:proofErr w:type="spellEnd"/>
      <w:r w:rsidRPr="00E7665A">
        <w:rPr>
          <w:i/>
          <w:sz w:val="22"/>
          <w:szCs w:val="22"/>
          <w:u w:val="single"/>
          <w:lang w:val="sr-Latn-ME"/>
        </w:rPr>
        <w:t xml:space="preserve"> </w:t>
      </w:r>
      <w:proofErr w:type="spellStart"/>
      <w:r w:rsidRPr="00E7665A">
        <w:rPr>
          <w:i/>
          <w:sz w:val="22"/>
          <w:szCs w:val="22"/>
          <w:u w:val="single"/>
          <w:lang w:val="sr-Latn-ME"/>
        </w:rPr>
        <w:t>aplasia</w:t>
      </w:r>
      <w:proofErr w:type="spellEnd"/>
      <w:r w:rsidRPr="00E7665A">
        <w:rPr>
          <w:sz w:val="22"/>
          <w:szCs w:val="22"/>
          <w:u w:val="single"/>
          <w:lang w:val="sr-Latn-ME"/>
        </w:rPr>
        <w:t xml:space="preserve"> PRCA)</w:t>
      </w:r>
    </w:p>
    <w:p w:rsidR="009E22D0" w:rsidRPr="00E7665A" w:rsidRDefault="009E22D0" w:rsidP="00BF3E6B">
      <w:pPr>
        <w:jc w:val="both"/>
        <w:rPr>
          <w:sz w:val="22"/>
          <w:szCs w:val="22"/>
          <w:u w:val="single"/>
          <w:lang w:val="sr-Latn-ME"/>
        </w:rPr>
      </w:pPr>
    </w:p>
    <w:p w:rsidR="002E440B" w:rsidRPr="00E7665A" w:rsidRDefault="002E440B" w:rsidP="00BF3E6B">
      <w:pPr>
        <w:jc w:val="both"/>
        <w:rPr>
          <w:sz w:val="22"/>
          <w:szCs w:val="22"/>
          <w:lang w:val="sr-Latn-ME"/>
        </w:rPr>
      </w:pPr>
      <w:r w:rsidRPr="00E7665A">
        <w:rPr>
          <w:sz w:val="22"/>
          <w:szCs w:val="22"/>
          <w:lang w:val="sr-Latn-ME"/>
        </w:rPr>
        <w:t xml:space="preserve">PRCA  izazvana </w:t>
      </w:r>
      <w:proofErr w:type="spellStart"/>
      <w:r w:rsidRPr="00E7665A">
        <w:rPr>
          <w:sz w:val="22"/>
          <w:szCs w:val="22"/>
          <w:lang w:val="sr-Latn-ME"/>
        </w:rPr>
        <w:t>neutralizirajućim</w:t>
      </w:r>
      <w:proofErr w:type="spellEnd"/>
      <w:r w:rsidRPr="00E7665A">
        <w:rPr>
          <w:sz w:val="22"/>
          <w:szCs w:val="22"/>
          <w:lang w:val="sr-Latn-ME"/>
        </w:rPr>
        <w:t xml:space="preserve"> </w:t>
      </w:r>
      <w:proofErr w:type="spellStart"/>
      <w:r w:rsidRPr="00E7665A">
        <w:rPr>
          <w:sz w:val="22"/>
          <w:szCs w:val="22"/>
          <w:lang w:val="sr-Latn-ME"/>
        </w:rPr>
        <w:t>antieritrop</w:t>
      </w:r>
      <w:r w:rsidR="000A4BF1" w:rsidRPr="00E7665A">
        <w:rPr>
          <w:sz w:val="22"/>
          <w:szCs w:val="22"/>
          <w:lang w:val="sr-Latn-ME"/>
        </w:rPr>
        <w:t>o</w:t>
      </w:r>
      <w:r w:rsidRPr="00E7665A">
        <w:rPr>
          <w:sz w:val="22"/>
          <w:szCs w:val="22"/>
          <w:lang w:val="sr-Latn-ME"/>
        </w:rPr>
        <w:t>etinskim</w:t>
      </w:r>
      <w:proofErr w:type="spellEnd"/>
      <w:r w:rsidRPr="00E7665A">
        <w:rPr>
          <w:sz w:val="22"/>
          <w:szCs w:val="22"/>
          <w:lang w:val="sr-Latn-ME"/>
        </w:rPr>
        <w:t xml:space="preserve"> antitijelima prilikom terapije sa </w:t>
      </w:r>
      <w:proofErr w:type="spellStart"/>
      <w:r w:rsidRPr="00E7665A">
        <w:rPr>
          <w:sz w:val="22"/>
          <w:szCs w:val="22"/>
          <w:lang w:val="sr-Latn-ME"/>
        </w:rPr>
        <w:t>eritropoetinima</w:t>
      </w:r>
      <w:proofErr w:type="spellEnd"/>
      <w:r w:rsidRPr="00E7665A">
        <w:rPr>
          <w:sz w:val="22"/>
          <w:szCs w:val="22"/>
          <w:lang w:val="sr-Latn-ME"/>
        </w:rPr>
        <w:t xml:space="preserve">, uključujući i lijek </w:t>
      </w:r>
      <w:proofErr w:type="spellStart"/>
      <w:r w:rsidR="00980E2B" w:rsidRPr="00E7665A">
        <w:rPr>
          <w:sz w:val="22"/>
          <w:szCs w:val="22"/>
          <w:lang w:val="sr-Latn-ME"/>
        </w:rPr>
        <w:t>NeoRecormon</w:t>
      </w:r>
      <w:proofErr w:type="spellEnd"/>
      <w:r w:rsidRPr="00E7665A">
        <w:rPr>
          <w:sz w:val="22"/>
          <w:szCs w:val="22"/>
          <w:lang w:val="sr-Latn-ME"/>
        </w:rPr>
        <w:t xml:space="preserve">. Pokazalo se da ova antitijela unakrsno reaguju sa svim </w:t>
      </w:r>
      <w:proofErr w:type="spellStart"/>
      <w:r w:rsidRPr="00E7665A">
        <w:rPr>
          <w:sz w:val="22"/>
          <w:szCs w:val="22"/>
          <w:lang w:val="sr-Latn-ME"/>
        </w:rPr>
        <w:t>eritropoetskim</w:t>
      </w:r>
      <w:proofErr w:type="spellEnd"/>
      <w:r w:rsidRPr="00E7665A">
        <w:rPr>
          <w:sz w:val="22"/>
          <w:szCs w:val="22"/>
          <w:lang w:val="sr-Latn-ME"/>
        </w:rPr>
        <w:t xml:space="preserve"> proteinima, i pacijenti za koje se sumnja ili je dokazano da imaju </w:t>
      </w:r>
      <w:proofErr w:type="spellStart"/>
      <w:r w:rsidRPr="00E7665A">
        <w:rPr>
          <w:sz w:val="22"/>
          <w:szCs w:val="22"/>
          <w:lang w:val="sr-Latn-ME"/>
        </w:rPr>
        <w:t>neutralizirajuća</w:t>
      </w:r>
      <w:proofErr w:type="spellEnd"/>
      <w:r w:rsidRPr="00E7665A">
        <w:rPr>
          <w:sz w:val="22"/>
          <w:szCs w:val="22"/>
          <w:lang w:val="sr-Latn-ME"/>
        </w:rPr>
        <w:t xml:space="preserve"> antitijela na </w:t>
      </w:r>
      <w:proofErr w:type="spellStart"/>
      <w:r w:rsidRPr="00E7665A">
        <w:rPr>
          <w:sz w:val="22"/>
          <w:szCs w:val="22"/>
          <w:lang w:val="sr-Latn-ME"/>
        </w:rPr>
        <w:t>eritropoetin</w:t>
      </w:r>
      <w:proofErr w:type="spellEnd"/>
      <w:r w:rsidRPr="00E7665A">
        <w:rPr>
          <w:sz w:val="22"/>
          <w:szCs w:val="22"/>
          <w:lang w:val="sr-Latn-ME"/>
        </w:rPr>
        <w:t xml:space="preserve"> ne smiju se prebacivati na </w:t>
      </w:r>
      <w:r w:rsidR="009E22D0" w:rsidRPr="00E7665A">
        <w:rPr>
          <w:sz w:val="22"/>
          <w:szCs w:val="22"/>
          <w:lang w:val="sr-Latn-ME"/>
        </w:rPr>
        <w:t xml:space="preserve">lijek </w:t>
      </w:r>
      <w:proofErr w:type="spellStart"/>
      <w:r w:rsidR="00980E2B" w:rsidRPr="00E7665A">
        <w:rPr>
          <w:sz w:val="22"/>
          <w:szCs w:val="22"/>
          <w:lang w:val="sr-Latn-ME"/>
        </w:rPr>
        <w:t>NeoRecormon</w:t>
      </w:r>
      <w:proofErr w:type="spellEnd"/>
      <w:r w:rsidRPr="00E7665A">
        <w:rPr>
          <w:sz w:val="22"/>
          <w:szCs w:val="22"/>
          <w:lang w:val="sr-Latn-ME"/>
        </w:rPr>
        <w:t xml:space="preserve"> (vidjeti dio 4.8)</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u w:val="single"/>
          <w:lang w:val="sr-Latn-ME"/>
        </w:rPr>
      </w:pPr>
      <w:r w:rsidRPr="00E7665A">
        <w:rPr>
          <w:sz w:val="22"/>
          <w:szCs w:val="22"/>
          <w:u w:val="single"/>
          <w:lang w:val="sr-Latn-ME"/>
        </w:rPr>
        <w:t>PRCA kod pacijenata sa hepatitisom C</w:t>
      </w:r>
    </w:p>
    <w:p w:rsidR="002E440B" w:rsidRPr="00E7665A" w:rsidRDefault="002E440B" w:rsidP="00BF3E6B">
      <w:pPr>
        <w:jc w:val="both"/>
        <w:rPr>
          <w:sz w:val="22"/>
          <w:szCs w:val="22"/>
          <w:lang w:val="sr-Latn-ME"/>
        </w:rPr>
      </w:pPr>
      <w:r w:rsidRPr="00E7665A">
        <w:rPr>
          <w:sz w:val="22"/>
          <w:szCs w:val="22"/>
          <w:lang w:val="sr-Latn-ME"/>
        </w:rPr>
        <w:t xml:space="preserve">Paradoksalno smanjenje vrijednosti hemoglobina i razvoj teške anemije povezane sa niskim brojem </w:t>
      </w:r>
      <w:proofErr w:type="spellStart"/>
      <w:r w:rsidRPr="00E7665A">
        <w:rPr>
          <w:sz w:val="22"/>
          <w:szCs w:val="22"/>
          <w:lang w:val="sr-Latn-ME"/>
        </w:rPr>
        <w:t>retikulocita</w:t>
      </w:r>
      <w:proofErr w:type="spellEnd"/>
      <w:r w:rsidRPr="00E7665A">
        <w:rPr>
          <w:sz w:val="22"/>
          <w:szCs w:val="22"/>
          <w:lang w:val="sr-Latn-ME"/>
        </w:rPr>
        <w:t xml:space="preserve"> zahtijeva trenutni prekid terapije </w:t>
      </w:r>
      <w:proofErr w:type="spellStart"/>
      <w:r w:rsidRPr="00E7665A">
        <w:rPr>
          <w:sz w:val="22"/>
          <w:szCs w:val="22"/>
          <w:lang w:val="sr-Latn-ME"/>
        </w:rPr>
        <w:t>epoetinom</w:t>
      </w:r>
      <w:proofErr w:type="spellEnd"/>
      <w:r w:rsidRPr="00E7665A">
        <w:rPr>
          <w:sz w:val="22"/>
          <w:szCs w:val="22"/>
          <w:lang w:val="sr-Latn-ME"/>
        </w:rPr>
        <w:t xml:space="preserve"> i testiranje na anti-</w:t>
      </w:r>
      <w:proofErr w:type="spellStart"/>
      <w:r w:rsidRPr="00E7665A">
        <w:rPr>
          <w:sz w:val="22"/>
          <w:szCs w:val="22"/>
          <w:lang w:val="sr-Latn-ME"/>
        </w:rPr>
        <w:t>eritropoetinska</w:t>
      </w:r>
      <w:proofErr w:type="spellEnd"/>
      <w:r w:rsidRPr="00E7665A">
        <w:rPr>
          <w:sz w:val="22"/>
          <w:szCs w:val="22"/>
          <w:lang w:val="sr-Latn-ME"/>
        </w:rPr>
        <w:t xml:space="preserve"> antit</w:t>
      </w:r>
      <w:r w:rsidR="009E22D0" w:rsidRPr="00E7665A">
        <w:rPr>
          <w:sz w:val="22"/>
          <w:szCs w:val="22"/>
          <w:lang w:val="sr-Latn-ME"/>
        </w:rPr>
        <w:t>i</w:t>
      </w:r>
      <w:r w:rsidRPr="00E7665A">
        <w:rPr>
          <w:sz w:val="22"/>
          <w:szCs w:val="22"/>
          <w:lang w:val="sr-Latn-ME"/>
        </w:rPr>
        <w:t xml:space="preserve">jela. Ovakvi slučajevi su prijavljeni kod pacijenata sa Hepatitisom C koji su liječeni </w:t>
      </w:r>
      <w:proofErr w:type="spellStart"/>
      <w:r w:rsidRPr="00E7665A">
        <w:rPr>
          <w:sz w:val="22"/>
          <w:szCs w:val="22"/>
          <w:lang w:val="sr-Latn-ME"/>
        </w:rPr>
        <w:t>interferonom</w:t>
      </w:r>
      <w:proofErr w:type="spellEnd"/>
      <w:r w:rsidRPr="00E7665A">
        <w:rPr>
          <w:sz w:val="22"/>
          <w:szCs w:val="22"/>
          <w:lang w:val="sr-Latn-ME"/>
        </w:rPr>
        <w:t xml:space="preserve"> i </w:t>
      </w:r>
      <w:proofErr w:type="spellStart"/>
      <w:r w:rsidRPr="00E7665A">
        <w:rPr>
          <w:sz w:val="22"/>
          <w:szCs w:val="22"/>
          <w:lang w:val="sr-Latn-ME"/>
        </w:rPr>
        <w:t>ribavirinom</w:t>
      </w:r>
      <w:proofErr w:type="spellEnd"/>
      <w:r w:rsidRPr="00E7665A">
        <w:rPr>
          <w:sz w:val="22"/>
          <w:szCs w:val="22"/>
          <w:lang w:val="sr-Latn-ME"/>
        </w:rPr>
        <w:t xml:space="preserve">, kada su istovremeno korišćeni </w:t>
      </w:r>
      <w:proofErr w:type="spellStart"/>
      <w:r w:rsidRPr="00E7665A">
        <w:rPr>
          <w:sz w:val="22"/>
          <w:szCs w:val="22"/>
          <w:lang w:val="sr-Latn-ME"/>
        </w:rPr>
        <w:t>epoetini</w:t>
      </w:r>
      <w:proofErr w:type="spellEnd"/>
      <w:r w:rsidRPr="00E7665A">
        <w:rPr>
          <w:sz w:val="22"/>
          <w:szCs w:val="22"/>
          <w:lang w:val="sr-Latn-ME"/>
        </w:rPr>
        <w:t xml:space="preserve">. </w:t>
      </w:r>
      <w:proofErr w:type="spellStart"/>
      <w:r w:rsidRPr="00E7665A">
        <w:rPr>
          <w:sz w:val="22"/>
          <w:szCs w:val="22"/>
          <w:lang w:val="sr-Latn-ME"/>
        </w:rPr>
        <w:t>Epoetini</w:t>
      </w:r>
      <w:proofErr w:type="spellEnd"/>
      <w:r w:rsidRPr="00E7665A">
        <w:rPr>
          <w:sz w:val="22"/>
          <w:szCs w:val="22"/>
          <w:lang w:val="sr-Latn-ME"/>
        </w:rPr>
        <w:t xml:space="preserve"> nijesu odobreni za regulisanje anemije povezane sa Hepatitisom C.</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u w:val="single"/>
          <w:lang w:val="sr-Latn-ME"/>
        </w:rPr>
      </w:pPr>
      <w:r w:rsidRPr="00E7665A">
        <w:rPr>
          <w:sz w:val="22"/>
          <w:szCs w:val="22"/>
          <w:u w:val="single"/>
          <w:lang w:val="sr-Latn-ME"/>
        </w:rPr>
        <w:t>Praćenje krvnog pritiska</w:t>
      </w:r>
    </w:p>
    <w:p w:rsidR="009E22D0" w:rsidRPr="00E7665A" w:rsidRDefault="009E22D0" w:rsidP="00BF3E6B">
      <w:pPr>
        <w:jc w:val="both"/>
        <w:rPr>
          <w:sz w:val="22"/>
          <w:szCs w:val="22"/>
          <w:u w:val="single"/>
          <w:lang w:val="sr-Latn-ME"/>
        </w:rPr>
      </w:pPr>
    </w:p>
    <w:p w:rsidR="002E440B" w:rsidRPr="00E7665A" w:rsidRDefault="002E440B" w:rsidP="00BF3E6B">
      <w:pPr>
        <w:jc w:val="both"/>
        <w:rPr>
          <w:sz w:val="22"/>
          <w:szCs w:val="22"/>
          <w:lang w:val="sr-Latn-ME"/>
        </w:rPr>
      </w:pPr>
      <w:r w:rsidRPr="00E7665A">
        <w:rPr>
          <w:sz w:val="22"/>
          <w:szCs w:val="22"/>
          <w:lang w:val="sr-Latn-ME"/>
        </w:rPr>
        <w:t xml:space="preserve">Može doći do povećanja  krvnog pritiska ili pogoršanja postojeće hipertenzije, posebno u slučajevima brzog rasta PCV-a. Ovo povećanje krvnog pritiska može se liječiti ljekovima. Ako se povećanja krvnog pritiska ne mogu kontrolisati ljekovima, preporučuje se privremeni prekid liječenja </w:t>
      </w:r>
      <w:r w:rsidR="009E22D0"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Posebno se na početku liječenja preporučuje redovno</w:t>
      </w:r>
      <w:r w:rsidR="003570B1" w:rsidRPr="00E7665A">
        <w:rPr>
          <w:sz w:val="22"/>
          <w:szCs w:val="22"/>
          <w:lang w:val="sr-Latn-ME"/>
        </w:rPr>
        <w:t xml:space="preserve"> </w:t>
      </w:r>
      <w:r w:rsidRPr="00E7665A">
        <w:rPr>
          <w:sz w:val="22"/>
          <w:szCs w:val="22"/>
          <w:lang w:val="sr-Latn-ME"/>
        </w:rPr>
        <w:t xml:space="preserve">praćenje krvnog pritiska, uključujući period između dijaliza. Moguća je pojava </w:t>
      </w:r>
      <w:proofErr w:type="spellStart"/>
      <w:r w:rsidRPr="00E7665A">
        <w:rPr>
          <w:sz w:val="22"/>
          <w:szCs w:val="22"/>
          <w:lang w:val="sr-Latn-ME"/>
        </w:rPr>
        <w:t>hipertenzivnih</w:t>
      </w:r>
      <w:proofErr w:type="spellEnd"/>
      <w:r w:rsidRPr="00E7665A">
        <w:rPr>
          <w:sz w:val="22"/>
          <w:szCs w:val="22"/>
          <w:lang w:val="sr-Latn-ME"/>
        </w:rPr>
        <w:t xml:space="preserve"> kriza uz</w:t>
      </w:r>
      <w:r w:rsidR="003570B1" w:rsidRPr="00E7665A">
        <w:rPr>
          <w:sz w:val="22"/>
          <w:szCs w:val="22"/>
          <w:lang w:val="sr-Latn-ME"/>
        </w:rPr>
        <w:t xml:space="preserve"> </w:t>
      </w:r>
      <w:r w:rsidRPr="00E7665A">
        <w:rPr>
          <w:sz w:val="22"/>
          <w:szCs w:val="22"/>
          <w:lang w:val="sr-Latn-ME"/>
        </w:rPr>
        <w:t xml:space="preserve">simptome nalik simptomima </w:t>
      </w:r>
      <w:proofErr w:type="spellStart"/>
      <w:r w:rsidRPr="00E7665A">
        <w:rPr>
          <w:sz w:val="22"/>
          <w:szCs w:val="22"/>
          <w:lang w:val="sr-Latn-ME"/>
        </w:rPr>
        <w:t>encefalopatije</w:t>
      </w:r>
      <w:proofErr w:type="spellEnd"/>
      <w:r w:rsidRPr="00E7665A">
        <w:rPr>
          <w:sz w:val="22"/>
          <w:szCs w:val="22"/>
          <w:lang w:val="sr-Latn-ME"/>
        </w:rPr>
        <w:t xml:space="preserve"> koje zahtijevaju hitnu ljekarsku intervenciju i intenzivnu</w:t>
      </w:r>
      <w:r w:rsidR="003570B1" w:rsidRPr="00E7665A">
        <w:rPr>
          <w:sz w:val="22"/>
          <w:szCs w:val="22"/>
          <w:lang w:val="sr-Latn-ME"/>
        </w:rPr>
        <w:t xml:space="preserve"> </w:t>
      </w:r>
      <w:r w:rsidRPr="00E7665A">
        <w:rPr>
          <w:sz w:val="22"/>
          <w:szCs w:val="22"/>
          <w:lang w:val="sr-Latn-ME"/>
        </w:rPr>
        <w:t xml:space="preserve">medicinsku </w:t>
      </w:r>
      <w:proofErr w:type="spellStart"/>
      <w:r w:rsidRPr="00E7665A">
        <w:rPr>
          <w:sz w:val="22"/>
          <w:szCs w:val="22"/>
          <w:lang w:val="sr-Latn-ME"/>
        </w:rPr>
        <w:t>njegu</w:t>
      </w:r>
      <w:proofErr w:type="spellEnd"/>
      <w:r w:rsidRPr="00E7665A">
        <w:rPr>
          <w:sz w:val="22"/>
          <w:szCs w:val="22"/>
          <w:lang w:val="sr-Latn-ME"/>
        </w:rPr>
        <w:t>. Posebnu pažnju treba obratiti na pojavu iznenadnih probadajućih glavobolja sličnih migreni, koje mogu biti upozoravajući znak.</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Prijavljene su teška kožna neželjena dejstva  (</w:t>
      </w:r>
      <w:proofErr w:type="spellStart"/>
      <w:r w:rsidRPr="00E7665A">
        <w:rPr>
          <w:sz w:val="22"/>
          <w:szCs w:val="22"/>
          <w:lang w:val="sr-Latn-ME"/>
        </w:rPr>
        <w:t>SCAR</w:t>
      </w:r>
      <w:proofErr w:type="spellEnd"/>
      <w:r w:rsidRPr="00E7665A">
        <w:rPr>
          <w:sz w:val="22"/>
          <w:szCs w:val="22"/>
          <w:lang w:val="sr-Latn-ME"/>
        </w:rPr>
        <w:t xml:space="preserve">), uključujući </w:t>
      </w:r>
      <w:proofErr w:type="spellStart"/>
      <w:r w:rsidRPr="00E7665A">
        <w:rPr>
          <w:sz w:val="22"/>
          <w:szCs w:val="22"/>
          <w:lang w:val="sr-Latn-ME"/>
        </w:rPr>
        <w:t>Stevens</w:t>
      </w:r>
      <w:proofErr w:type="spellEnd"/>
      <w:r w:rsidRPr="00E7665A">
        <w:rPr>
          <w:sz w:val="22"/>
          <w:szCs w:val="22"/>
          <w:lang w:val="sr-Latn-ME"/>
        </w:rPr>
        <w:t xml:space="preserve"> </w:t>
      </w:r>
      <w:proofErr w:type="spellStart"/>
      <w:r w:rsidRPr="00E7665A">
        <w:rPr>
          <w:sz w:val="22"/>
          <w:szCs w:val="22"/>
          <w:lang w:val="sr-Latn-ME"/>
        </w:rPr>
        <w:t>Johnsonov</w:t>
      </w:r>
      <w:proofErr w:type="spellEnd"/>
      <w:r w:rsidRPr="00E7665A">
        <w:rPr>
          <w:sz w:val="22"/>
          <w:szCs w:val="22"/>
          <w:lang w:val="sr-Latn-ME"/>
        </w:rPr>
        <w:t xml:space="preserve"> sindrom (</w:t>
      </w:r>
      <w:proofErr w:type="spellStart"/>
      <w:r w:rsidRPr="00E7665A">
        <w:rPr>
          <w:sz w:val="22"/>
          <w:szCs w:val="22"/>
          <w:lang w:val="sr-Latn-ME"/>
        </w:rPr>
        <w:t>SJS</w:t>
      </w:r>
      <w:proofErr w:type="spellEnd"/>
      <w:r w:rsidRPr="00E7665A">
        <w:rPr>
          <w:sz w:val="22"/>
          <w:szCs w:val="22"/>
          <w:lang w:val="sr-Latn-ME"/>
        </w:rPr>
        <w:t xml:space="preserve">) i toksičnu </w:t>
      </w:r>
      <w:proofErr w:type="spellStart"/>
      <w:r w:rsidRPr="00E7665A">
        <w:rPr>
          <w:sz w:val="22"/>
          <w:szCs w:val="22"/>
          <w:lang w:val="sr-Latn-ME"/>
        </w:rPr>
        <w:t>epidermalnu</w:t>
      </w:r>
      <w:proofErr w:type="spellEnd"/>
      <w:r w:rsidRPr="00E7665A">
        <w:rPr>
          <w:sz w:val="22"/>
          <w:szCs w:val="22"/>
          <w:lang w:val="sr-Latn-ME"/>
        </w:rPr>
        <w:t xml:space="preserve"> </w:t>
      </w:r>
      <w:proofErr w:type="spellStart"/>
      <w:r w:rsidRPr="00E7665A">
        <w:rPr>
          <w:sz w:val="22"/>
          <w:szCs w:val="22"/>
          <w:lang w:val="sr-Latn-ME"/>
        </w:rPr>
        <w:t>nekrolizu</w:t>
      </w:r>
      <w:proofErr w:type="spellEnd"/>
      <w:r w:rsidRPr="00E7665A">
        <w:rPr>
          <w:sz w:val="22"/>
          <w:szCs w:val="22"/>
          <w:lang w:val="sr-Latn-ME"/>
        </w:rPr>
        <w:t xml:space="preserve"> (TEN), povezane sa liječenjem </w:t>
      </w:r>
      <w:proofErr w:type="spellStart"/>
      <w:r w:rsidRPr="00E7665A">
        <w:rPr>
          <w:sz w:val="22"/>
          <w:szCs w:val="22"/>
          <w:lang w:val="sr-Latn-ME"/>
        </w:rPr>
        <w:t>epoetinom</w:t>
      </w:r>
      <w:proofErr w:type="spellEnd"/>
      <w:r w:rsidRPr="00E7665A">
        <w:rPr>
          <w:sz w:val="22"/>
          <w:szCs w:val="22"/>
          <w:lang w:val="sr-Latn-ME"/>
        </w:rPr>
        <w:t xml:space="preserve">, koje mogu biti opasne po život ili smrtonosne (vidjeti dio 4.8). Teži slučajevi su zabilježeni kod primjene </w:t>
      </w:r>
      <w:proofErr w:type="spellStart"/>
      <w:r w:rsidRPr="00E7665A">
        <w:rPr>
          <w:sz w:val="22"/>
          <w:szCs w:val="22"/>
          <w:lang w:val="sr-Latn-ME"/>
        </w:rPr>
        <w:t>epoetina</w:t>
      </w:r>
      <w:proofErr w:type="spellEnd"/>
      <w:r w:rsidRPr="00E7665A">
        <w:rPr>
          <w:sz w:val="22"/>
          <w:szCs w:val="22"/>
          <w:lang w:val="sr-Latn-ME"/>
        </w:rPr>
        <w:t xml:space="preserve"> dugog djelovanja. U trenutku propisivanja lijeka pacijente je potrebno savjetovati o znacima i simptomima te pažljivo pratiti da li imaju kožne reakcije. U slučaju pojavljivanja znakova i simptoma koji upućuju na te reakcije, potrebno je odmah prekinuti primjenu lijeka </w:t>
      </w:r>
      <w:proofErr w:type="spellStart"/>
      <w:r w:rsidR="00980E2B" w:rsidRPr="00E7665A">
        <w:rPr>
          <w:sz w:val="22"/>
          <w:szCs w:val="22"/>
          <w:lang w:val="sr-Latn-ME"/>
        </w:rPr>
        <w:t>NeoRecormon</w:t>
      </w:r>
      <w:proofErr w:type="spellEnd"/>
      <w:r w:rsidRPr="00E7665A">
        <w:rPr>
          <w:sz w:val="22"/>
          <w:szCs w:val="22"/>
          <w:lang w:val="sr-Latn-ME"/>
        </w:rPr>
        <w:t xml:space="preserve"> i razmisliti o </w:t>
      </w:r>
      <w:proofErr w:type="spellStart"/>
      <w:r w:rsidRPr="00E7665A">
        <w:rPr>
          <w:sz w:val="22"/>
          <w:szCs w:val="22"/>
          <w:lang w:val="sr-Latn-ME"/>
        </w:rPr>
        <w:t>zamjenskom</w:t>
      </w:r>
      <w:proofErr w:type="spellEnd"/>
      <w:r w:rsidRPr="00E7665A">
        <w:rPr>
          <w:sz w:val="22"/>
          <w:szCs w:val="22"/>
          <w:lang w:val="sr-Latn-ME"/>
        </w:rPr>
        <w:t xml:space="preserve"> liječenju. U slučaju da se zbog primjene lijeka </w:t>
      </w:r>
      <w:proofErr w:type="spellStart"/>
      <w:r w:rsidR="00980E2B" w:rsidRPr="00E7665A">
        <w:rPr>
          <w:sz w:val="22"/>
          <w:szCs w:val="22"/>
          <w:lang w:val="sr-Latn-ME"/>
        </w:rPr>
        <w:t>NeoRecormon</w:t>
      </w:r>
      <w:proofErr w:type="spellEnd"/>
      <w:r w:rsidRPr="00E7665A">
        <w:rPr>
          <w:sz w:val="22"/>
          <w:szCs w:val="22"/>
          <w:lang w:val="sr-Latn-ME"/>
        </w:rPr>
        <w:t xml:space="preserve"> kod pacijenata pojave teške kožne reakcije kao što su </w:t>
      </w:r>
      <w:proofErr w:type="spellStart"/>
      <w:r w:rsidRPr="00E7665A">
        <w:rPr>
          <w:sz w:val="22"/>
          <w:szCs w:val="22"/>
          <w:lang w:val="sr-Latn-ME"/>
        </w:rPr>
        <w:t>Stevens</w:t>
      </w:r>
      <w:proofErr w:type="spellEnd"/>
      <w:r w:rsidRPr="00E7665A">
        <w:rPr>
          <w:sz w:val="22"/>
          <w:szCs w:val="22"/>
          <w:lang w:val="sr-Latn-ME"/>
        </w:rPr>
        <w:t xml:space="preserve"> </w:t>
      </w:r>
      <w:proofErr w:type="spellStart"/>
      <w:r w:rsidRPr="00E7665A">
        <w:rPr>
          <w:sz w:val="22"/>
          <w:szCs w:val="22"/>
          <w:lang w:val="sr-Latn-ME"/>
        </w:rPr>
        <w:t>Johnsonov</w:t>
      </w:r>
      <w:proofErr w:type="spellEnd"/>
      <w:r w:rsidRPr="00E7665A">
        <w:rPr>
          <w:sz w:val="22"/>
          <w:szCs w:val="22"/>
          <w:lang w:val="sr-Latn-ME"/>
        </w:rPr>
        <w:t xml:space="preserve"> sindrom ili toksična </w:t>
      </w:r>
      <w:proofErr w:type="spellStart"/>
      <w:r w:rsidRPr="00E7665A">
        <w:rPr>
          <w:sz w:val="22"/>
          <w:szCs w:val="22"/>
          <w:lang w:val="sr-Latn-ME"/>
        </w:rPr>
        <w:t>epidermalna</w:t>
      </w:r>
      <w:proofErr w:type="spellEnd"/>
      <w:r w:rsidRPr="00E7665A">
        <w:rPr>
          <w:sz w:val="22"/>
          <w:szCs w:val="22"/>
          <w:lang w:val="sr-Latn-ME"/>
        </w:rPr>
        <w:t xml:space="preserve"> </w:t>
      </w:r>
      <w:proofErr w:type="spellStart"/>
      <w:r w:rsidRPr="00E7665A">
        <w:rPr>
          <w:sz w:val="22"/>
          <w:szCs w:val="22"/>
          <w:lang w:val="sr-Latn-ME"/>
        </w:rPr>
        <w:t>nekroliza</w:t>
      </w:r>
      <w:proofErr w:type="spellEnd"/>
      <w:r w:rsidRPr="00E7665A">
        <w:rPr>
          <w:sz w:val="22"/>
          <w:szCs w:val="22"/>
          <w:lang w:val="sr-Latn-ME"/>
        </w:rPr>
        <w:t xml:space="preserve">, ni u jednom trenutku ne smije se ponovno započeti liječenje tog pacijenta lijekom za stimulaciju </w:t>
      </w:r>
      <w:proofErr w:type="spellStart"/>
      <w:r w:rsidRPr="00E7665A">
        <w:rPr>
          <w:sz w:val="22"/>
          <w:szCs w:val="22"/>
          <w:lang w:val="sr-Latn-ME"/>
        </w:rPr>
        <w:t>eritropoeze</w:t>
      </w:r>
      <w:proofErr w:type="spellEnd"/>
      <w:r w:rsidRPr="00E7665A">
        <w:rPr>
          <w:sz w:val="22"/>
          <w:szCs w:val="22"/>
          <w:lang w:val="sr-Latn-ME"/>
        </w:rPr>
        <w:t>.</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u w:val="single"/>
          <w:lang w:val="sr-Latn-ME"/>
        </w:rPr>
      </w:pPr>
      <w:r w:rsidRPr="00E7665A">
        <w:rPr>
          <w:sz w:val="22"/>
          <w:szCs w:val="22"/>
          <w:u w:val="single"/>
          <w:lang w:val="sr-Latn-ME"/>
        </w:rPr>
        <w:t xml:space="preserve">Hronična </w:t>
      </w:r>
      <w:proofErr w:type="spellStart"/>
      <w:r w:rsidRPr="00E7665A">
        <w:rPr>
          <w:sz w:val="22"/>
          <w:szCs w:val="22"/>
          <w:u w:val="single"/>
          <w:lang w:val="sr-Latn-ME"/>
        </w:rPr>
        <w:t>insuficijencija</w:t>
      </w:r>
      <w:proofErr w:type="spellEnd"/>
      <w:r w:rsidRPr="00E7665A">
        <w:rPr>
          <w:sz w:val="22"/>
          <w:szCs w:val="22"/>
          <w:u w:val="single"/>
          <w:lang w:val="sr-Latn-ME"/>
        </w:rPr>
        <w:t xml:space="preserve"> bubrega</w:t>
      </w:r>
    </w:p>
    <w:p w:rsidR="009E22D0" w:rsidRPr="00E7665A" w:rsidRDefault="009E22D0" w:rsidP="00BF3E6B">
      <w:pPr>
        <w:jc w:val="both"/>
        <w:rPr>
          <w:sz w:val="22"/>
          <w:szCs w:val="22"/>
          <w:u w:val="single"/>
          <w:lang w:val="sr-Latn-ME"/>
        </w:rPr>
      </w:pPr>
    </w:p>
    <w:p w:rsidR="002E440B" w:rsidRPr="00E7665A" w:rsidRDefault="002E440B" w:rsidP="00BF3E6B">
      <w:pPr>
        <w:jc w:val="both"/>
        <w:rPr>
          <w:sz w:val="22"/>
          <w:szCs w:val="22"/>
          <w:lang w:val="sr-Latn-ME"/>
        </w:rPr>
      </w:pPr>
      <w:r w:rsidRPr="00E7665A">
        <w:rPr>
          <w:sz w:val="22"/>
          <w:szCs w:val="22"/>
          <w:lang w:val="sr-Latn-ME"/>
        </w:rPr>
        <w:t xml:space="preserve">Kod pacijenata sa hroničnom bubrežnom </w:t>
      </w:r>
      <w:proofErr w:type="spellStart"/>
      <w:r w:rsidRPr="00E7665A">
        <w:rPr>
          <w:sz w:val="22"/>
          <w:szCs w:val="22"/>
          <w:lang w:val="sr-Latn-ME"/>
        </w:rPr>
        <w:t>insuficijencijom</w:t>
      </w:r>
      <w:proofErr w:type="spellEnd"/>
      <w:r w:rsidRPr="00E7665A">
        <w:rPr>
          <w:sz w:val="22"/>
          <w:szCs w:val="22"/>
          <w:lang w:val="sr-Latn-ME"/>
        </w:rPr>
        <w:t xml:space="preserve"> može doći do umjerenog </w:t>
      </w:r>
      <w:proofErr w:type="spellStart"/>
      <w:r w:rsidRPr="00E7665A">
        <w:rPr>
          <w:sz w:val="22"/>
          <w:szCs w:val="22"/>
          <w:lang w:val="sr-Latn-ME"/>
        </w:rPr>
        <w:t>dozno</w:t>
      </w:r>
      <w:proofErr w:type="spellEnd"/>
      <w:r w:rsidRPr="00E7665A">
        <w:rPr>
          <w:sz w:val="22"/>
          <w:szCs w:val="22"/>
          <w:lang w:val="sr-Latn-ME"/>
        </w:rPr>
        <w:t xml:space="preserve">-zavisnog porasta broja </w:t>
      </w:r>
      <w:proofErr w:type="spellStart"/>
      <w:r w:rsidRPr="00E7665A">
        <w:rPr>
          <w:sz w:val="22"/>
          <w:szCs w:val="22"/>
          <w:lang w:val="sr-Latn-ME"/>
        </w:rPr>
        <w:t>trombocita</w:t>
      </w:r>
      <w:proofErr w:type="spellEnd"/>
      <w:r w:rsidRPr="00E7665A">
        <w:rPr>
          <w:sz w:val="22"/>
          <w:szCs w:val="22"/>
          <w:lang w:val="sr-Latn-ME"/>
        </w:rPr>
        <w:t xml:space="preserve"> u okviru</w:t>
      </w:r>
      <w:r w:rsidR="009E22D0" w:rsidRPr="00E7665A">
        <w:rPr>
          <w:sz w:val="22"/>
          <w:szCs w:val="22"/>
          <w:lang w:val="sr-Latn-ME"/>
        </w:rPr>
        <w:t xml:space="preserve"> </w:t>
      </w:r>
      <w:r w:rsidRPr="00E7665A">
        <w:rPr>
          <w:sz w:val="22"/>
          <w:szCs w:val="22"/>
          <w:lang w:val="sr-Latn-ME"/>
        </w:rPr>
        <w:t>normalni graničn</w:t>
      </w:r>
      <w:r w:rsidR="009E22D0" w:rsidRPr="00E7665A">
        <w:rPr>
          <w:sz w:val="22"/>
          <w:szCs w:val="22"/>
          <w:lang w:val="sr-Latn-ME"/>
        </w:rPr>
        <w:t>ih</w:t>
      </w:r>
      <w:r w:rsidRPr="00E7665A">
        <w:rPr>
          <w:sz w:val="22"/>
          <w:szCs w:val="22"/>
          <w:lang w:val="sr-Latn-ME"/>
        </w:rPr>
        <w:t xml:space="preserve"> vrijednosti tokom terapije </w:t>
      </w:r>
      <w:r w:rsidR="009E22D0"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w:t>
      </w:r>
      <w:r w:rsidRPr="00E7665A">
        <w:rPr>
          <w:sz w:val="22"/>
          <w:szCs w:val="22"/>
          <w:lang w:val="sr-Latn-ME"/>
        </w:rPr>
        <w:lastRenderedPageBreak/>
        <w:t>posebno posl</w:t>
      </w:r>
      <w:r w:rsidR="000A4BF1" w:rsidRPr="00E7665A">
        <w:rPr>
          <w:sz w:val="22"/>
          <w:szCs w:val="22"/>
          <w:lang w:val="sr-Latn-ME"/>
        </w:rPr>
        <w:t>i</w:t>
      </w:r>
      <w:r w:rsidRPr="00E7665A">
        <w:rPr>
          <w:sz w:val="22"/>
          <w:szCs w:val="22"/>
          <w:lang w:val="sr-Latn-ME"/>
        </w:rPr>
        <w:t xml:space="preserve">je njegove </w:t>
      </w:r>
      <w:proofErr w:type="spellStart"/>
      <w:r w:rsidRPr="00E7665A">
        <w:rPr>
          <w:sz w:val="22"/>
          <w:szCs w:val="22"/>
          <w:lang w:val="sr-Latn-ME"/>
        </w:rPr>
        <w:t>intravenske</w:t>
      </w:r>
      <w:proofErr w:type="spellEnd"/>
      <w:r w:rsidRPr="00E7665A">
        <w:rPr>
          <w:sz w:val="22"/>
          <w:szCs w:val="22"/>
          <w:lang w:val="sr-Latn-ME"/>
        </w:rPr>
        <w:t xml:space="preserve"> primjene. Ovo povećanje se povlači u nastavku terapije. Preporučuje se redovna kontrola broja </w:t>
      </w:r>
      <w:proofErr w:type="spellStart"/>
      <w:r w:rsidRPr="00E7665A">
        <w:rPr>
          <w:sz w:val="22"/>
          <w:szCs w:val="22"/>
          <w:lang w:val="sr-Latn-ME"/>
        </w:rPr>
        <w:t>trombocita</w:t>
      </w:r>
      <w:proofErr w:type="spellEnd"/>
      <w:r w:rsidRPr="00E7665A">
        <w:rPr>
          <w:sz w:val="22"/>
          <w:szCs w:val="22"/>
          <w:lang w:val="sr-Latn-ME"/>
        </w:rPr>
        <w:t xml:space="preserve"> tokom prvih 8 nedjelja terapije. </w:t>
      </w:r>
    </w:p>
    <w:p w:rsidR="002E440B" w:rsidRPr="00E7665A" w:rsidRDefault="002E440B" w:rsidP="00BF3E6B">
      <w:pPr>
        <w:jc w:val="both"/>
        <w:rPr>
          <w:sz w:val="22"/>
          <w:szCs w:val="22"/>
          <w:lang w:val="sr-Latn-ME"/>
        </w:rPr>
      </w:pPr>
    </w:p>
    <w:p w:rsidR="002E440B" w:rsidRPr="00E7665A" w:rsidRDefault="002E440B" w:rsidP="00BF3E6B">
      <w:pPr>
        <w:autoSpaceDE w:val="0"/>
        <w:autoSpaceDN w:val="0"/>
        <w:adjustRightInd w:val="0"/>
        <w:jc w:val="both"/>
        <w:rPr>
          <w:sz w:val="22"/>
          <w:szCs w:val="22"/>
          <w:u w:val="single"/>
          <w:lang w:val="sr-Latn-ME"/>
        </w:rPr>
      </w:pPr>
      <w:r w:rsidRPr="00E7665A">
        <w:rPr>
          <w:sz w:val="22"/>
          <w:szCs w:val="22"/>
          <w:u w:val="single"/>
          <w:lang w:val="sr-Latn-ME"/>
        </w:rPr>
        <w:t>Koncentracija hemoglobina</w:t>
      </w:r>
    </w:p>
    <w:p w:rsidR="009E22D0" w:rsidRPr="00E7665A" w:rsidRDefault="009E22D0" w:rsidP="00BF3E6B">
      <w:pPr>
        <w:autoSpaceDE w:val="0"/>
        <w:autoSpaceDN w:val="0"/>
        <w:adjustRightInd w:val="0"/>
        <w:jc w:val="both"/>
        <w:rPr>
          <w:sz w:val="22"/>
          <w:szCs w:val="22"/>
          <w:u w:val="single"/>
          <w:lang w:val="sr-Latn-ME"/>
        </w:rPr>
      </w:pPr>
    </w:p>
    <w:p w:rsidR="002E440B" w:rsidRPr="00E7665A" w:rsidRDefault="002E440B" w:rsidP="00BF3E6B">
      <w:pPr>
        <w:jc w:val="both"/>
        <w:rPr>
          <w:sz w:val="22"/>
          <w:szCs w:val="22"/>
          <w:lang w:val="sr-Latn-ME"/>
        </w:rPr>
      </w:pPr>
      <w:r w:rsidRPr="00E7665A">
        <w:rPr>
          <w:sz w:val="22"/>
          <w:szCs w:val="22"/>
          <w:lang w:val="sr-Latn-ME"/>
        </w:rPr>
        <w:t xml:space="preserve">Kod pacijenata sa hroničnom bubrežnom </w:t>
      </w:r>
      <w:proofErr w:type="spellStart"/>
      <w:r w:rsidRPr="00E7665A">
        <w:rPr>
          <w:sz w:val="22"/>
          <w:szCs w:val="22"/>
          <w:lang w:val="sr-Latn-ME"/>
        </w:rPr>
        <w:t>insuficijencijom</w:t>
      </w:r>
      <w:proofErr w:type="spellEnd"/>
      <w:r w:rsidRPr="00E7665A">
        <w:rPr>
          <w:sz w:val="22"/>
          <w:szCs w:val="22"/>
          <w:lang w:val="sr-Latn-ME"/>
        </w:rPr>
        <w:t xml:space="preserve"> koncentracija hemoglobina tokom održavanja ne smije da prelazi gornju granicu ciljne koncentracije hemoglobina preporučenog u poglavlju 4.2. U kliničkim studijama primijećen je povećan rizik od smrti i ozbiljnih </w:t>
      </w:r>
      <w:proofErr w:type="spellStart"/>
      <w:r w:rsidRPr="00E7665A">
        <w:rPr>
          <w:sz w:val="22"/>
          <w:szCs w:val="22"/>
          <w:lang w:val="sr-Latn-ME"/>
        </w:rPr>
        <w:t>kardiovaskularnih</w:t>
      </w:r>
      <w:proofErr w:type="spellEnd"/>
      <w:r w:rsidRPr="00E7665A">
        <w:rPr>
          <w:sz w:val="22"/>
          <w:szCs w:val="22"/>
          <w:lang w:val="sr-Latn-ME"/>
        </w:rPr>
        <w:t xml:space="preserve"> događaja ili </w:t>
      </w:r>
      <w:proofErr w:type="spellStart"/>
      <w:r w:rsidRPr="00E7665A">
        <w:rPr>
          <w:sz w:val="22"/>
          <w:szCs w:val="22"/>
          <w:lang w:val="sr-Latn-ME"/>
        </w:rPr>
        <w:t>cerebrovaskularnih</w:t>
      </w:r>
      <w:proofErr w:type="spellEnd"/>
      <w:r w:rsidRPr="00E7665A">
        <w:rPr>
          <w:sz w:val="22"/>
          <w:szCs w:val="22"/>
          <w:lang w:val="sr-Latn-ME"/>
        </w:rPr>
        <w:t xml:space="preserve"> događaja, uključujući moždani udar, kada je ciljna vrijednost hemoglobina, postignuta ljekovima za stimulaciju </w:t>
      </w:r>
      <w:proofErr w:type="spellStart"/>
      <w:r w:rsidRPr="00E7665A">
        <w:rPr>
          <w:sz w:val="22"/>
          <w:szCs w:val="22"/>
          <w:lang w:val="sr-Latn-ME"/>
        </w:rPr>
        <w:t>eritropoeze</w:t>
      </w:r>
      <w:proofErr w:type="spellEnd"/>
      <w:r w:rsidRPr="00E7665A">
        <w:rPr>
          <w:sz w:val="22"/>
          <w:szCs w:val="22"/>
          <w:lang w:val="sr-Latn-ME"/>
        </w:rPr>
        <w:t xml:space="preserve">, bila viša od 12 g/dl (7,5 </w:t>
      </w:r>
      <w:proofErr w:type="spellStart"/>
      <w:r w:rsidRPr="00E7665A">
        <w:rPr>
          <w:sz w:val="22"/>
          <w:szCs w:val="22"/>
          <w:lang w:val="sr-Latn-ME"/>
        </w:rPr>
        <w:t>mmol</w:t>
      </w:r>
      <w:proofErr w:type="spellEnd"/>
      <w:r w:rsidRPr="00E7665A">
        <w:rPr>
          <w:sz w:val="22"/>
          <w:szCs w:val="22"/>
          <w:lang w:val="sr-Latn-ME"/>
        </w:rPr>
        <w:t>/l).</w:t>
      </w:r>
    </w:p>
    <w:p w:rsidR="00343D9B" w:rsidRPr="00E7665A" w:rsidRDefault="00343D9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Kontrolisane kliničke studije nijesu pokazale značajnu </w:t>
      </w:r>
      <w:proofErr w:type="spellStart"/>
      <w:r w:rsidRPr="00E7665A">
        <w:rPr>
          <w:sz w:val="22"/>
          <w:szCs w:val="22"/>
          <w:lang w:val="sr-Latn-ME"/>
        </w:rPr>
        <w:t>prednost</w:t>
      </w:r>
      <w:proofErr w:type="spellEnd"/>
      <w:r w:rsidRPr="00E7665A">
        <w:rPr>
          <w:sz w:val="22"/>
          <w:szCs w:val="22"/>
          <w:lang w:val="sr-Latn-ME"/>
        </w:rPr>
        <w:t xml:space="preserve"> koje bi se mogle pripisati primjeni </w:t>
      </w:r>
      <w:proofErr w:type="spellStart"/>
      <w:r w:rsidRPr="00E7665A">
        <w:rPr>
          <w:sz w:val="22"/>
          <w:szCs w:val="22"/>
          <w:lang w:val="sr-Latn-ME"/>
        </w:rPr>
        <w:t>epoetina</w:t>
      </w:r>
      <w:proofErr w:type="spellEnd"/>
      <w:r w:rsidRPr="00E7665A">
        <w:rPr>
          <w:sz w:val="22"/>
          <w:szCs w:val="22"/>
          <w:lang w:val="sr-Latn-ME"/>
        </w:rPr>
        <w:t>, kada se koncentracija hemoglobina poveća iznad nivoa potrebnog za kontrolu simptoma anemije i izbjegavanje transfuzije krvi.</w:t>
      </w:r>
    </w:p>
    <w:p w:rsidR="00343D9B" w:rsidRPr="00E7665A" w:rsidRDefault="00343D9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Kod prijevremeno ro</w:t>
      </w:r>
      <w:r w:rsidR="000A4BF1" w:rsidRPr="00E7665A">
        <w:rPr>
          <w:sz w:val="22"/>
          <w:szCs w:val="22"/>
          <w:lang w:val="sr-Latn-ME"/>
        </w:rPr>
        <w:t>đ</w:t>
      </w:r>
      <w:r w:rsidRPr="00E7665A">
        <w:rPr>
          <w:sz w:val="22"/>
          <w:szCs w:val="22"/>
          <w:lang w:val="sr-Latn-ME"/>
        </w:rPr>
        <w:t xml:space="preserve">ene djece može doći do blagog porasta broja </w:t>
      </w:r>
      <w:proofErr w:type="spellStart"/>
      <w:r w:rsidRPr="00E7665A">
        <w:rPr>
          <w:sz w:val="22"/>
          <w:szCs w:val="22"/>
          <w:lang w:val="sr-Latn-ME"/>
        </w:rPr>
        <w:t>trombocita</w:t>
      </w:r>
      <w:proofErr w:type="spellEnd"/>
      <w:r w:rsidRPr="00E7665A">
        <w:rPr>
          <w:sz w:val="22"/>
          <w:szCs w:val="22"/>
          <w:lang w:val="sr-Latn-ME"/>
        </w:rPr>
        <w:t>, naročito do 12. do 14.</w:t>
      </w:r>
      <w:r w:rsidR="00343D9B" w:rsidRPr="00E7665A">
        <w:rPr>
          <w:sz w:val="22"/>
          <w:szCs w:val="22"/>
          <w:lang w:val="sr-Latn-ME"/>
        </w:rPr>
        <w:t xml:space="preserve"> </w:t>
      </w:r>
      <w:r w:rsidRPr="00E7665A">
        <w:rPr>
          <w:sz w:val="22"/>
          <w:szCs w:val="22"/>
          <w:lang w:val="sr-Latn-ME"/>
        </w:rPr>
        <w:t xml:space="preserve">dana života, stoga se </w:t>
      </w:r>
      <w:proofErr w:type="spellStart"/>
      <w:r w:rsidRPr="00E7665A">
        <w:rPr>
          <w:sz w:val="22"/>
          <w:szCs w:val="22"/>
          <w:lang w:val="sr-Latn-ME"/>
        </w:rPr>
        <w:t>tromb</w:t>
      </w:r>
      <w:r w:rsidR="000A4BF1" w:rsidRPr="00E7665A">
        <w:rPr>
          <w:sz w:val="22"/>
          <w:szCs w:val="22"/>
          <w:lang w:val="sr-Latn-ME"/>
        </w:rPr>
        <w:t>o</w:t>
      </w:r>
      <w:r w:rsidRPr="00E7665A">
        <w:rPr>
          <w:sz w:val="22"/>
          <w:szCs w:val="22"/>
          <w:lang w:val="sr-Latn-ME"/>
        </w:rPr>
        <w:t>citi</w:t>
      </w:r>
      <w:proofErr w:type="spellEnd"/>
      <w:r w:rsidRPr="00E7665A">
        <w:rPr>
          <w:sz w:val="22"/>
          <w:szCs w:val="22"/>
          <w:lang w:val="sr-Latn-ME"/>
        </w:rPr>
        <w:t xml:space="preserve"> trebaju redovno pratiti.</w:t>
      </w:r>
    </w:p>
    <w:p w:rsidR="002E440B" w:rsidRPr="00E7665A" w:rsidRDefault="002E440B" w:rsidP="00BF3E6B">
      <w:pPr>
        <w:jc w:val="both"/>
        <w:rPr>
          <w:sz w:val="22"/>
          <w:szCs w:val="22"/>
          <w:u w:val="single"/>
          <w:lang w:val="sr-Latn-ME"/>
        </w:rPr>
      </w:pPr>
    </w:p>
    <w:p w:rsidR="002E440B" w:rsidRPr="00E7665A" w:rsidRDefault="002E440B" w:rsidP="00BF3E6B">
      <w:pPr>
        <w:jc w:val="both"/>
        <w:rPr>
          <w:sz w:val="22"/>
          <w:szCs w:val="22"/>
          <w:u w:val="single"/>
          <w:lang w:val="sr-Latn-ME"/>
        </w:rPr>
      </w:pPr>
      <w:r w:rsidRPr="00E7665A">
        <w:rPr>
          <w:sz w:val="22"/>
          <w:szCs w:val="22"/>
          <w:u w:val="single"/>
          <w:lang w:val="sr-Latn-ME"/>
        </w:rPr>
        <w:t>Efekat na tumorski rast</w:t>
      </w:r>
    </w:p>
    <w:p w:rsidR="009E22D0" w:rsidRPr="00E7665A" w:rsidRDefault="009E22D0" w:rsidP="00BF3E6B">
      <w:pPr>
        <w:jc w:val="both"/>
        <w:rPr>
          <w:sz w:val="22"/>
          <w:szCs w:val="22"/>
          <w:u w:val="single"/>
          <w:lang w:val="sr-Latn-ME"/>
        </w:rPr>
      </w:pPr>
    </w:p>
    <w:p w:rsidR="002E440B" w:rsidRPr="00E7665A" w:rsidRDefault="002E440B" w:rsidP="00BF3E6B">
      <w:pPr>
        <w:jc w:val="both"/>
        <w:rPr>
          <w:sz w:val="22"/>
          <w:szCs w:val="22"/>
          <w:lang w:val="sr-Latn-ME"/>
        </w:rPr>
      </w:pPr>
      <w:proofErr w:type="spellStart"/>
      <w:r w:rsidRPr="00E7665A">
        <w:rPr>
          <w:sz w:val="22"/>
          <w:szCs w:val="22"/>
          <w:lang w:val="sr-Latn-ME"/>
        </w:rPr>
        <w:t>Epoetini</w:t>
      </w:r>
      <w:proofErr w:type="spellEnd"/>
      <w:r w:rsidRPr="00E7665A">
        <w:rPr>
          <w:sz w:val="22"/>
          <w:szCs w:val="22"/>
          <w:lang w:val="sr-Latn-ME"/>
        </w:rPr>
        <w:t xml:space="preserve"> su faktori rasta koji primarno stimulišu proizvodnju crvenih krvnih </w:t>
      </w:r>
      <w:r w:rsidR="00343D9B" w:rsidRPr="00E7665A">
        <w:rPr>
          <w:sz w:val="22"/>
          <w:szCs w:val="22"/>
          <w:lang w:val="sr-Latn-ME"/>
        </w:rPr>
        <w:t>ćelija</w:t>
      </w:r>
      <w:r w:rsidRPr="00E7665A">
        <w:rPr>
          <w:sz w:val="22"/>
          <w:szCs w:val="22"/>
          <w:lang w:val="sr-Latn-ME"/>
        </w:rPr>
        <w:t xml:space="preserve">. </w:t>
      </w:r>
      <w:proofErr w:type="spellStart"/>
      <w:r w:rsidRPr="00E7665A">
        <w:rPr>
          <w:sz w:val="22"/>
          <w:szCs w:val="22"/>
          <w:lang w:val="sr-Latn-ME"/>
        </w:rPr>
        <w:t>Eritropoetinski</w:t>
      </w:r>
      <w:proofErr w:type="spellEnd"/>
      <w:r w:rsidRPr="00E7665A">
        <w:rPr>
          <w:sz w:val="22"/>
          <w:szCs w:val="22"/>
          <w:lang w:val="sr-Latn-ME"/>
        </w:rPr>
        <w:t xml:space="preserve"> receptori mogu se nalaziti na površini različitih tumorskih ćelija. Kao i za sve faktore rasta, postoji zabrinutost da bi </w:t>
      </w:r>
      <w:proofErr w:type="spellStart"/>
      <w:r w:rsidRPr="00E7665A">
        <w:rPr>
          <w:sz w:val="22"/>
          <w:szCs w:val="22"/>
          <w:lang w:val="sr-Latn-ME"/>
        </w:rPr>
        <w:t>epoetini</w:t>
      </w:r>
      <w:proofErr w:type="spellEnd"/>
      <w:r w:rsidRPr="00E7665A">
        <w:rPr>
          <w:sz w:val="22"/>
          <w:szCs w:val="22"/>
          <w:lang w:val="sr-Latn-ME"/>
        </w:rPr>
        <w:t xml:space="preserve"> mogli stimulisati rast tumora. U nekoliko kontrolisanih studija nije se pokazalo da </w:t>
      </w:r>
      <w:proofErr w:type="spellStart"/>
      <w:r w:rsidRPr="00E7665A">
        <w:rPr>
          <w:sz w:val="22"/>
          <w:szCs w:val="22"/>
          <w:lang w:val="sr-Latn-ME"/>
        </w:rPr>
        <w:t>epoetini</w:t>
      </w:r>
      <w:proofErr w:type="spellEnd"/>
      <w:r w:rsidRPr="00E7665A">
        <w:rPr>
          <w:sz w:val="22"/>
          <w:szCs w:val="22"/>
          <w:lang w:val="sr-Latn-ME"/>
        </w:rPr>
        <w:t xml:space="preserve"> poboljšavaju ukupno preživlj</w:t>
      </w:r>
      <w:r w:rsidR="000A4BF1" w:rsidRPr="00E7665A">
        <w:rPr>
          <w:sz w:val="22"/>
          <w:szCs w:val="22"/>
          <w:lang w:val="sr-Latn-ME"/>
        </w:rPr>
        <w:t>ava</w:t>
      </w:r>
      <w:r w:rsidRPr="00E7665A">
        <w:rPr>
          <w:sz w:val="22"/>
          <w:szCs w:val="22"/>
          <w:lang w:val="sr-Latn-ME"/>
        </w:rPr>
        <w:t xml:space="preserve">nje ili smanjuju rizik od napredovanja tumora kod pacijenata sa anemijom povezanom sa </w:t>
      </w:r>
      <w:proofErr w:type="spellStart"/>
      <w:r w:rsidRPr="00E7665A">
        <w:rPr>
          <w:sz w:val="22"/>
          <w:szCs w:val="22"/>
          <w:lang w:val="sr-Latn-ME"/>
        </w:rPr>
        <w:t>karcinomom</w:t>
      </w:r>
      <w:proofErr w:type="spellEnd"/>
      <w:r w:rsidRPr="00E7665A">
        <w:rPr>
          <w:sz w:val="22"/>
          <w:szCs w:val="22"/>
          <w:lang w:val="sr-Latn-ME"/>
        </w:rPr>
        <w:t xml:space="preserve">. </w:t>
      </w:r>
    </w:p>
    <w:p w:rsidR="002E440B" w:rsidRPr="00E7665A" w:rsidRDefault="002E440B" w:rsidP="00BF3E6B">
      <w:pPr>
        <w:jc w:val="both"/>
        <w:rPr>
          <w:sz w:val="22"/>
          <w:szCs w:val="22"/>
          <w:lang w:val="sr-Latn-ME"/>
        </w:rPr>
      </w:pPr>
      <w:r w:rsidRPr="00E7665A">
        <w:rPr>
          <w:sz w:val="22"/>
          <w:szCs w:val="22"/>
          <w:lang w:val="sr-Latn-ME"/>
        </w:rPr>
        <w:t xml:space="preserve">U kontrolisanim kliničkim studijama pokazalo se da primjena </w:t>
      </w:r>
      <w:r w:rsidR="00343D9B" w:rsidRPr="00E7665A">
        <w:rPr>
          <w:sz w:val="22"/>
          <w:szCs w:val="22"/>
          <w:lang w:val="sr-Latn-ME"/>
        </w:rPr>
        <w:t xml:space="preserve">lijeka </w:t>
      </w:r>
      <w:proofErr w:type="spellStart"/>
      <w:r w:rsidR="00980E2B" w:rsidRPr="00E7665A">
        <w:rPr>
          <w:sz w:val="22"/>
          <w:szCs w:val="22"/>
          <w:lang w:val="sr-Latn-ME"/>
        </w:rPr>
        <w:t>NeoRecormon</w:t>
      </w:r>
      <w:proofErr w:type="spellEnd"/>
      <w:r w:rsidRPr="00E7665A">
        <w:rPr>
          <w:sz w:val="22"/>
          <w:szCs w:val="22"/>
          <w:lang w:val="sr-Latn-ME"/>
        </w:rPr>
        <w:t xml:space="preserve"> i drugih preparata za stimulaciju </w:t>
      </w:r>
      <w:proofErr w:type="spellStart"/>
      <w:r w:rsidRPr="00E7665A">
        <w:rPr>
          <w:sz w:val="22"/>
          <w:szCs w:val="22"/>
          <w:lang w:val="sr-Latn-ME"/>
        </w:rPr>
        <w:t>eritropoeze</w:t>
      </w:r>
      <w:proofErr w:type="spellEnd"/>
      <w:r w:rsidRPr="00E7665A">
        <w:rPr>
          <w:sz w:val="22"/>
          <w:szCs w:val="22"/>
          <w:lang w:val="sr-Latn-ME"/>
        </w:rPr>
        <w:t xml:space="preserve"> (</w:t>
      </w:r>
      <w:proofErr w:type="spellStart"/>
      <w:r w:rsidRPr="00E7665A">
        <w:rPr>
          <w:sz w:val="22"/>
          <w:szCs w:val="22"/>
          <w:lang w:val="sr-Latn-ME"/>
        </w:rPr>
        <w:t>ESA</w:t>
      </w:r>
      <w:proofErr w:type="spellEnd"/>
      <w:r w:rsidRPr="00E7665A">
        <w:rPr>
          <w:sz w:val="22"/>
          <w:szCs w:val="22"/>
          <w:lang w:val="sr-Latn-ME"/>
        </w:rPr>
        <w:t>) ima sljedeće efekte:</w:t>
      </w:r>
    </w:p>
    <w:p w:rsidR="002E440B" w:rsidRPr="00E7665A" w:rsidRDefault="002E440B" w:rsidP="00BF3E6B">
      <w:pPr>
        <w:jc w:val="both"/>
        <w:rPr>
          <w:sz w:val="22"/>
          <w:szCs w:val="22"/>
          <w:lang w:val="sr-Latn-ME"/>
        </w:rPr>
      </w:pPr>
      <w:r w:rsidRPr="00E7665A">
        <w:rPr>
          <w:sz w:val="22"/>
          <w:szCs w:val="22"/>
          <w:lang w:val="sr-Latn-ME"/>
        </w:rPr>
        <w:t xml:space="preserve">- skraćuje vrijeme do tumorske progresije kod pacijenata sa </w:t>
      </w:r>
      <w:proofErr w:type="spellStart"/>
      <w:r w:rsidRPr="00E7665A">
        <w:rPr>
          <w:sz w:val="22"/>
          <w:szCs w:val="22"/>
          <w:lang w:val="sr-Latn-ME"/>
        </w:rPr>
        <w:t>uznapredovalim</w:t>
      </w:r>
      <w:proofErr w:type="spellEnd"/>
      <w:r w:rsidRPr="00E7665A">
        <w:rPr>
          <w:sz w:val="22"/>
          <w:szCs w:val="22"/>
          <w:lang w:val="sr-Latn-ME"/>
        </w:rPr>
        <w:t xml:space="preserve"> </w:t>
      </w:r>
      <w:proofErr w:type="spellStart"/>
      <w:r w:rsidRPr="00E7665A">
        <w:rPr>
          <w:sz w:val="22"/>
          <w:szCs w:val="22"/>
          <w:lang w:val="sr-Latn-ME"/>
        </w:rPr>
        <w:t>karcinomom</w:t>
      </w:r>
      <w:proofErr w:type="spellEnd"/>
      <w:r w:rsidRPr="00E7665A">
        <w:rPr>
          <w:sz w:val="22"/>
          <w:szCs w:val="22"/>
          <w:lang w:val="sr-Latn-ME"/>
        </w:rPr>
        <w:t xml:space="preserve"> glave i vrata koji se liječe </w:t>
      </w:r>
      <w:proofErr w:type="spellStart"/>
      <w:r w:rsidRPr="00E7665A">
        <w:rPr>
          <w:sz w:val="22"/>
          <w:szCs w:val="22"/>
          <w:lang w:val="sr-Latn-ME"/>
        </w:rPr>
        <w:t>radioterapijom</w:t>
      </w:r>
      <w:proofErr w:type="spellEnd"/>
      <w:r w:rsidRPr="00E7665A">
        <w:rPr>
          <w:sz w:val="22"/>
          <w:szCs w:val="22"/>
          <w:lang w:val="sr-Latn-ME"/>
        </w:rPr>
        <w:t xml:space="preserve">, kada se ljekovi daju radi postizanja ciljne vrijednosti hemoglobina veće od 14 g/dl (8,7 </w:t>
      </w:r>
      <w:proofErr w:type="spellStart"/>
      <w:r w:rsidRPr="00E7665A">
        <w:rPr>
          <w:sz w:val="22"/>
          <w:szCs w:val="22"/>
          <w:lang w:val="sr-Latn-ME"/>
        </w:rPr>
        <w:t>mmol</w:t>
      </w:r>
      <w:proofErr w:type="spellEnd"/>
      <w:r w:rsidRPr="00E7665A">
        <w:rPr>
          <w:sz w:val="22"/>
          <w:szCs w:val="22"/>
          <w:lang w:val="sr-Latn-ME"/>
        </w:rPr>
        <w:t>/l)</w:t>
      </w:r>
      <w:r w:rsidR="00343D9B" w:rsidRPr="00E7665A">
        <w:rPr>
          <w:sz w:val="22"/>
          <w:szCs w:val="22"/>
          <w:lang w:val="sr-Latn-ME"/>
        </w:rPr>
        <w:t>,</w:t>
      </w:r>
    </w:p>
    <w:p w:rsidR="002E440B" w:rsidRPr="00E7665A" w:rsidRDefault="002E440B" w:rsidP="00BF3E6B">
      <w:pPr>
        <w:jc w:val="both"/>
        <w:rPr>
          <w:sz w:val="22"/>
          <w:szCs w:val="22"/>
          <w:lang w:val="sr-Latn-ME"/>
        </w:rPr>
      </w:pPr>
      <w:r w:rsidRPr="00E7665A">
        <w:rPr>
          <w:sz w:val="22"/>
          <w:szCs w:val="22"/>
          <w:lang w:val="sr-Latn-ME"/>
        </w:rPr>
        <w:t>- skraćuje ukupno preživlj</w:t>
      </w:r>
      <w:r w:rsidR="000A4BF1" w:rsidRPr="00E7665A">
        <w:rPr>
          <w:sz w:val="22"/>
          <w:szCs w:val="22"/>
          <w:lang w:val="sr-Latn-ME"/>
        </w:rPr>
        <w:t>ava</w:t>
      </w:r>
      <w:r w:rsidRPr="00E7665A">
        <w:rPr>
          <w:sz w:val="22"/>
          <w:szCs w:val="22"/>
          <w:lang w:val="sr-Latn-ME"/>
        </w:rPr>
        <w:t xml:space="preserve">nje i povećan broj smrtnih slučajeva koji se pripisuje pogoršanju bolesti u </w:t>
      </w:r>
      <w:r w:rsidR="00343D9B" w:rsidRPr="00E7665A">
        <w:rPr>
          <w:sz w:val="22"/>
          <w:szCs w:val="22"/>
          <w:lang w:val="sr-Latn-ME"/>
        </w:rPr>
        <w:t xml:space="preserve">periodu </w:t>
      </w:r>
      <w:r w:rsidRPr="00E7665A">
        <w:rPr>
          <w:sz w:val="22"/>
          <w:szCs w:val="22"/>
          <w:lang w:val="sr-Latn-ME"/>
        </w:rPr>
        <w:t xml:space="preserve">od četiri mjeseca kod pacijenata sa </w:t>
      </w:r>
      <w:proofErr w:type="spellStart"/>
      <w:r w:rsidRPr="00E7665A">
        <w:rPr>
          <w:sz w:val="22"/>
          <w:szCs w:val="22"/>
          <w:lang w:val="sr-Latn-ME"/>
        </w:rPr>
        <w:t>metastatskim</w:t>
      </w:r>
      <w:proofErr w:type="spellEnd"/>
      <w:r w:rsidRPr="00E7665A">
        <w:rPr>
          <w:sz w:val="22"/>
          <w:szCs w:val="22"/>
          <w:lang w:val="sr-Latn-ME"/>
        </w:rPr>
        <w:t xml:space="preserve"> </w:t>
      </w:r>
      <w:proofErr w:type="spellStart"/>
      <w:r w:rsidRPr="00E7665A">
        <w:rPr>
          <w:sz w:val="22"/>
          <w:szCs w:val="22"/>
          <w:lang w:val="sr-Latn-ME"/>
        </w:rPr>
        <w:t>karcinomom</w:t>
      </w:r>
      <w:proofErr w:type="spellEnd"/>
      <w:r w:rsidRPr="00E7665A">
        <w:rPr>
          <w:sz w:val="22"/>
          <w:szCs w:val="22"/>
          <w:lang w:val="sr-Latn-ME"/>
        </w:rPr>
        <w:t xml:space="preserve"> dojke koje primaju hemoterapiju, kada se ljekovi daju radi postizanja ciljne vrijednosti hemoglobina od 12 – 14 g/dl (7,5 – 8,7 </w:t>
      </w:r>
      <w:proofErr w:type="spellStart"/>
      <w:r w:rsidRPr="00E7665A">
        <w:rPr>
          <w:sz w:val="22"/>
          <w:szCs w:val="22"/>
          <w:lang w:val="sr-Latn-ME"/>
        </w:rPr>
        <w:t>mmol</w:t>
      </w:r>
      <w:proofErr w:type="spellEnd"/>
      <w:r w:rsidRPr="00E7665A">
        <w:rPr>
          <w:sz w:val="22"/>
          <w:szCs w:val="22"/>
          <w:lang w:val="sr-Latn-ME"/>
        </w:rPr>
        <w:t>/l)</w:t>
      </w:r>
      <w:r w:rsidR="00343D9B" w:rsidRPr="00E7665A">
        <w:rPr>
          <w:sz w:val="22"/>
          <w:szCs w:val="22"/>
          <w:lang w:val="sr-Latn-ME"/>
        </w:rPr>
        <w:t>,</w:t>
      </w:r>
    </w:p>
    <w:p w:rsidR="002E440B" w:rsidRPr="00E7665A" w:rsidRDefault="002E440B" w:rsidP="00BF3E6B">
      <w:pPr>
        <w:jc w:val="both"/>
        <w:rPr>
          <w:sz w:val="22"/>
          <w:szCs w:val="22"/>
          <w:lang w:val="sr-Latn-ME"/>
        </w:rPr>
      </w:pPr>
      <w:r w:rsidRPr="00E7665A">
        <w:rPr>
          <w:sz w:val="22"/>
          <w:szCs w:val="22"/>
          <w:lang w:val="sr-Latn-ME"/>
        </w:rPr>
        <w:t xml:space="preserve">- povećava rizik od smrti kada se ljekovi daju radi postizanja ciljne vrijednosti hemoglobina veće od 12 g/dl (7,5 </w:t>
      </w:r>
      <w:proofErr w:type="spellStart"/>
      <w:r w:rsidRPr="00E7665A">
        <w:rPr>
          <w:sz w:val="22"/>
          <w:szCs w:val="22"/>
          <w:lang w:val="sr-Latn-ME"/>
        </w:rPr>
        <w:t>mmol</w:t>
      </w:r>
      <w:proofErr w:type="spellEnd"/>
      <w:r w:rsidRPr="00E7665A">
        <w:rPr>
          <w:sz w:val="22"/>
          <w:szCs w:val="22"/>
          <w:lang w:val="sr-Latn-ME"/>
        </w:rPr>
        <w:t xml:space="preserve">/l) kod pacijenata sa aktivnom malignom bolešću koji se ne liječe ni hemoterapijom ni </w:t>
      </w:r>
      <w:proofErr w:type="spellStart"/>
      <w:r w:rsidRPr="00E7665A">
        <w:rPr>
          <w:sz w:val="22"/>
          <w:szCs w:val="22"/>
          <w:lang w:val="sr-Latn-ME"/>
        </w:rPr>
        <w:t>radioterapijom</w:t>
      </w:r>
      <w:proofErr w:type="spellEnd"/>
      <w:r w:rsidRPr="00E7665A">
        <w:rPr>
          <w:sz w:val="22"/>
          <w:szCs w:val="22"/>
          <w:lang w:val="sr-Latn-ME"/>
        </w:rPr>
        <w:t xml:space="preserve">. Preparati za stimulaciju </w:t>
      </w:r>
      <w:proofErr w:type="spellStart"/>
      <w:r w:rsidRPr="00E7665A">
        <w:rPr>
          <w:sz w:val="22"/>
          <w:szCs w:val="22"/>
          <w:lang w:val="sr-Latn-ME"/>
        </w:rPr>
        <w:t>eritropoeze</w:t>
      </w:r>
      <w:proofErr w:type="spellEnd"/>
      <w:r w:rsidRPr="00E7665A">
        <w:rPr>
          <w:sz w:val="22"/>
          <w:szCs w:val="22"/>
          <w:lang w:val="sr-Latn-ME"/>
        </w:rPr>
        <w:t xml:space="preserve"> nijesu </w:t>
      </w:r>
      <w:proofErr w:type="spellStart"/>
      <w:r w:rsidRPr="00E7665A">
        <w:rPr>
          <w:sz w:val="22"/>
          <w:szCs w:val="22"/>
          <w:lang w:val="sr-Latn-ME"/>
        </w:rPr>
        <w:t>indikovani</w:t>
      </w:r>
      <w:proofErr w:type="spellEnd"/>
      <w:r w:rsidRPr="00E7665A">
        <w:rPr>
          <w:sz w:val="22"/>
          <w:szCs w:val="22"/>
          <w:lang w:val="sr-Latn-ME"/>
        </w:rPr>
        <w:t xml:space="preserve"> za primjenu u toj grupi pacijenata. </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Imajući u vidu gore navedeno, u nekim kliničkim situacijama, transfuzija krvi treba da bude prihvatljiviji vid za liječenja anemije kod pacijenata sa </w:t>
      </w:r>
      <w:proofErr w:type="spellStart"/>
      <w:r w:rsidRPr="00E7665A">
        <w:rPr>
          <w:sz w:val="22"/>
          <w:szCs w:val="22"/>
          <w:lang w:val="sr-Latn-ME"/>
        </w:rPr>
        <w:t>karcinomom</w:t>
      </w:r>
      <w:proofErr w:type="spellEnd"/>
      <w:r w:rsidRPr="00E7665A">
        <w:rPr>
          <w:sz w:val="22"/>
          <w:szCs w:val="22"/>
          <w:lang w:val="sr-Latn-ME"/>
        </w:rPr>
        <w:t xml:space="preserve">. Odluku o primjeni </w:t>
      </w:r>
      <w:proofErr w:type="spellStart"/>
      <w:r w:rsidRPr="00E7665A">
        <w:rPr>
          <w:sz w:val="22"/>
          <w:szCs w:val="22"/>
          <w:lang w:val="sr-Latn-ME"/>
        </w:rPr>
        <w:t>rekombinantnih</w:t>
      </w:r>
      <w:proofErr w:type="spellEnd"/>
      <w:r w:rsidRPr="00E7665A">
        <w:rPr>
          <w:sz w:val="22"/>
          <w:szCs w:val="22"/>
          <w:lang w:val="sr-Latn-ME"/>
        </w:rPr>
        <w:t xml:space="preserve"> </w:t>
      </w:r>
      <w:proofErr w:type="spellStart"/>
      <w:r w:rsidRPr="00E7665A">
        <w:rPr>
          <w:sz w:val="22"/>
          <w:szCs w:val="22"/>
          <w:lang w:val="sr-Latn-ME"/>
        </w:rPr>
        <w:t>eritropoetina</w:t>
      </w:r>
      <w:proofErr w:type="spellEnd"/>
      <w:r w:rsidRPr="00E7665A">
        <w:rPr>
          <w:sz w:val="22"/>
          <w:szCs w:val="22"/>
          <w:lang w:val="sr-Latn-ME"/>
        </w:rPr>
        <w:t xml:space="preserve"> treba donijeti na osnovu procjene koristi i rizika za svakog pacijenta posebno, uključujući u to i posebne kliničke aspekte. Faktori koje treba uzeti u obzir prilikom ove procjene su vrsta tumora i njegova faza, stepen anemije, očekivano trajanje života, uslovi u kojima se pacijent liječi i pacijentove želje (vid</w:t>
      </w:r>
      <w:r w:rsidR="00884B1E" w:rsidRPr="00E7665A">
        <w:rPr>
          <w:sz w:val="22"/>
          <w:szCs w:val="22"/>
          <w:lang w:val="sr-Latn-ME"/>
        </w:rPr>
        <w:t>jeti</w:t>
      </w:r>
      <w:r w:rsidRPr="00E7665A">
        <w:rPr>
          <w:sz w:val="22"/>
          <w:szCs w:val="22"/>
          <w:lang w:val="sr-Latn-ME"/>
        </w:rPr>
        <w:t xml:space="preserve"> dio 5.1.)</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Moguća je pojava povišenog krvnog pritiska koji se može liječiti ljekovima. Zbog toga se preporučuje kontrola</w:t>
      </w:r>
      <w:r w:rsidR="00343D9B" w:rsidRPr="00E7665A">
        <w:rPr>
          <w:sz w:val="22"/>
          <w:szCs w:val="22"/>
          <w:lang w:val="sr-Latn-ME"/>
        </w:rPr>
        <w:t xml:space="preserve"> </w:t>
      </w:r>
      <w:r w:rsidRPr="00E7665A">
        <w:rPr>
          <w:sz w:val="22"/>
          <w:szCs w:val="22"/>
          <w:lang w:val="sr-Latn-ME"/>
        </w:rPr>
        <w:t xml:space="preserve">krvnog pritiska, posebno u početnoj fazi liječenja pacijenata sa </w:t>
      </w:r>
      <w:proofErr w:type="spellStart"/>
      <w:r w:rsidRPr="00E7665A">
        <w:rPr>
          <w:sz w:val="22"/>
          <w:szCs w:val="22"/>
          <w:lang w:val="sr-Latn-ME"/>
        </w:rPr>
        <w:t>ka</w:t>
      </w:r>
      <w:r w:rsidR="00343D9B" w:rsidRPr="00E7665A">
        <w:rPr>
          <w:sz w:val="22"/>
          <w:szCs w:val="22"/>
          <w:lang w:val="sr-Latn-ME"/>
        </w:rPr>
        <w:t>rcinomom</w:t>
      </w:r>
      <w:proofErr w:type="spellEnd"/>
      <w:r w:rsidRPr="00E7665A">
        <w:rPr>
          <w:sz w:val="22"/>
          <w:szCs w:val="22"/>
          <w:lang w:val="sr-Latn-ME"/>
        </w:rPr>
        <w:t>.</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Kod pacijenata sa </w:t>
      </w:r>
      <w:proofErr w:type="spellStart"/>
      <w:r w:rsidRPr="00E7665A">
        <w:rPr>
          <w:sz w:val="22"/>
          <w:szCs w:val="22"/>
          <w:lang w:val="sr-Latn-ME"/>
        </w:rPr>
        <w:t>ka</w:t>
      </w:r>
      <w:r w:rsidR="008D7CB9" w:rsidRPr="00E7665A">
        <w:rPr>
          <w:sz w:val="22"/>
          <w:szCs w:val="22"/>
          <w:lang w:val="sr-Latn-ME"/>
        </w:rPr>
        <w:t>rcinomom</w:t>
      </w:r>
      <w:proofErr w:type="spellEnd"/>
      <w:r w:rsidRPr="00E7665A">
        <w:rPr>
          <w:sz w:val="22"/>
          <w:szCs w:val="22"/>
          <w:lang w:val="sr-Latn-ME"/>
        </w:rPr>
        <w:t xml:space="preserve"> treba redovno  kontrolisati broj </w:t>
      </w:r>
      <w:proofErr w:type="spellStart"/>
      <w:r w:rsidRPr="00E7665A">
        <w:rPr>
          <w:sz w:val="22"/>
          <w:szCs w:val="22"/>
          <w:lang w:val="sr-Latn-ME"/>
        </w:rPr>
        <w:t>trombocita</w:t>
      </w:r>
      <w:proofErr w:type="spellEnd"/>
      <w:r w:rsidRPr="00E7665A">
        <w:rPr>
          <w:sz w:val="22"/>
          <w:szCs w:val="22"/>
          <w:lang w:val="sr-Latn-ME"/>
        </w:rPr>
        <w:t xml:space="preserve"> i nivo hemoglobina.</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Kod pacijenata u </w:t>
      </w:r>
      <w:r w:rsidRPr="00E7665A">
        <w:rPr>
          <w:i/>
          <w:sz w:val="22"/>
          <w:szCs w:val="22"/>
          <w:lang w:val="sr-Latn-ME"/>
        </w:rPr>
        <w:t>programu predominacije autologne krvi</w:t>
      </w:r>
      <w:r w:rsidRPr="00E7665A">
        <w:rPr>
          <w:sz w:val="22"/>
          <w:szCs w:val="22"/>
          <w:lang w:val="sr-Latn-ME"/>
        </w:rPr>
        <w:t xml:space="preserve"> može doći do porasta broja </w:t>
      </w:r>
      <w:proofErr w:type="spellStart"/>
      <w:r w:rsidRPr="00E7665A">
        <w:rPr>
          <w:sz w:val="22"/>
          <w:szCs w:val="22"/>
          <w:lang w:val="sr-Latn-ME"/>
        </w:rPr>
        <w:t>trombocita</w:t>
      </w:r>
      <w:proofErr w:type="spellEnd"/>
      <w:r w:rsidRPr="00E7665A">
        <w:rPr>
          <w:sz w:val="22"/>
          <w:szCs w:val="22"/>
          <w:lang w:val="sr-Latn-ME"/>
        </w:rPr>
        <w:t xml:space="preserve">, uglavnom u normalnom rasponu. Prema tome, preporučuje se da se kod ovih pacijenata broj </w:t>
      </w:r>
      <w:proofErr w:type="spellStart"/>
      <w:r w:rsidRPr="00E7665A">
        <w:rPr>
          <w:sz w:val="22"/>
          <w:szCs w:val="22"/>
          <w:lang w:val="sr-Latn-ME"/>
        </w:rPr>
        <w:t>trombocita</w:t>
      </w:r>
      <w:proofErr w:type="spellEnd"/>
      <w:r w:rsidRPr="00E7665A">
        <w:rPr>
          <w:sz w:val="22"/>
          <w:szCs w:val="22"/>
          <w:lang w:val="sr-Latn-ME"/>
        </w:rPr>
        <w:t xml:space="preserve"> određuje najmanje jednom nedjeljno. Ako dođe do porasta broja </w:t>
      </w:r>
      <w:proofErr w:type="spellStart"/>
      <w:r w:rsidRPr="00E7665A">
        <w:rPr>
          <w:sz w:val="22"/>
          <w:szCs w:val="22"/>
          <w:lang w:val="sr-Latn-ME"/>
        </w:rPr>
        <w:t>trombocita</w:t>
      </w:r>
      <w:proofErr w:type="spellEnd"/>
      <w:r w:rsidRPr="00E7665A">
        <w:rPr>
          <w:sz w:val="22"/>
          <w:szCs w:val="22"/>
          <w:lang w:val="sr-Latn-ME"/>
        </w:rPr>
        <w:t xml:space="preserve"> većeg od 150 x 10</w:t>
      </w:r>
      <w:r w:rsidRPr="00E7665A">
        <w:rPr>
          <w:sz w:val="22"/>
          <w:szCs w:val="22"/>
          <w:vertAlign w:val="superscript"/>
          <w:lang w:val="sr-Latn-ME"/>
        </w:rPr>
        <w:t>9</w:t>
      </w:r>
      <w:r w:rsidRPr="00E7665A">
        <w:rPr>
          <w:sz w:val="22"/>
          <w:szCs w:val="22"/>
          <w:lang w:val="sr-Latn-ME"/>
        </w:rPr>
        <w:t xml:space="preserve">/l ili ako ovaj povišeni broj </w:t>
      </w:r>
      <w:proofErr w:type="spellStart"/>
      <w:r w:rsidRPr="00E7665A">
        <w:rPr>
          <w:sz w:val="22"/>
          <w:szCs w:val="22"/>
          <w:lang w:val="sr-Latn-ME"/>
        </w:rPr>
        <w:t>trombocita</w:t>
      </w:r>
      <w:proofErr w:type="spellEnd"/>
      <w:r w:rsidRPr="00E7665A">
        <w:rPr>
          <w:sz w:val="22"/>
          <w:szCs w:val="22"/>
          <w:lang w:val="sr-Latn-ME"/>
        </w:rPr>
        <w:t xml:space="preserve"> prekorači normalne vrijednosti, terapiju </w:t>
      </w:r>
      <w:r w:rsidR="008D7CB9"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treba prekinuti. </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i/>
          <w:sz w:val="22"/>
          <w:szCs w:val="22"/>
          <w:lang w:val="sr-Latn-ME"/>
        </w:rPr>
        <w:lastRenderedPageBreak/>
        <w:t>Kod nedonoš</w:t>
      </w:r>
      <w:r w:rsidR="008D7CB9" w:rsidRPr="00E7665A">
        <w:rPr>
          <w:i/>
          <w:sz w:val="22"/>
          <w:szCs w:val="22"/>
          <w:lang w:val="sr-Latn-ME"/>
        </w:rPr>
        <w:t>č</w:t>
      </w:r>
      <w:r w:rsidRPr="00E7665A">
        <w:rPr>
          <w:i/>
          <w:sz w:val="22"/>
          <w:szCs w:val="22"/>
          <w:lang w:val="sr-Latn-ME"/>
        </w:rPr>
        <w:t>adi</w:t>
      </w:r>
      <w:r w:rsidRPr="00E7665A">
        <w:rPr>
          <w:sz w:val="22"/>
          <w:szCs w:val="22"/>
          <w:lang w:val="sr-Latn-ME"/>
        </w:rPr>
        <w:t xml:space="preserve"> se ne ne može isključiti mogući rizik od </w:t>
      </w:r>
      <w:proofErr w:type="spellStart"/>
      <w:r w:rsidRPr="00E7665A">
        <w:rPr>
          <w:sz w:val="22"/>
          <w:szCs w:val="22"/>
          <w:lang w:val="sr-Latn-ME"/>
        </w:rPr>
        <w:t>retinopati</w:t>
      </w:r>
      <w:r w:rsidR="008D7CB9" w:rsidRPr="00E7665A">
        <w:rPr>
          <w:sz w:val="22"/>
          <w:szCs w:val="22"/>
          <w:lang w:val="sr-Latn-ME"/>
        </w:rPr>
        <w:t>je</w:t>
      </w:r>
      <w:proofErr w:type="spellEnd"/>
      <w:r w:rsidRPr="00E7665A">
        <w:rPr>
          <w:sz w:val="22"/>
          <w:szCs w:val="22"/>
          <w:lang w:val="sr-Latn-ME"/>
        </w:rPr>
        <w:t xml:space="preserve"> pr</w:t>
      </w:r>
      <w:r w:rsidR="000A4BF1" w:rsidRPr="00E7665A">
        <w:rPr>
          <w:sz w:val="22"/>
          <w:szCs w:val="22"/>
          <w:lang w:val="sr-Latn-ME"/>
        </w:rPr>
        <w:t>o</w:t>
      </w:r>
      <w:r w:rsidRPr="00E7665A">
        <w:rPr>
          <w:sz w:val="22"/>
          <w:szCs w:val="22"/>
          <w:lang w:val="sr-Latn-ME"/>
        </w:rPr>
        <w:t xml:space="preserve">uzrokovane </w:t>
      </w:r>
      <w:proofErr w:type="spellStart"/>
      <w:r w:rsidRPr="00E7665A">
        <w:rPr>
          <w:sz w:val="22"/>
          <w:szCs w:val="22"/>
          <w:lang w:val="sr-Latn-ME"/>
        </w:rPr>
        <w:t>eritropoetinom</w:t>
      </w:r>
      <w:proofErr w:type="spellEnd"/>
      <w:r w:rsidRPr="00E7665A">
        <w:rPr>
          <w:sz w:val="22"/>
          <w:szCs w:val="22"/>
          <w:lang w:val="sr-Latn-ME"/>
        </w:rPr>
        <w:t xml:space="preserve"> pa je zbog toga potreban oprez. Odluku o liječenju nedonoščeta tre</w:t>
      </w:r>
      <w:r w:rsidR="008D7CB9" w:rsidRPr="00E7665A">
        <w:rPr>
          <w:sz w:val="22"/>
          <w:szCs w:val="22"/>
          <w:lang w:val="sr-Latn-ME"/>
        </w:rPr>
        <w:t>b</w:t>
      </w:r>
      <w:r w:rsidRPr="00E7665A">
        <w:rPr>
          <w:sz w:val="22"/>
          <w:szCs w:val="22"/>
          <w:lang w:val="sr-Latn-ME"/>
        </w:rPr>
        <w:t>a donijeti uzimajući u obzir moguću korist naspram rizika takvog liječenja kao i dostupnost alternativnog liječenja.</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i/>
          <w:sz w:val="22"/>
          <w:szCs w:val="22"/>
          <w:lang w:val="sr-Latn-ME"/>
        </w:rPr>
        <w:t xml:space="preserve">Kod pacijenata koji boluju od hronične bubrežne </w:t>
      </w:r>
      <w:proofErr w:type="spellStart"/>
      <w:r w:rsidRPr="00E7665A">
        <w:rPr>
          <w:i/>
          <w:sz w:val="22"/>
          <w:szCs w:val="22"/>
          <w:lang w:val="sr-Latn-ME"/>
        </w:rPr>
        <w:t>insuficijencije</w:t>
      </w:r>
      <w:proofErr w:type="spellEnd"/>
      <w:r w:rsidRPr="00E7665A">
        <w:rPr>
          <w:sz w:val="22"/>
          <w:szCs w:val="22"/>
          <w:lang w:val="sr-Latn-ME"/>
        </w:rPr>
        <w:t xml:space="preserve">, često je tokom terapije </w:t>
      </w:r>
      <w:r w:rsidR="008D7CB9"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potrebno povećanje doze </w:t>
      </w:r>
      <w:proofErr w:type="spellStart"/>
      <w:r w:rsidRPr="00E7665A">
        <w:rPr>
          <w:sz w:val="22"/>
          <w:szCs w:val="22"/>
          <w:lang w:val="sr-Latn-ME"/>
        </w:rPr>
        <w:t>heparina</w:t>
      </w:r>
      <w:proofErr w:type="spellEnd"/>
      <w:r w:rsidRPr="00E7665A">
        <w:rPr>
          <w:sz w:val="22"/>
          <w:szCs w:val="22"/>
          <w:lang w:val="sr-Latn-ME"/>
        </w:rPr>
        <w:t xml:space="preserve"> tokom </w:t>
      </w:r>
      <w:proofErr w:type="spellStart"/>
      <w:r w:rsidRPr="00E7665A">
        <w:rPr>
          <w:sz w:val="22"/>
          <w:szCs w:val="22"/>
          <w:lang w:val="sr-Latn-ME"/>
        </w:rPr>
        <w:t>hemodijalize</w:t>
      </w:r>
      <w:proofErr w:type="spellEnd"/>
      <w:r w:rsidRPr="00E7665A">
        <w:rPr>
          <w:sz w:val="22"/>
          <w:szCs w:val="22"/>
          <w:lang w:val="sr-Latn-ME"/>
        </w:rPr>
        <w:t xml:space="preserve"> zbog povećanja PCV. Ako </w:t>
      </w:r>
      <w:proofErr w:type="spellStart"/>
      <w:r w:rsidRPr="00E7665A">
        <w:rPr>
          <w:sz w:val="22"/>
          <w:szCs w:val="22"/>
          <w:lang w:val="sr-Latn-ME"/>
        </w:rPr>
        <w:t>heparinizacija</w:t>
      </w:r>
      <w:proofErr w:type="spellEnd"/>
      <w:r w:rsidRPr="00E7665A">
        <w:rPr>
          <w:sz w:val="22"/>
          <w:szCs w:val="22"/>
          <w:lang w:val="sr-Latn-ME"/>
        </w:rPr>
        <w:t xml:space="preserve"> nije optimalna, može doći do </w:t>
      </w:r>
      <w:proofErr w:type="spellStart"/>
      <w:r w:rsidRPr="00E7665A">
        <w:rPr>
          <w:sz w:val="22"/>
          <w:szCs w:val="22"/>
          <w:lang w:val="sr-Latn-ME"/>
        </w:rPr>
        <w:t>okluzije</w:t>
      </w:r>
      <w:proofErr w:type="spellEnd"/>
      <w:r w:rsidRPr="00E7665A">
        <w:rPr>
          <w:sz w:val="22"/>
          <w:szCs w:val="22"/>
          <w:lang w:val="sr-Latn-ME"/>
        </w:rPr>
        <w:t xml:space="preserve"> sistema za dijalizu. </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Kod pacijenata koji boluju od hronične bubrežne </w:t>
      </w:r>
      <w:proofErr w:type="spellStart"/>
      <w:r w:rsidRPr="00E7665A">
        <w:rPr>
          <w:sz w:val="22"/>
          <w:szCs w:val="22"/>
          <w:lang w:val="sr-Latn-ME"/>
        </w:rPr>
        <w:t>insuficijencije</w:t>
      </w:r>
      <w:proofErr w:type="spellEnd"/>
      <w:r w:rsidRPr="00E7665A">
        <w:rPr>
          <w:sz w:val="22"/>
          <w:szCs w:val="22"/>
          <w:lang w:val="sr-Latn-ME"/>
        </w:rPr>
        <w:t xml:space="preserve"> i sa rizikom od pojave tromboze šanta treba razmisliti, na primjer, o mogućnosti rane revizije šanta i profilakse tromboze davanjem </w:t>
      </w:r>
      <w:proofErr w:type="spellStart"/>
      <w:r w:rsidRPr="00E7665A">
        <w:rPr>
          <w:sz w:val="22"/>
          <w:szCs w:val="22"/>
          <w:lang w:val="sr-Latn-ME"/>
        </w:rPr>
        <w:t>acetilsalicilne</w:t>
      </w:r>
      <w:proofErr w:type="spellEnd"/>
      <w:r w:rsidRPr="00E7665A">
        <w:rPr>
          <w:sz w:val="22"/>
          <w:szCs w:val="22"/>
          <w:lang w:val="sr-Latn-ME"/>
        </w:rPr>
        <w:t xml:space="preserve"> kiseline.</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Tokom terapije </w:t>
      </w:r>
      <w:r w:rsidR="008D7CB9"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treba redovno kontrolisati nivoe kalijuma u serumu. Povišeni nivoi kalijuma zabilježeni su kod nekoliko </w:t>
      </w:r>
      <w:proofErr w:type="spellStart"/>
      <w:r w:rsidRPr="00E7665A">
        <w:rPr>
          <w:sz w:val="22"/>
          <w:szCs w:val="22"/>
          <w:lang w:val="sr-Latn-ME"/>
        </w:rPr>
        <w:t>uremičnih</w:t>
      </w:r>
      <w:proofErr w:type="spellEnd"/>
      <w:r w:rsidRPr="00E7665A">
        <w:rPr>
          <w:sz w:val="22"/>
          <w:szCs w:val="22"/>
          <w:lang w:val="sr-Latn-ME"/>
        </w:rPr>
        <w:t xml:space="preserve"> pacijenata koji su primali </w:t>
      </w:r>
      <w:r w:rsidR="008D7CB9" w:rsidRPr="00E7665A">
        <w:rPr>
          <w:sz w:val="22"/>
          <w:szCs w:val="22"/>
          <w:lang w:val="sr-Latn-ME"/>
        </w:rPr>
        <w:t xml:space="preserve">lijek </w:t>
      </w:r>
      <w:proofErr w:type="spellStart"/>
      <w:r w:rsidR="00980E2B" w:rsidRPr="00E7665A">
        <w:rPr>
          <w:sz w:val="22"/>
          <w:szCs w:val="22"/>
          <w:lang w:val="sr-Latn-ME"/>
        </w:rPr>
        <w:t>NeoRecormon</w:t>
      </w:r>
      <w:proofErr w:type="spellEnd"/>
      <w:r w:rsidRPr="00E7665A">
        <w:rPr>
          <w:sz w:val="22"/>
          <w:szCs w:val="22"/>
          <w:lang w:val="sr-Latn-ME"/>
        </w:rPr>
        <w:t xml:space="preserve">, iako uzročnost nije potvrđena. Ako se uoči povećanje nivoa kalijuma ili da nivo kalijuma raste, onda treba razmisliti o </w:t>
      </w:r>
      <w:r w:rsidR="008D7CB9" w:rsidRPr="00E7665A">
        <w:rPr>
          <w:sz w:val="22"/>
          <w:szCs w:val="22"/>
          <w:lang w:val="sr-Latn-ME"/>
        </w:rPr>
        <w:t>prekidu tera</w:t>
      </w:r>
      <w:r w:rsidR="000A4BF1" w:rsidRPr="00E7665A">
        <w:rPr>
          <w:sz w:val="22"/>
          <w:szCs w:val="22"/>
          <w:lang w:val="sr-Latn-ME"/>
        </w:rPr>
        <w:t>p</w:t>
      </w:r>
      <w:r w:rsidR="008D7CB9" w:rsidRPr="00E7665A">
        <w:rPr>
          <w:sz w:val="22"/>
          <w:szCs w:val="22"/>
          <w:lang w:val="sr-Latn-ME"/>
        </w:rPr>
        <w:t>ije lijekom</w:t>
      </w:r>
      <w:r w:rsidRPr="00E7665A">
        <w:rPr>
          <w:sz w:val="22"/>
          <w:szCs w:val="22"/>
          <w:lang w:val="sr-Latn-ME"/>
        </w:rPr>
        <w:t xml:space="preserve"> </w:t>
      </w:r>
      <w:proofErr w:type="spellStart"/>
      <w:r w:rsidR="00980E2B" w:rsidRPr="00E7665A">
        <w:rPr>
          <w:sz w:val="22"/>
          <w:szCs w:val="22"/>
          <w:lang w:val="sr-Latn-ME"/>
        </w:rPr>
        <w:t>NeoRecormon</w:t>
      </w:r>
      <w:proofErr w:type="spellEnd"/>
      <w:r w:rsidRPr="00E7665A">
        <w:rPr>
          <w:sz w:val="22"/>
          <w:szCs w:val="22"/>
          <w:lang w:val="sr-Latn-ME"/>
        </w:rPr>
        <w:t xml:space="preserve"> dok se ovi nivoi ne koriguju.</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Kada se </w:t>
      </w:r>
      <w:r w:rsidR="008D7CB9" w:rsidRPr="00E7665A">
        <w:rPr>
          <w:sz w:val="22"/>
          <w:szCs w:val="22"/>
          <w:lang w:val="sr-Latn-ME"/>
        </w:rPr>
        <w:t xml:space="preserve">lijek </w:t>
      </w:r>
      <w:proofErr w:type="spellStart"/>
      <w:r w:rsidR="00980E2B" w:rsidRPr="00E7665A">
        <w:rPr>
          <w:sz w:val="22"/>
          <w:szCs w:val="22"/>
          <w:lang w:val="sr-Latn-ME"/>
        </w:rPr>
        <w:t>NeoRecormon</w:t>
      </w:r>
      <w:proofErr w:type="spellEnd"/>
      <w:r w:rsidRPr="00E7665A">
        <w:rPr>
          <w:sz w:val="22"/>
          <w:szCs w:val="22"/>
          <w:lang w:val="sr-Latn-ME"/>
        </w:rPr>
        <w:t xml:space="preserve"> koristi u okviru autolognog </w:t>
      </w:r>
      <w:proofErr w:type="spellStart"/>
      <w:r w:rsidRPr="00E7665A">
        <w:rPr>
          <w:sz w:val="22"/>
          <w:szCs w:val="22"/>
          <w:lang w:val="sr-Latn-ME"/>
        </w:rPr>
        <w:t>predonacijskog</w:t>
      </w:r>
      <w:proofErr w:type="spellEnd"/>
      <w:r w:rsidRPr="00E7665A">
        <w:rPr>
          <w:sz w:val="22"/>
          <w:szCs w:val="22"/>
          <w:lang w:val="sr-Latn-ME"/>
        </w:rPr>
        <w:t xml:space="preserve"> programa (tzv. </w:t>
      </w:r>
      <w:proofErr w:type="spellStart"/>
      <w:r w:rsidRPr="00E7665A">
        <w:rPr>
          <w:sz w:val="22"/>
          <w:szCs w:val="22"/>
          <w:lang w:val="sr-Latn-ME"/>
        </w:rPr>
        <w:t>pre</w:t>
      </w:r>
      <w:proofErr w:type="spellEnd"/>
      <w:r w:rsidRPr="00E7665A">
        <w:rPr>
          <w:sz w:val="22"/>
          <w:szCs w:val="22"/>
          <w:lang w:val="sr-Latn-ME"/>
        </w:rPr>
        <w:t xml:space="preserve">-donacija), moraju se poštovati sve zvanične smjernice o principima davanja krvi, a prije svega sljedeće: </w:t>
      </w:r>
    </w:p>
    <w:p w:rsidR="002E440B" w:rsidRPr="00E7665A" w:rsidRDefault="002E440B" w:rsidP="00BF3E6B">
      <w:pPr>
        <w:numPr>
          <w:ilvl w:val="0"/>
          <w:numId w:val="18"/>
        </w:numPr>
        <w:tabs>
          <w:tab w:val="left" w:pos="284"/>
        </w:tabs>
        <w:jc w:val="both"/>
        <w:rPr>
          <w:sz w:val="22"/>
          <w:szCs w:val="22"/>
          <w:lang w:val="sr-Latn-ME"/>
        </w:rPr>
      </w:pPr>
      <w:r w:rsidRPr="00E7665A">
        <w:rPr>
          <w:sz w:val="22"/>
          <w:szCs w:val="22"/>
          <w:lang w:val="sr-Latn-ME"/>
        </w:rPr>
        <w:t>krv mogu dati samo pacijenti čiji je PCV ≥</w:t>
      </w:r>
      <w:r w:rsidR="008D7CB9" w:rsidRPr="00E7665A">
        <w:rPr>
          <w:sz w:val="22"/>
          <w:szCs w:val="22"/>
          <w:lang w:val="sr-Latn-ME"/>
        </w:rPr>
        <w:t xml:space="preserve"> </w:t>
      </w:r>
      <w:r w:rsidRPr="00E7665A">
        <w:rPr>
          <w:sz w:val="22"/>
          <w:szCs w:val="22"/>
          <w:lang w:val="sr-Latn-ME"/>
        </w:rPr>
        <w:t>33% (hemoglobin ≥</w:t>
      </w:r>
      <w:r w:rsidR="008D7CB9" w:rsidRPr="00E7665A">
        <w:rPr>
          <w:sz w:val="22"/>
          <w:szCs w:val="22"/>
          <w:lang w:val="sr-Latn-ME"/>
        </w:rPr>
        <w:t xml:space="preserve"> </w:t>
      </w:r>
      <w:proofErr w:type="spellStart"/>
      <w:r w:rsidRPr="00E7665A">
        <w:rPr>
          <w:sz w:val="22"/>
          <w:szCs w:val="22"/>
          <w:lang w:val="sr-Latn-ME"/>
        </w:rPr>
        <w:t>11g</w:t>
      </w:r>
      <w:proofErr w:type="spellEnd"/>
      <w:r w:rsidRPr="00E7665A">
        <w:rPr>
          <w:sz w:val="22"/>
          <w:szCs w:val="22"/>
          <w:lang w:val="sr-Latn-ME"/>
        </w:rPr>
        <w:t xml:space="preserve">/dl [6,83 </w:t>
      </w:r>
      <w:proofErr w:type="spellStart"/>
      <w:r w:rsidRPr="00E7665A">
        <w:rPr>
          <w:sz w:val="22"/>
          <w:szCs w:val="22"/>
          <w:lang w:val="sr-Latn-ME"/>
        </w:rPr>
        <w:t>mmol</w:t>
      </w:r>
      <w:proofErr w:type="spellEnd"/>
      <w:r w:rsidRPr="00E7665A">
        <w:rPr>
          <w:sz w:val="22"/>
          <w:szCs w:val="22"/>
          <w:lang w:val="sr-Latn-ME"/>
        </w:rPr>
        <w:t>/l];</w:t>
      </w:r>
    </w:p>
    <w:p w:rsidR="002E440B" w:rsidRPr="00E7665A" w:rsidRDefault="002E440B" w:rsidP="00BF3E6B">
      <w:pPr>
        <w:numPr>
          <w:ilvl w:val="0"/>
          <w:numId w:val="18"/>
        </w:numPr>
        <w:tabs>
          <w:tab w:val="left" w:pos="284"/>
        </w:tabs>
        <w:jc w:val="both"/>
        <w:rPr>
          <w:sz w:val="22"/>
          <w:szCs w:val="22"/>
          <w:lang w:val="sr-Latn-ME"/>
        </w:rPr>
      </w:pPr>
      <w:r w:rsidRPr="00E7665A">
        <w:rPr>
          <w:sz w:val="22"/>
          <w:szCs w:val="22"/>
          <w:lang w:val="sr-Latn-ME"/>
        </w:rPr>
        <w:t xml:space="preserve">posebnu pažnju obratiti na pacijente tjelesne </w:t>
      </w:r>
      <w:r w:rsidR="008D7CB9" w:rsidRPr="00E7665A">
        <w:rPr>
          <w:sz w:val="22"/>
          <w:szCs w:val="22"/>
          <w:lang w:val="sr-Latn-ME"/>
        </w:rPr>
        <w:t xml:space="preserve">mase </w:t>
      </w:r>
      <w:r w:rsidRPr="00E7665A">
        <w:rPr>
          <w:sz w:val="22"/>
          <w:szCs w:val="22"/>
          <w:lang w:val="sr-Latn-ME"/>
        </w:rPr>
        <w:t xml:space="preserve">ispod 50 kg; </w:t>
      </w:r>
    </w:p>
    <w:p w:rsidR="002E440B" w:rsidRPr="00E7665A" w:rsidRDefault="002E440B" w:rsidP="00BF3E6B">
      <w:pPr>
        <w:numPr>
          <w:ilvl w:val="0"/>
          <w:numId w:val="18"/>
        </w:numPr>
        <w:tabs>
          <w:tab w:val="left" w:pos="284"/>
        </w:tabs>
        <w:jc w:val="both"/>
        <w:rPr>
          <w:sz w:val="22"/>
          <w:szCs w:val="22"/>
          <w:lang w:val="sr-Latn-ME"/>
        </w:rPr>
      </w:pPr>
      <w:r w:rsidRPr="00E7665A">
        <w:rPr>
          <w:sz w:val="22"/>
          <w:szCs w:val="22"/>
          <w:lang w:val="sr-Latn-ME"/>
        </w:rPr>
        <w:t xml:space="preserve">zapremina koja se uzima po pojedinačnom davanju ne smije da pređe približno 12% procijenjene zapremine krvi pacijenta. </w:t>
      </w:r>
    </w:p>
    <w:p w:rsidR="002E440B" w:rsidRPr="00E7665A" w:rsidRDefault="002E440B" w:rsidP="00BF3E6B">
      <w:pPr>
        <w:jc w:val="both"/>
        <w:rPr>
          <w:sz w:val="22"/>
          <w:szCs w:val="22"/>
          <w:lang w:val="sr-Latn-ME"/>
        </w:rPr>
      </w:pPr>
      <w:r w:rsidRPr="00E7665A">
        <w:rPr>
          <w:sz w:val="22"/>
          <w:szCs w:val="22"/>
          <w:lang w:val="sr-Latn-ME"/>
        </w:rPr>
        <w:t xml:space="preserve">Ovu terapiju treba rezervisati za pacijente za koje se smatra da je posebno važno izbjeći homolognu transfuziju krvi uzimajući u obzir procjene svih rizika i </w:t>
      </w:r>
      <w:proofErr w:type="spellStart"/>
      <w:r w:rsidRPr="00E7665A">
        <w:rPr>
          <w:sz w:val="22"/>
          <w:szCs w:val="22"/>
          <w:lang w:val="sr-Latn-ME"/>
        </w:rPr>
        <w:t>prednosti</w:t>
      </w:r>
      <w:proofErr w:type="spellEnd"/>
      <w:r w:rsidRPr="00E7665A">
        <w:rPr>
          <w:sz w:val="22"/>
          <w:szCs w:val="22"/>
          <w:lang w:val="sr-Latn-ME"/>
        </w:rPr>
        <w:t xml:space="preserve"> vezanih za homolognu transfuziju.</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u w:val="single"/>
          <w:lang w:val="sr-Latn-ME"/>
        </w:rPr>
      </w:pPr>
      <w:r w:rsidRPr="00E7665A">
        <w:rPr>
          <w:sz w:val="22"/>
          <w:szCs w:val="22"/>
          <w:u w:val="single"/>
          <w:lang w:val="sr-Latn-ME"/>
        </w:rPr>
        <w:t xml:space="preserve">Zloupotreba </w:t>
      </w:r>
    </w:p>
    <w:p w:rsidR="002E440B" w:rsidRPr="00E7665A" w:rsidRDefault="002E440B" w:rsidP="00BF3E6B">
      <w:pPr>
        <w:jc w:val="both"/>
        <w:rPr>
          <w:sz w:val="22"/>
          <w:szCs w:val="22"/>
          <w:lang w:val="sr-Latn-ME"/>
        </w:rPr>
      </w:pPr>
      <w:r w:rsidRPr="00E7665A">
        <w:rPr>
          <w:sz w:val="22"/>
          <w:szCs w:val="22"/>
          <w:lang w:val="sr-Latn-ME"/>
        </w:rPr>
        <w:t xml:space="preserve">Zloupotreba od strane zdravih </w:t>
      </w:r>
      <w:proofErr w:type="spellStart"/>
      <w:r w:rsidRPr="00E7665A">
        <w:rPr>
          <w:sz w:val="22"/>
          <w:szCs w:val="22"/>
          <w:lang w:val="sr-Latn-ME"/>
        </w:rPr>
        <w:t>ljudi</w:t>
      </w:r>
      <w:proofErr w:type="spellEnd"/>
      <w:r w:rsidRPr="00E7665A">
        <w:rPr>
          <w:sz w:val="22"/>
          <w:szCs w:val="22"/>
          <w:lang w:val="sr-Latn-ME"/>
        </w:rPr>
        <w:t xml:space="preserve"> može da dovede do prekomjernog porasta PCV. Ovo može biti povezano sa komplikacijama </w:t>
      </w:r>
      <w:proofErr w:type="spellStart"/>
      <w:r w:rsidRPr="00E7665A">
        <w:rPr>
          <w:sz w:val="22"/>
          <w:szCs w:val="22"/>
          <w:lang w:val="sr-Latn-ME"/>
        </w:rPr>
        <w:t>kardiovaskularnog</w:t>
      </w:r>
      <w:proofErr w:type="spellEnd"/>
      <w:r w:rsidRPr="00E7665A">
        <w:rPr>
          <w:sz w:val="22"/>
          <w:szCs w:val="22"/>
          <w:lang w:val="sr-Latn-ME"/>
        </w:rPr>
        <w:t xml:space="preserve"> sistema koje mogu biti opasne po život. </w:t>
      </w:r>
    </w:p>
    <w:p w:rsidR="002E440B" w:rsidRPr="00E7665A" w:rsidRDefault="002E440B" w:rsidP="00BF3E6B">
      <w:pPr>
        <w:jc w:val="both"/>
        <w:rPr>
          <w:sz w:val="22"/>
          <w:szCs w:val="22"/>
          <w:lang w:val="sr-Latn-ME"/>
        </w:rPr>
      </w:pPr>
    </w:p>
    <w:p w:rsidR="008D7CB9" w:rsidRPr="00E7665A" w:rsidRDefault="008D7CB9" w:rsidP="00BF3E6B">
      <w:pPr>
        <w:jc w:val="both"/>
        <w:rPr>
          <w:sz w:val="22"/>
          <w:szCs w:val="22"/>
          <w:u w:val="single"/>
          <w:lang w:val="sr-Latn-ME"/>
        </w:rPr>
      </w:pPr>
      <w:r w:rsidRPr="00E7665A">
        <w:rPr>
          <w:sz w:val="22"/>
          <w:szCs w:val="22"/>
          <w:u w:val="single"/>
          <w:lang w:val="sr-Latn-ME"/>
        </w:rPr>
        <w:t>Pomoćne supstance</w:t>
      </w:r>
    </w:p>
    <w:p w:rsidR="002E440B" w:rsidRPr="00E7665A" w:rsidRDefault="008D7CB9" w:rsidP="00BF3E6B">
      <w:pPr>
        <w:jc w:val="both"/>
        <w:rPr>
          <w:sz w:val="22"/>
          <w:szCs w:val="22"/>
          <w:lang w:val="sr-Latn-ME"/>
        </w:rPr>
      </w:pPr>
      <w:r w:rsidRPr="00E7665A">
        <w:rPr>
          <w:sz w:val="22"/>
          <w:szCs w:val="22"/>
          <w:lang w:val="sr-Latn-ME"/>
        </w:rPr>
        <w:t xml:space="preserve">Lijek </w:t>
      </w:r>
      <w:proofErr w:type="spellStart"/>
      <w:r w:rsidR="00980E2B" w:rsidRPr="00E7665A">
        <w:rPr>
          <w:sz w:val="22"/>
          <w:szCs w:val="22"/>
          <w:lang w:val="sr-Latn-ME"/>
        </w:rPr>
        <w:t>NeoRecormon</w:t>
      </w:r>
      <w:proofErr w:type="spellEnd"/>
      <w:r w:rsidR="002E440B" w:rsidRPr="00E7665A">
        <w:rPr>
          <w:sz w:val="22"/>
          <w:szCs w:val="22"/>
          <w:lang w:val="sr-Latn-ME"/>
        </w:rPr>
        <w:t xml:space="preserve"> u napunjenom špricu sadrži do 0,3 mg </w:t>
      </w:r>
      <w:proofErr w:type="spellStart"/>
      <w:r w:rsidR="002E440B" w:rsidRPr="00E7665A">
        <w:rPr>
          <w:sz w:val="22"/>
          <w:szCs w:val="22"/>
          <w:lang w:val="sr-Latn-ME"/>
        </w:rPr>
        <w:t>fenilalanina</w:t>
      </w:r>
      <w:proofErr w:type="spellEnd"/>
      <w:r w:rsidR="002E440B" w:rsidRPr="00E7665A">
        <w:rPr>
          <w:sz w:val="22"/>
          <w:szCs w:val="22"/>
          <w:lang w:val="sr-Latn-ME"/>
        </w:rPr>
        <w:t xml:space="preserve">/špricu kao pomoćnu </w:t>
      </w:r>
      <w:r w:rsidRPr="00E7665A">
        <w:rPr>
          <w:sz w:val="22"/>
          <w:szCs w:val="22"/>
          <w:lang w:val="sr-Latn-ME"/>
        </w:rPr>
        <w:t>supstancu</w:t>
      </w:r>
      <w:r w:rsidR="002E440B" w:rsidRPr="00E7665A">
        <w:rPr>
          <w:sz w:val="22"/>
          <w:szCs w:val="22"/>
          <w:lang w:val="sr-Latn-ME"/>
        </w:rPr>
        <w:t xml:space="preserve">. Prema tome, ovo treba uzeti u obzir kod pacijenata koji boluju od težih oblika </w:t>
      </w:r>
      <w:proofErr w:type="spellStart"/>
      <w:r w:rsidR="002E440B" w:rsidRPr="00E7665A">
        <w:rPr>
          <w:sz w:val="22"/>
          <w:szCs w:val="22"/>
          <w:lang w:val="sr-Latn-ME"/>
        </w:rPr>
        <w:t>fenilketonurije</w:t>
      </w:r>
      <w:proofErr w:type="spellEnd"/>
      <w:r w:rsidR="002E440B" w:rsidRPr="00E7665A">
        <w:rPr>
          <w:sz w:val="22"/>
          <w:szCs w:val="22"/>
          <w:lang w:val="sr-Latn-ME"/>
        </w:rPr>
        <w:t xml:space="preserve">. </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Ovaj lijek sadrži manje od 1 </w:t>
      </w:r>
      <w:proofErr w:type="spellStart"/>
      <w:r w:rsidRPr="00E7665A">
        <w:rPr>
          <w:sz w:val="22"/>
          <w:szCs w:val="22"/>
          <w:lang w:val="sr-Latn-ME"/>
        </w:rPr>
        <w:t>mmol</w:t>
      </w:r>
      <w:proofErr w:type="spellEnd"/>
      <w:r w:rsidRPr="00E7665A">
        <w:rPr>
          <w:sz w:val="22"/>
          <w:szCs w:val="22"/>
          <w:lang w:val="sr-Latn-ME"/>
        </w:rPr>
        <w:t xml:space="preserve"> natrijuma (</w:t>
      </w:r>
      <w:proofErr w:type="spellStart"/>
      <w:r w:rsidRPr="00E7665A">
        <w:rPr>
          <w:sz w:val="22"/>
          <w:szCs w:val="22"/>
          <w:lang w:val="sr-Latn-ME"/>
        </w:rPr>
        <w:t>23mg</w:t>
      </w:r>
      <w:proofErr w:type="spellEnd"/>
      <w:r w:rsidRPr="00E7665A">
        <w:rPr>
          <w:sz w:val="22"/>
          <w:szCs w:val="22"/>
          <w:lang w:val="sr-Latn-ME"/>
        </w:rPr>
        <w:t>) po špricu, što znači da je suštinski „bez natrijuma“.</w:t>
      </w:r>
    </w:p>
    <w:p w:rsidR="00057E35" w:rsidRPr="00E7665A" w:rsidRDefault="00057E35" w:rsidP="00BF3E6B">
      <w:pPr>
        <w:tabs>
          <w:tab w:val="left" w:pos="540"/>
          <w:tab w:val="left" w:pos="569"/>
        </w:tabs>
        <w:jc w:val="both"/>
        <w:rPr>
          <w:bCs/>
          <w:sz w:val="22"/>
          <w:szCs w:val="22"/>
          <w:lang w:val="sr-Latn-ME"/>
        </w:rPr>
      </w:pPr>
    </w:p>
    <w:p w:rsidR="00411B4B" w:rsidRPr="00E7665A" w:rsidRDefault="00411B4B" w:rsidP="00BF3E6B">
      <w:pPr>
        <w:tabs>
          <w:tab w:val="left" w:pos="540"/>
          <w:tab w:val="left" w:pos="569"/>
        </w:tabs>
        <w:jc w:val="both"/>
        <w:rPr>
          <w:b/>
          <w:bCs/>
          <w:sz w:val="22"/>
          <w:szCs w:val="22"/>
          <w:lang w:val="sr-Latn-ME"/>
        </w:rPr>
      </w:pPr>
      <w:r w:rsidRPr="00E7665A">
        <w:rPr>
          <w:b/>
          <w:bCs/>
          <w:sz w:val="22"/>
          <w:szCs w:val="22"/>
          <w:lang w:val="sr-Latn-ME"/>
        </w:rPr>
        <w:t>4.5.</w:t>
      </w:r>
      <w:r w:rsidR="008350D3" w:rsidRPr="00E7665A">
        <w:rPr>
          <w:b/>
          <w:bCs/>
          <w:sz w:val="22"/>
          <w:szCs w:val="22"/>
          <w:lang w:val="sr-Latn-ME"/>
        </w:rPr>
        <w:t xml:space="preserve">    </w:t>
      </w:r>
      <w:r w:rsidRPr="00E7665A">
        <w:rPr>
          <w:b/>
          <w:bCs/>
          <w:sz w:val="22"/>
          <w:szCs w:val="22"/>
          <w:lang w:val="sr-Latn-ME"/>
        </w:rPr>
        <w:t>Interakcije sa drugim ljekovima i druge vrste interakcija</w:t>
      </w:r>
    </w:p>
    <w:p w:rsidR="0072020E" w:rsidRPr="00E7665A" w:rsidRDefault="0072020E" w:rsidP="00BF3E6B">
      <w:pPr>
        <w:tabs>
          <w:tab w:val="left" w:pos="540"/>
          <w:tab w:val="left" w:pos="569"/>
        </w:tabs>
        <w:jc w:val="both"/>
        <w:rPr>
          <w:bCs/>
          <w:sz w:val="22"/>
          <w:szCs w:val="22"/>
          <w:lang w:val="sr-Latn-ME"/>
        </w:rPr>
      </w:pPr>
    </w:p>
    <w:p w:rsidR="002E440B" w:rsidRPr="00E7665A" w:rsidRDefault="002E440B" w:rsidP="00BF3E6B">
      <w:pPr>
        <w:tabs>
          <w:tab w:val="left" w:pos="540"/>
          <w:tab w:val="left" w:pos="569"/>
        </w:tabs>
        <w:jc w:val="both"/>
        <w:rPr>
          <w:sz w:val="22"/>
          <w:szCs w:val="22"/>
          <w:lang w:val="sr-Latn-ME"/>
        </w:rPr>
      </w:pPr>
      <w:r w:rsidRPr="00E7665A">
        <w:rPr>
          <w:sz w:val="22"/>
          <w:szCs w:val="22"/>
          <w:lang w:val="sr-Latn-ME"/>
        </w:rPr>
        <w:t xml:space="preserve">Klinički podaci koji su dobijeni do sada ne ukazuju na bilo kakvu interakciju </w:t>
      </w:r>
      <w:r w:rsidR="008350D3" w:rsidRPr="00E7665A">
        <w:rPr>
          <w:sz w:val="22"/>
          <w:szCs w:val="22"/>
          <w:lang w:val="sr-Latn-ME"/>
        </w:rPr>
        <w:t xml:space="preserve">lijeka </w:t>
      </w:r>
      <w:proofErr w:type="spellStart"/>
      <w:r w:rsidR="00980E2B" w:rsidRPr="00E7665A">
        <w:rPr>
          <w:sz w:val="22"/>
          <w:szCs w:val="22"/>
          <w:lang w:val="sr-Latn-ME"/>
        </w:rPr>
        <w:t>NeoRecormon</w:t>
      </w:r>
      <w:proofErr w:type="spellEnd"/>
      <w:r w:rsidRPr="00E7665A">
        <w:rPr>
          <w:sz w:val="22"/>
          <w:szCs w:val="22"/>
          <w:lang w:val="sr-Latn-ME"/>
        </w:rPr>
        <w:t xml:space="preserve"> sa drugim ljekovima. Eksperimenti na životinjama otkrili su da </w:t>
      </w:r>
      <w:proofErr w:type="spellStart"/>
      <w:r w:rsidRPr="00E7665A">
        <w:rPr>
          <w:sz w:val="22"/>
          <w:szCs w:val="22"/>
          <w:lang w:val="sr-Latn-ME"/>
        </w:rPr>
        <w:t>epoetin</w:t>
      </w:r>
      <w:proofErr w:type="spellEnd"/>
      <w:r w:rsidRPr="00E7665A">
        <w:rPr>
          <w:sz w:val="22"/>
          <w:szCs w:val="22"/>
          <w:lang w:val="sr-Latn-ME"/>
        </w:rPr>
        <w:t xml:space="preserve">  beta ne povećava </w:t>
      </w:r>
      <w:proofErr w:type="spellStart"/>
      <w:r w:rsidRPr="00E7665A">
        <w:rPr>
          <w:sz w:val="22"/>
          <w:szCs w:val="22"/>
          <w:lang w:val="sr-Latn-ME"/>
        </w:rPr>
        <w:t>mijelotoksičnost</w:t>
      </w:r>
      <w:proofErr w:type="spellEnd"/>
      <w:r w:rsidRPr="00E7665A">
        <w:rPr>
          <w:sz w:val="22"/>
          <w:szCs w:val="22"/>
          <w:lang w:val="sr-Latn-ME"/>
        </w:rPr>
        <w:t xml:space="preserve"> citostatika kao što su </w:t>
      </w:r>
      <w:proofErr w:type="spellStart"/>
      <w:r w:rsidRPr="00E7665A">
        <w:rPr>
          <w:sz w:val="22"/>
          <w:szCs w:val="22"/>
          <w:lang w:val="sr-Latn-ME"/>
        </w:rPr>
        <w:t>etopo</w:t>
      </w:r>
      <w:r w:rsidR="003A4602" w:rsidRPr="00E7665A">
        <w:rPr>
          <w:sz w:val="22"/>
          <w:szCs w:val="22"/>
          <w:lang w:val="sr-Latn-ME"/>
        </w:rPr>
        <w:t>z</w:t>
      </w:r>
      <w:r w:rsidRPr="00E7665A">
        <w:rPr>
          <w:sz w:val="22"/>
          <w:szCs w:val="22"/>
          <w:lang w:val="sr-Latn-ME"/>
        </w:rPr>
        <w:t>id</w:t>
      </w:r>
      <w:proofErr w:type="spellEnd"/>
      <w:r w:rsidRPr="00E7665A">
        <w:rPr>
          <w:sz w:val="22"/>
          <w:szCs w:val="22"/>
          <w:lang w:val="sr-Latn-ME"/>
        </w:rPr>
        <w:t xml:space="preserve">, </w:t>
      </w:r>
      <w:proofErr w:type="spellStart"/>
      <w:r w:rsidRPr="00E7665A">
        <w:rPr>
          <w:sz w:val="22"/>
          <w:szCs w:val="22"/>
          <w:lang w:val="sr-Latn-ME"/>
        </w:rPr>
        <w:t>cisplatin</w:t>
      </w:r>
      <w:proofErr w:type="spellEnd"/>
      <w:r w:rsidRPr="00E7665A">
        <w:rPr>
          <w:sz w:val="22"/>
          <w:szCs w:val="22"/>
          <w:lang w:val="sr-Latn-ME"/>
        </w:rPr>
        <w:t xml:space="preserve">, </w:t>
      </w:r>
      <w:proofErr w:type="spellStart"/>
      <w:r w:rsidRPr="00E7665A">
        <w:rPr>
          <w:sz w:val="22"/>
          <w:szCs w:val="22"/>
          <w:lang w:val="sr-Latn-ME"/>
        </w:rPr>
        <w:t>ciklofosfamid</w:t>
      </w:r>
      <w:proofErr w:type="spellEnd"/>
      <w:r w:rsidRPr="00E7665A">
        <w:rPr>
          <w:sz w:val="22"/>
          <w:szCs w:val="22"/>
          <w:lang w:val="sr-Latn-ME"/>
        </w:rPr>
        <w:t xml:space="preserve"> i </w:t>
      </w:r>
      <w:proofErr w:type="spellStart"/>
      <w:r w:rsidRPr="00E7665A">
        <w:rPr>
          <w:sz w:val="22"/>
          <w:szCs w:val="22"/>
          <w:lang w:val="sr-Latn-ME"/>
        </w:rPr>
        <w:t>fluorouracil</w:t>
      </w:r>
      <w:proofErr w:type="spellEnd"/>
      <w:r w:rsidRPr="00E7665A">
        <w:rPr>
          <w:sz w:val="22"/>
          <w:szCs w:val="22"/>
          <w:lang w:val="sr-Latn-ME"/>
        </w:rPr>
        <w:t>.</w:t>
      </w:r>
    </w:p>
    <w:p w:rsidR="002E440B" w:rsidRPr="00E7665A" w:rsidRDefault="002E440B" w:rsidP="00BF3E6B">
      <w:pPr>
        <w:tabs>
          <w:tab w:val="left" w:pos="540"/>
          <w:tab w:val="left" w:pos="569"/>
        </w:tabs>
        <w:jc w:val="both"/>
        <w:rPr>
          <w:bCs/>
          <w:sz w:val="22"/>
          <w:szCs w:val="22"/>
          <w:lang w:val="sr-Latn-ME"/>
        </w:rPr>
      </w:pPr>
    </w:p>
    <w:p w:rsidR="0072020E" w:rsidRPr="00E7665A" w:rsidRDefault="0072020E" w:rsidP="00BF3E6B">
      <w:pPr>
        <w:tabs>
          <w:tab w:val="left" w:pos="540"/>
          <w:tab w:val="left" w:pos="569"/>
        </w:tabs>
        <w:jc w:val="both"/>
        <w:rPr>
          <w:b/>
          <w:sz w:val="22"/>
          <w:szCs w:val="22"/>
          <w:lang w:val="sr-Latn-ME"/>
        </w:rPr>
      </w:pPr>
      <w:r w:rsidRPr="00E7665A">
        <w:rPr>
          <w:b/>
          <w:bCs/>
          <w:sz w:val="22"/>
          <w:szCs w:val="22"/>
          <w:lang w:val="sr-Latn-ME"/>
        </w:rPr>
        <w:t xml:space="preserve">4.6. </w:t>
      </w:r>
      <w:r w:rsidR="00480FB1" w:rsidRPr="00E7665A">
        <w:rPr>
          <w:b/>
          <w:bCs/>
          <w:sz w:val="22"/>
          <w:szCs w:val="22"/>
          <w:lang w:val="sr-Latn-ME"/>
        </w:rPr>
        <w:tab/>
      </w:r>
      <w:r w:rsidR="006D20A5" w:rsidRPr="00E7665A">
        <w:rPr>
          <w:b/>
          <w:sz w:val="22"/>
          <w:szCs w:val="22"/>
          <w:lang w:val="sr-Latn-ME"/>
        </w:rPr>
        <w:t>Plodnost, trudnoća i dojenje</w:t>
      </w:r>
    </w:p>
    <w:p w:rsidR="002031B3" w:rsidRPr="00E7665A" w:rsidRDefault="002031B3" w:rsidP="00BF3E6B">
      <w:pPr>
        <w:tabs>
          <w:tab w:val="left" w:pos="540"/>
          <w:tab w:val="left" w:pos="569"/>
        </w:tabs>
        <w:jc w:val="both"/>
        <w:rPr>
          <w:sz w:val="22"/>
          <w:szCs w:val="22"/>
          <w:u w:val="single"/>
          <w:lang w:val="sr-Latn-ME"/>
        </w:rPr>
      </w:pPr>
    </w:p>
    <w:p w:rsidR="00094AC4" w:rsidRPr="00E7665A" w:rsidRDefault="00094AC4" w:rsidP="00094AC4">
      <w:pPr>
        <w:jc w:val="both"/>
        <w:rPr>
          <w:sz w:val="22"/>
          <w:szCs w:val="22"/>
          <w:u w:val="single"/>
          <w:lang w:val="sr-Latn-ME"/>
        </w:rPr>
      </w:pPr>
      <w:r w:rsidRPr="00E7665A">
        <w:rPr>
          <w:sz w:val="22"/>
          <w:szCs w:val="22"/>
          <w:u w:val="single"/>
          <w:lang w:val="sr-Latn-ME"/>
        </w:rPr>
        <w:t>Trudnoća</w:t>
      </w:r>
    </w:p>
    <w:p w:rsidR="00094AC4" w:rsidRPr="00E7665A" w:rsidRDefault="00094AC4" w:rsidP="00094AC4">
      <w:pPr>
        <w:jc w:val="both"/>
        <w:rPr>
          <w:sz w:val="22"/>
          <w:szCs w:val="22"/>
          <w:u w:val="single"/>
          <w:lang w:val="sr-Latn-ME"/>
        </w:rPr>
      </w:pPr>
    </w:p>
    <w:p w:rsidR="00094AC4" w:rsidRPr="00E7665A" w:rsidRDefault="00094AC4" w:rsidP="00094AC4">
      <w:pPr>
        <w:jc w:val="both"/>
        <w:rPr>
          <w:sz w:val="22"/>
          <w:szCs w:val="22"/>
          <w:lang w:val="sr-Latn-ME"/>
        </w:rPr>
      </w:pPr>
      <w:r w:rsidRPr="00E7665A">
        <w:rPr>
          <w:sz w:val="22"/>
          <w:szCs w:val="22"/>
          <w:lang w:val="sr-Latn-ME"/>
        </w:rPr>
        <w:t xml:space="preserve">Nema kliničkih podataka o izloženosti trudnica </w:t>
      </w:r>
      <w:proofErr w:type="spellStart"/>
      <w:r w:rsidRPr="00E7665A">
        <w:rPr>
          <w:sz w:val="22"/>
          <w:szCs w:val="22"/>
          <w:lang w:val="sr-Latn-ME"/>
        </w:rPr>
        <w:t>epoetinu</w:t>
      </w:r>
      <w:proofErr w:type="spellEnd"/>
      <w:r w:rsidRPr="00E7665A">
        <w:rPr>
          <w:sz w:val="22"/>
          <w:szCs w:val="22"/>
          <w:lang w:val="sr-Latn-ME"/>
        </w:rPr>
        <w:t xml:space="preserve"> beta.</w:t>
      </w:r>
    </w:p>
    <w:p w:rsidR="00094AC4" w:rsidRPr="00E7665A" w:rsidRDefault="00094AC4" w:rsidP="00094AC4">
      <w:pPr>
        <w:jc w:val="both"/>
        <w:rPr>
          <w:sz w:val="22"/>
          <w:szCs w:val="22"/>
          <w:lang w:val="sr-Latn-ME"/>
        </w:rPr>
      </w:pPr>
      <w:r w:rsidRPr="00E7665A">
        <w:rPr>
          <w:sz w:val="22"/>
          <w:szCs w:val="22"/>
          <w:lang w:val="sr-Latn-ME"/>
        </w:rPr>
        <w:t xml:space="preserve">Potreban je oprez prilikom propisivanja lijeka </w:t>
      </w:r>
      <w:proofErr w:type="spellStart"/>
      <w:r w:rsidRPr="00E7665A">
        <w:rPr>
          <w:sz w:val="22"/>
          <w:szCs w:val="22"/>
          <w:lang w:val="sr-Latn-ME"/>
        </w:rPr>
        <w:t>NeoRecormon</w:t>
      </w:r>
      <w:proofErr w:type="spellEnd"/>
      <w:r w:rsidRPr="00E7665A">
        <w:rPr>
          <w:sz w:val="22"/>
          <w:szCs w:val="22"/>
          <w:lang w:val="sr-Latn-ME"/>
        </w:rPr>
        <w:t xml:space="preserve"> trudnicama</w:t>
      </w:r>
    </w:p>
    <w:p w:rsidR="00094AC4" w:rsidRPr="00E7665A" w:rsidRDefault="00094AC4" w:rsidP="00BF3E6B">
      <w:pPr>
        <w:jc w:val="both"/>
        <w:rPr>
          <w:sz w:val="22"/>
          <w:szCs w:val="22"/>
          <w:u w:val="single"/>
          <w:lang w:val="sr-Latn-ME"/>
        </w:rPr>
      </w:pPr>
    </w:p>
    <w:p w:rsidR="00094AC4" w:rsidRPr="00E7665A" w:rsidRDefault="00094AC4" w:rsidP="00094AC4">
      <w:pPr>
        <w:jc w:val="both"/>
        <w:rPr>
          <w:sz w:val="22"/>
          <w:szCs w:val="22"/>
          <w:u w:val="single"/>
          <w:lang w:val="sr-Latn-ME"/>
        </w:rPr>
      </w:pPr>
      <w:r w:rsidRPr="00E7665A">
        <w:rPr>
          <w:sz w:val="22"/>
          <w:szCs w:val="22"/>
          <w:u w:val="single"/>
          <w:lang w:val="sr-Latn-ME"/>
        </w:rPr>
        <w:t>Dojenje</w:t>
      </w:r>
    </w:p>
    <w:p w:rsidR="00094AC4" w:rsidRPr="00E7665A" w:rsidRDefault="00094AC4" w:rsidP="00094AC4">
      <w:pPr>
        <w:jc w:val="both"/>
        <w:rPr>
          <w:sz w:val="22"/>
          <w:szCs w:val="22"/>
          <w:u w:val="single"/>
          <w:lang w:val="sr-Latn-ME"/>
        </w:rPr>
      </w:pPr>
    </w:p>
    <w:p w:rsidR="00094AC4" w:rsidRPr="00E7665A" w:rsidRDefault="00094AC4" w:rsidP="00094AC4">
      <w:pPr>
        <w:jc w:val="both"/>
        <w:rPr>
          <w:sz w:val="22"/>
          <w:szCs w:val="22"/>
          <w:lang w:val="sr-Latn-ME"/>
        </w:rPr>
      </w:pPr>
      <w:r w:rsidRPr="00E7665A">
        <w:rPr>
          <w:sz w:val="22"/>
          <w:szCs w:val="22"/>
          <w:lang w:val="sr-Latn-ME"/>
        </w:rPr>
        <w:t xml:space="preserve">Nije poznato da li se </w:t>
      </w:r>
      <w:proofErr w:type="spellStart"/>
      <w:r w:rsidRPr="00E7665A">
        <w:rPr>
          <w:sz w:val="22"/>
          <w:szCs w:val="22"/>
          <w:lang w:val="sr-Latn-ME"/>
        </w:rPr>
        <w:t>epoetin</w:t>
      </w:r>
      <w:proofErr w:type="spellEnd"/>
      <w:r w:rsidRPr="00E7665A">
        <w:rPr>
          <w:sz w:val="22"/>
          <w:szCs w:val="22"/>
          <w:lang w:val="sr-Latn-ME"/>
        </w:rPr>
        <w:t xml:space="preserve"> beta izlučuje u mlijeko. Odluku o tome da li treba nastaviti ili prekinuti dojenje odnosno treba li nastaviti ili prekinuti terapiju </w:t>
      </w:r>
      <w:proofErr w:type="spellStart"/>
      <w:r w:rsidRPr="00E7665A">
        <w:rPr>
          <w:sz w:val="22"/>
          <w:szCs w:val="22"/>
          <w:lang w:val="sr-Latn-ME"/>
        </w:rPr>
        <w:t>epoetinom</w:t>
      </w:r>
      <w:proofErr w:type="spellEnd"/>
      <w:r w:rsidRPr="00E7665A">
        <w:rPr>
          <w:sz w:val="22"/>
          <w:szCs w:val="22"/>
          <w:lang w:val="sr-Latn-ME"/>
        </w:rPr>
        <w:t xml:space="preserve"> beta treba donijeti uzimajući u obzir korist dojenja za dijete i korist terapije </w:t>
      </w:r>
      <w:proofErr w:type="spellStart"/>
      <w:r w:rsidRPr="00E7665A">
        <w:rPr>
          <w:sz w:val="22"/>
          <w:szCs w:val="22"/>
          <w:lang w:val="sr-Latn-ME"/>
        </w:rPr>
        <w:t>epoetinom</w:t>
      </w:r>
      <w:proofErr w:type="spellEnd"/>
      <w:r w:rsidRPr="00E7665A">
        <w:rPr>
          <w:sz w:val="22"/>
          <w:szCs w:val="22"/>
          <w:lang w:val="sr-Latn-ME"/>
        </w:rPr>
        <w:t xml:space="preserve"> beta za majku.</w:t>
      </w:r>
    </w:p>
    <w:p w:rsidR="00094AC4" w:rsidRPr="00E7665A" w:rsidRDefault="00094AC4" w:rsidP="00BF3E6B">
      <w:pPr>
        <w:jc w:val="both"/>
        <w:rPr>
          <w:sz w:val="22"/>
          <w:szCs w:val="22"/>
          <w:u w:val="single"/>
          <w:lang w:val="sr-Latn-ME"/>
        </w:rPr>
      </w:pPr>
    </w:p>
    <w:p w:rsidR="002E440B" w:rsidRPr="00E7665A" w:rsidRDefault="002E440B" w:rsidP="00BF3E6B">
      <w:pPr>
        <w:jc w:val="both"/>
        <w:rPr>
          <w:sz w:val="22"/>
          <w:szCs w:val="22"/>
          <w:u w:val="single"/>
          <w:lang w:val="sr-Latn-ME"/>
        </w:rPr>
      </w:pPr>
      <w:r w:rsidRPr="00E7665A">
        <w:rPr>
          <w:sz w:val="22"/>
          <w:szCs w:val="22"/>
          <w:u w:val="single"/>
          <w:lang w:val="sr-Latn-ME"/>
        </w:rPr>
        <w:t>Fertilitet</w:t>
      </w:r>
    </w:p>
    <w:p w:rsidR="008350D3" w:rsidRPr="00E7665A" w:rsidRDefault="008350D3" w:rsidP="00BF3E6B">
      <w:pPr>
        <w:jc w:val="both"/>
        <w:rPr>
          <w:sz w:val="22"/>
          <w:szCs w:val="22"/>
          <w:u w:val="single"/>
          <w:lang w:val="sr-Latn-ME"/>
        </w:rPr>
      </w:pPr>
    </w:p>
    <w:p w:rsidR="002E440B" w:rsidRPr="00E7665A" w:rsidRDefault="002E440B" w:rsidP="00BF3E6B">
      <w:pPr>
        <w:jc w:val="both"/>
        <w:rPr>
          <w:sz w:val="22"/>
          <w:szCs w:val="22"/>
          <w:lang w:val="sr-Latn-ME"/>
        </w:rPr>
      </w:pPr>
      <w:r w:rsidRPr="00E7665A">
        <w:rPr>
          <w:sz w:val="22"/>
          <w:szCs w:val="22"/>
          <w:lang w:val="sr-Latn-ME"/>
        </w:rPr>
        <w:lastRenderedPageBreak/>
        <w:t>Eksperimenti na životinjama nijesu pokazali ni direktni ni indirektni štetni efekat na trudnoću, embrionalni/</w:t>
      </w:r>
      <w:proofErr w:type="spellStart"/>
      <w:r w:rsidRPr="00E7665A">
        <w:rPr>
          <w:sz w:val="22"/>
          <w:szCs w:val="22"/>
          <w:lang w:val="sr-Latn-ME"/>
        </w:rPr>
        <w:t>fetalni</w:t>
      </w:r>
      <w:proofErr w:type="spellEnd"/>
      <w:r w:rsidRPr="00E7665A">
        <w:rPr>
          <w:sz w:val="22"/>
          <w:szCs w:val="22"/>
          <w:lang w:val="sr-Latn-ME"/>
        </w:rPr>
        <w:t xml:space="preserve"> razvoj, porođaj ili </w:t>
      </w:r>
      <w:proofErr w:type="spellStart"/>
      <w:r w:rsidRPr="00E7665A">
        <w:rPr>
          <w:sz w:val="22"/>
          <w:szCs w:val="22"/>
          <w:lang w:val="sr-Latn-ME"/>
        </w:rPr>
        <w:t>postnatalni</w:t>
      </w:r>
      <w:proofErr w:type="spellEnd"/>
      <w:r w:rsidRPr="00E7665A">
        <w:rPr>
          <w:sz w:val="22"/>
          <w:szCs w:val="22"/>
          <w:lang w:val="sr-Latn-ME"/>
        </w:rPr>
        <w:t xml:space="preserve"> razvoj (vid</w:t>
      </w:r>
      <w:r w:rsidR="00884B1E" w:rsidRPr="00E7665A">
        <w:rPr>
          <w:sz w:val="22"/>
          <w:szCs w:val="22"/>
          <w:lang w:val="sr-Latn-ME"/>
        </w:rPr>
        <w:t>jeti</w:t>
      </w:r>
      <w:r w:rsidRPr="00E7665A">
        <w:rPr>
          <w:sz w:val="22"/>
          <w:szCs w:val="22"/>
          <w:lang w:val="sr-Latn-ME"/>
        </w:rPr>
        <w:t xml:space="preserve"> dio 5.3). Potreban je oprezan prilikom propisivanja lijeka trudnicama. </w:t>
      </w:r>
    </w:p>
    <w:p w:rsidR="00227BDB" w:rsidRPr="00E7665A" w:rsidRDefault="00227BDB" w:rsidP="00BF3E6B">
      <w:pPr>
        <w:tabs>
          <w:tab w:val="left" w:pos="540"/>
          <w:tab w:val="left" w:pos="569"/>
        </w:tabs>
        <w:ind w:left="540" w:hanging="540"/>
        <w:jc w:val="both"/>
        <w:rPr>
          <w:b/>
          <w:bCs/>
          <w:sz w:val="22"/>
          <w:szCs w:val="22"/>
          <w:lang w:val="sr-Latn-ME"/>
        </w:rPr>
      </w:pPr>
    </w:p>
    <w:p w:rsidR="0072020E" w:rsidRPr="00E7665A" w:rsidRDefault="0072020E" w:rsidP="00BF3E6B">
      <w:pPr>
        <w:tabs>
          <w:tab w:val="left" w:pos="540"/>
          <w:tab w:val="left" w:pos="569"/>
        </w:tabs>
        <w:ind w:left="540" w:hanging="540"/>
        <w:jc w:val="both"/>
        <w:rPr>
          <w:b/>
          <w:bCs/>
          <w:sz w:val="22"/>
          <w:szCs w:val="22"/>
          <w:lang w:val="sr-Latn-ME"/>
        </w:rPr>
      </w:pPr>
      <w:r w:rsidRPr="00E7665A">
        <w:rPr>
          <w:b/>
          <w:bCs/>
          <w:sz w:val="22"/>
          <w:szCs w:val="22"/>
          <w:lang w:val="sr-Latn-ME"/>
        </w:rPr>
        <w:t xml:space="preserve">4.7. </w:t>
      </w:r>
      <w:r w:rsidR="00480FB1" w:rsidRPr="00E7665A">
        <w:rPr>
          <w:b/>
          <w:bCs/>
          <w:sz w:val="22"/>
          <w:szCs w:val="22"/>
          <w:lang w:val="sr-Latn-ME"/>
        </w:rPr>
        <w:tab/>
      </w:r>
      <w:r w:rsidRPr="00E7665A">
        <w:rPr>
          <w:b/>
          <w:bCs/>
          <w:sz w:val="22"/>
          <w:szCs w:val="22"/>
          <w:lang w:val="sr-Latn-ME"/>
        </w:rPr>
        <w:t xml:space="preserve">Uticaj na </w:t>
      </w:r>
      <w:r w:rsidR="002031B3" w:rsidRPr="00E7665A">
        <w:rPr>
          <w:b/>
          <w:bCs/>
          <w:sz w:val="22"/>
          <w:szCs w:val="22"/>
          <w:lang w:val="sr-Latn-ME"/>
        </w:rPr>
        <w:t xml:space="preserve">sposobnost </w:t>
      </w:r>
      <w:r w:rsidR="00F34554" w:rsidRPr="00E7665A">
        <w:rPr>
          <w:b/>
          <w:bCs/>
          <w:sz w:val="22"/>
          <w:szCs w:val="22"/>
          <w:lang w:val="sr-Latn-ME"/>
        </w:rPr>
        <w:t>upravljanja vozili</w:t>
      </w:r>
      <w:r w:rsidRPr="00E7665A">
        <w:rPr>
          <w:b/>
          <w:bCs/>
          <w:sz w:val="22"/>
          <w:szCs w:val="22"/>
          <w:lang w:val="sr-Latn-ME"/>
        </w:rPr>
        <w:t>m</w:t>
      </w:r>
      <w:r w:rsidR="00F34554" w:rsidRPr="00E7665A">
        <w:rPr>
          <w:b/>
          <w:bCs/>
          <w:sz w:val="22"/>
          <w:szCs w:val="22"/>
          <w:lang w:val="sr-Latn-ME"/>
        </w:rPr>
        <w:t>a</w:t>
      </w:r>
      <w:r w:rsidRPr="00E7665A">
        <w:rPr>
          <w:b/>
          <w:bCs/>
          <w:sz w:val="22"/>
          <w:szCs w:val="22"/>
          <w:lang w:val="sr-Latn-ME"/>
        </w:rPr>
        <w:t xml:space="preserve"> i </w:t>
      </w:r>
      <w:r w:rsidR="000D3449" w:rsidRPr="00E7665A">
        <w:rPr>
          <w:b/>
          <w:bCs/>
          <w:sz w:val="22"/>
          <w:szCs w:val="22"/>
          <w:lang w:val="sr-Latn-ME"/>
        </w:rPr>
        <w:t xml:space="preserve">rukovanje </w:t>
      </w:r>
      <w:r w:rsidRPr="00E7665A">
        <w:rPr>
          <w:b/>
          <w:bCs/>
          <w:sz w:val="22"/>
          <w:szCs w:val="22"/>
          <w:lang w:val="sr-Latn-ME"/>
        </w:rPr>
        <w:t>mašinama</w:t>
      </w:r>
    </w:p>
    <w:p w:rsidR="0072020E" w:rsidRPr="00E7665A" w:rsidRDefault="0072020E" w:rsidP="00BF3E6B">
      <w:pPr>
        <w:tabs>
          <w:tab w:val="left" w:pos="540"/>
          <w:tab w:val="left" w:pos="569"/>
        </w:tabs>
        <w:jc w:val="both"/>
        <w:rPr>
          <w:b/>
          <w:bCs/>
          <w:sz w:val="22"/>
          <w:szCs w:val="22"/>
          <w:lang w:val="sr-Latn-ME"/>
        </w:rPr>
      </w:pPr>
    </w:p>
    <w:p w:rsidR="002E440B" w:rsidRPr="00E7665A" w:rsidRDefault="002E440B" w:rsidP="00BF3E6B">
      <w:pPr>
        <w:tabs>
          <w:tab w:val="left" w:pos="540"/>
          <w:tab w:val="left" w:pos="569"/>
        </w:tabs>
        <w:jc w:val="both"/>
        <w:rPr>
          <w:sz w:val="22"/>
          <w:szCs w:val="22"/>
          <w:lang w:val="sr-Latn-ME"/>
        </w:rPr>
      </w:pPr>
      <w:r w:rsidRPr="00E7665A">
        <w:rPr>
          <w:sz w:val="22"/>
          <w:szCs w:val="22"/>
          <w:lang w:val="sr-Latn-ME"/>
        </w:rPr>
        <w:t>Nije zabilježeno dejstvo na sposobnost za upravljanje vozilima i mašinama.</w:t>
      </w:r>
    </w:p>
    <w:p w:rsidR="002E440B" w:rsidRPr="00E7665A" w:rsidRDefault="002E440B" w:rsidP="00BF3E6B">
      <w:pPr>
        <w:tabs>
          <w:tab w:val="left" w:pos="540"/>
          <w:tab w:val="left" w:pos="569"/>
        </w:tabs>
        <w:jc w:val="both"/>
        <w:rPr>
          <w:b/>
          <w:bCs/>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4.8. </w:t>
      </w:r>
      <w:r w:rsidR="00480FB1" w:rsidRPr="00E7665A">
        <w:rPr>
          <w:b/>
          <w:bCs/>
          <w:sz w:val="22"/>
          <w:szCs w:val="22"/>
          <w:lang w:val="sr-Latn-ME"/>
        </w:rPr>
        <w:tab/>
      </w:r>
      <w:r w:rsidRPr="00E7665A">
        <w:rPr>
          <w:b/>
          <w:bCs/>
          <w:sz w:val="22"/>
          <w:szCs w:val="22"/>
          <w:lang w:val="sr-Latn-ME"/>
        </w:rPr>
        <w:t>Neželjena dejstva</w:t>
      </w:r>
    </w:p>
    <w:p w:rsidR="004E70AD" w:rsidRPr="00E7665A" w:rsidRDefault="004E70AD" w:rsidP="00BF3E6B">
      <w:pPr>
        <w:tabs>
          <w:tab w:val="left" w:pos="540"/>
          <w:tab w:val="left" w:pos="569"/>
        </w:tabs>
        <w:jc w:val="both"/>
        <w:rPr>
          <w:b/>
          <w:bCs/>
          <w:sz w:val="22"/>
          <w:szCs w:val="22"/>
          <w:lang w:val="sr-Latn-ME"/>
        </w:rPr>
      </w:pPr>
    </w:p>
    <w:p w:rsidR="002E440B" w:rsidRPr="00E7665A" w:rsidRDefault="002E440B" w:rsidP="00BF3E6B">
      <w:pPr>
        <w:jc w:val="both"/>
        <w:rPr>
          <w:sz w:val="22"/>
          <w:szCs w:val="22"/>
          <w:u w:val="single"/>
          <w:lang w:val="sr-Latn-ME"/>
        </w:rPr>
      </w:pPr>
      <w:r w:rsidRPr="00E7665A">
        <w:rPr>
          <w:sz w:val="22"/>
          <w:szCs w:val="22"/>
          <w:u w:val="single"/>
          <w:lang w:val="sr-Latn-ME"/>
        </w:rPr>
        <w:t xml:space="preserve">Sažetak </w:t>
      </w:r>
      <w:proofErr w:type="spellStart"/>
      <w:r w:rsidRPr="00E7665A">
        <w:rPr>
          <w:sz w:val="22"/>
          <w:szCs w:val="22"/>
          <w:u w:val="single"/>
          <w:lang w:val="sr-Latn-ME"/>
        </w:rPr>
        <w:t>bezbjednosnog</w:t>
      </w:r>
      <w:proofErr w:type="spellEnd"/>
      <w:r w:rsidRPr="00E7665A">
        <w:rPr>
          <w:sz w:val="22"/>
          <w:szCs w:val="22"/>
          <w:u w:val="single"/>
          <w:lang w:val="sr-Latn-ME"/>
        </w:rPr>
        <w:t xml:space="preserve"> profila</w:t>
      </w:r>
    </w:p>
    <w:p w:rsidR="00094AC4" w:rsidRPr="00E7665A" w:rsidRDefault="00094AC4" w:rsidP="00BF3E6B">
      <w:pPr>
        <w:jc w:val="both"/>
        <w:rPr>
          <w:sz w:val="22"/>
          <w:szCs w:val="22"/>
          <w:u w:val="single"/>
          <w:lang w:val="sr-Latn-ME"/>
        </w:rPr>
      </w:pPr>
    </w:p>
    <w:p w:rsidR="002E440B" w:rsidRPr="00E7665A" w:rsidRDefault="002E440B" w:rsidP="00BF3E6B">
      <w:pPr>
        <w:jc w:val="both"/>
        <w:rPr>
          <w:sz w:val="22"/>
          <w:szCs w:val="22"/>
          <w:lang w:val="sr-Latn-ME"/>
        </w:rPr>
      </w:pPr>
      <w:r w:rsidRPr="00E7665A">
        <w:rPr>
          <w:sz w:val="22"/>
          <w:szCs w:val="22"/>
          <w:lang w:val="sr-Latn-ME"/>
        </w:rPr>
        <w:t xml:space="preserve">Na osnovu rezultata kliničkih ispitivanja kojima je obuhvaćeno 1725 pacijenata, očekuje se da približno 8% pacijenata koji se liječe </w:t>
      </w:r>
      <w:r w:rsidR="00537867"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ima neka neželjena dejstva. </w:t>
      </w:r>
    </w:p>
    <w:p w:rsidR="002E440B" w:rsidRPr="00E7665A" w:rsidRDefault="002E440B" w:rsidP="00BF3E6B">
      <w:pPr>
        <w:jc w:val="both"/>
        <w:rPr>
          <w:sz w:val="22"/>
          <w:szCs w:val="22"/>
          <w:lang w:val="sr-Latn-ME"/>
        </w:rPr>
      </w:pPr>
    </w:p>
    <w:p w:rsidR="002E440B" w:rsidRPr="00E7665A" w:rsidRDefault="002E440B" w:rsidP="00BF3E6B">
      <w:pPr>
        <w:jc w:val="both"/>
        <w:rPr>
          <w:i/>
          <w:sz w:val="22"/>
          <w:szCs w:val="22"/>
          <w:lang w:val="sr-Latn-ME"/>
        </w:rPr>
      </w:pPr>
      <w:r w:rsidRPr="00E7665A">
        <w:rPr>
          <w:i/>
          <w:sz w:val="22"/>
          <w:szCs w:val="22"/>
          <w:lang w:val="sr-Latn-ME"/>
        </w:rPr>
        <w:t xml:space="preserve">Anemični pacijenti sa hroničnom bubrežnom </w:t>
      </w:r>
      <w:proofErr w:type="spellStart"/>
      <w:r w:rsidRPr="00E7665A">
        <w:rPr>
          <w:i/>
          <w:sz w:val="22"/>
          <w:szCs w:val="22"/>
          <w:lang w:val="sr-Latn-ME"/>
        </w:rPr>
        <w:t>insuficijencijom</w:t>
      </w:r>
      <w:proofErr w:type="spellEnd"/>
    </w:p>
    <w:p w:rsidR="0054076D" w:rsidRPr="00E7665A" w:rsidRDefault="002E440B" w:rsidP="00BF3E6B">
      <w:pPr>
        <w:jc w:val="both"/>
        <w:rPr>
          <w:sz w:val="22"/>
          <w:szCs w:val="22"/>
          <w:lang w:val="sr-Latn-ME"/>
        </w:rPr>
      </w:pPr>
      <w:r w:rsidRPr="00E7665A">
        <w:rPr>
          <w:sz w:val="22"/>
          <w:szCs w:val="22"/>
          <w:lang w:val="sr-Latn-ME"/>
        </w:rPr>
        <w:t xml:space="preserve">Najčešće neželjeno dejstvo tokom terapije </w:t>
      </w:r>
      <w:proofErr w:type="spellStart"/>
      <w:r w:rsidR="00980E2B" w:rsidRPr="00E7665A">
        <w:rPr>
          <w:sz w:val="22"/>
          <w:szCs w:val="22"/>
          <w:lang w:val="sr-Latn-ME"/>
        </w:rPr>
        <w:t>NeoRecormon</w:t>
      </w:r>
      <w:r w:rsidRPr="00E7665A">
        <w:rPr>
          <w:sz w:val="22"/>
          <w:szCs w:val="22"/>
          <w:lang w:val="sr-Latn-ME"/>
        </w:rPr>
        <w:t>om</w:t>
      </w:r>
      <w:proofErr w:type="spellEnd"/>
      <w:r w:rsidRPr="00E7665A">
        <w:rPr>
          <w:sz w:val="22"/>
          <w:szCs w:val="22"/>
          <w:lang w:val="sr-Latn-ME"/>
        </w:rPr>
        <w:t xml:space="preserve"> jeste povećanje krvnog pritiska i pogoršanje već postojeće hipertenzije, posebno u slučajevima brzog rasta PCV-a (vid</w:t>
      </w:r>
      <w:r w:rsidR="00884B1E" w:rsidRPr="00E7665A">
        <w:rPr>
          <w:sz w:val="22"/>
          <w:szCs w:val="22"/>
          <w:lang w:val="sr-Latn-ME"/>
        </w:rPr>
        <w:t>jeti</w:t>
      </w:r>
      <w:r w:rsidRPr="00E7665A">
        <w:rPr>
          <w:sz w:val="22"/>
          <w:szCs w:val="22"/>
          <w:lang w:val="sr-Latn-ME"/>
        </w:rPr>
        <w:t xml:space="preserve"> dio 4.4). </w:t>
      </w:r>
      <w:proofErr w:type="spellStart"/>
      <w:r w:rsidRPr="00E7665A">
        <w:rPr>
          <w:sz w:val="22"/>
          <w:szCs w:val="22"/>
          <w:lang w:val="sr-Latn-ME"/>
        </w:rPr>
        <w:t>Hipertenzivne</w:t>
      </w:r>
      <w:proofErr w:type="spellEnd"/>
      <w:r w:rsidRPr="00E7665A">
        <w:rPr>
          <w:sz w:val="22"/>
          <w:szCs w:val="22"/>
          <w:lang w:val="sr-Latn-ME"/>
        </w:rPr>
        <w:t xml:space="preserve"> krize sa simptomima sličnim </w:t>
      </w:r>
      <w:proofErr w:type="spellStart"/>
      <w:r w:rsidRPr="00E7665A">
        <w:rPr>
          <w:sz w:val="22"/>
          <w:szCs w:val="22"/>
          <w:lang w:val="sr-Latn-ME"/>
        </w:rPr>
        <w:t>encefalopatiji</w:t>
      </w:r>
      <w:proofErr w:type="spellEnd"/>
      <w:r w:rsidRPr="00E7665A">
        <w:rPr>
          <w:sz w:val="22"/>
          <w:szCs w:val="22"/>
          <w:lang w:val="sr-Latn-ME"/>
        </w:rPr>
        <w:t xml:space="preserve"> (npr. glavobolje i stanja konfuzije, </w:t>
      </w:r>
      <w:proofErr w:type="spellStart"/>
      <w:r w:rsidRPr="00E7665A">
        <w:rPr>
          <w:sz w:val="22"/>
          <w:szCs w:val="22"/>
          <w:lang w:val="sr-Latn-ME"/>
        </w:rPr>
        <w:t>senzomotorni</w:t>
      </w:r>
      <w:proofErr w:type="spellEnd"/>
      <w:r w:rsidRPr="00E7665A">
        <w:rPr>
          <w:sz w:val="22"/>
          <w:szCs w:val="22"/>
          <w:lang w:val="sr-Latn-ME"/>
        </w:rPr>
        <w:t xml:space="preserve"> poremećaji – kao što su poremećaj govora ili poremećaji hoda – sve do pojave </w:t>
      </w:r>
      <w:proofErr w:type="spellStart"/>
      <w:r w:rsidRPr="00E7665A">
        <w:rPr>
          <w:sz w:val="22"/>
          <w:szCs w:val="22"/>
          <w:lang w:val="sr-Latn-ME"/>
        </w:rPr>
        <w:t>tonično-kloničnih</w:t>
      </w:r>
      <w:proofErr w:type="spellEnd"/>
      <w:r w:rsidRPr="00E7665A">
        <w:rPr>
          <w:sz w:val="22"/>
          <w:szCs w:val="22"/>
          <w:lang w:val="sr-Latn-ME"/>
        </w:rPr>
        <w:t xml:space="preserve"> konvulzija) mogu da se razviju kod pojedinih pacijenata koji inače imaju normalan ili čak nizak krvni pritisak (vid</w:t>
      </w:r>
      <w:r w:rsidR="00884B1E" w:rsidRPr="00E7665A">
        <w:rPr>
          <w:sz w:val="22"/>
          <w:szCs w:val="22"/>
          <w:lang w:val="sr-Latn-ME"/>
        </w:rPr>
        <w:t>jeti</w:t>
      </w:r>
      <w:r w:rsidRPr="00E7665A">
        <w:rPr>
          <w:sz w:val="22"/>
          <w:szCs w:val="22"/>
          <w:lang w:val="sr-Latn-ME"/>
        </w:rPr>
        <w:t xml:space="preserve"> dio 4.4). </w:t>
      </w:r>
    </w:p>
    <w:p w:rsidR="002E440B" w:rsidRPr="00E7665A" w:rsidRDefault="002E440B" w:rsidP="00BF3E6B">
      <w:pPr>
        <w:jc w:val="both"/>
        <w:rPr>
          <w:sz w:val="22"/>
          <w:szCs w:val="22"/>
          <w:lang w:val="sr-Latn-ME"/>
        </w:rPr>
      </w:pPr>
      <w:r w:rsidRPr="00E7665A">
        <w:rPr>
          <w:sz w:val="22"/>
          <w:szCs w:val="22"/>
          <w:lang w:val="sr-Latn-ME"/>
        </w:rPr>
        <w:t xml:space="preserve"> </w:t>
      </w:r>
    </w:p>
    <w:p w:rsidR="002E440B" w:rsidRPr="00E7665A" w:rsidRDefault="002E440B" w:rsidP="00BF3E6B">
      <w:pPr>
        <w:jc w:val="both"/>
        <w:rPr>
          <w:sz w:val="22"/>
          <w:szCs w:val="22"/>
          <w:lang w:val="sr-Latn-ME"/>
        </w:rPr>
      </w:pPr>
      <w:r w:rsidRPr="00E7665A">
        <w:rPr>
          <w:sz w:val="22"/>
          <w:szCs w:val="22"/>
          <w:lang w:val="sr-Latn-ME"/>
        </w:rPr>
        <w:t xml:space="preserve">Može doći do tromboze šanta, naročito kod pacijenata sklonih niskom krvnom pritisku ili kod onih s komplikacijama </w:t>
      </w:r>
      <w:proofErr w:type="spellStart"/>
      <w:r w:rsidRPr="00E7665A">
        <w:rPr>
          <w:sz w:val="22"/>
          <w:szCs w:val="22"/>
          <w:lang w:val="sr-Latn-ME"/>
        </w:rPr>
        <w:t>arteriovenske</w:t>
      </w:r>
      <w:proofErr w:type="spellEnd"/>
      <w:r w:rsidRPr="00E7665A">
        <w:rPr>
          <w:sz w:val="22"/>
          <w:szCs w:val="22"/>
          <w:lang w:val="sr-Latn-ME"/>
        </w:rPr>
        <w:t xml:space="preserve"> fistule (</w:t>
      </w:r>
      <w:proofErr w:type="spellStart"/>
      <w:r w:rsidRPr="00E7665A">
        <w:rPr>
          <w:sz w:val="22"/>
          <w:szCs w:val="22"/>
          <w:lang w:val="sr-Latn-ME"/>
        </w:rPr>
        <w:t>stenoze</w:t>
      </w:r>
      <w:proofErr w:type="spellEnd"/>
      <w:r w:rsidRPr="00E7665A">
        <w:rPr>
          <w:sz w:val="22"/>
          <w:szCs w:val="22"/>
          <w:lang w:val="sr-Latn-ME"/>
        </w:rPr>
        <w:t xml:space="preserve">, </w:t>
      </w:r>
      <w:proofErr w:type="spellStart"/>
      <w:r w:rsidRPr="00E7665A">
        <w:rPr>
          <w:sz w:val="22"/>
          <w:szCs w:val="22"/>
          <w:lang w:val="sr-Latn-ME"/>
        </w:rPr>
        <w:t>aneurizme</w:t>
      </w:r>
      <w:proofErr w:type="spellEnd"/>
      <w:r w:rsidRPr="00E7665A">
        <w:rPr>
          <w:sz w:val="22"/>
          <w:szCs w:val="22"/>
          <w:lang w:val="sr-Latn-ME"/>
        </w:rPr>
        <w:t>), vid</w:t>
      </w:r>
      <w:r w:rsidR="00884B1E" w:rsidRPr="00E7665A">
        <w:rPr>
          <w:sz w:val="22"/>
          <w:szCs w:val="22"/>
          <w:lang w:val="sr-Latn-ME"/>
        </w:rPr>
        <w:t>jeti</w:t>
      </w:r>
      <w:r w:rsidRPr="00E7665A">
        <w:rPr>
          <w:sz w:val="22"/>
          <w:szCs w:val="22"/>
          <w:lang w:val="sr-Latn-ME"/>
        </w:rPr>
        <w:t xml:space="preserve"> dio 4.4. U većini slučajeva dolazi do pada serumskih vrijednosti </w:t>
      </w:r>
      <w:proofErr w:type="spellStart"/>
      <w:r w:rsidRPr="00E7665A">
        <w:rPr>
          <w:sz w:val="22"/>
          <w:szCs w:val="22"/>
          <w:lang w:val="sr-Latn-ME"/>
        </w:rPr>
        <w:t>feritina</w:t>
      </w:r>
      <w:proofErr w:type="spellEnd"/>
      <w:r w:rsidRPr="00E7665A">
        <w:rPr>
          <w:sz w:val="22"/>
          <w:szCs w:val="22"/>
          <w:lang w:val="sr-Latn-ME"/>
        </w:rPr>
        <w:t xml:space="preserve"> istovremeno sa porastom </w:t>
      </w:r>
      <w:proofErr w:type="spellStart"/>
      <w:r w:rsidRPr="00E7665A">
        <w:rPr>
          <w:sz w:val="22"/>
          <w:szCs w:val="22"/>
          <w:lang w:val="sr-Latn-ME"/>
        </w:rPr>
        <w:t>hematokrita</w:t>
      </w:r>
      <w:proofErr w:type="spellEnd"/>
      <w:r w:rsidRPr="00E7665A">
        <w:rPr>
          <w:sz w:val="22"/>
          <w:szCs w:val="22"/>
          <w:lang w:val="sr-Latn-ME"/>
        </w:rPr>
        <w:t xml:space="preserve"> (vid</w:t>
      </w:r>
      <w:r w:rsidR="00884B1E" w:rsidRPr="00E7665A">
        <w:rPr>
          <w:sz w:val="22"/>
          <w:szCs w:val="22"/>
          <w:lang w:val="sr-Latn-ME"/>
        </w:rPr>
        <w:t>jeti</w:t>
      </w:r>
      <w:r w:rsidRPr="00E7665A">
        <w:rPr>
          <w:sz w:val="22"/>
          <w:szCs w:val="22"/>
          <w:lang w:val="sr-Latn-ME"/>
        </w:rPr>
        <w:t xml:space="preserve"> dio 4.4). Pored toga, u pojedinačnim slučajevima zabilježeni su i prolazni porast koncentracija kalijuma i fosfata u serumu (vid</w:t>
      </w:r>
      <w:r w:rsidR="00884B1E" w:rsidRPr="00E7665A">
        <w:rPr>
          <w:sz w:val="22"/>
          <w:szCs w:val="22"/>
          <w:lang w:val="sr-Latn-ME"/>
        </w:rPr>
        <w:t>jeti</w:t>
      </w:r>
      <w:r w:rsidRPr="00E7665A">
        <w:rPr>
          <w:sz w:val="22"/>
          <w:szCs w:val="22"/>
          <w:lang w:val="sr-Latn-ME"/>
        </w:rPr>
        <w:t xml:space="preserve"> dio 4.4).</w:t>
      </w:r>
    </w:p>
    <w:p w:rsidR="002E440B" w:rsidRPr="00E7665A" w:rsidRDefault="002E440B" w:rsidP="00BF3E6B">
      <w:pPr>
        <w:tabs>
          <w:tab w:val="left" w:pos="540"/>
          <w:tab w:val="left" w:pos="569"/>
        </w:tabs>
        <w:jc w:val="both"/>
        <w:rPr>
          <w:b/>
          <w:bCs/>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U izolovanim je slučajevima uz terapiju </w:t>
      </w:r>
      <w:r w:rsidR="00537867"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prijavljena izolovana </w:t>
      </w:r>
      <w:proofErr w:type="spellStart"/>
      <w:r w:rsidRPr="00E7665A">
        <w:rPr>
          <w:sz w:val="22"/>
          <w:szCs w:val="22"/>
          <w:lang w:val="sr-Latn-ME"/>
        </w:rPr>
        <w:t>aplazija</w:t>
      </w:r>
      <w:proofErr w:type="spellEnd"/>
      <w:r w:rsidRPr="00E7665A">
        <w:rPr>
          <w:sz w:val="22"/>
          <w:szCs w:val="22"/>
          <w:lang w:val="sr-Latn-ME"/>
        </w:rPr>
        <w:t xml:space="preserve"> crvene krvne loze uzrokovana </w:t>
      </w:r>
      <w:proofErr w:type="spellStart"/>
      <w:r w:rsidRPr="00E7665A">
        <w:rPr>
          <w:sz w:val="22"/>
          <w:szCs w:val="22"/>
          <w:lang w:val="sr-Latn-ME"/>
        </w:rPr>
        <w:t>neutralizirajućim</w:t>
      </w:r>
      <w:proofErr w:type="spellEnd"/>
      <w:r w:rsidRPr="00E7665A">
        <w:rPr>
          <w:sz w:val="22"/>
          <w:szCs w:val="22"/>
          <w:lang w:val="sr-Latn-ME"/>
        </w:rPr>
        <w:t xml:space="preserve"> </w:t>
      </w:r>
      <w:proofErr w:type="spellStart"/>
      <w:r w:rsidRPr="00E7665A">
        <w:rPr>
          <w:sz w:val="22"/>
          <w:szCs w:val="22"/>
          <w:lang w:val="sr-Latn-ME"/>
        </w:rPr>
        <w:t>antieritropoetinskim</w:t>
      </w:r>
      <w:proofErr w:type="spellEnd"/>
      <w:r w:rsidRPr="00E7665A">
        <w:rPr>
          <w:sz w:val="22"/>
          <w:szCs w:val="22"/>
          <w:lang w:val="sr-Latn-ME"/>
        </w:rPr>
        <w:t xml:space="preserve"> antitijelima (PRCA). U slučaju postavljanja dijagnoze </w:t>
      </w:r>
      <w:proofErr w:type="spellStart"/>
      <w:r w:rsidRPr="00E7665A">
        <w:rPr>
          <w:sz w:val="22"/>
          <w:szCs w:val="22"/>
          <w:lang w:val="sr-Latn-ME"/>
        </w:rPr>
        <w:t>PRCAe</w:t>
      </w:r>
      <w:proofErr w:type="spellEnd"/>
      <w:r w:rsidRPr="00E7665A">
        <w:rPr>
          <w:sz w:val="22"/>
          <w:szCs w:val="22"/>
          <w:lang w:val="sr-Latn-ME"/>
        </w:rPr>
        <w:t xml:space="preserve">, terapiju </w:t>
      </w:r>
      <w:r w:rsidR="00884B1E"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treba odmah prekinuti i takvi se pacijenti ne smiju nastaviti liječiti bilo kojim drugim </w:t>
      </w:r>
      <w:proofErr w:type="spellStart"/>
      <w:r w:rsidRPr="00E7665A">
        <w:rPr>
          <w:sz w:val="22"/>
          <w:szCs w:val="22"/>
          <w:lang w:val="sr-Latn-ME"/>
        </w:rPr>
        <w:t>eritropoetinskim</w:t>
      </w:r>
      <w:proofErr w:type="spellEnd"/>
      <w:r w:rsidRPr="00E7665A">
        <w:rPr>
          <w:sz w:val="22"/>
          <w:szCs w:val="22"/>
          <w:lang w:val="sr-Latn-ME"/>
        </w:rPr>
        <w:t xml:space="preserve"> proteinom (vid</w:t>
      </w:r>
      <w:r w:rsidR="00884B1E" w:rsidRPr="00E7665A">
        <w:rPr>
          <w:sz w:val="22"/>
          <w:szCs w:val="22"/>
          <w:lang w:val="sr-Latn-ME"/>
        </w:rPr>
        <w:t>jeti</w:t>
      </w:r>
      <w:r w:rsidRPr="00E7665A">
        <w:rPr>
          <w:sz w:val="22"/>
          <w:szCs w:val="22"/>
          <w:lang w:val="sr-Latn-ME"/>
        </w:rPr>
        <w:t xml:space="preserve"> dio 4.4).</w:t>
      </w:r>
    </w:p>
    <w:p w:rsidR="002E440B" w:rsidRPr="00E7665A" w:rsidRDefault="002E440B" w:rsidP="00BF3E6B">
      <w:pPr>
        <w:jc w:val="both"/>
        <w:rPr>
          <w:sz w:val="22"/>
          <w:szCs w:val="22"/>
          <w:lang w:val="sr-Latn-ME"/>
        </w:rPr>
      </w:pPr>
      <w:r w:rsidRPr="00E7665A">
        <w:rPr>
          <w:sz w:val="22"/>
          <w:szCs w:val="22"/>
          <w:lang w:val="sr-Latn-ME"/>
        </w:rPr>
        <w:t>Neželjena dejstva su navedena u Tabeli 1 dalje u tekstu.</w:t>
      </w:r>
    </w:p>
    <w:p w:rsidR="002E440B" w:rsidRPr="00E7665A" w:rsidRDefault="002E440B" w:rsidP="00BF3E6B">
      <w:pPr>
        <w:autoSpaceDE w:val="0"/>
        <w:autoSpaceDN w:val="0"/>
        <w:adjustRightInd w:val="0"/>
        <w:jc w:val="both"/>
        <w:rPr>
          <w:sz w:val="22"/>
          <w:szCs w:val="22"/>
          <w:lang w:val="sr-Latn-ME" w:eastAsia="de-AT"/>
        </w:rPr>
      </w:pPr>
    </w:p>
    <w:p w:rsidR="002E440B" w:rsidRPr="00E7665A" w:rsidRDefault="002E440B" w:rsidP="00BF3E6B">
      <w:pPr>
        <w:jc w:val="both"/>
        <w:rPr>
          <w:i/>
          <w:sz w:val="22"/>
          <w:szCs w:val="22"/>
          <w:lang w:val="sr-Latn-ME"/>
        </w:rPr>
      </w:pPr>
      <w:r w:rsidRPr="00E7665A">
        <w:rPr>
          <w:i/>
          <w:sz w:val="22"/>
          <w:szCs w:val="22"/>
          <w:lang w:val="sr-Latn-ME"/>
        </w:rPr>
        <w:t xml:space="preserve">Pacijenti sa </w:t>
      </w:r>
      <w:proofErr w:type="spellStart"/>
      <w:r w:rsidRPr="00E7665A">
        <w:rPr>
          <w:i/>
          <w:sz w:val="22"/>
          <w:szCs w:val="22"/>
          <w:lang w:val="sr-Latn-ME"/>
        </w:rPr>
        <w:t>karcinomom</w:t>
      </w:r>
      <w:proofErr w:type="spellEnd"/>
    </w:p>
    <w:p w:rsidR="002E440B" w:rsidRPr="00E7665A" w:rsidRDefault="002E440B" w:rsidP="00BF3E6B">
      <w:pPr>
        <w:jc w:val="both"/>
        <w:rPr>
          <w:sz w:val="22"/>
          <w:szCs w:val="22"/>
          <w:lang w:val="sr-Latn-ME"/>
        </w:rPr>
      </w:pPr>
      <w:r w:rsidRPr="00E7665A">
        <w:rPr>
          <w:sz w:val="22"/>
          <w:szCs w:val="22"/>
          <w:lang w:val="sr-Latn-ME"/>
        </w:rPr>
        <w:t xml:space="preserve">Glavobolja i povišeni krvni pritisak, povezani sa liječenjem </w:t>
      </w:r>
      <w:proofErr w:type="spellStart"/>
      <w:r w:rsidRPr="00E7665A">
        <w:rPr>
          <w:sz w:val="22"/>
          <w:szCs w:val="22"/>
          <w:lang w:val="sr-Latn-ME"/>
        </w:rPr>
        <w:t>epoetinom</w:t>
      </w:r>
      <w:proofErr w:type="spellEnd"/>
      <w:r w:rsidRPr="00E7665A">
        <w:rPr>
          <w:sz w:val="22"/>
          <w:szCs w:val="22"/>
          <w:lang w:val="sr-Latn-ME"/>
        </w:rPr>
        <w:t xml:space="preserve"> beta, koji se mogu liječiti ljekovima su</w:t>
      </w:r>
      <w:r w:rsidR="003570B1" w:rsidRPr="00E7665A">
        <w:rPr>
          <w:sz w:val="22"/>
          <w:szCs w:val="22"/>
          <w:lang w:val="sr-Latn-ME"/>
        </w:rPr>
        <w:t xml:space="preserve"> </w:t>
      </w:r>
      <w:r w:rsidRPr="00E7665A">
        <w:rPr>
          <w:sz w:val="22"/>
          <w:szCs w:val="22"/>
          <w:lang w:val="sr-Latn-ME"/>
        </w:rPr>
        <w:t>česti (vid</w:t>
      </w:r>
      <w:r w:rsidR="00884B1E" w:rsidRPr="00E7665A">
        <w:rPr>
          <w:sz w:val="22"/>
          <w:szCs w:val="22"/>
          <w:lang w:val="sr-Latn-ME"/>
        </w:rPr>
        <w:t>jeti</w:t>
      </w:r>
      <w:r w:rsidRPr="00E7665A">
        <w:rPr>
          <w:sz w:val="22"/>
          <w:szCs w:val="22"/>
          <w:lang w:val="sr-Latn-ME"/>
        </w:rPr>
        <w:t xml:space="preserve"> dio 4.4)</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Kod nekih pacijenata zapažen je pad vrijednosti serumskog gvožđa (vid</w:t>
      </w:r>
      <w:r w:rsidR="00884B1E" w:rsidRPr="00E7665A">
        <w:rPr>
          <w:sz w:val="22"/>
          <w:szCs w:val="22"/>
          <w:lang w:val="sr-Latn-ME"/>
        </w:rPr>
        <w:t>jeti</w:t>
      </w:r>
      <w:r w:rsidRPr="00E7665A">
        <w:rPr>
          <w:sz w:val="22"/>
          <w:szCs w:val="22"/>
          <w:lang w:val="sr-Latn-ME"/>
        </w:rPr>
        <w:t xml:space="preserve"> dio 4.4).</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U kliničkim ispitivanjima zapažena je veća učestalost </w:t>
      </w:r>
      <w:proofErr w:type="spellStart"/>
      <w:r w:rsidRPr="00E7665A">
        <w:rPr>
          <w:sz w:val="22"/>
          <w:szCs w:val="22"/>
          <w:lang w:val="sr-Latn-ME"/>
        </w:rPr>
        <w:t>tromboembolijskih</w:t>
      </w:r>
      <w:proofErr w:type="spellEnd"/>
      <w:r w:rsidRPr="00E7665A">
        <w:rPr>
          <w:sz w:val="22"/>
          <w:szCs w:val="22"/>
          <w:lang w:val="sr-Latn-ME"/>
        </w:rPr>
        <w:t xml:space="preserve"> događaja kod pacijenata sa </w:t>
      </w:r>
      <w:proofErr w:type="spellStart"/>
      <w:r w:rsidRPr="00E7665A">
        <w:rPr>
          <w:sz w:val="22"/>
          <w:szCs w:val="22"/>
          <w:lang w:val="sr-Latn-ME"/>
        </w:rPr>
        <w:t>karcinomom</w:t>
      </w:r>
      <w:proofErr w:type="spellEnd"/>
      <w:r w:rsidRPr="00E7665A">
        <w:rPr>
          <w:sz w:val="22"/>
          <w:szCs w:val="22"/>
          <w:lang w:val="sr-Latn-ME"/>
        </w:rPr>
        <w:t xml:space="preserve"> liječenih </w:t>
      </w:r>
      <w:r w:rsidR="006C2C32"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u odnosu na </w:t>
      </w:r>
      <w:proofErr w:type="spellStart"/>
      <w:r w:rsidRPr="00E7665A">
        <w:rPr>
          <w:sz w:val="22"/>
          <w:szCs w:val="22"/>
          <w:lang w:val="sr-Latn-ME"/>
        </w:rPr>
        <w:t>neliječenu</w:t>
      </w:r>
      <w:proofErr w:type="spellEnd"/>
      <w:r w:rsidRPr="00E7665A">
        <w:rPr>
          <w:sz w:val="22"/>
          <w:szCs w:val="22"/>
          <w:lang w:val="sr-Latn-ME"/>
        </w:rPr>
        <w:t xml:space="preserve"> kontrolnu grupu ili </w:t>
      </w:r>
      <w:proofErr w:type="spellStart"/>
      <w:r w:rsidRPr="00E7665A">
        <w:rPr>
          <w:sz w:val="22"/>
          <w:szCs w:val="22"/>
          <w:lang w:val="sr-Latn-ME"/>
        </w:rPr>
        <w:t>placebo</w:t>
      </w:r>
      <w:proofErr w:type="spellEnd"/>
      <w:r w:rsidRPr="00E7665A">
        <w:rPr>
          <w:sz w:val="22"/>
          <w:szCs w:val="22"/>
          <w:lang w:val="sr-Latn-ME"/>
        </w:rPr>
        <w:t xml:space="preserve">. Kod pacijenata liječenih </w:t>
      </w:r>
      <w:r w:rsidR="006C2C32"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učestalost je 7%, u poređenju sa 4% u kontrolnoj grupi; to nije povezano sa porastom smrtnosti </w:t>
      </w:r>
      <w:proofErr w:type="spellStart"/>
      <w:r w:rsidRPr="00E7665A">
        <w:rPr>
          <w:sz w:val="22"/>
          <w:szCs w:val="22"/>
          <w:lang w:val="sr-Latn-ME"/>
        </w:rPr>
        <w:t>usljed</w:t>
      </w:r>
      <w:proofErr w:type="spellEnd"/>
      <w:r w:rsidRPr="00E7665A">
        <w:rPr>
          <w:sz w:val="22"/>
          <w:szCs w:val="22"/>
          <w:lang w:val="sr-Latn-ME"/>
        </w:rPr>
        <w:t xml:space="preserve"> </w:t>
      </w:r>
      <w:proofErr w:type="spellStart"/>
      <w:r w:rsidRPr="00E7665A">
        <w:rPr>
          <w:sz w:val="22"/>
          <w:szCs w:val="22"/>
          <w:lang w:val="sr-Latn-ME"/>
        </w:rPr>
        <w:t>tromboembolije</w:t>
      </w:r>
      <w:proofErr w:type="spellEnd"/>
      <w:r w:rsidRPr="00E7665A">
        <w:rPr>
          <w:sz w:val="22"/>
          <w:szCs w:val="22"/>
          <w:lang w:val="sr-Latn-ME"/>
        </w:rPr>
        <w:t xml:space="preserve"> u poređenju sa kontrolnom grupom.</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Neželjena dejstva su navedena u Tabeli 2 dalje u tekstu.</w:t>
      </w:r>
    </w:p>
    <w:p w:rsidR="002E440B" w:rsidRPr="00E7665A" w:rsidRDefault="002E440B" w:rsidP="00BF3E6B">
      <w:pPr>
        <w:jc w:val="both"/>
        <w:rPr>
          <w:i/>
          <w:sz w:val="22"/>
          <w:szCs w:val="22"/>
          <w:lang w:val="sr-Latn-ME"/>
        </w:rPr>
      </w:pPr>
    </w:p>
    <w:p w:rsidR="002E440B" w:rsidRPr="00E7665A" w:rsidRDefault="002E440B" w:rsidP="00BF3E6B">
      <w:pPr>
        <w:jc w:val="both"/>
        <w:rPr>
          <w:i/>
          <w:sz w:val="22"/>
          <w:szCs w:val="22"/>
          <w:lang w:val="sr-Latn-ME" w:eastAsia="de-AT"/>
        </w:rPr>
      </w:pPr>
      <w:r w:rsidRPr="00E7665A">
        <w:rPr>
          <w:i/>
          <w:sz w:val="22"/>
          <w:szCs w:val="22"/>
          <w:lang w:val="sr-Latn-ME" w:eastAsia="de-AT"/>
        </w:rPr>
        <w:t xml:space="preserve">Pacijenti na programu autolognog davanja krvi prije </w:t>
      </w:r>
      <w:r w:rsidRPr="00E7665A">
        <w:rPr>
          <w:i/>
          <w:sz w:val="22"/>
          <w:szCs w:val="22"/>
          <w:lang w:val="sr-Latn-ME"/>
        </w:rPr>
        <w:t>donacije</w:t>
      </w: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 xml:space="preserve">Prijavljeno je da pacijenti na programu </w:t>
      </w:r>
      <w:proofErr w:type="spellStart"/>
      <w:r w:rsidRPr="00E7665A">
        <w:rPr>
          <w:sz w:val="22"/>
          <w:szCs w:val="22"/>
          <w:lang w:val="sr-Latn-ME" w:eastAsia="de-AT"/>
        </w:rPr>
        <w:t>predonacijskog</w:t>
      </w:r>
      <w:proofErr w:type="spellEnd"/>
      <w:r w:rsidRPr="00E7665A">
        <w:rPr>
          <w:sz w:val="22"/>
          <w:szCs w:val="22"/>
          <w:lang w:val="sr-Latn-ME" w:eastAsia="de-AT"/>
        </w:rPr>
        <w:t xml:space="preserve"> autolognog davanja krvi imaju neznatno veću učestalost pojave </w:t>
      </w:r>
      <w:proofErr w:type="spellStart"/>
      <w:r w:rsidRPr="00E7665A">
        <w:rPr>
          <w:sz w:val="22"/>
          <w:szCs w:val="22"/>
          <w:lang w:val="sr-Latn-ME" w:eastAsia="de-AT"/>
        </w:rPr>
        <w:t>tromboembolijskih</w:t>
      </w:r>
      <w:proofErr w:type="spellEnd"/>
      <w:r w:rsidRPr="00E7665A">
        <w:rPr>
          <w:sz w:val="22"/>
          <w:szCs w:val="22"/>
          <w:lang w:val="sr-Latn-ME" w:eastAsia="de-AT"/>
        </w:rPr>
        <w:t xml:space="preserve"> događaja. Međutim, uzročno-posljedična veza sa terapijom </w:t>
      </w:r>
      <w:r w:rsidR="006C2C32" w:rsidRPr="00E7665A">
        <w:rPr>
          <w:sz w:val="22"/>
          <w:szCs w:val="22"/>
          <w:lang w:val="sr-Latn-ME" w:eastAsia="de-AT"/>
        </w:rPr>
        <w:t xml:space="preserve">lijekom </w:t>
      </w:r>
      <w:proofErr w:type="spellStart"/>
      <w:r w:rsidR="00980E2B" w:rsidRPr="00E7665A">
        <w:rPr>
          <w:sz w:val="22"/>
          <w:szCs w:val="22"/>
          <w:lang w:val="sr-Latn-ME" w:eastAsia="de-AT"/>
        </w:rPr>
        <w:t>NeoRecormon</w:t>
      </w:r>
      <w:proofErr w:type="spellEnd"/>
      <w:r w:rsidRPr="00E7665A">
        <w:rPr>
          <w:sz w:val="22"/>
          <w:szCs w:val="22"/>
          <w:lang w:val="sr-Latn-ME" w:eastAsia="de-AT"/>
        </w:rPr>
        <w:t xml:space="preserve"> nije mogla biti utvrđena. </w:t>
      </w:r>
    </w:p>
    <w:p w:rsidR="002E440B" w:rsidRPr="00E7665A" w:rsidRDefault="002E440B" w:rsidP="00BF3E6B">
      <w:pPr>
        <w:autoSpaceDE w:val="0"/>
        <w:autoSpaceDN w:val="0"/>
        <w:adjustRightInd w:val="0"/>
        <w:jc w:val="both"/>
        <w:rPr>
          <w:sz w:val="22"/>
          <w:szCs w:val="22"/>
          <w:lang w:val="sr-Latn-ME" w:eastAsia="de-AT"/>
        </w:rPr>
      </w:pP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 xml:space="preserve">U </w:t>
      </w:r>
      <w:proofErr w:type="spellStart"/>
      <w:r w:rsidRPr="00E7665A">
        <w:rPr>
          <w:sz w:val="22"/>
          <w:szCs w:val="22"/>
          <w:lang w:val="sr-Latn-ME" w:eastAsia="de-AT"/>
        </w:rPr>
        <w:t>placebo</w:t>
      </w:r>
      <w:proofErr w:type="spellEnd"/>
      <w:r w:rsidRPr="00E7665A">
        <w:rPr>
          <w:sz w:val="22"/>
          <w:szCs w:val="22"/>
          <w:lang w:val="sr-Latn-ME" w:eastAsia="de-AT"/>
        </w:rPr>
        <w:t xml:space="preserve"> kontrolisanim ispitivanjima privremeni nedostatak gvožđa bio je izraženiji kod pacijenata liječenih</w:t>
      </w:r>
      <w:r w:rsidR="003570B1" w:rsidRPr="00E7665A">
        <w:rPr>
          <w:sz w:val="22"/>
          <w:szCs w:val="22"/>
          <w:lang w:val="sr-Latn-ME" w:eastAsia="de-AT"/>
        </w:rPr>
        <w:t xml:space="preserve"> </w:t>
      </w:r>
      <w:r w:rsidR="006C2C32" w:rsidRPr="00E7665A">
        <w:rPr>
          <w:sz w:val="22"/>
          <w:szCs w:val="22"/>
          <w:lang w:val="sr-Latn-ME" w:eastAsia="de-AT"/>
        </w:rPr>
        <w:t xml:space="preserve">lijekom </w:t>
      </w:r>
      <w:proofErr w:type="spellStart"/>
      <w:r w:rsidR="00980E2B" w:rsidRPr="00E7665A">
        <w:rPr>
          <w:sz w:val="22"/>
          <w:szCs w:val="22"/>
          <w:lang w:val="sr-Latn-ME" w:eastAsia="de-AT"/>
        </w:rPr>
        <w:t>NeoRecormon</w:t>
      </w:r>
      <w:proofErr w:type="spellEnd"/>
      <w:r w:rsidRPr="00E7665A">
        <w:rPr>
          <w:sz w:val="22"/>
          <w:szCs w:val="22"/>
          <w:lang w:val="sr-Latn-ME" w:eastAsia="de-AT"/>
        </w:rPr>
        <w:t xml:space="preserve"> nego u kontrolnim g</w:t>
      </w:r>
      <w:r w:rsidR="003A4602" w:rsidRPr="00E7665A">
        <w:rPr>
          <w:sz w:val="22"/>
          <w:szCs w:val="22"/>
          <w:lang w:val="sr-Latn-ME" w:eastAsia="de-AT"/>
        </w:rPr>
        <w:t>r</w:t>
      </w:r>
      <w:r w:rsidRPr="00E7665A">
        <w:rPr>
          <w:sz w:val="22"/>
          <w:szCs w:val="22"/>
          <w:lang w:val="sr-Latn-ME" w:eastAsia="de-AT"/>
        </w:rPr>
        <w:t>upama (vid</w:t>
      </w:r>
      <w:r w:rsidR="00884B1E" w:rsidRPr="00E7665A">
        <w:rPr>
          <w:sz w:val="22"/>
          <w:szCs w:val="22"/>
          <w:lang w:val="sr-Latn-ME" w:eastAsia="de-AT"/>
        </w:rPr>
        <w:t>jeti</w:t>
      </w:r>
      <w:r w:rsidRPr="00E7665A">
        <w:rPr>
          <w:sz w:val="22"/>
          <w:szCs w:val="22"/>
          <w:lang w:val="sr-Latn-ME" w:eastAsia="de-AT"/>
        </w:rPr>
        <w:t xml:space="preserve"> dio 4.4).</w:t>
      </w:r>
    </w:p>
    <w:p w:rsidR="002E440B" w:rsidRPr="00E7665A" w:rsidRDefault="002E440B" w:rsidP="00BF3E6B">
      <w:pPr>
        <w:autoSpaceDE w:val="0"/>
        <w:autoSpaceDN w:val="0"/>
        <w:adjustRightInd w:val="0"/>
        <w:jc w:val="both"/>
        <w:rPr>
          <w:sz w:val="22"/>
          <w:szCs w:val="22"/>
          <w:lang w:val="sr-Latn-ME" w:eastAsia="de-AT"/>
        </w:rPr>
      </w:pP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Neželjena dejstva su navedena u Tabeli 3 dalje u tekstu</w:t>
      </w: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lastRenderedPageBreak/>
        <w:t>Prijavljene su teška kožna neželjena dejstva (</w:t>
      </w:r>
      <w:proofErr w:type="spellStart"/>
      <w:r w:rsidRPr="00E7665A">
        <w:rPr>
          <w:sz w:val="22"/>
          <w:szCs w:val="22"/>
          <w:lang w:val="sr-Latn-ME" w:eastAsia="de-AT"/>
        </w:rPr>
        <w:t>SCAR</w:t>
      </w:r>
      <w:proofErr w:type="spellEnd"/>
      <w:r w:rsidRPr="00E7665A">
        <w:rPr>
          <w:sz w:val="22"/>
          <w:szCs w:val="22"/>
          <w:lang w:val="sr-Latn-ME" w:eastAsia="de-AT"/>
        </w:rPr>
        <w:t xml:space="preserve">), uključujući </w:t>
      </w:r>
      <w:proofErr w:type="spellStart"/>
      <w:r w:rsidRPr="00E7665A">
        <w:rPr>
          <w:sz w:val="22"/>
          <w:szCs w:val="22"/>
          <w:lang w:val="sr-Latn-ME" w:eastAsia="de-AT"/>
        </w:rPr>
        <w:t>Stevens</w:t>
      </w:r>
      <w:proofErr w:type="spellEnd"/>
      <w:r w:rsidRPr="00E7665A">
        <w:rPr>
          <w:sz w:val="22"/>
          <w:szCs w:val="22"/>
          <w:lang w:val="sr-Latn-ME" w:eastAsia="de-AT"/>
        </w:rPr>
        <w:t xml:space="preserve"> </w:t>
      </w:r>
      <w:proofErr w:type="spellStart"/>
      <w:r w:rsidRPr="00E7665A">
        <w:rPr>
          <w:sz w:val="22"/>
          <w:szCs w:val="22"/>
          <w:lang w:val="sr-Latn-ME" w:eastAsia="de-AT"/>
        </w:rPr>
        <w:t>Johnsonov</w:t>
      </w:r>
      <w:proofErr w:type="spellEnd"/>
      <w:r w:rsidRPr="00E7665A">
        <w:rPr>
          <w:sz w:val="22"/>
          <w:szCs w:val="22"/>
          <w:lang w:val="sr-Latn-ME" w:eastAsia="de-AT"/>
        </w:rPr>
        <w:t xml:space="preserve"> sindrom (</w:t>
      </w:r>
      <w:proofErr w:type="spellStart"/>
      <w:r w:rsidRPr="00E7665A">
        <w:rPr>
          <w:sz w:val="22"/>
          <w:szCs w:val="22"/>
          <w:lang w:val="sr-Latn-ME" w:eastAsia="de-AT"/>
        </w:rPr>
        <w:t>SJS</w:t>
      </w:r>
      <w:proofErr w:type="spellEnd"/>
      <w:r w:rsidRPr="00E7665A">
        <w:rPr>
          <w:sz w:val="22"/>
          <w:szCs w:val="22"/>
          <w:lang w:val="sr-Latn-ME" w:eastAsia="de-AT"/>
        </w:rPr>
        <w:t xml:space="preserve">) i toksičnu </w:t>
      </w:r>
      <w:proofErr w:type="spellStart"/>
      <w:r w:rsidRPr="00E7665A">
        <w:rPr>
          <w:sz w:val="22"/>
          <w:szCs w:val="22"/>
          <w:lang w:val="sr-Latn-ME" w:eastAsia="de-AT"/>
        </w:rPr>
        <w:t>epidermalnu</w:t>
      </w:r>
      <w:proofErr w:type="spellEnd"/>
      <w:r w:rsidRPr="00E7665A">
        <w:rPr>
          <w:sz w:val="22"/>
          <w:szCs w:val="22"/>
          <w:lang w:val="sr-Latn-ME" w:eastAsia="de-AT"/>
        </w:rPr>
        <w:t xml:space="preserve"> </w:t>
      </w:r>
      <w:proofErr w:type="spellStart"/>
      <w:r w:rsidRPr="00E7665A">
        <w:rPr>
          <w:sz w:val="22"/>
          <w:szCs w:val="22"/>
          <w:lang w:val="sr-Latn-ME" w:eastAsia="de-AT"/>
        </w:rPr>
        <w:t>nekrolizu</w:t>
      </w:r>
      <w:proofErr w:type="spellEnd"/>
      <w:r w:rsidRPr="00E7665A">
        <w:rPr>
          <w:sz w:val="22"/>
          <w:szCs w:val="22"/>
          <w:lang w:val="sr-Latn-ME" w:eastAsia="de-AT"/>
        </w:rPr>
        <w:t xml:space="preserve"> (TEN), povezane sa liječenjem </w:t>
      </w:r>
      <w:proofErr w:type="spellStart"/>
      <w:r w:rsidRPr="00E7665A">
        <w:rPr>
          <w:sz w:val="22"/>
          <w:szCs w:val="22"/>
          <w:lang w:val="sr-Latn-ME" w:eastAsia="de-AT"/>
        </w:rPr>
        <w:t>epoetinom</w:t>
      </w:r>
      <w:proofErr w:type="spellEnd"/>
      <w:r w:rsidRPr="00E7665A">
        <w:rPr>
          <w:sz w:val="22"/>
          <w:szCs w:val="22"/>
          <w:lang w:val="sr-Latn-ME" w:eastAsia="de-AT"/>
        </w:rPr>
        <w:t>, koje mogu biti opasne po život ili smrtonosne (vidjeti dio 4.4.).</w:t>
      </w:r>
    </w:p>
    <w:p w:rsidR="002E440B" w:rsidRPr="00E7665A" w:rsidRDefault="002E440B" w:rsidP="00BF3E6B">
      <w:pPr>
        <w:autoSpaceDE w:val="0"/>
        <w:autoSpaceDN w:val="0"/>
        <w:adjustRightInd w:val="0"/>
        <w:jc w:val="both"/>
        <w:rPr>
          <w:sz w:val="22"/>
          <w:szCs w:val="22"/>
          <w:lang w:val="sr-Latn-ME" w:eastAsia="de-AT"/>
        </w:rPr>
      </w:pPr>
    </w:p>
    <w:p w:rsidR="002E440B" w:rsidRPr="00E7665A" w:rsidRDefault="002E440B" w:rsidP="00BF3E6B">
      <w:pPr>
        <w:autoSpaceDE w:val="0"/>
        <w:autoSpaceDN w:val="0"/>
        <w:adjustRightInd w:val="0"/>
        <w:jc w:val="both"/>
        <w:rPr>
          <w:sz w:val="22"/>
          <w:szCs w:val="22"/>
          <w:u w:val="single"/>
          <w:lang w:val="sr-Latn-ME" w:eastAsia="de-AT"/>
        </w:rPr>
      </w:pPr>
      <w:r w:rsidRPr="00E7665A">
        <w:rPr>
          <w:sz w:val="22"/>
          <w:szCs w:val="22"/>
          <w:u w:val="single"/>
          <w:lang w:val="sr-Latn-ME" w:eastAsia="de-AT"/>
        </w:rPr>
        <w:t>Tabelarni prikaz neželjenih dejstava</w:t>
      </w:r>
    </w:p>
    <w:p w:rsidR="002E440B" w:rsidRPr="00E7665A" w:rsidRDefault="002E440B" w:rsidP="00BF3E6B">
      <w:pPr>
        <w:autoSpaceDE w:val="0"/>
        <w:autoSpaceDN w:val="0"/>
        <w:adjustRightInd w:val="0"/>
        <w:jc w:val="both"/>
        <w:rPr>
          <w:sz w:val="22"/>
          <w:szCs w:val="22"/>
          <w:lang w:val="sr-Latn-ME" w:eastAsia="de-AT"/>
        </w:rPr>
      </w:pP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 xml:space="preserve">Neželjena dejstva su navedene prema </w:t>
      </w:r>
      <w:proofErr w:type="spellStart"/>
      <w:r w:rsidRPr="00E7665A">
        <w:rPr>
          <w:sz w:val="22"/>
          <w:szCs w:val="22"/>
          <w:lang w:val="sr-Latn-ME" w:eastAsia="de-AT"/>
        </w:rPr>
        <w:t>MedDRA</w:t>
      </w:r>
      <w:proofErr w:type="spellEnd"/>
      <w:r w:rsidRPr="00E7665A">
        <w:rPr>
          <w:sz w:val="22"/>
          <w:szCs w:val="22"/>
          <w:lang w:val="sr-Latn-ME" w:eastAsia="de-AT"/>
        </w:rPr>
        <w:t xml:space="preserve"> podjeli organskih sistema i kategoriji učestalosti. Kategorije učestalosti su definisane kao:</w:t>
      </w:r>
    </w:p>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vrlo često  (≥ 1/10); često (≥ 1/100 i &lt; 1/10); povremeno (≥ 1/1</w:t>
      </w:r>
      <w:r w:rsidR="006C2C32" w:rsidRPr="00E7665A">
        <w:rPr>
          <w:sz w:val="22"/>
          <w:szCs w:val="22"/>
          <w:lang w:val="sr-Latn-ME" w:eastAsia="de-AT"/>
        </w:rPr>
        <w:t xml:space="preserve"> </w:t>
      </w:r>
      <w:r w:rsidRPr="00E7665A">
        <w:rPr>
          <w:sz w:val="22"/>
          <w:szCs w:val="22"/>
          <w:lang w:val="sr-Latn-ME" w:eastAsia="de-AT"/>
        </w:rPr>
        <w:t>000 i &lt; 1/100); rijetko (≥ 1/10 000 i</w:t>
      </w:r>
      <w:r w:rsidR="006C2C32" w:rsidRPr="00E7665A">
        <w:rPr>
          <w:sz w:val="22"/>
          <w:szCs w:val="22"/>
          <w:lang w:val="sr-Latn-ME" w:eastAsia="de-AT"/>
        </w:rPr>
        <w:t xml:space="preserve"> </w:t>
      </w:r>
      <w:r w:rsidRPr="00E7665A">
        <w:rPr>
          <w:sz w:val="22"/>
          <w:szCs w:val="22"/>
          <w:lang w:val="sr-Latn-ME" w:eastAsia="de-AT"/>
        </w:rPr>
        <w:t>&lt; 1/1</w:t>
      </w:r>
      <w:r w:rsidR="006C2C32" w:rsidRPr="00E7665A">
        <w:rPr>
          <w:sz w:val="22"/>
          <w:szCs w:val="22"/>
          <w:lang w:val="sr-Latn-ME" w:eastAsia="de-AT"/>
        </w:rPr>
        <w:t xml:space="preserve"> </w:t>
      </w:r>
      <w:r w:rsidRPr="00E7665A">
        <w:rPr>
          <w:sz w:val="22"/>
          <w:szCs w:val="22"/>
          <w:lang w:val="sr-Latn-ME" w:eastAsia="de-AT"/>
        </w:rPr>
        <w:t>000); vrlo rijetko (&lt; 1/10 000); nepoznato (ne može se procijeniti iz dostupnih podataka).</w:t>
      </w:r>
    </w:p>
    <w:p w:rsidR="002E440B" w:rsidRPr="00E7665A" w:rsidRDefault="002E440B" w:rsidP="00BF3E6B">
      <w:pPr>
        <w:autoSpaceDE w:val="0"/>
        <w:autoSpaceDN w:val="0"/>
        <w:adjustRightInd w:val="0"/>
        <w:jc w:val="both"/>
        <w:rPr>
          <w:sz w:val="22"/>
          <w:szCs w:val="22"/>
          <w:lang w:val="sr-Latn-ME" w:eastAsia="de-AT"/>
        </w:rPr>
      </w:pPr>
    </w:p>
    <w:p w:rsidR="002E440B" w:rsidRPr="00E7665A" w:rsidRDefault="002E440B" w:rsidP="006C2C32">
      <w:pPr>
        <w:autoSpaceDE w:val="0"/>
        <w:autoSpaceDN w:val="0"/>
        <w:adjustRightInd w:val="0"/>
        <w:ind w:left="142" w:hanging="142"/>
        <w:jc w:val="both"/>
        <w:rPr>
          <w:sz w:val="22"/>
          <w:szCs w:val="22"/>
          <w:lang w:val="sr-Latn-ME" w:eastAsia="de-AT"/>
        </w:rPr>
      </w:pPr>
      <w:r w:rsidRPr="00E7665A">
        <w:rPr>
          <w:sz w:val="22"/>
          <w:szCs w:val="22"/>
          <w:lang w:val="sr-Latn-ME" w:eastAsia="de-AT"/>
        </w:rPr>
        <w:t>Tabela 1:</w:t>
      </w:r>
      <w:r w:rsidR="003D02AF">
        <w:rPr>
          <w:sz w:val="22"/>
          <w:szCs w:val="22"/>
          <w:lang w:val="sr-Latn-ME" w:eastAsia="de-AT"/>
        </w:rPr>
        <w:t xml:space="preserve"> </w:t>
      </w:r>
      <w:r w:rsidRPr="00E7665A">
        <w:rPr>
          <w:sz w:val="22"/>
          <w:szCs w:val="22"/>
          <w:lang w:val="sr-Latn-ME" w:eastAsia="de-AT"/>
        </w:rPr>
        <w:t xml:space="preserve">Neželjena dejstva pripisana liječenju lijekom </w:t>
      </w:r>
      <w:proofErr w:type="spellStart"/>
      <w:r w:rsidR="00980E2B" w:rsidRPr="00E7665A">
        <w:rPr>
          <w:sz w:val="22"/>
          <w:szCs w:val="22"/>
          <w:lang w:val="sr-Latn-ME" w:eastAsia="de-AT"/>
        </w:rPr>
        <w:t>NeoRecormon</w:t>
      </w:r>
      <w:proofErr w:type="spellEnd"/>
      <w:r w:rsidRPr="00E7665A">
        <w:rPr>
          <w:sz w:val="22"/>
          <w:szCs w:val="22"/>
          <w:lang w:val="sr-Latn-ME" w:eastAsia="de-AT"/>
        </w:rPr>
        <w:t xml:space="preserve"> u kontrolisanim kliničkim ispitivanjima kod pacijenata sa hroničnom </w:t>
      </w:r>
      <w:proofErr w:type="spellStart"/>
      <w:r w:rsidRPr="00E7665A">
        <w:rPr>
          <w:sz w:val="22"/>
          <w:szCs w:val="22"/>
          <w:lang w:val="sr-Latn-ME" w:eastAsia="de-AT"/>
        </w:rPr>
        <w:t>insuficijencijom</w:t>
      </w:r>
      <w:proofErr w:type="spellEnd"/>
      <w:r w:rsidRPr="00E7665A">
        <w:rPr>
          <w:sz w:val="22"/>
          <w:szCs w:val="22"/>
          <w:lang w:val="sr-Latn-ME" w:eastAsia="de-AT"/>
        </w:rPr>
        <w:t xml:space="preserve"> bubrega</w:t>
      </w:r>
    </w:p>
    <w:p w:rsidR="003A4602" w:rsidRPr="00E7665A" w:rsidRDefault="003A4602" w:rsidP="006C2C32">
      <w:pPr>
        <w:autoSpaceDE w:val="0"/>
        <w:autoSpaceDN w:val="0"/>
        <w:adjustRightInd w:val="0"/>
        <w:ind w:left="142" w:hanging="142"/>
        <w:jc w:val="both"/>
        <w:rPr>
          <w:sz w:val="22"/>
          <w:szCs w:val="22"/>
          <w:lang w:val="sr-Latn-ME" w:eastAsia="de-AT"/>
        </w:rPr>
      </w:pPr>
    </w:p>
    <w:tbl>
      <w:tblPr>
        <w:tblW w:w="8938" w:type="dxa"/>
        <w:jc w:val="center"/>
        <w:tblLayout w:type="fixed"/>
        <w:tblCellMar>
          <w:left w:w="0" w:type="dxa"/>
          <w:right w:w="0" w:type="dxa"/>
        </w:tblCellMar>
        <w:tblLook w:val="01E0" w:firstRow="1" w:lastRow="1" w:firstColumn="1" w:lastColumn="1" w:noHBand="0" w:noVBand="0"/>
      </w:tblPr>
      <w:tblGrid>
        <w:gridCol w:w="3049"/>
        <w:gridCol w:w="2771"/>
        <w:gridCol w:w="3118"/>
      </w:tblGrid>
      <w:tr w:rsidR="002E440B" w:rsidRPr="00E7665A" w:rsidTr="00094AC4">
        <w:trPr>
          <w:trHeight w:hRule="exact" w:val="485"/>
          <w:jc w:val="center"/>
        </w:trPr>
        <w:tc>
          <w:tcPr>
            <w:tcW w:w="3049" w:type="dxa"/>
            <w:tcBorders>
              <w:top w:val="single" w:sz="5" w:space="0" w:color="000000"/>
              <w:left w:val="single" w:sz="5" w:space="0" w:color="000000"/>
              <w:bottom w:val="single" w:sz="4" w:space="0" w:color="000000"/>
              <w:right w:val="single" w:sz="4" w:space="0" w:color="000000"/>
            </w:tcBorders>
          </w:tcPr>
          <w:p w:rsidR="002E440B" w:rsidRPr="00E7665A" w:rsidRDefault="002E440B" w:rsidP="00094AC4">
            <w:pPr>
              <w:autoSpaceDE w:val="0"/>
              <w:autoSpaceDN w:val="0"/>
              <w:adjustRightInd w:val="0"/>
              <w:rPr>
                <w:b/>
                <w:sz w:val="22"/>
                <w:szCs w:val="22"/>
                <w:lang w:val="sr-Latn-ME" w:eastAsia="de-AT"/>
              </w:rPr>
            </w:pPr>
            <w:r w:rsidRPr="00E7665A">
              <w:rPr>
                <w:b/>
                <w:sz w:val="22"/>
                <w:szCs w:val="22"/>
                <w:lang w:val="sr-Latn-ME" w:eastAsia="de-AT"/>
              </w:rPr>
              <w:t>Sistem organa</w:t>
            </w:r>
          </w:p>
        </w:tc>
        <w:tc>
          <w:tcPr>
            <w:tcW w:w="2771" w:type="dxa"/>
            <w:tcBorders>
              <w:top w:val="single" w:sz="5" w:space="0" w:color="000000"/>
              <w:left w:val="single" w:sz="4" w:space="0" w:color="000000"/>
              <w:bottom w:val="single" w:sz="4" w:space="0" w:color="000000"/>
              <w:right w:val="single" w:sz="5" w:space="0" w:color="000000"/>
            </w:tcBorders>
          </w:tcPr>
          <w:p w:rsidR="002E440B" w:rsidRPr="00E7665A" w:rsidRDefault="002E440B" w:rsidP="00094AC4">
            <w:pPr>
              <w:autoSpaceDE w:val="0"/>
              <w:autoSpaceDN w:val="0"/>
              <w:adjustRightInd w:val="0"/>
              <w:rPr>
                <w:sz w:val="22"/>
                <w:szCs w:val="22"/>
                <w:lang w:val="sr-Latn-ME" w:eastAsia="de-AT"/>
              </w:rPr>
            </w:pPr>
            <w:r w:rsidRPr="00E7665A">
              <w:rPr>
                <w:b/>
                <w:sz w:val="22"/>
                <w:szCs w:val="22"/>
                <w:lang w:val="sr-Latn-ME"/>
              </w:rPr>
              <w:t>Neželjena reakcija na lijek</w:t>
            </w:r>
          </w:p>
        </w:tc>
        <w:tc>
          <w:tcPr>
            <w:tcW w:w="3118" w:type="dxa"/>
            <w:tcBorders>
              <w:top w:val="single" w:sz="5" w:space="0" w:color="000000"/>
              <w:left w:val="single" w:sz="5" w:space="0" w:color="000000"/>
              <w:bottom w:val="single" w:sz="4" w:space="0" w:color="000000"/>
              <w:right w:val="single" w:sz="4" w:space="0" w:color="000000"/>
            </w:tcBorders>
          </w:tcPr>
          <w:p w:rsidR="002E440B" w:rsidRPr="00E7665A" w:rsidRDefault="002E440B" w:rsidP="00094AC4">
            <w:pPr>
              <w:autoSpaceDE w:val="0"/>
              <w:autoSpaceDN w:val="0"/>
              <w:adjustRightInd w:val="0"/>
              <w:rPr>
                <w:b/>
                <w:sz w:val="22"/>
                <w:szCs w:val="22"/>
                <w:lang w:val="sr-Latn-ME" w:eastAsia="de-AT"/>
              </w:rPr>
            </w:pPr>
            <w:r w:rsidRPr="00E7665A">
              <w:rPr>
                <w:b/>
                <w:sz w:val="22"/>
                <w:szCs w:val="22"/>
                <w:lang w:val="sr-Latn-ME" w:eastAsia="de-AT"/>
              </w:rPr>
              <w:t>Učestalost</w:t>
            </w:r>
          </w:p>
        </w:tc>
      </w:tr>
      <w:tr w:rsidR="002E440B" w:rsidRPr="00E7665A" w:rsidTr="00094AC4">
        <w:trPr>
          <w:trHeight w:hRule="exact" w:val="501"/>
          <w:jc w:val="center"/>
        </w:trPr>
        <w:tc>
          <w:tcPr>
            <w:tcW w:w="3049" w:type="dxa"/>
            <w:tcBorders>
              <w:top w:val="single" w:sz="4" w:space="0" w:color="000000"/>
              <w:left w:val="single" w:sz="5" w:space="0" w:color="000000"/>
              <w:bottom w:val="single" w:sz="5" w:space="0" w:color="000000"/>
              <w:right w:val="single" w:sz="4"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Vaskularni poremećaji</w:t>
            </w:r>
          </w:p>
        </w:tc>
        <w:tc>
          <w:tcPr>
            <w:tcW w:w="2771" w:type="dxa"/>
            <w:tcBorders>
              <w:top w:val="single" w:sz="4" w:space="0" w:color="000000"/>
              <w:left w:val="single" w:sz="4" w:space="0" w:color="000000"/>
              <w:bottom w:val="single" w:sz="5" w:space="0" w:color="000000"/>
              <w:right w:val="single" w:sz="5"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Hipertenzija</w:t>
            </w:r>
          </w:p>
          <w:p w:rsidR="002E440B" w:rsidRPr="00E7665A" w:rsidRDefault="002E440B" w:rsidP="00094AC4">
            <w:pPr>
              <w:autoSpaceDE w:val="0"/>
              <w:autoSpaceDN w:val="0"/>
              <w:adjustRightInd w:val="0"/>
              <w:rPr>
                <w:sz w:val="22"/>
                <w:szCs w:val="22"/>
                <w:lang w:val="sr-Latn-ME" w:eastAsia="de-AT"/>
              </w:rPr>
            </w:pPr>
            <w:proofErr w:type="spellStart"/>
            <w:r w:rsidRPr="00E7665A">
              <w:rPr>
                <w:sz w:val="22"/>
                <w:szCs w:val="22"/>
                <w:lang w:val="sr-Latn-ME" w:eastAsia="de-AT"/>
              </w:rPr>
              <w:t>Hipertenzivna</w:t>
            </w:r>
            <w:proofErr w:type="spellEnd"/>
            <w:r w:rsidRPr="00E7665A">
              <w:rPr>
                <w:sz w:val="22"/>
                <w:szCs w:val="22"/>
                <w:lang w:val="sr-Latn-ME" w:eastAsia="de-AT"/>
              </w:rPr>
              <w:t xml:space="preserve"> kriza</w:t>
            </w:r>
          </w:p>
        </w:tc>
        <w:tc>
          <w:tcPr>
            <w:tcW w:w="3118" w:type="dxa"/>
            <w:tcBorders>
              <w:top w:val="single" w:sz="4" w:space="0" w:color="000000"/>
              <w:left w:val="single" w:sz="5" w:space="0" w:color="000000"/>
              <w:bottom w:val="single" w:sz="5" w:space="0" w:color="000000"/>
              <w:right w:val="single" w:sz="4"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Često</w:t>
            </w:r>
          </w:p>
          <w:p w:rsidR="002E440B" w:rsidRPr="00E7665A" w:rsidRDefault="00A2499D" w:rsidP="00094AC4">
            <w:pPr>
              <w:autoSpaceDE w:val="0"/>
              <w:autoSpaceDN w:val="0"/>
              <w:adjustRightInd w:val="0"/>
              <w:rPr>
                <w:sz w:val="22"/>
                <w:szCs w:val="22"/>
                <w:lang w:val="sr-Latn-ME" w:eastAsia="de-AT"/>
              </w:rPr>
            </w:pPr>
            <w:r w:rsidRPr="00E7665A">
              <w:rPr>
                <w:sz w:val="22"/>
                <w:szCs w:val="22"/>
                <w:lang w:val="sr-Latn-ME" w:eastAsia="de-AT"/>
              </w:rPr>
              <w:t>povremeno</w:t>
            </w:r>
          </w:p>
        </w:tc>
      </w:tr>
      <w:tr w:rsidR="002E440B" w:rsidRPr="00E7665A" w:rsidTr="00094AC4">
        <w:trPr>
          <w:trHeight w:hRule="exact" w:val="247"/>
          <w:jc w:val="center"/>
        </w:trPr>
        <w:tc>
          <w:tcPr>
            <w:tcW w:w="3049" w:type="dxa"/>
            <w:tcBorders>
              <w:top w:val="single" w:sz="5" w:space="0" w:color="000000"/>
              <w:left w:val="single" w:sz="5" w:space="0" w:color="000000"/>
              <w:bottom w:val="single" w:sz="5" w:space="0" w:color="000000"/>
              <w:right w:val="single" w:sz="4"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Poremećaji nervnog sistema</w:t>
            </w:r>
          </w:p>
        </w:tc>
        <w:tc>
          <w:tcPr>
            <w:tcW w:w="2771" w:type="dxa"/>
            <w:tcBorders>
              <w:top w:val="single" w:sz="5" w:space="0" w:color="000000"/>
              <w:left w:val="single" w:sz="4" w:space="0" w:color="000000"/>
              <w:bottom w:val="single" w:sz="5" w:space="0" w:color="000000"/>
              <w:right w:val="single" w:sz="5"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Glavobolja</w:t>
            </w:r>
          </w:p>
        </w:tc>
        <w:tc>
          <w:tcPr>
            <w:tcW w:w="3118" w:type="dxa"/>
            <w:tcBorders>
              <w:top w:val="single" w:sz="5" w:space="0" w:color="000000"/>
              <w:left w:val="single" w:sz="5" w:space="0" w:color="000000"/>
              <w:bottom w:val="single" w:sz="5" w:space="0" w:color="000000"/>
              <w:right w:val="single" w:sz="4"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Često</w:t>
            </w:r>
          </w:p>
        </w:tc>
      </w:tr>
      <w:tr w:rsidR="002E440B" w:rsidRPr="00E7665A" w:rsidTr="00094AC4">
        <w:trPr>
          <w:trHeight w:hRule="exact" w:val="587"/>
          <w:jc w:val="center"/>
        </w:trPr>
        <w:tc>
          <w:tcPr>
            <w:tcW w:w="3049" w:type="dxa"/>
            <w:tcBorders>
              <w:top w:val="single" w:sz="5" w:space="0" w:color="000000"/>
              <w:left w:val="single" w:sz="5" w:space="0" w:color="000000"/>
              <w:bottom w:val="single" w:sz="5" w:space="0" w:color="000000"/>
              <w:right w:val="single" w:sz="4"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Poremećaji krvi i limfnog sistema</w:t>
            </w:r>
          </w:p>
          <w:p w:rsidR="002E440B" w:rsidRPr="00E7665A" w:rsidRDefault="002E440B" w:rsidP="00094AC4">
            <w:pPr>
              <w:autoSpaceDE w:val="0"/>
              <w:autoSpaceDN w:val="0"/>
              <w:adjustRightInd w:val="0"/>
              <w:rPr>
                <w:sz w:val="22"/>
                <w:szCs w:val="22"/>
                <w:lang w:val="sr-Latn-ME" w:eastAsia="de-AT"/>
              </w:rPr>
            </w:pPr>
          </w:p>
          <w:p w:rsidR="002E440B" w:rsidRPr="00E7665A" w:rsidRDefault="002E440B" w:rsidP="00094AC4">
            <w:pPr>
              <w:autoSpaceDE w:val="0"/>
              <w:autoSpaceDN w:val="0"/>
              <w:adjustRightInd w:val="0"/>
              <w:rPr>
                <w:sz w:val="22"/>
                <w:szCs w:val="22"/>
                <w:lang w:val="sr-Latn-ME" w:eastAsia="de-AT"/>
              </w:rPr>
            </w:pPr>
          </w:p>
        </w:tc>
        <w:tc>
          <w:tcPr>
            <w:tcW w:w="2771" w:type="dxa"/>
            <w:tcBorders>
              <w:top w:val="single" w:sz="5" w:space="0" w:color="000000"/>
              <w:left w:val="single" w:sz="4" w:space="0" w:color="000000"/>
              <w:bottom w:val="single" w:sz="5" w:space="0" w:color="000000"/>
              <w:right w:val="single" w:sz="5"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Tromboza šanta</w:t>
            </w:r>
          </w:p>
          <w:p w:rsidR="002E440B" w:rsidRPr="00E7665A" w:rsidRDefault="002E440B" w:rsidP="00094AC4">
            <w:pPr>
              <w:autoSpaceDE w:val="0"/>
              <w:autoSpaceDN w:val="0"/>
              <w:adjustRightInd w:val="0"/>
              <w:rPr>
                <w:sz w:val="22"/>
                <w:szCs w:val="22"/>
                <w:lang w:val="sr-Latn-ME" w:eastAsia="de-AT"/>
              </w:rPr>
            </w:pPr>
            <w:proofErr w:type="spellStart"/>
            <w:r w:rsidRPr="00E7665A">
              <w:rPr>
                <w:sz w:val="22"/>
                <w:szCs w:val="22"/>
                <w:lang w:val="sr-Latn-ME" w:eastAsia="de-AT"/>
              </w:rPr>
              <w:t>Trombocitoza</w:t>
            </w:r>
            <w:proofErr w:type="spellEnd"/>
          </w:p>
        </w:tc>
        <w:tc>
          <w:tcPr>
            <w:tcW w:w="3118" w:type="dxa"/>
            <w:tcBorders>
              <w:top w:val="single" w:sz="5" w:space="0" w:color="000000"/>
              <w:left w:val="single" w:sz="5" w:space="0" w:color="000000"/>
              <w:bottom w:val="single" w:sz="5" w:space="0" w:color="000000"/>
              <w:right w:val="single" w:sz="4"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Rijetko</w:t>
            </w:r>
          </w:p>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Vrlo rijetko</w:t>
            </w:r>
          </w:p>
        </w:tc>
      </w:tr>
    </w:tbl>
    <w:p w:rsidR="002E440B" w:rsidRPr="00E7665A" w:rsidRDefault="002E440B" w:rsidP="00BF3E6B">
      <w:pPr>
        <w:autoSpaceDE w:val="0"/>
        <w:autoSpaceDN w:val="0"/>
        <w:adjustRightInd w:val="0"/>
        <w:jc w:val="both"/>
        <w:rPr>
          <w:sz w:val="22"/>
          <w:szCs w:val="22"/>
          <w:lang w:val="sr-Latn-ME" w:eastAsia="de-AT"/>
        </w:rPr>
      </w:pPr>
    </w:p>
    <w:p w:rsidR="003A4602" w:rsidRPr="00E7665A" w:rsidRDefault="002E440B">
      <w:pPr>
        <w:autoSpaceDE w:val="0"/>
        <w:autoSpaceDN w:val="0"/>
        <w:adjustRightInd w:val="0"/>
        <w:jc w:val="both"/>
        <w:rPr>
          <w:sz w:val="22"/>
          <w:szCs w:val="22"/>
          <w:lang w:val="sr-Latn-ME" w:eastAsia="de-AT"/>
        </w:rPr>
      </w:pPr>
      <w:r w:rsidRPr="00E7665A">
        <w:rPr>
          <w:sz w:val="22"/>
          <w:szCs w:val="22"/>
          <w:lang w:val="sr-Latn-ME" w:eastAsia="de-AT"/>
        </w:rPr>
        <w:t xml:space="preserve">Tabela 2: Neželjena dejstva pripisana liječenju lijekom </w:t>
      </w:r>
      <w:proofErr w:type="spellStart"/>
      <w:r w:rsidR="00980E2B" w:rsidRPr="00E7665A">
        <w:rPr>
          <w:sz w:val="22"/>
          <w:szCs w:val="22"/>
          <w:lang w:val="sr-Latn-ME" w:eastAsia="de-AT"/>
        </w:rPr>
        <w:t>NeoRecormon</w:t>
      </w:r>
      <w:proofErr w:type="spellEnd"/>
      <w:r w:rsidRPr="00E7665A">
        <w:rPr>
          <w:sz w:val="22"/>
          <w:szCs w:val="22"/>
          <w:lang w:val="sr-Latn-ME" w:eastAsia="de-AT"/>
        </w:rPr>
        <w:t xml:space="preserve"> u kontrolisanim kliničkim ispitivanjima kod pacijenata sa </w:t>
      </w:r>
      <w:proofErr w:type="spellStart"/>
      <w:r w:rsidRPr="00E7665A">
        <w:rPr>
          <w:sz w:val="22"/>
          <w:szCs w:val="22"/>
          <w:lang w:val="sr-Latn-ME" w:eastAsia="de-AT"/>
        </w:rPr>
        <w:t>ka</w:t>
      </w:r>
      <w:r w:rsidR="008D7CB9" w:rsidRPr="00E7665A">
        <w:rPr>
          <w:sz w:val="22"/>
          <w:szCs w:val="22"/>
          <w:lang w:val="sr-Latn-ME" w:eastAsia="de-AT"/>
        </w:rPr>
        <w:t>rcinomom</w:t>
      </w:r>
      <w:proofErr w:type="spellEnd"/>
    </w:p>
    <w:p w:rsidR="002E440B" w:rsidRPr="00E7665A" w:rsidRDefault="002E440B" w:rsidP="00BF3E6B">
      <w:pPr>
        <w:autoSpaceDE w:val="0"/>
        <w:autoSpaceDN w:val="0"/>
        <w:adjustRightInd w:val="0"/>
        <w:jc w:val="both"/>
        <w:rPr>
          <w:sz w:val="22"/>
          <w:szCs w:val="22"/>
          <w:lang w:val="sr-Latn-ME" w:eastAsia="de-AT"/>
        </w:rPr>
      </w:pPr>
    </w:p>
    <w:tbl>
      <w:tblPr>
        <w:tblW w:w="8938" w:type="dxa"/>
        <w:jc w:val="center"/>
        <w:tblLayout w:type="fixed"/>
        <w:tblCellMar>
          <w:left w:w="0" w:type="dxa"/>
          <w:right w:w="0" w:type="dxa"/>
        </w:tblCellMar>
        <w:tblLook w:val="01E0" w:firstRow="1" w:lastRow="1" w:firstColumn="1" w:lastColumn="1" w:noHBand="0" w:noVBand="0"/>
      </w:tblPr>
      <w:tblGrid>
        <w:gridCol w:w="3049"/>
        <w:gridCol w:w="3480"/>
        <w:gridCol w:w="2409"/>
      </w:tblGrid>
      <w:tr w:rsidR="002E440B" w:rsidRPr="00E7665A" w:rsidTr="00094AC4">
        <w:trPr>
          <w:trHeight w:hRule="exact" w:val="485"/>
          <w:jc w:val="center"/>
        </w:trPr>
        <w:tc>
          <w:tcPr>
            <w:tcW w:w="3049" w:type="dxa"/>
            <w:tcBorders>
              <w:top w:val="single" w:sz="5" w:space="0" w:color="000000"/>
              <w:left w:val="single" w:sz="5" w:space="0" w:color="000000"/>
              <w:bottom w:val="single" w:sz="4" w:space="0" w:color="000000"/>
              <w:right w:val="single" w:sz="4" w:space="0" w:color="000000"/>
            </w:tcBorders>
          </w:tcPr>
          <w:p w:rsidR="002E440B" w:rsidRPr="00E7665A" w:rsidRDefault="002E440B" w:rsidP="00094AC4">
            <w:pPr>
              <w:autoSpaceDE w:val="0"/>
              <w:autoSpaceDN w:val="0"/>
              <w:adjustRightInd w:val="0"/>
              <w:rPr>
                <w:b/>
                <w:sz w:val="22"/>
                <w:szCs w:val="22"/>
                <w:lang w:val="sr-Latn-ME" w:eastAsia="de-AT"/>
              </w:rPr>
            </w:pPr>
            <w:r w:rsidRPr="00E7665A">
              <w:rPr>
                <w:b/>
                <w:sz w:val="22"/>
                <w:szCs w:val="22"/>
                <w:lang w:val="sr-Latn-ME" w:eastAsia="de-AT"/>
              </w:rPr>
              <w:t>Sistem organa</w:t>
            </w:r>
          </w:p>
        </w:tc>
        <w:tc>
          <w:tcPr>
            <w:tcW w:w="3480" w:type="dxa"/>
            <w:tcBorders>
              <w:top w:val="single" w:sz="5" w:space="0" w:color="000000"/>
              <w:left w:val="single" w:sz="4" w:space="0" w:color="000000"/>
              <w:bottom w:val="single" w:sz="4" w:space="0" w:color="000000"/>
              <w:right w:val="single" w:sz="5" w:space="0" w:color="000000"/>
            </w:tcBorders>
          </w:tcPr>
          <w:p w:rsidR="002E440B" w:rsidRPr="00E7665A" w:rsidRDefault="002E440B" w:rsidP="00094AC4">
            <w:pPr>
              <w:autoSpaceDE w:val="0"/>
              <w:autoSpaceDN w:val="0"/>
              <w:adjustRightInd w:val="0"/>
              <w:rPr>
                <w:sz w:val="22"/>
                <w:szCs w:val="22"/>
                <w:lang w:val="sr-Latn-ME" w:eastAsia="de-AT"/>
              </w:rPr>
            </w:pPr>
            <w:r w:rsidRPr="00E7665A">
              <w:rPr>
                <w:b/>
                <w:sz w:val="22"/>
                <w:szCs w:val="22"/>
                <w:lang w:val="sr-Latn-ME"/>
              </w:rPr>
              <w:t>Neželjena reakcija na lijek</w:t>
            </w:r>
          </w:p>
        </w:tc>
        <w:tc>
          <w:tcPr>
            <w:tcW w:w="2409" w:type="dxa"/>
            <w:tcBorders>
              <w:top w:val="single" w:sz="5" w:space="0" w:color="000000"/>
              <w:left w:val="single" w:sz="5" w:space="0" w:color="000000"/>
              <w:bottom w:val="single" w:sz="4" w:space="0" w:color="000000"/>
              <w:right w:val="single" w:sz="4" w:space="0" w:color="000000"/>
            </w:tcBorders>
          </w:tcPr>
          <w:p w:rsidR="002E440B" w:rsidRPr="00E7665A" w:rsidRDefault="002E440B" w:rsidP="00094AC4">
            <w:pPr>
              <w:autoSpaceDE w:val="0"/>
              <w:autoSpaceDN w:val="0"/>
              <w:adjustRightInd w:val="0"/>
              <w:rPr>
                <w:b/>
                <w:sz w:val="22"/>
                <w:szCs w:val="22"/>
                <w:lang w:val="sr-Latn-ME" w:eastAsia="de-AT"/>
              </w:rPr>
            </w:pPr>
            <w:r w:rsidRPr="00E7665A">
              <w:rPr>
                <w:b/>
                <w:sz w:val="22"/>
                <w:szCs w:val="22"/>
                <w:lang w:val="sr-Latn-ME" w:eastAsia="de-AT"/>
              </w:rPr>
              <w:t>Učestalost</w:t>
            </w:r>
          </w:p>
        </w:tc>
      </w:tr>
      <w:tr w:rsidR="002E440B" w:rsidRPr="00E7665A" w:rsidTr="00094AC4">
        <w:trPr>
          <w:trHeight w:hRule="exact" w:val="247"/>
          <w:jc w:val="center"/>
        </w:trPr>
        <w:tc>
          <w:tcPr>
            <w:tcW w:w="3049" w:type="dxa"/>
            <w:tcBorders>
              <w:top w:val="single" w:sz="4" w:space="0" w:color="000000"/>
              <w:left w:val="single" w:sz="5" w:space="0" w:color="000000"/>
              <w:bottom w:val="single" w:sz="4" w:space="0" w:color="000000"/>
              <w:right w:val="single" w:sz="4"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 xml:space="preserve">Vaskularni </w:t>
            </w:r>
            <w:proofErr w:type="spellStart"/>
            <w:r w:rsidRPr="00E7665A">
              <w:rPr>
                <w:sz w:val="22"/>
                <w:szCs w:val="22"/>
                <w:lang w:val="sr-Latn-ME" w:eastAsia="de-AT"/>
              </w:rPr>
              <w:t>oremećaji</w:t>
            </w:r>
            <w:proofErr w:type="spellEnd"/>
          </w:p>
        </w:tc>
        <w:tc>
          <w:tcPr>
            <w:tcW w:w="3480" w:type="dxa"/>
            <w:tcBorders>
              <w:top w:val="single" w:sz="4" w:space="0" w:color="000000"/>
              <w:left w:val="single" w:sz="4" w:space="0" w:color="000000"/>
              <w:bottom w:val="single" w:sz="4" w:space="0" w:color="000000"/>
              <w:right w:val="single" w:sz="5"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Hipertenzija</w:t>
            </w:r>
          </w:p>
        </w:tc>
        <w:tc>
          <w:tcPr>
            <w:tcW w:w="2409" w:type="dxa"/>
            <w:tcBorders>
              <w:top w:val="single" w:sz="4" w:space="0" w:color="000000"/>
              <w:left w:val="single" w:sz="5" w:space="0" w:color="000000"/>
              <w:bottom w:val="single" w:sz="4" w:space="0" w:color="000000"/>
              <w:right w:val="single" w:sz="4"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Često</w:t>
            </w:r>
          </w:p>
        </w:tc>
      </w:tr>
      <w:tr w:rsidR="002E440B" w:rsidRPr="00E7665A" w:rsidTr="00094AC4">
        <w:trPr>
          <w:trHeight w:hRule="exact" w:val="485"/>
          <w:jc w:val="center"/>
        </w:trPr>
        <w:tc>
          <w:tcPr>
            <w:tcW w:w="3049" w:type="dxa"/>
            <w:tcBorders>
              <w:top w:val="single" w:sz="4" w:space="0" w:color="000000"/>
              <w:left w:val="single" w:sz="5" w:space="0" w:color="000000"/>
              <w:bottom w:val="single" w:sz="5" w:space="0" w:color="000000"/>
              <w:right w:val="single" w:sz="4"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Poremećaji krvi i limfnog sistema</w:t>
            </w:r>
          </w:p>
        </w:tc>
        <w:tc>
          <w:tcPr>
            <w:tcW w:w="3480" w:type="dxa"/>
            <w:tcBorders>
              <w:top w:val="single" w:sz="4" w:space="0" w:color="000000"/>
              <w:left w:val="single" w:sz="4" w:space="0" w:color="000000"/>
              <w:bottom w:val="single" w:sz="5" w:space="0" w:color="000000"/>
              <w:right w:val="single" w:sz="5" w:space="0" w:color="000000"/>
            </w:tcBorders>
          </w:tcPr>
          <w:p w:rsidR="002E440B" w:rsidRPr="00E7665A" w:rsidRDefault="002E440B" w:rsidP="00094AC4">
            <w:pPr>
              <w:autoSpaceDE w:val="0"/>
              <w:autoSpaceDN w:val="0"/>
              <w:adjustRightInd w:val="0"/>
              <w:rPr>
                <w:sz w:val="22"/>
                <w:szCs w:val="22"/>
                <w:lang w:val="sr-Latn-ME" w:eastAsia="de-AT"/>
              </w:rPr>
            </w:pPr>
            <w:proofErr w:type="spellStart"/>
            <w:r w:rsidRPr="00E7665A">
              <w:rPr>
                <w:sz w:val="22"/>
                <w:szCs w:val="22"/>
                <w:lang w:val="sr-Latn-ME" w:eastAsia="de-AT"/>
              </w:rPr>
              <w:t>Tromboembolijski</w:t>
            </w:r>
            <w:proofErr w:type="spellEnd"/>
            <w:r w:rsidR="00A2499D" w:rsidRPr="00E7665A">
              <w:rPr>
                <w:sz w:val="22"/>
                <w:szCs w:val="22"/>
                <w:lang w:val="sr-Latn-ME" w:eastAsia="de-AT"/>
              </w:rPr>
              <w:t xml:space="preserve"> </w:t>
            </w:r>
            <w:r w:rsidRPr="00E7665A">
              <w:rPr>
                <w:sz w:val="22"/>
                <w:szCs w:val="22"/>
                <w:lang w:val="sr-Latn-ME" w:eastAsia="de-AT"/>
              </w:rPr>
              <w:t>događaj</w:t>
            </w:r>
          </w:p>
        </w:tc>
        <w:tc>
          <w:tcPr>
            <w:tcW w:w="2409" w:type="dxa"/>
            <w:tcBorders>
              <w:top w:val="single" w:sz="4" w:space="0" w:color="000000"/>
              <w:left w:val="single" w:sz="5" w:space="0" w:color="000000"/>
              <w:bottom w:val="single" w:sz="5" w:space="0" w:color="000000"/>
              <w:right w:val="single" w:sz="4" w:space="0" w:color="000000"/>
            </w:tcBorders>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Često</w:t>
            </w:r>
          </w:p>
        </w:tc>
      </w:tr>
      <w:tr w:rsidR="002E440B" w:rsidRPr="00E7665A" w:rsidTr="00094AC4">
        <w:trPr>
          <w:trHeight w:hRule="exact" w:val="247"/>
          <w:jc w:val="center"/>
        </w:trPr>
        <w:tc>
          <w:tcPr>
            <w:tcW w:w="3049" w:type="dxa"/>
            <w:tcBorders>
              <w:top w:val="single" w:sz="5" w:space="0" w:color="000000"/>
              <w:left w:val="single" w:sz="5" w:space="0" w:color="000000"/>
              <w:bottom w:val="single" w:sz="5" w:space="0" w:color="000000"/>
              <w:right w:val="single" w:sz="4" w:space="0" w:color="000000"/>
            </w:tcBorders>
          </w:tcPr>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Poremećaji nervnog sustava</w:t>
            </w:r>
          </w:p>
        </w:tc>
        <w:tc>
          <w:tcPr>
            <w:tcW w:w="3480" w:type="dxa"/>
            <w:tcBorders>
              <w:top w:val="single" w:sz="5" w:space="0" w:color="000000"/>
              <w:left w:val="single" w:sz="4" w:space="0" w:color="000000"/>
              <w:bottom w:val="single" w:sz="5" w:space="0" w:color="000000"/>
              <w:right w:val="single" w:sz="5" w:space="0" w:color="000000"/>
            </w:tcBorders>
          </w:tcPr>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Glavobolja</w:t>
            </w:r>
          </w:p>
        </w:tc>
        <w:tc>
          <w:tcPr>
            <w:tcW w:w="2409" w:type="dxa"/>
            <w:tcBorders>
              <w:top w:val="single" w:sz="5" w:space="0" w:color="000000"/>
              <w:left w:val="single" w:sz="5" w:space="0" w:color="000000"/>
              <w:bottom w:val="single" w:sz="5" w:space="0" w:color="000000"/>
              <w:right w:val="single" w:sz="4" w:space="0" w:color="000000"/>
            </w:tcBorders>
          </w:tcPr>
          <w:p w:rsidR="002E440B" w:rsidRPr="00E7665A" w:rsidRDefault="002E440B" w:rsidP="00BF3E6B">
            <w:pPr>
              <w:autoSpaceDE w:val="0"/>
              <w:autoSpaceDN w:val="0"/>
              <w:adjustRightInd w:val="0"/>
              <w:jc w:val="both"/>
              <w:rPr>
                <w:sz w:val="22"/>
                <w:szCs w:val="22"/>
                <w:lang w:val="sr-Latn-ME" w:eastAsia="de-AT"/>
              </w:rPr>
            </w:pPr>
            <w:r w:rsidRPr="00E7665A">
              <w:rPr>
                <w:sz w:val="22"/>
                <w:szCs w:val="22"/>
                <w:lang w:val="sr-Latn-ME" w:eastAsia="de-AT"/>
              </w:rPr>
              <w:t>Često</w:t>
            </w:r>
          </w:p>
        </w:tc>
      </w:tr>
    </w:tbl>
    <w:p w:rsidR="002E440B" w:rsidRPr="00E7665A" w:rsidRDefault="002E440B" w:rsidP="00BF3E6B">
      <w:pPr>
        <w:autoSpaceDE w:val="0"/>
        <w:autoSpaceDN w:val="0"/>
        <w:adjustRightInd w:val="0"/>
        <w:jc w:val="both"/>
        <w:rPr>
          <w:sz w:val="22"/>
          <w:szCs w:val="22"/>
          <w:lang w:val="sr-Latn-ME" w:eastAsia="de-AT"/>
        </w:rPr>
      </w:pPr>
    </w:p>
    <w:p w:rsidR="002E440B" w:rsidRPr="00E7665A" w:rsidRDefault="002E440B" w:rsidP="00BF3E6B">
      <w:pPr>
        <w:autoSpaceDE w:val="0"/>
        <w:autoSpaceDN w:val="0"/>
        <w:adjustRightInd w:val="0"/>
        <w:jc w:val="both"/>
        <w:rPr>
          <w:sz w:val="22"/>
          <w:szCs w:val="22"/>
          <w:u w:val="single"/>
          <w:lang w:val="sr-Latn-ME"/>
        </w:rPr>
      </w:pPr>
      <w:r w:rsidRPr="00E7665A">
        <w:rPr>
          <w:sz w:val="22"/>
          <w:szCs w:val="22"/>
          <w:lang w:val="sr-Latn-ME" w:eastAsia="de-AT"/>
        </w:rPr>
        <w:t xml:space="preserve">Tabela 3: Neželjena dejstva pripisana liječenju lijekom </w:t>
      </w:r>
      <w:proofErr w:type="spellStart"/>
      <w:r w:rsidR="00980E2B" w:rsidRPr="00E7665A">
        <w:rPr>
          <w:sz w:val="22"/>
          <w:szCs w:val="22"/>
          <w:lang w:val="sr-Latn-ME" w:eastAsia="de-AT"/>
        </w:rPr>
        <w:t>NeoRecormon</w:t>
      </w:r>
      <w:proofErr w:type="spellEnd"/>
      <w:r w:rsidRPr="00E7665A">
        <w:rPr>
          <w:sz w:val="22"/>
          <w:szCs w:val="22"/>
          <w:lang w:val="sr-Latn-ME" w:eastAsia="de-AT"/>
        </w:rPr>
        <w:t xml:space="preserve"> u kontrolisanim kliničkim ispitivanjima kod pacijenata na programu autolognog davanja krvi prije </w:t>
      </w:r>
      <w:r w:rsidRPr="00E7665A">
        <w:rPr>
          <w:sz w:val="22"/>
          <w:szCs w:val="22"/>
          <w:lang w:val="sr-Latn-ME"/>
        </w:rPr>
        <w:t>donacije</w:t>
      </w:r>
    </w:p>
    <w:p w:rsidR="00A2499D" w:rsidRPr="00E7665A" w:rsidRDefault="00A2499D" w:rsidP="00BF3E6B">
      <w:pPr>
        <w:autoSpaceDE w:val="0"/>
        <w:autoSpaceDN w:val="0"/>
        <w:adjustRightInd w:val="0"/>
        <w:jc w:val="both"/>
        <w:rPr>
          <w:sz w:val="22"/>
          <w:szCs w:val="22"/>
          <w:lang w:val="sr-Latn-ME" w:eastAsia="de-AT"/>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3319"/>
        <w:gridCol w:w="2429"/>
      </w:tblGrid>
      <w:tr w:rsidR="002E440B" w:rsidRPr="00E7665A" w:rsidTr="00094AC4">
        <w:trPr>
          <w:jc w:val="center"/>
        </w:trPr>
        <w:tc>
          <w:tcPr>
            <w:tcW w:w="3319" w:type="dxa"/>
            <w:shd w:val="clear" w:color="auto" w:fill="auto"/>
          </w:tcPr>
          <w:p w:rsidR="002E440B" w:rsidRPr="00E7665A" w:rsidRDefault="002E440B" w:rsidP="00094AC4">
            <w:pPr>
              <w:rPr>
                <w:b/>
                <w:sz w:val="22"/>
                <w:szCs w:val="22"/>
                <w:lang w:val="sr-Latn-ME"/>
              </w:rPr>
            </w:pPr>
            <w:r w:rsidRPr="00E7665A">
              <w:rPr>
                <w:b/>
                <w:sz w:val="22"/>
                <w:szCs w:val="22"/>
                <w:lang w:val="sr-Latn-ME"/>
              </w:rPr>
              <w:t>Sistem organa</w:t>
            </w:r>
          </w:p>
        </w:tc>
        <w:tc>
          <w:tcPr>
            <w:tcW w:w="3319" w:type="dxa"/>
            <w:shd w:val="clear" w:color="auto" w:fill="auto"/>
          </w:tcPr>
          <w:p w:rsidR="002E440B" w:rsidRPr="00E7665A" w:rsidRDefault="002E440B" w:rsidP="00094AC4">
            <w:pPr>
              <w:rPr>
                <w:b/>
                <w:sz w:val="22"/>
                <w:szCs w:val="22"/>
                <w:lang w:val="sr-Latn-ME"/>
              </w:rPr>
            </w:pPr>
            <w:r w:rsidRPr="00E7665A">
              <w:rPr>
                <w:b/>
                <w:sz w:val="22"/>
                <w:szCs w:val="22"/>
                <w:lang w:val="sr-Latn-ME"/>
              </w:rPr>
              <w:t>Neželjena reakcija na lijek</w:t>
            </w:r>
          </w:p>
        </w:tc>
        <w:tc>
          <w:tcPr>
            <w:tcW w:w="2429" w:type="dxa"/>
            <w:shd w:val="clear" w:color="auto" w:fill="auto"/>
          </w:tcPr>
          <w:p w:rsidR="002E440B" w:rsidRPr="00E7665A" w:rsidRDefault="002E440B" w:rsidP="00094AC4">
            <w:pPr>
              <w:rPr>
                <w:b/>
                <w:sz w:val="22"/>
                <w:szCs w:val="22"/>
                <w:lang w:val="sr-Latn-ME"/>
              </w:rPr>
            </w:pPr>
            <w:r w:rsidRPr="00E7665A">
              <w:rPr>
                <w:b/>
                <w:sz w:val="22"/>
                <w:szCs w:val="22"/>
                <w:lang w:val="sr-Latn-ME"/>
              </w:rPr>
              <w:t>Učestalost</w:t>
            </w:r>
          </w:p>
        </w:tc>
      </w:tr>
      <w:tr w:rsidR="002E440B" w:rsidRPr="00E7665A" w:rsidTr="00094AC4">
        <w:trPr>
          <w:jc w:val="center"/>
        </w:trPr>
        <w:tc>
          <w:tcPr>
            <w:tcW w:w="3319" w:type="dxa"/>
            <w:shd w:val="clear" w:color="auto" w:fill="auto"/>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Poremećaji nervnog sistema</w:t>
            </w:r>
          </w:p>
        </w:tc>
        <w:tc>
          <w:tcPr>
            <w:tcW w:w="3319" w:type="dxa"/>
            <w:shd w:val="clear" w:color="auto" w:fill="auto"/>
          </w:tcPr>
          <w:p w:rsidR="002E440B" w:rsidRPr="00E7665A" w:rsidRDefault="002E440B" w:rsidP="00094AC4">
            <w:pPr>
              <w:autoSpaceDE w:val="0"/>
              <w:autoSpaceDN w:val="0"/>
              <w:adjustRightInd w:val="0"/>
              <w:rPr>
                <w:sz w:val="22"/>
                <w:szCs w:val="22"/>
                <w:lang w:val="sr-Latn-ME"/>
              </w:rPr>
            </w:pPr>
            <w:r w:rsidRPr="00E7665A">
              <w:rPr>
                <w:sz w:val="22"/>
                <w:szCs w:val="22"/>
                <w:lang w:val="sr-Latn-ME"/>
              </w:rPr>
              <w:t xml:space="preserve">Glavobolja </w:t>
            </w:r>
          </w:p>
        </w:tc>
        <w:tc>
          <w:tcPr>
            <w:tcW w:w="2429" w:type="dxa"/>
            <w:shd w:val="clear" w:color="auto" w:fill="auto"/>
          </w:tcPr>
          <w:p w:rsidR="002E440B" w:rsidRPr="00E7665A" w:rsidRDefault="002E440B" w:rsidP="00094AC4">
            <w:pPr>
              <w:autoSpaceDE w:val="0"/>
              <w:autoSpaceDN w:val="0"/>
              <w:adjustRightInd w:val="0"/>
              <w:rPr>
                <w:sz w:val="22"/>
                <w:szCs w:val="22"/>
                <w:lang w:val="sr-Latn-ME" w:eastAsia="de-AT"/>
              </w:rPr>
            </w:pPr>
            <w:r w:rsidRPr="00E7665A">
              <w:rPr>
                <w:sz w:val="22"/>
                <w:szCs w:val="22"/>
                <w:lang w:val="sr-Latn-ME" w:eastAsia="de-AT"/>
              </w:rPr>
              <w:t xml:space="preserve">Često </w:t>
            </w:r>
          </w:p>
        </w:tc>
      </w:tr>
    </w:tbl>
    <w:p w:rsidR="002E440B" w:rsidRPr="00E7665A" w:rsidRDefault="002E440B" w:rsidP="00BF3E6B">
      <w:pPr>
        <w:jc w:val="both"/>
        <w:rPr>
          <w:sz w:val="22"/>
          <w:szCs w:val="22"/>
          <w:lang w:val="sr-Latn-ME"/>
        </w:rPr>
      </w:pPr>
    </w:p>
    <w:p w:rsidR="00A2499D" w:rsidRPr="00E7665A" w:rsidRDefault="00A2499D" w:rsidP="00A2499D">
      <w:pPr>
        <w:jc w:val="both"/>
        <w:rPr>
          <w:i/>
          <w:sz w:val="22"/>
          <w:szCs w:val="22"/>
          <w:lang w:val="sr-Latn-ME"/>
        </w:rPr>
      </w:pPr>
      <w:r w:rsidRPr="00E7665A">
        <w:rPr>
          <w:i/>
          <w:sz w:val="22"/>
          <w:szCs w:val="22"/>
          <w:lang w:val="sr-Latn-ME"/>
        </w:rPr>
        <w:t>Nedonoščad</w:t>
      </w:r>
    </w:p>
    <w:p w:rsidR="00A2499D" w:rsidRPr="00E7665A" w:rsidRDefault="00A2499D" w:rsidP="00A2499D">
      <w:pPr>
        <w:jc w:val="both"/>
        <w:rPr>
          <w:sz w:val="22"/>
          <w:szCs w:val="22"/>
          <w:lang w:val="sr-Latn-ME"/>
        </w:rPr>
      </w:pPr>
      <w:r w:rsidRPr="00E7665A">
        <w:rPr>
          <w:sz w:val="22"/>
          <w:szCs w:val="22"/>
          <w:lang w:val="sr-Latn-ME"/>
        </w:rPr>
        <w:t xml:space="preserve">Pad serumskih vrijednosti </w:t>
      </w:r>
      <w:proofErr w:type="spellStart"/>
      <w:r w:rsidRPr="00E7665A">
        <w:rPr>
          <w:sz w:val="22"/>
          <w:szCs w:val="22"/>
          <w:lang w:val="sr-Latn-ME"/>
        </w:rPr>
        <w:t>feritina</w:t>
      </w:r>
      <w:proofErr w:type="spellEnd"/>
      <w:r w:rsidRPr="00E7665A">
        <w:rPr>
          <w:sz w:val="22"/>
          <w:szCs w:val="22"/>
          <w:lang w:val="sr-Latn-ME"/>
        </w:rPr>
        <w:t xml:space="preserve"> vrlo je čest (vidjeti dio 4.4).</w:t>
      </w:r>
    </w:p>
    <w:p w:rsidR="00A2499D" w:rsidRPr="00E7665A" w:rsidRDefault="00A2499D" w:rsidP="00A2499D">
      <w:pPr>
        <w:jc w:val="both"/>
        <w:rPr>
          <w:sz w:val="22"/>
          <w:szCs w:val="22"/>
          <w:u w:val="single"/>
          <w:lang w:val="sr-Latn-ME"/>
        </w:rPr>
      </w:pPr>
    </w:p>
    <w:p w:rsidR="002E440B" w:rsidRPr="00E7665A" w:rsidRDefault="002E440B" w:rsidP="00BF3E6B">
      <w:pPr>
        <w:jc w:val="both"/>
        <w:rPr>
          <w:sz w:val="22"/>
          <w:szCs w:val="22"/>
          <w:u w:val="single"/>
          <w:lang w:val="sr-Latn-ME"/>
        </w:rPr>
      </w:pPr>
      <w:r w:rsidRPr="00E7665A">
        <w:rPr>
          <w:sz w:val="22"/>
          <w:szCs w:val="22"/>
          <w:u w:val="single"/>
          <w:lang w:val="sr-Latn-ME"/>
        </w:rPr>
        <w:t>Opis odabranih neželjenih dejstava</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Rijetko se mogu javiti kožne reakcije povezane s liječenjem </w:t>
      </w:r>
      <w:proofErr w:type="spellStart"/>
      <w:r w:rsidRPr="00E7665A">
        <w:rPr>
          <w:sz w:val="22"/>
          <w:szCs w:val="22"/>
          <w:lang w:val="sr-Latn-ME"/>
        </w:rPr>
        <w:t>epoetinom</w:t>
      </w:r>
      <w:proofErr w:type="spellEnd"/>
      <w:r w:rsidRPr="00E7665A">
        <w:rPr>
          <w:sz w:val="22"/>
          <w:szCs w:val="22"/>
          <w:lang w:val="sr-Latn-ME"/>
        </w:rPr>
        <w:t xml:space="preserve"> beta poput</w:t>
      </w:r>
      <w:r w:rsidR="00A2499D" w:rsidRPr="00E7665A">
        <w:rPr>
          <w:sz w:val="22"/>
          <w:szCs w:val="22"/>
          <w:lang w:val="sr-Latn-ME"/>
        </w:rPr>
        <w:t xml:space="preserve"> </w:t>
      </w:r>
      <w:r w:rsidRPr="00E7665A">
        <w:rPr>
          <w:sz w:val="22"/>
          <w:szCs w:val="22"/>
          <w:lang w:val="sr-Latn-ME"/>
        </w:rPr>
        <w:t xml:space="preserve">ospe, </w:t>
      </w:r>
      <w:proofErr w:type="spellStart"/>
      <w:r w:rsidRPr="00E7665A">
        <w:rPr>
          <w:sz w:val="22"/>
          <w:szCs w:val="22"/>
          <w:lang w:val="sr-Latn-ME"/>
        </w:rPr>
        <w:t>pruritusa</w:t>
      </w:r>
      <w:proofErr w:type="spellEnd"/>
      <w:r w:rsidRPr="00E7665A">
        <w:rPr>
          <w:sz w:val="22"/>
          <w:szCs w:val="22"/>
          <w:lang w:val="sr-Latn-ME"/>
        </w:rPr>
        <w:t>, urtikarije ili reakcija na mjestu primjene. U vrlo rijetkim (</w:t>
      </w:r>
      <w:r w:rsidRPr="00E7665A">
        <w:rPr>
          <w:rFonts w:eastAsia="TimesNewRoman"/>
          <w:sz w:val="22"/>
          <w:szCs w:val="22"/>
          <w:lang w:val="sr-Latn-ME"/>
        </w:rPr>
        <w:t>≤</w:t>
      </w:r>
      <w:r w:rsidR="00A2499D" w:rsidRPr="00E7665A">
        <w:rPr>
          <w:rFonts w:eastAsia="TimesNewRoman"/>
          <w:sz w:val="22"/>
          <w:szCs w:val="22"/>
          <w:lang w:val="sr-Latn-ME"/>
        </w:rPr>
        <w:t xml:space="preserve"> </w:t>
      </w:r>
      <w:r w:rsidRPr="00E7665A">
        <w:rPr>
          <w:sz w:val="22"/>
          <w:szCs w:val="22"/>
          <w:lang w:val="sr-Latn-ME"/>
        </w:rPr>
        <w:t>1/10 000) slučajevima</w:t>
      </w:r>
      <w:r w:rsidR="00A2499D" w:rsidRPr="00E7665A">
        <w:rPr>
          <w:sz w:val="22"/>
          <w:szCs w:val="22"/>
          <w:lang w:val="sr-Latn-ME"/>
        </w:rPr>
        <w:t xml:space="preserve"> </w:t>
      </w:r>
      <w:r w:rsidRPr="00E7665A">
        <w:rPr>
          <w:sz w:val="22"/>
          <w:szCs w:val="22"/>
          <w:lang w:val="sr-Latn-ME"/>
        </w:rPr>
        <w:t xml:space="preserve">prijavljene su </w:t>
      </w:r>
      <w:proofErr w:type="spellStart"/>
      <w:r w:rsidRPr="00E7665A">
        <w:rPr>
          <w:sz w:val="22"/>
          <w:szCs w:val="22"/>
          <w:lang w:val="sr-Latn-ME"/>
        </w:rPr>
        <w:t>anafilaktoidne</w:t>
      </w:r>
      <w:proofErr w:type="spellEnd"/>
      <w:r w:rsidRPr="00E7665A">
        <w:rPr>
          <w:sz w:val="22"/>
          <w:szCs w:val="22"/>
          <w:lang w:val="sr-Latn-ME"/>
        </w:rPr>
        <w:t xml:space="preserve"> reakcije povezane s</w:t>
      </w:r>
      <w:r w:rsidR="00A2499D" w:rsidRPr="00E7665A">
        <w:rPr>
          <w:sz w:val="22"/>
          <w:szCs w:val="22"/>
          <w:lang w:val="sr-Latn-ME"/>
        </w:rPr>
        <w:t>a</w:t>
      </w:r>
      <w:r w:rsidRPr="00E7665A">
        <w:rPr>
          <w:sz w:val="22"/>
          <w:szCs w:val="22"/>
          <w:lang w:val="sr-Latn-ME"/>
        </w:rPr>
        <w:t xml:space="preserve"> liječenjem </w:t>
      </w:r>
      <w:proofErr w:type="spellStart"/>
      <w:r w:rsidRPr="00E7665A">
        <w:rPr>
          <w:sz w:val="22"/>
          <w:szCs w:val="22"/>
          <w:lang w:val="sr-Latn-ME"/>
        </w:rPr>
        <w:t>epoetinom</w:t>
      </w:r>
      <w:proofErr w:type="spellEnd"/>
      <w:r w:rsidRPr="00E7665A">
        <w:rPr>
          <w:sz w:val="22"/>
          <w:szCs w:val="22"/>
          <w:lang w:val="sr-Latn-ME"/>
        </w:rPr>
        <w:t xml:space="preserve"> beta. Međutim, u kontrolisanim kliničkim ispitivanjima nije zapažena povećana učestalost reakcija preosjetljivosti.</w:t>
      </w:r>
    </w:p>
    <w:p w:rsidR="00A2499D" w:rsidRPr="00E7665A" w:rsidRDefault="00A2499D"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U vrlo rijetkim slučajevima, posebno na početku terapije, prijavljeni su, povezano sa liječenjem </w:t>
      </w:r>
      <w:proofErr w:type="spellStart"/>
      <w:r w:rsidRPr="00E7665A">
        <w:rPr>
          <w:sz w:val="22"/>
          <w:szCs w:val="22"/>
          <w:lang w:val="sr-Latn-ME"/>
        </w:rPr>
        <w:t>epoetinom</w:t>
      </w:r>
      <w:proofErr w:type="spellEnd"/>
      <w:r w:rsidRPr="00E7665A">
        <w:rPr>
          <w:sz w:val="22"/>
          <w:szCs w:val="22"/>
          <w:lang w:val="sr-Latn-ME"/>
        </w:rPr>
        <w:t xml:space="preserve"> beta, simptomi slični gripu poput groznice, drhtavice, glavobolje, bolova u udovima, slabosti i/ili bolova u kostima. Ove reakcije bile su blage do umjerene prirode i povlačile su se nakon nekoliko sati ili dana. </w:t>
      </w:r>
    </w:p>
    <w:p w:rsidR="002E440B" w:rsidRPr="00E7665A" w:rsidRDefault="002E440B" w:rsidP="00BF3E6B">
      <w:pPr>
        <w:jc w:val="both"/>
        <w:rPr>
          <w:sz w:val="22"/>
          <w:szCs w:val="22"/>
          <w:lang w:val="sr-Latn-ME"/>
        </w:rPr>
      </w:pPr>
    </w:p>
    <w:p w:rsidR="002E440B" w:rsidRPr="00E7665A" w:rsidRDefault="002E440B" w:rsidP="00BF3E6B">
      <w:pPr>
        <w:jc w:val="both"/>
        <w:rPr>
          <w:sz w:val="22"/>
          <w:szCs w:val="22"/>
          <w:lang w:val="sr-Latn-ME"/>
        </w:rPr>
      </w:pPr>
      <w:r w:rsidRPr="00E7665A">
        <w:rPr>
          <w:sz w:val="22"/>
          <w:szCs w:val="22"/>
          <w:lang w:val="sr-Latn-ME"/>
        </w:rPr>
        <w:t xml:space="preserve">U kontrolisanim kliničkim studijama sa </w:t>
      </w:r>
      <w:proofErr w:type="spellStart"/>
      <w:r w:rsidRPr="00E7665A">
        <w:rPr>
          <w:sz w:val="22"/>
          <w:szCs w:val="22"/>
          <w:lang w:val="sr-Latn-ME"/>
        </w:rPr>
        <w:t>epoetinom</w:t>
      </w:r>
      <w:proofErr w:type="spellEnd"/>
      <w:r w:rsidRPr="00E7665A">
        <w:rPr>
          <w:sz w:val="22"/>
          <w:szCs w:val="22"/>
          <w:lang w:val="sr-Latn-ME"/>
        </w:rPr>
        <w:t xml:space="preserve"> alfa ili </w:t>
      </w:r>
      <w:proofErr w:type="spellStart"/>
      <w:r w:rsidRPr="00E7665A">
        <w:rPr>
          <w:sz w:val="22"/>
          <w:szCs w:val="22"/>
          <w:lang w:val="sr-Latn-ME"/>
        </w:rPr>
        <w:t>darbepoetinom</w:t>
      </w:r>
      <w:proofErr w:type="spellEnd"/>
      <w:r w:rsidRPr="00E7665A">
        <w:rPr>
          <w:sz w:val="22"/>
          <w:szCs w:val="22"/>
          <w:lang w:val="sr-Latn-ME"/>
        </w:rPr>
        <w:t xml:space="preserve"> alfa utvrđena je česta učestalost šloga.</w:t>
      </w:r>
    </w:p>
    <w:p w:rsidR="002E440B" w:rsidRPr="00E7665A" w:rsidRDefault="002E440B" w:rsidP="00BF3E6B">
      <w:pPr>
        <w:tabs>
          <w:tab w:val="left" w:pos="540"/>
          <w:tab w:val="left" w:pos="569"/>
        </w:tabs>
        <w:jc w:val="both"/>
        <w:rPr>
          <w:b/>
          <w:bCs/>
          <w:sz w:val="22"/>
          <w:szCs w:val="22"/>
          <w:lang w:val="sr-Latn-ME"/>
        </w:rPr>
      </w:pPr>
    </w:p>
    <w:p w:rsidR="003D02AF" w:rsidRDefault="003D02AF" w:rsidP="00BF3E6B">
      <w:pPr>
        <w:spacing w:after="200" w:line="276" w:lineRule="auto"/>
        <w:jc w:val="both"/>
        <w:rPr>
          <w:rFonts w:eastAsia="Calibri"/>
          <w:sz w:val="22"/>
          <w:szCs w:val="22"/>
          <w:u w:val="single"/>
          <w:lang w:val="sr-Latn-ME"/>
        </w:rPr>
      </w:pPr>
    </w:p>
    <w:p w:rsidR="005A23D2" w:rsidRPr="00E7665A" w:rsidRDefault="005A23D2" w:rsidP="00BF3E6B">
      <w:pPr>
        <w:spacing w:after="200" w:line="276" w:lineRule="auto"/>
        <w:jc w:val="both"/>
        <w:rPr>
          <w:rFonts w:eastAsia="Calibri"/>
          <w:sz w:val="22"/>
          <w:szCs w:val="22"/>
          <w:u w:val="single"/>
          <w:lang w:val="sr-Latn-ME"/>
        </w:rPr>
      </w:pPr>
      <w:r w:rsidRPr="00E7665A">
        <w:rPr>
          <w:rFonts w:eastAsia="Calibri"/>
          <w:sz w:val="22"/>
          <w:szCs w:val="22"/>
          <w:u w:val="single"/>
          <w:lang w:val="sr-Latn-ME"/>
        </w:rPr>
        <w:lastRenderedPageBreak/>
        <w:t>Prijavljivanje sumnji na neželjena dejstva</w:t>
      </w:r>
    </w:p>
    <w:p w:rsidR="005A23D2" w:rsidRPr="00E7665A" w:rsidRDefault="005A23D2" w:rsidP="00BF3E6B">
      <w:pPr>
        <w:spacing w:after="200"/>
        <w:jc w:val="both"/>
        <w:rPr>
          <w:rFonts w:eastAsia="Calibri"/>
          <w:sz w:val="22"/>
          <w:szCs w:val="22"/>
          <w:lang w:val="sr-Latn-ME"/>
        </w:rPr>
      </w:pPr>
      <w:r w:rsidRPr="00E7665A">
        <w:rPr>
          <w:rFonts w:eastAsia="Calibri"/>
          <w:sz w:val="22"/>
          <w:szCs w:val="22"/>
          <w:lang w:val="sr-Latn-ME"/>
        </w:rPr>
        <w:t>Prijavljivanje neželjenih dejstava nakon dobijanja dozvole je od velikog značaja jer obezbjeđuje kont</w:t>
      </w:r>
      <w:r w:rsidR="00EA5765" w:rsidRPr="00E7665A">
        <w:rPr>
          <w:rFonts w:eastAsia="Calibri"/>
          <w:sz w:val="22"/>
          <w:szCs w:val="22"/>
          <w:lang w:val="sr-Latn-ME"/>
        </w:rPr>
        <w:t>inuirano praćenje odnosa korist</w:t>
      </w:r>
      <w:r w:rsidRPr="00E7665A">
        <w:rPr>
          <w:rFonts w:eastAsia="Calibri"/>
          <w:sz w:val="22"/>
          <w:szCs w:val="22"/>
          <w:lang w:val="sr-Latn-ME"/>
        </w:rPr>
        <w:t>/rizik primjene lijeka. Zdravstveni radnici treba da prijave svaku sumnju na neželjeno</w:t>
      </w:r>
      <w:r w:rsidR="009B062A" w:rsidRPr="00E7665A">
        <w:rPr>
          <w:rFonts w:eastAsia="Calibri"/>
          <w:sz w:val="22"/>
          <w:szCs w:val="22"/>
          <w:lang w:val="sr-Latn-ME"/>
        </w:rPr>
        <w:t xml:space="preserve"> </w:t>
      </w:r>
      <w:r w:rsidRPr="00E7665A">
        <w:rPr>
          <w:rFonts w:eastAsia="Calibri"/>
          <w:sz w:val="22"/>
          <w:szCs w:val="22"/>
          <w:lang w:val="sr-Latn-ME"/>
        </w:rPr>
        <w:t xml:space="preserve">dejstvo ovog lijeka </w:t>
      </w:r>
      <w:r w:rsidR="004E70AD" w:rsidRPr="00E7665A">
        <w:rPr>
          <w:rFonts w:eastAsia="Calibri"/>
          <w:sz w:val="22"/>
          <w:szCs w:val="22"/>
          <w:lang w:val="sr-Latn-ME"/>
        </w:rPr>
        <w:t>Institutu</w:t>
      </w:r>
      <w:r w:rsidRPr="00E7665A">
        <w:rPr>
          <w:rFonts w:eastAsia="Calibri"/>
          <w:sz w:val="22"/>
          <w:szCs w:val="22"/>
          <w:lang w:val="sr-Latn-ME"/>
        </w:rPr>
        <w:t xml:space="preserve"> za ljekove i medicinska sredstva</w:t>
      </w:r>
      <w:r w:rsidR="004E70AD" w:rsidRPr="00E7665A">
        <w:rPr>
          <w:rFonts w:eastAsia="Calibri"/>
          <w:sz w:val="22"/>
          <w:szCs w:val="22"/>
          <w:lang w:val="sr-Latn-ME"/>
        </w:rPr>
        <w:t xml:space="preserve"> </w:t>
      </w:r>
      <w:r w:rsidRPr="00E7665A">
        <w:rPr>
          <w:rFonts w:eastAsia="Calibri"/>
          <w:sz w:val="22"/>
          <w:szCs w:val="22"/>
          <w:lang w:val="sr-Latn-ME"/>
        </w:rPr>
        <w:t>(</w:t>
      </w:r>
      <w:r w:rsidR="004E70AD" w:rsidRPr="00E7665A">
        <w:rPr>
          <w:rFonts w:eastAsia="Calibri"/>
          <w:sz w:val="22"/>
          <w:szCs w:val="22"/>
          <w:lang w:val="sr-Latn-ME"/>
        </w:rPr>
        <w:t>CInMED</w:t>
      </w:r>
      <w:r w:rsidRPr="00E7665A">
        <w:rPr>
          <w:rFonts w:eastAsia="Calibri"/>
          <w:sz w:val="22"/>
          <w:szCs w:val="22"/>
          <w:lang w:val="sr-Latn-ME"/>
        </w:rPr>
        <w:t>):</w:t>
      </w:r>
    </w:p>
    <w:p w:rsidR="005A23D2" w:rsidRPr="00E7665A" w:rsidRDefault="004E70AD" w:rsidP="00BF3E6B">
      <w:pPr>
        <w:pStyle w:val="NoSpacing"/>
        <w:jc w:val="both"/>
        <w:rPr>
          <w:rFonts w:eastAsia="Calibri"/>
          <w:sz w:val="22"/>
          <w:szCs w:val="22"/>
          <w:lang w:val="sr-Latn-ME"/>
        </w:rPr>
      </w:pPr>
      <w:r w:rsidRPr="00E7665A">
        <w:rPr>
          <w:rFonts w:eastAsia="Calibri"/>
          <w:sz w:val="22"/>
          <w:szCs w:val="22"/>
          <w:lang w:val="sr-Latn-ME"/>
        </w:rPr>
        <w:t xml:space="preserve">Institut </w:t>
      </w:r>
      <w:r w:rsidR="005A23D2" w:rsidRPr="00E7665A">
        <w:rPr>
          <w:rFonts w:eastAsia="Calibri"/>
          <w:sz w:val="22"/>
          <w:szCs w:val="22"/>
          <w:lang w:val="sr-Latn-ME"/>
        </w:rPr>
        <w:t xml:space="preserve">za ljekove i medicinska sredstva </w:t>
      </w:r>
    </w:p>
    <w:p w:rsidR="005A23D2" w:rsidRPr="00E7665A" w:rsidRDefault="005A23D2" w:rsidP="00BF3E6B">
      <w:pPr>
        <w:pStyle w:val="NoSpacing"/>
        <w:jc w:val="both"/>
        <w:rPr>
          <w:rFonts w:eastAsia="Calibri"/>
          <w:sz w:val="22"/>
          <w:szCs w:val="22"/>
          <w:lang w:val="sr-Latn-ME"/>
        </w:rPr>
      </w:pPr>
      <w:r w:rsidRPr="00E7665A">
        <w:rPr>
          <w:rFonts w:eastAsia="Calibri"/>
          <w:sz w:val="22"/>
          <w:szCs w:val="22"/>
          <w:lang w:val="sr-Latn-ME"/>
        </w:rPr>
        <w:t xml:space="preserve">Odjeljenje za </w:t>
      </w:r>
      <w:proofErr w:type="spellStart"/>
      <w:r w:rsidRPr="00E7665A">
        <w:rPr>
          <w:rFonts w:eastAsia="Calibri"/>
          <w:sz w:val="22"/>
          <w:szCs w:val="22"/>
          <w:lang w:val="sr-Latn-ME"/>
        </w:rPr>
        <w:t>farmakovigilancu</w:t>
      </w:r>
      <w:proofErr w:type="spellEnd"/>
    </w:p>
    <w:p w:rsidR="00EA5765" w:rsidRPr="00E7665A" w:rsidRDefault="005A23D2" w:rsidP="00BF3E6B">
      <w:pPr>
        <w:pStyle w:val="NoSpacing"/>
        <w:jc w:val="both"/>
        <w:rPr>
          <w:rFonts w:eastAsia="Calibri"/>
          <w:sz w:val="22"/>
          <w:szCs w:val="22"/>
          <w:lang w:val="sr-Latn-ME"/>
        </w:rPr>
      </w:pPr>
      <w:r w:rsidRPr="00E7665A">
        <w:rPr>
          <w:rFonts w:eastAsia="Calibri"/>
          <w:sz w:val="22"/>
          <w:szCs w:val="22"/>
          <w:lang w:val="sr-Latn-ME"/>
        </w:rPr>
        <w:t>Bulevar Ivana Crnojevića 64a, 81000 Podgorica</w:t>
      </w:r>
    </w:p>
    <w:p w:rsidR="00EA5765" w:rsidRPr="00E7665A" w:rsidRDefault="00EA5765" w:rsidP="00BF3E6B">
      <w:pPr>
        <w:pStyle w:val="NoSpacing"/>
        <w:jc w:val="both"/>
        <w:rPr>
          <w:rFonts w:eastAsia="Calibri"/>
          <w:sz w:val="22"/>
          <w:szCs w:val="22"/>
          <w:lang w:val="sr-Latn-ME"/>
        </w:rPr>
      </w:pPr>
    </w:p>
    <w:p w:rsidR="005A23D2" w:rsidRPr="00E7665A" w:rsidRDefault="005A23D2" w:rsidP="00BF3E6B">
      <w:pPr>
        <w:pStyle w:val="NoSpacing"/>
        <w:jc w:val="both"/>
        <w:rPr>
          <w:rFonts w:eastAsia="Calibri"/>
          <w:sz w:val="22"/>
          <w:szCs w:val="22"/>
          <w:lang w:val="sr-Latn-ME"/>
        </w:rPr>
      </w:pPr>
      <w:r w:rsidRPr="00E7665A">
        <w:rPr>
          <w:rFonts w:eastAsia="Calibri"/>
          <w:sz w:val="22"/>
          <w:szCs w:val="22"/>
          <w:lang w:val="sr-Latn-ME"/>
        </w:rPr>
        <w:t>tel: +382 (0) 20 310 280</w:t>
      </w:r>
    </w:p>
    <w:p w:rsidR="00EA5765" w:rsidRPr="00E7665A" w:rsidRDefault="005A23D2" w:rsidP="00BF3E6B">
      <w:pPr>
        <w:pStyle w:val="NoSpacing"/>
        <w:tabs>
          <w:tab w:val="left" w:pos="6720"/>
        </w:tabs>
        <w:jc w:val="both"/>
        <w:rPr>
          <w:rFonts w:eastAsia="Calibri"/>
          <w:sz w:val="22"/>
          <w:szCs w:val="22"/>
          <w:lang w:val="sr-Latn-ME"/>
        </w:rPr>
      </w:pPr>
      <w:proofErr w:type="spellStart"/>
      <w:r w:rsidRPr="00E7665A">
        <w:rPr>
          <w:rFonts w:eastAsia="Calibri"/>
          <w:sz w:val="22"/>
          <w:szCs w:val="22"/>
          <w:lang w:val="sr-Latn-ME"/>
        </w:rPr>
        <w:t>fax</w:t>
      </w:r>
      <w:proofErr w:type="spellEnd"/>
      <w:r w:rsidRPr="00E7665A">
        <w:rPr>
          <w:rFonts w:eastAsia="Calibri"/>
          <w:sz w:val="22"/>
          <w:szCs w:val="22"/>
          <w:lang w:val="sr-Latn-ME"/>
        </w:rPr>
        <w:t>:</w:t>
      </w:r>
      <w:r w:rsidR="00EA5765" w:rsidRPr="00E7665A">
        <w:rPr>
          <w:rFonts w:eastAsia="Calibri"/>
          <w:sz w:val="22"/>
          <w:szCs w:val="22"/>
          <w:lang w:val="sr-Latn-ME"/>
        </w:rPr>
        <w:t xml:space="preserve"> </w:t>
      </w:r>
      <w:r w:rsidRPr="00E7665A">
        <w:rPr>
          <w:rFonts w:eastAsia="Calibri"/>
          <w:sz w:val="22"/>
          <w:szCs w:val="22"/>
          <w:lang w:val="sr-Latn-ME"/>
        </w:rPr>
        <w:t>+382 (0) 20 310 581</w:t>
      </w:r>
      <w:r w:rsidR="00FF3EDF" w:rsidRPr="00E7665A">
        <w:rPr>
          <w:rFonts w:eastAsia="Calibri"/>
          <w:sz w:val="22"/>
          <w:szCs w:val="22"/>
          <w:lang w:val="sr-Latn-ME"/>
        </w:rPr>
        <w:tab/>
      </w:r>
    </w:p>
    <w:p w:rsidR="005A23D2" w:rsidRPr="00E7665A" w:rsidRDefault="00257B6E" w:rsidP="00BF3E6B">
      <w:pPr>
        <w:pStyle w:val="NoSpacing"/>
        <w:jc w:val="both"/>
        <w:rPr>
          <w:rFonts w:eastAsia="Calibri"/>
          <w:sz w:val="22"/>
          <w:szCs w:val="22"/>
          <w:lang w:val="sr-Latn-ME"/>
        </w:rPr>
      </w:pPr>
      <w:hyperlink r:id="rId9" w:history="1">
        <w:r w:rsidR="004E70AD" w:rsidRPr="00E7665A">
          <w:rPr>
            <w:rStyle w:val="Hyperlink"/>
            <w:rFonts w:eastAsia="Calibri"/>
            <w:sz w:val="22"/>
            <w:szCs w:val="22"/>
            <w:lang w:val="sr-Latn-ME"/>
          </w:rPr>
          <w:t>www.cinmed.me</w:t>
        </w:r>
      </w:hyperlink>
    </w:p>
    <w:p w:rsidR="00EA5765" w:rsidRPr="00E7665A" w:rsidRDefault="00257B6E" w:rsidP="00BF3E6B">
      <w:pPr>
        <w:pStyle w:val="NoSpacing"/>
        <w:jc w:val="both"/>
        <w:rPr>
          <w:rFonts w:eastAsia="Calibri"/>
          <w:color w:val="0000FF"/>
          <w:sz w:val="22"/>
          <w:szCs w:val="22"/>
          <w:u w:val="single"/>
          <w:lang w:val="sr-Latn-ME"/>
        </w:rPr>
      </w:pPr>
      <w:hyperlink r:id="rId10" w:history="1">
        <w:r w:rsidR="004E70AD" w:rsidRPr="00E7665A">
          <w:rPr>
            <w:rStyle w:val="Hyperlink"/>
            <w:rFonts w:eastAsia="Calibri"/>
            <w:sz w:val="22"/>
            <w:szCs w:val="22"/>
            <w:lang w:val="sr-Latn-ME"/>
          </w:rPr>
          <w:t>nezeljenadejstva@cinmed.me</w:t>
        </w:r>
      </w:hyperlink>
    </w:p>
    <w:p w:rsidR="005A23D2" w:rsidRPr="00E7665A" w:rsidRDefault="005A23D2" w:rsidP="00BF3E6B">
      <w:pPr>
        <w:pStyle w:val="NoSpacing"/>
        <w:jc w:val="both"/>
        <w:rPr>
          <w:rFonts w:eastAsia="Calibri"/>
          <w:sz w:val="22"/>
          <w:szCs w:val="22"/>
          <w:lang w:val="sr-Latn-ME"/>
        </w:rPr>
      </w:pPr>
      <w:r w:rsidRPr="00E7665A">
        <w:rPr>
          <w:rFonts w:eastAsia="Calibri"/>
          <w:sz w:val="22"/>
          <w:szCs w:val="22"/>
          <w:lang w:val="sr-Latn-ME"/>
        </w:rPr>
        <w:t>putem IS zdravstvene zaštite</w:t>
      </w:r>
    </w:p>
    <w:p w:rsidR="007E31E9" w:rsidRPr="00E7665A" w:rsidRDefault="007E31E9" w:rsidP="00BF3E6B">
      <w:pPr>
        <w:pStyle w:val="NoSpacing"/>
        <w:jc w:val="both"/>
        <w:rPr>
          <w:rFonts w:eastAsia="Calibri"/>
          <w:sz w:val="22"/>
          <w:szCs w:val="22"/>
          <w:lang w:val="sr-Latn-ME"/>
        </w:rPr>
      </w:pPr>
      <w:proofErr w:type="spellStart"/>
      <w:r w:rsidRPr="00E7665A">
        <w:rPr>
          <w:rFonts w:eastAsia="Calibri"/>
          <w:sz w:val="22"/>
          <w:szCs w:val="22"/>
          <w:lang w:val="sr-Latn-ME"/>
        </w:rPr>
        <w:t>QR</w:t>
      </w:r>
      <w:proofErr w:type="spellEnd"/>
      <w:r w:rsidRPr="00E7665A">
        <w:rPr>
          <w:rFonts w:eastAsia="Calibri"/>
          <w:sz w:val="22"/>
          <w:szCs w:val="22"/>
          <w:lang w:val="sr-Latn-ME"/>
        </w:rPr>
        <w:t xml:space="preserve"> kod za </w:t>
      </w:r>
      <w:proofErr w:type="spellStart"/>
      <w:r w:rsidRPr="00E7665A">
        <w:rPr>
          <w:rFonts w:eastAsia="Calibri"/>
          <w:sz w:val="22"/>
          <w:szCs w:val="22"/>
          <w:lang w:val="sr-Latn-ME"/>
        </w:rPr>
        <w:t>online</w:t>
      </w:r>
      <w:proofErr w:type="spellEnd"/>
      <w:r w:rsidRPr="00E7665A">
        <w:rPr>
          <w:rFonts w:eastAsia="Calibri"/>
          <w:sz w:val="22"/>
          <w:szCs w:val="22"/>
          <w:lang w:val="sr-Latn-ME"/>
        </w:rPr>
        <w:t xml:space="preserve"> prijavu</w:t>
      </w:r>
      <w:r w:rsidR="00D74CD2" w:rsidRPr="00E7665A">
        <w:rPr>
          <w:rFonts w:eastAsia="Calibri"/>
          <w:sz w:val="22"/>
          <w:szCs w:val="22"/>
          <w:lang w:val="sr-Latn-ME"/>
        </w:rPr>
        <w:t xml:space="preserve"> sumnje na neželjeno dejstvo lijeka</w:t>
      </w:r>
      <w:r w:rsidRPr="00E7665A">
        <w:rPr>
          <w:rFonts w:eastAsia="Calibri"/>
          <w:sz w:val="22"/>
          <w:szCs w:val="22"/>
          <w:lang w:val="sr-Latn-ME"/>
        </w:rPr>
        <w:t>:</w:t>
      </w:r>
    </w:p>
    <w:p w:rsidR="007E31E9" w:rsidRPr="00E7665A" w:rsidRDefault="007E31E9" w:rsidP="00BF3E6B">
      <w:pPr>
        <w:pStyle w:val="NoSpacing"/>
        <w:jc w:val="both"/>
        <w:rPr>
          <w:rFonts w:eastAsia="Calibri"/>
          <w:sz w:val="22"/>
          <w:szCs w:val="22"/>
          <w:lang w:val="sr-Latn-ME"/>
        </w:rPr>
      </w:pPr>
    </w:p>
    <w:p w:rsidR="004F17E2" w:rsidRPr="00E7665A" w:rsidRDefault="007E31E9" w:rsidP="00BF3E6B">
      <w:pPr>
        <w:pStyle w:val="NoSpacing"/>
        <w:jc w:val="both"/>
        <w:rPr>
          <w:rFonts w:eastAsia="Calibri"/>
          <w:sz w:val="22"/>
          <w:szCs w:val="22"/>
          <w:lang w:val="sr-Latn-ME"/>
        </w:rPr>
      </w:pPr>
      <w:r w:rsidRPr="00E7665A">
        <w:rPr>
          <w:noProof/>
          <w:sz w:val="22"/>
          <w:szCs w:val="22"/>
          <w:lang w:val="sr-Latn-ME" w:eastAsia="sr-Latn-ME"/>
        </w:rPr>
        <w:drawing>
          <wp:inline distT="0" distB="0" distL="0" distR="0">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36B35" w:rsidRPr="00E7665A" w:rsidRDefault="00836B35" w:rsidP="00BF3E6B">
      <w:pPr>
        <w:tabs>
          <w:tab w:val="left" w:pos="540"/>
          <w:tab w:val="left" w:pos="569"/>
        </w:tabs>
        <w:jc w:val="both"/>
        <w:rPr>
          <w:b/>
          <w:bCs/>
          <w:sz w:val="22"/>
          <w:szCs w:val="22"/>
          <w:lang w:val="sr-Latn-ME"/>
        </w:rPr>
      </w:pPr>
    </w:p>
    <w:p w:rsidR="00CD6F02"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4.9. </w:t>
      </w:r>
      <w:r w:rsidR="00480FB1" w:rsidRPr="00E7665A">
        <w:rPr>
          <w:b/>
          <w:bCs/>
          <w:sz w:val="22"/>
          <w:szCs w:val="22"/>
          <w:lang w:val="sr-Latn-ME"/>
        </w:rPr>
        <w:tab/>
      </w:r>
      <w:proofErr w:type="spellStart"/>
      <w:r w:rsidRPr="00E7665A">
        <w:rPr>
          <w:b/>
          <w:bCs/>
          <w:sz w:val="22"/>
          <w:szCs w:val="22"/>
          <w:lang w:val="sr-Latn-ME"/>
        </w:rPr>
        <w:t>Predoziranje</w:t>
      </w:r>
      <w:proofErr w:type="spellEnd"/>
      <w:r w:rsidR="002846DB" w:rsidRPr="00E7665A">
        <w:rPr>
          <w:b/>
          <w:bCs/>
          <w:sz w:val="22"/>
          <w:szCs w:val="22"/>
          <w:lang w:val="sr-Latn-ME"/>
        </w:rPr>
        <w:t xml:space="preserve"> </w:t>
      </w:r>
    </w:p>
    <w:p w:rsidR="00CD6F02" w:rsidRPr="00E7665A" w:rsidRDefault="00CD6F02" w:rsidP="00BF3E6B">
      <w:pPr>
        <w:tabs>
          <w:tab w:val="left" w:pos="540"/>
          <w:tab w:val="left" w:pos="569"/>
        </w:tabs>
        <w:jc w:val="both"/>
        <w:rPr>
          <w:b/>
          <w:bCs/>
          <w:sz w:val="22"/>
          <w:szCs w:val="22"/>
          <w:lang w:val="sr-Latn-ME"/>
        </w:rPr>
      </w:pPr>
    </w:p>
    <w:p w:rsidR="00BF3E6B" w:rsidRPr="00E7665A" w:rsidRDefault="00BF3E6B" w:rsidP="00BF3E6B">
      <w:pPr>
        <w:pStyle w:val="Header"/>
        <w:tabs>
          <w:tab w:val="left" w:pos="284"/>
        </w:tabs>
        <w:jc w:val="both"/>
        <w:rPr>
          <w:sz w:val="22"/>
          <w:szCs w:val="22"/>
          <w:lang w:val="sr-Latn-ME"/>
        </w:rPr>
      </w:pPr>
      <w:r w:rsidRPr="00E7665A">
        <w:rPr>
          <w:sz w:val="22"/>
          <w:szCs w:val="22"/>
          <w:lang w:val="sr-Latn-ME"/>
        </w:rPr>
        <w:t>Terapijsk</w:t>
      </w:r>
      <w:r w:rsidR="00A2499D" w:rsidRPr="00E7665A">
        <w:rPr>
          <w:sz w:val="22"/>
          <w:szCs w:val="22"/>
          <w:lang w:val="sr-Latn-ME"/>
        </w:rPr>
        <w:t xml:space="preserve">a širina lijeka </w:t>
      </w:r>
      <w:proofErr w:type="spellStart"/>
      <w:r w:rsidR="00980E2B" w:rsidRPr="00E7665A">
        <w:rPr>
          <w:sz w:val="22"/>
          <w:szCs w:val="22"/>
          <w:lang w:val="sr-Latn-ME"/>
        </w:rPr>
        <w:t>NeoRecormon</w:t>
      </w:r>
      <w:proofErr w:type="spellEnd"/>
      <w:r w:rsidRPr="00E7665A">
        <w:rPr>
          <w:sz w:val="22"/>
          <w:szCs w:val="22"/>
          <w:lang w:val="sr-Latn-ME"/>
        </w:rPr>
        <w:t xml:space="preserve"> je velik</w:t>
      </w:r>
      <w:r w:rsidR="00A2499D" w:rsidRPr="00E7665A">
        <w:rPr>
          <w:sz w:val="22"/>
          <w:szCs w:val="22"/>
          <w:lang w:val="sr-Latn-ME"/>
        </w:rPr>
        <w:t>a</w:t>
      </w:r>
      <w:r w:rsidRPr="00E7665A">
        <w:rPr>
          <w:sz w:val="22"/>
          <w:szCs w:val="22"/>
          <w:lang w:val="sr-Latn-ME"/>
        </w:rPr>
        <w:t xml:space="preserve">. Čak i pri veoma visokim nivoima u serumu, nijesu zabilježeni simptomi trovanja. </w:t>
      </w:r>
    </w:p>
    <w:p w:rsidR="00227BDB" w:rsidRPr="00E7665A" w:rsidRDefault="00227BDB" w:rsidP="00BF3E6B">
      <w:pPr>
        <w:tabs>
          <w:tab w:val="left" w:pos="540"/>
          <w:tab w:val="left" w:pos="569"/>
        </w:tabs>
        <w:jc w:val="both"/>
        <w:rPr>
          <w:b/>
          <w:bCs/>
          <w:sz w:val="22"/>
          <w:szCs w:val="22"/>
          <w:lang w:val="sr-Latn-ME"/>
        </w:rPr>
      </w:pPr>
    </w:p>
    <w:p w:rsidR="006D0193" w:rsidRPr="00E7665A" w:rsidRDefault="006D0193" w:rsidP="00BF3E6B">
      <w:pPr>
        <w:tabs>
          <w:tab w:val="left" w:pos="540"/>
          <w:tab w:val="left" w:pos="569"/>
        </w:tabs>
        <w:jc w:val="both"/>
        <w:rPr>
          <w:b/>
          <w:bCs/>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5. </w:t>
      </w:r>
      <w:r w:rsidR="00480FB1" w:rsidRPr="00E7665A">
        <w:rPr>
          <w:b/>
          <w:bCs/>
          <w:sz w:val="22"/>
          <w:szCs w:val="22"/>
          <w:lang w:val="sr-Latn-ME"/>
        </w:rPr>
        <w:tab/>
      </w:r>
      <w:r w:rsidRPr="00E7665A">
        <w:rPr>
          <w:b/>
          <w:bCs/>
          <w:sz w:val="22"/>
          <w:szCs w:val="22"/>
          <w:lang w:val="sr-Latn-ME"/>
        </w:rPr>
        <w:t>FARMAKOLOŠK</w:t>
      </w:r>
      <w:r w:rsidR="000D425A" w:rsidRPr="00E7665A">
        <w:rPr>
          <w:b/>
          <w:bCs/>
          <w:sz w:val="22"/>
          <w:szCs w:val="22"/>
          <w:lang w:val="sr-Latn-ME"/>
        </w:rPr>
        <w:t>I</w:t>
      </w:r>
      <w:r w:rsidRPr="00E7665A">
        <w:rPr>
          <w:b/>
          <w:bCs/>
          <w:sz w:val="22"/>
          <w:szCs w:val="22"/>
          <w:lang w:val="sr-Latn-ME"/>
        </w:rPr>
        <w:t xml:space="preserve"> PODACI</w:t>
      </w:r>
    </w:p>
    <w:p w:rsidR="0072020E" w:rsidRPr="00E7665A" w:rsidRDefault="0072020E" w:rsidP="00BF3E6B">
      <w:pPr>
        <w:tabs>
          <w:tab w:val="left" w:pos="540"/>
          <w:tab w:val="left" w:pos="569"/>
        </w:tabs>
        <w:jc w:val="both"/>
        <w:rPr>
          <w:b/>
          <w:bCs/>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5.1. </w:t>
      </w:r>
      <w:r w:rsidR="00480FB1" w:rsidRPr="00E7665A">
        <w:rPr>
          <w:b/>
          <w:bCs/>
          <w:sz w:val="22"/>
          <w:szCs w:val="22"/>
          <w:lang w:val="sr-Latn-ME"/>
        </w:rPr>
        <w:tab/>
      </w:r>
      <w:proofErr w:type="spellStart"/>
      <w:r w:rsidRPr="00E7665A">
        <w:rPr>
          <w:b/>
          <w:bCs/>
          <w:sz w:val="22"/>
          <w:szCs w:val="22"/>
          <w:lang w:val="sr-Latn-ME"/>
        </w:rPr>
        <w:t>Farmakodinamski</w:t>
      </w:r>
      <w:proofErr w:type="spellEnd"/>
      <w:r w:rsidRPr="00E7665A">
        <w:rPr>
          <w:b/>
          <w:bCs/>
          <w:sz w:val="22"/>
          <w:szCs w:val="22"/>
          <w:lang w:val="sr-Latn-ME"/>
        </w:rPr>
        <w:t xml:space="preserve"> podaci</w:t>
      </w:r>
      <w:r w:rsidR="003A7059" w:rsidRPr="00E7665A">
        <w:rPr>
          <w:b/>
          <w:bCs/>
          <w:sz w:val="22"/>
          <w:szCs w:val="22"/>
          <w:lang w:val="sr-Latn-ME"/>
        </w:rPr>
        <w:t xml:space="preserve"> </w:t>
      </w:r>
    </w:p>
    <w:p w:rsidR="00F45F77" w:rsidRPr="00E7665A" w:rsidRDefault="00F45F77" w:rsidP="00BF3E6B">
      <w:pPr>
        <w:tabs>
          <w:tab w:val="left" w:pos="540"/>
          <w:tab w:val="left" w:pos="569"/>
        </w:tabs>
        <w:jc w:val="both"/>
        <w:rPr>
          <w:b/>
          <w:bCs/>
          <w:sz w:val="22"/>
          <w:szCs w:val="22"/>
          <w:lang w:val="sr-Latn-ME"/>
        </w:rPr>
      </w:pPr>
    </w:p>
    <w:p w:rsidR="0072020E" w:rsidRPr="00E7665A" w:rsidRDefault="0072020E" w:rsidP="00BF3E6B">
      <w:pPr>
        <w:tabs>
          <w:tab w:val="left" w:pos="540"/>
          <w:tab w:val="left" w:pos="569"/>
        </w:tabs>
        <w:jc w:val="both"/>
        <w:rPr>
          <w:bCs/>
          <w:sz w:val="22"/>
          <w:szCs w:val="22"/>
          <w:lang w:val="sr-Latn-ME"/>
        </w:rPr>
      </w:pPr>
      <w:proofErr w:type="spellStart"/>
      <w:r w:rsidRPr="00E7665A">
        <w:rPr>
          <w:bCs/>
          <w:sz w:val="22"/>
          <w:szCs w:val="22"/>
          <w:lang w:val="sr-Latn-ME"/>
        </w:rPr>
        <w:t>Farmakoterapijska</w:t>
      </w:r>
      <w:proofErr w:type="spellEnd"/>
      <w:r w:rsidRPr="00E7665A">
        <w:rPr>
          <w:bCs/>
          <w:sz w:val="22"/>
          <w:szCs w:val="22"/>
          <w:lang w:val="sr-Latn-ME"/>
        </w:rPr>
        <w:t xml:space="preserve"> grupa:</w:t>
      </w:r>
      <w:r w:rsidR="00BF3E6B" w:rsidRPr="00E7665A">
        <w:rPr>
          <w:sz w:val="22"/>
          <w:szCs w:val="22"/>
          <w:lang w:val="sr-Latn-ME"/>
        </w:rPr>
        <w:t xml:space="preserve"> </w:t>
      </w:r>
      <w:proofErr w:type="spellStart"/>
      <w:r w:rsidR="00BF3E6B" w:rsidRPr="00E7665A">
        <w:rPr>
          <w:sz w:val="22"/>
          <w:szCs w:val="22"/>
          <w:lang w:val="sr-Latn-ME"/>
        </w:rPr>
        <w:t>antianem</w:t>
      </w:r>
      <w:r w:rsidR="00A2499D" w:rsidRPr="00E7665A">
        <w:rPr>
          <w:sz w:val="22"/>
          <w:szCs w:val="22"/>
          <w:lang w:val="sr-Latn-ME"/>
        </w:rPr>
        <w:t>ici</w:t>
      </w:r>
      <w:proofErr w:type="spellEnd"/>
    </w:p>
    <w:p w:rsidR="0072020E" w:rsidRPr="00E7665A" w:rsidRDefault="0072020E" w:rsidP="00BF3E6B">
      <w:pPr>
        <w:tabs>
          <w:tab w:val="left" w:pos="540"/>
          <w:tab w:val="left" w:pos="569"/>
        </w:tabs>
        <w:jc w:val="both"/>
        <w:rPr>
          <w:bCs/>
          <w:sz w:val="22"/>
          <w:szCs w:val="22"/>
          <w:lang w:val="sr-Latn-ME"/>
        </w:rPr>
      </w:pPr>
    </w:p>
    <w:p w:rsidR="0072020E" w:rsidRPr="00E7665A" w:rsidRDefault="0072020E" w:rsidP="00BF3E6B">
      <w:pPr>
        <w:tabs>
          <w:tab w:val="left" w:pos="540"/>
          <w:tab w:val="left" w:pos="569"/>
        </w:tabs>
        <w:jc w:val="both"/>
        <w:rPr>
          <w:bCs/>
          <w:sz w:val="22"/>
          <w:szCs w:val="22"/>
          <w:lang w:val="sr-Latn-ME"/>
        </w:rPr>
      </w:pPr>
      <w:r w:rsidRPr="00E7665A">
        <w:rPr>
          <w:bCs/>
          <w:sz w:val="22"/>
          <w:szCs w:val="22"/>
          <w:lang w:val="sr-Latn-ME"/>
        </w:rPr>
        <w:t>ATC kod:</w:t>
      </w:r>
      <w:r w:rsidR="00BF3E6B" w:rsidRPr="00E7665A">
        <w:rPr>
          <w:sz w:val="22"/>
          <w:szCs w:val="22"/>
          <w:lang w:val="sr-Latn-ME"/>
        </w:rPr>
        <w:t xml:space="preserve"> B03XA01</w:t>
      </w:r>
    </w:p>
    <w:p w:rsidR="002E37A5" w:rsidRPr="00E7665A" w:rsidRDefault="002E37A5" w:rsidP="00BF3E6B">
      <w:pPr>
        <w:tabs>
          <w:tab w:val="left" w:pos="540"/>
          <w:tab w:val="left" w:pos="569"/>
        </w:tabs>
        <w:jc w:val="both"/>
        <w:rPr>
          <w:b/>
          <w:bCs/>
          <w:sz w:val="22"/>
          <w:szCs w:val="22"/>
          <w:lang w:val="sr-Latn-ME"/>
        </w:rPr>
      </w:pPr>
    </w:p>
    <w:p w:rsidR="00A2499D" w:rsidRPr="00E7665A" w:rsidRDefault="00BF3E6B" w:rsidP="00BF3E6B">
      <w:pPr>
        <w:jc w:val="both"/>
        <w:rPr>
          <w:sz w:val="22"/>
          <w:szCs w:val="22"/>
          <w:lang w:val="sr-Latn-ME"/>
        </w:rPr>
      </w:pPr>
      <w:r w:rsidRPr="00E7665A">
        <w:rPr>
          <w:sz w:val="22"/>
          <w:szCs w:val="22"/>
          <w:u w:val="single"/>
          <w:lang w:val="sr-Latn-ME"/>
        </w:rPr>
        <w:t>Mehanizam dejstva</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proofErr w:type="spellStart"/>
      <w:r w:rsidRPr="00E7665A">
        <w:rPr>
          <w:sz w:val="22"/>
          <w:szCs w:val="22"/>
          <w:lang w:val="sr-Latn-ME"/>
        </w:rPr>
        <w:t>Eritropoetin</w:t>
      </w:r>
      <w:proofErr w:type="spellEnd"/>
      <w:r w:rsidRPr="00E7665A">
        <w:rPr>
          <w:sz w:val="22"/>
          <w:szCs w:val="22"/>
          <w:lang w:val="sr-Latn-ME"/>
        </w:rPr>
        <w:t xml:space="preserve"> je </w:t>
      </w:r>
      <w:proofErr w:type="spellStart"/>
      <w:r w:rsidRPr="00E7665A">
        <w:rPr>
          <w:sz w:val="22"/>
          <w:szCs w:val="22"/>
          <w:lang w:val="sr-Latn-ME"/>
        </w:rPr>
        <w:t>glikoprotein</w:t>
      </w:r>
      <w:proofErr w:type="spellEnd"/>
      <w:r w:rsidRPr="00E7665A">
        <w:rPr>
          <w:sz w:val="22"/>
          <w:szCs w:val="22"/>
          <w:lang w:val="sr-Latn-ME"/>
        </w:rPr>
        <w:t xml:space="preserve"> koji stimuliše stvaranja </w:t>
      </w:r>
      <w:proofErr w:type="spellStart"/>
      <w:r w:rsidRPr="00E7665A">
        <w:rPr>
          <w:sz w:val="22"/>
          <w:szCs w:val="22"/>
          <w:lang w:val="sr-Latn-ME"/>
        </w:rPr>
        <w:t>eritrocita</w:t>
      </w:r>
      <w:proofErr w:type="spellEnd"/>
      <w:r w:rsidRPr="00E7665A">
        <w:rPr>
          <w:sz w:val="22"/>
          <w:szCs w:val="22"/>
          <w:lang w:val="sr-Latn-ME"/>
        </w:rPr>
        <w:t xml:space="preserve"> iz opredjeljenih </w:t>
      </w:r>
      <w:proofErr w:type="spellStart"/>
      <w:r w:rsidRPr="00E7665A">
        <w:rPr>
          <w:sz w:val="22"/>
          <w:szCs w:val="22"/>
          <w:lang w:val="sr-Latn-ME"/>
        </w:rPr>
        <w:t>progenitorskih</w:t>
      </w:r>
      <w:proofErr w:type="spellEnd"/>
      <w:r w:rsidRPr="00E7665A">
        <w:rPr>
          <w:sz w:val="22"/>
          <w:szCs w:val="22"/>
          <w:lang w:val="sr-Latn-ME"/>
        </w:rPr>
        <w:t xml:space="preserve"> ćelija. On djeluje kao faktor stimulacije </w:t>
      </w:r>
      <w:proofErr w:type="spellStart"/>
      <w:r w:rsidRPr="00E7665A">
        <w:rPr>
          <w:sz w:val="22"/>
          <w:szCs w:val="22"/>
          <w:lang w:val="sr-Latn-ME"/>
        </w:rPr>
        <w:t>mitoze</w:t>
      </w:r>
      <w:proofErr w:type="spellEnd"/>
      <w:r w:rsidRPr="00E7665A">
        <w:rPr>
          <w:sz w:val="22"/>
          <w:szCs w:val="22"/>
          <w:lang w:val="sr-Latn-ME"/>
        </w:rPr>
        <w:t xml:space="preserve"> i hormon diferencijacije. </w:t>
      </w:r>
    </w:p>
    <w:p w:rsidR="00BF3E6B" w:rsidRPr="00E7665A" w:rsidRDefault="00BF3E6B" w:rsidP="00BF3E6B">
      <w:pPr>
        <w:jc w:val="both"/>
        <w:rPr>
          <w:sz w:val="22"/>
          <w:szCs w:val="22"/>
          <w:lang w:val="sr-Latn-ME"/>
        </w:rPr>
      </w:pPr>
      <w:proofErr w:type="spellStart"/>
      <w:r w:rsidRPr="00E7665A">
        <w:rPr>
          <w:sz w:val="22"/>
          <w:szCs w:val="22"/>
          <w:lang w:val="sr-Latn-ME"/>
        </w:rPr>
        <w:t>Epoetin</w:t>
      </w:r>
      <w:proofErr w:type="spellEnd"/>
      <w:r w:rsidRPr="00E7665A">
        <w:rPr>
          <w:sz w:val="22"/>
          <w:szCs w:val="22"/>
          <w:lang w:val="sr-Latn-ME"/>
        </w:rPr>
        <w:t xml:space="preserve"> beta, aktivna supstanca lijeka </w:t>
      </w:r>
      <w:proofErr w:type="spellStart"/>
      <w:r w:rsidR="00980E2B" w:rsidRPr="00E7665A">
        <w:rPr>
          <w:sz w:val="22"/>
          <w:szCs w:val="22"/>
          <w:lang w:val="sr-Latn-ME"/>
        </w:rPr>
        <w:t>NeoRecormon</w:t>
      </w:r>
      <w:proofErr w:type="spellEnd"/>
      <w:r w:rsidRPr="00E7665A">
        <w:rPr>
          <w:sz w:val="22"/>
          <w:szCs w:val="22"/>
          <w:lang w:val="sr-Latn-ME"/>
        </w:rPr>
        <w:t xml:space="preserve">, je identičan po svom sadržaju </w:t>
      </w:r>
      <w:proofErr w:type="spellStart"/>
      <w:r w:rsidRPr="00E7665A">
        <w:rPr>
          <w:sz w:val="22"/>
          <w:szCs w:val="22"/>
          <w:lang w:val="sr-Latn-ME"/>
        </w:rPr>
        <w:t>aminokiselina</w:t>
      </w:r>
      <w:proofErr w:type="spellEnd"/>
      <w:r w:rsidRPr="00E7665A">
        <w:rPr>
          <w:sz w:val="22"/>
          <w:szCs w:val="22"/>
          <w:lang w:val="sr-Latn-ME"/>
        </w:rPr>
        <w:t xml:space="preserve"> i ugljen</w:t>
      </w:r>
      <w:r w:rsidR="003A4602" w:rsidRPr="00E7665A">
        <w:rPr>
          <w:sz w:val="22"/>
          <w:szCs w:val="22"/>
          <w:lang w:val="sr-Latn-ME"/>
        </w:rPr>
        <w:t xml:space="preserve">ih </w:t>
      </w:r>
      <w:r w:rsidRPr="00E7665A">
        <w:rPr>
          <w:sz w:val="22"/>
          <w:szCs w:val="22"/>
          <w:lang w:val="sr-Latn-ME"/>
        </w:rPr>
        <w:t xml:space="preserve">hidrata sa </w:t>
      </w:r>
      <w:proofErr w:type="spellStart"/>
      <w:r w:rsidRPr="00E7665A">
        <w:rPr>
          <w:sz w:val="22"/>
          <w:szCs w:val="22"/>
          <w:lang w:val="sr-Latn-ME"/>
        </w:rPr>
        <w:t>eritropoetinom</w:t>
      </w:r>
      <w:proofErr w:type="spellEnd"/>
      <w:r w:rsidRPr="00E7665A">
        <w:rPr>
          <w:sz w:val="22"/>
          <w:szCs w:val="22"/>
          <w:lang w:val="sr-Latn-ME"/>
        </w:rPr>
        <w:t xml:space="preserve"> koji je izolovan iz urina anemičnih pacijenata. </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r w:rsidRPr="00E7665A">
        <w:rPr>
          <w:sz w:val="22"/>
          <w:szCs w:val="22"/>
          <w:lang w:val="sr-Latn-ME"/>
        </w:rPr>
        <w:t xml:space="preserve">Biološka efikasnost </w:t>
      </w:r>
      <w:proofErr w:type="spellStart"/>
      <w:r w:rsidRPr="00E7665A">
        <w:rPr>
          <w:sz w:val="22"/>
          <w:szCs w:val="22"/>
          <w:lang w:val="sr-Latn-ME"/>
        </w:rPr>
        <w:t>epoetina</w:t>
      </w:r>
      <w:proofErr w:type="spellEnd"/>
      <w:r w:rsidRPr="00E7665A">
        <w:rPr>
          <w:sz w:val="22"/>
          <w:szCs w:val="22"/>
          <w:lang w:val="sr-Latn-ME"/>
        </w:rPr>
        <w:t xml:space="preserve"> beta dokazana je </w:t>
      </w:r>
      <w:proofErr w:type="spellStart"/>
      <w:r w:rsidRPr="00E7665A">
        <w:rPr>
          <w:sz w:val="22"/>
          <w:szCs w:val="22"/>
          <w:lang w:val="sr-Latn-ME"/>
        </w:rPr>
        <w:t>intravenskom</w:t>
      </w:r>
      <w:proofErr w:type="spellEnd"/>
      <w:r w:rsidRPr="00E7665A">
        <w:rPr>
          <w:sz w:val="22"/>
          <w:szCs w:val="22"/>
          <w:lang w:val="sr-Latn-ME"/>
        </w:rPr>
        <w:t xml:space="preserve"> i </w:t>
      </w:r>
      <w:proofErr w:type="spellStart"/>
      <w:r w:rsidRPr="00E7665A">
        <w:rPr>
          <w:sz w:val="22"/>
          <w:szCs w:val="22"/>
          <w:lang w:val="sr-Latn-ME"/>
        </w:rPr>
        <w:t>subkutanom</w:t>
      </w:r>
      <w:proofErr w:type="spellEnd"/>
      <w:r w:rsidRPr="00E7665A">
        <w:rPr>
          <w:sz w:val="22"/>
          <w:szCs w:val="22"/>
          <w:lang w:val="sr-Latn-ME"/>
        </w:rPr>
        <w:t xml:space="preserve"> primjenom na različitim životinjskim modelima </w:t>
      </w:r>
      <w:r w:rsidRPr="00E7665A">
        <w:rPr>
          <w:i/>
          <w:sz w:val="22"/>
          <w:szCs w:val="22"/>
          <w:lang w:val="sr-Latn-ME"/>
        </w:rPr>
        <w:t xml:space="preserve">in </w:t>
      </w:r>
      <w:proofErr w:type="spellStart"/>
      <w:r w:rsidRPr="00E7665A">
        <w:rPr>
          <w:i/>
          <w:sz w:val="22"/>
          <w:szCs w:val="22"/>
          <w:lang w:val="sr-Latn-ME"/>
        </w:rPr>
        <w:t>vivo</w:t>
      </w:r>
      <w:proofErr w:type="spellEnd"/>
      <w:r w:rsidRPr="00E7665A">
        <w:rPr>
          <w:sz w:val="22"/>
          <w:szCs w:val="22"/>
          <w:lang w:val="sr-Latn-ME"/>
        </w:rPr>
        <w:t xml:space="preserve"> (normalni i </w:t>
      </w:r>
      <w:proofErr w:type="spellStart"/>
      <w:r w:rsidRPr="00E7665A">
        <w:rPr>
          <w:sz w:val="22"/>
          <w:szCs w:val="22"/>
          <w:lang w:val="sr-Latn-ME"/>
        </w:rPr>
        <w:t>uremični</w:t>
      </w:r>
      <w:proofErr w:type="spellEnd"/>
      <w:r w:rsidRPr="00E7665A">
        <w:rPr>
          <w:sz w:val="22"/>
          <w:szCs w:val="22"/>
          <w:lang w:val="sr-Latn-ME"/>
        </w:rPr>
        <w:t xml:space="preserve"> pacovi, </w:t>
      </w:r>
      <w:proofErr w:type="spellStart"/>
      <w:r w:rsidRPr="00E7665A">
        <w:rPr>
          <w:sz w:val="22"/>
          <w:szCs w:val="22"/>
          <w:lang w:val="sr-Latn-ME"/>
        </w:rPr>
        <w:t>policitemični</w:t>
      </w:r>
      <w:proofErr w:type="spellEnd"/>
      <w:r w:rsidRPr="00E7665A">
        <w:rPr>
          <w:sz w:val="22"/>
          <w:szCs w:val="22"/>
          <w:lang w:val="sr-Latn-ME"/>
        </w:rPr>
        <w:t xml:space="preserve"> miševi, psi). Nakon primjene </w:t>
      </w:r>
      <w:proofErr w:type="spellStart"/>
      <w:r w:rsidRPr="00E7665A">
        <w:rPr>
          <w:sz w:val="22"/>
          <w:szCs w:val="22"/>
          <w:lang w:val="sr-Latn-ME"/>
        </w:rPr>
        <w:t>epoetina</w:t>
      </w:r>
      <w:proofErr w:type="spellEnd"/>
      <w:r w:rsidRPr="00E7665A">
        <w:rPr>
          <w:sz w:val="22"/>
          <w:szCs w:val="22"/>
          <w:lang w:val="sr-Latn-ME"/>
        </w:rPr>
        <w:t xml:space="preserve"> beta, broj </w:t>
      </w:r>
      <w:proofErr w:type="spellStart"/>
      <w:r w:rsidRPr="00E7665A">
        <w:rPr>
          <w:sz w:val="22"/>
          <w:szCs w:val="22"/>
          <w:lang w:val="sr-Latn-ME"/>
        </w:rPr>
        <w:t>eritrocita</w:t>
      </w:r>
      <w:proofErr w:type="spellEnd"/>
      <w:r w:rsidRPr="00E7665A">
        <w:rPr>
          <w:sz w:val="22"/>
          <w:szCs w:val="22"/>
          <w:lang w:val="sr-Latn-ME"/>
        </w:rPr>
        <w:t xml:space="preserve">, vrijednosti </w:t>
      </w:r>
      <w:proofErr w:type="spellStart"/>
      <w:r w:rsidRPr="00E7665A">
        <w:rPr>
          <w:sz w:val="22"/>
          <w:szCs w:val="22"/>
          <w:lang w:val="sr-Latn-ME"/>
        </w:rPr>
        <w:t>Hb</w:t>
      </w:r>
      <w:proofErr w:type="spellEnd"/>
      <w:r w:rsidRPr="00E7665A">
        <w:rPr>
          <w:sz w:val="22"/>
          <w:szCs w:val="22"/>
          <w:lang w:val="sr-Latn-ME"/>
        </w:rPr>
        <w:t xml:space="preserve"> i broj </w:t>
      </w:r>
      <w:proofErr w:type="spellStart"/>
      <w:r w:rsidRPr="00E7665A">
        <w:rPr>
          <w:sz w:val="22"/>
          <w:szCs w:val="22"/>
          <w:lang w:val="sr-Latn-ME"/>
        </w:rPr>
        <w:t>retikulocita</w:t>
      </w:r>
      <w:proofErr w:type="spellEnd"/>
      <w:r w:rsidRPr="00E7665A">
        <w:rPr>
          <w:sz w:val="22"/>
          <w:szCs w:val="22"/>
          <w:lang w:val="sr-Latn-ME"/>
        </w:rPr>
        <w:t xml:space="preserve"> povećavaju se kao i stopa inkorporacije </w:t>
      </w:r>
      <w:r w:rsidRPr="00E7665A">
        <w:rPr>
          <w:sz w:val="22"/>
          <w:szCs w:val="22"/>
          <w:vertAlign w:val="superscript"/>
          <w:lang w:val="sr-Latn-ME"/>
        </w:rPr>
        <w:t>59</w:t>
      </w:r>
      <w:r w:rsidRPr="00E7665A">
        <w:rPr>
          <w:sz w:val="22"/>
          <w:szCs w:val="22"/>
          <w:lang w:val="sr-Latn-ME"/>
        </w:rPr>
        <w:t xml:space="preserve">Fe. </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r w:rsidRPr="00E7665A">
        <w:rPr>
          <w:sz w:val="22"/>
          <w:szCs w:val="22"/>
          <w:lang w:val="sr-Latn-ME"/>
        </w:rPr>
        <w:t xml:space="preserve">Povećana inkorporacija </w:t>
      </w:r>
      <w:proofErr w:type="spellStart"/>
      <w:r w:rsidRPr="00E7665A">
        <w:rPr>
          <w:sz w:val="22"/>
          <w:szCs w:val="22"/>
          <w:vertAlign w:val="superscript"/>
          <w:lang w:val="sr-Latn-ME"/>
        </w:rPr>
        <w:t>3</w:t>
      </w:r>
      <w:r w:rsidRPr="00E7665A">
        <w:rPr>
          <w:sz w:val="22"/>
          <w:szCs w:val="22"/>
          <w:lang w:val="sr-Latn-ME"/>
        </w:rPr>
        <w:t>H-timidina</w:t>
      </w:r>
      <w:proofErr w:type="spellEnd"/>
      <w:r w:rsidRPr="00E7665A">
        <w:rPr>
          <w:sz w:val="22"/>
          <w:szCs w:val="22"/>
          <w:lang w:val="sr-Latn-ME"/>
        </w:rPr>
        <w:t xml:space="preserve">  u </w:t>
      </w:r>
      <w:proofErr w:type="spellStart"/>
      <w:r w:rsidRPr="00E7665A">
        <w:rPr>
          <w:sz w:val="22"/>
          <w:szCs w:val="22"/>
          <w:lang w:val="sr-Latn-ME"/>
        </w:rPr>
        <w:t>eritroidne</w:t>
      </w:r>
      <w:proofErr w:type="spellEnd"/>
      <w:r w:rsidRPr="00E7665A">
        <w:rPr>
          <w:sz w:val="22"/>
          <w:szCs w:val="22"/>
          <w:lang w:val="sr-Latn-ME"/>
        </w:rPr>
        <w:t xml:space="preserve"> ćelije slezine sa nukleusom utvrđena je </w:t>
      </w:r>
      <w:r w:rsidRPr="00E7665A">
        <w:rPr>
          <w:i/>
          <w:sz w:val="22"/>
          <w:szCs w:val="22"/>
          <w:lang w:val="sr-Latn-ME"/>
        </w:rPr>
        <w:t xml:space="preserve">in </w:t>
      </w:r>
      <w:proofErr w:type="spellStart"/>
      <w:r w:rsidRPr="00E7665A">
        <w:rPr>
          <w:i/>
          <w:sz w:val="22"/>
          <w:szCs w:val="22"/>
          <w:lang w:val="sr-Latn-ME"/>
        </w:rPr>
        <w:t>vitro</w:t>
      </w:r>
      <w:proofErr w:type="spellEnd"/>
      <w:r w:rsidRPr="00E7665A">
        <w:rPr>
          <w:sz w:val="22"/>
          <w:szCs w:val="22"/>
          <w:lang w:val="sr-Latn-ME"/>
        </w:rPr>
        <w:t xml:space="preserve"> (kultura ćelija slezine miša) </w:t>
      </w:r>
      <w:r w:rsidR="00A2499D" w:rsidRPr="00E7665A">
        <w:rPr>
          <w:sz w:val="22"/>
          <w:szCs w:val="22"/>
          <w:lang w:val="sr-Latn-ME"/>
        </w:rPr>
        <w:t>nakon</w:t>
      </w:r>
      <w:r w:rsidRPr="00E7665A">
        <w:rPr>
          <w:sz w:val="22"/>
          <w:szCs w:val="22"/>
          <w:lang w:val="sr-Latn-ME"/>
        </w:rPr>
        <w:t xml:space="preserve"> </w:t>
      </w:r>
      <w:r w:rsidR="00A2499D" w:rsidRPr="00E7665A">
        <w:rPr>
          <w:sz w:val="22"/>
          <w:szCs w:val="22"/>
          <w:lang w:val="sr-Latn-ME"/>
        </w:rPr>
        <w:t xml:space="preserve">inkubacije sa </w:t>
      </w:r>
      <w:proofErr w:type="spellStart"/>
      <w:r w:rsidRPr="00E7665A">
        <w:rPr>
          <w:sz w:val="22"/>
          <w:szCs w:val="22"/>
          <w:lang w:val="sr-Latn-ME"/>
        </w:rPr>
        <w:t>epoetin</w:t>
      </w:r>
      <w:r w:rsidR="00A2499D" w:rsidRPr="00E7665A">
        <w:rPr>
          <w:sz w:val="22"/>
          <w:szCs w:val="22"/>
          <w:lang w:val="sr-Latn-ME"/>
        </w:rPr>
        <w:t>om</w:t>
      </w:r>
      <w:proofErr w:type="spellEnd"/>
      <w:r w:rsidRPr="00E7665A">
        <w:rPr>
          <w:sz w:val="22"/>
          <w:szCs w:val="22"/>
          <w:lang w:val="sr-Latn-ME"/>
        </w:rPr>
        <w:t xml:space="preserve"> beta. </w:t>
      </w:r>
    </w:p>
    <w:p w:rsidR="00BF3E6B" w:rsidRPr="00E7665A" w:rsidRDefault="00BF3E6B" w:rsidP="00BF3E6B">
      <w:pPr>
        <w:jc w:val="both"/>
        <w:rPr>
          <w:sz w:val="22"/>
          <w:szCs w:val="22"/>
          <w:lang w:val="sr-Latn-ME"/>
        </w:rPr>
      </w:pPr>
      <w:r w:rsidRPr="00E7665A">
        <w:rPr>
          <w:sz w:val="22"/>
          <w:szCs w:val="22"/>
          <w:lang w:val="sr-Latn-ME"/>
        </w:rPr>
        <w:t xml:space="preserve">Ispitivanja na ćelijskim kulturama ćelija </w:t>
      </w:r>
      <w:proofErr w:type="spellStart"/>
      <w:r w:rsidRPr="00E7665A">
        <w:rPr>
          <w:sz w:val="22"/>
          <w:szCs w:val="22"/>
          <w:lang w:val="sr-Latn-ME"/>
        </w:rPr>
        <w:t>kostne</w:t>
      </w:r>
      <w:proofErr w:type="spellEnd"/>
      <w:r w:rsidRPr="00E7665A">
        <w:rPr>
          <w:sz w:val="22"/>
          <w:szCs w:val="22"/>
          <w:lang w:val="sr-Latn-ME"/>
        </w:rPr>
        <w:t xml:space="preserve"> srži čovjeka pokazala su da </w:t>
      </w:r>
      <w:proofErr w:type="spellStart"/>
      <w:r w:rsidRPr="00E7665A">
        <w:rPr>
          <w:sz w:val="22"/>
          <w:szCs w:val="22"/>
          <w:lang w:val="sr-Latn-ME"/>
        </w:rPr>
        <w:t>epoetin</w:t>
      </w:r>
      <w:proofErr w:type="spellEnd"/>
      <w:r w:rsidRPr="00E7665A">
        <w:rPr>
          <w:sz w:val="22"/>
          <w:szCs w:val="22"/>
          <w:lang w:val="sr-Latn-ME"/>
        </w:rPr>
        <w:t xml:space="preserve"> beta specifično stimuliše </w:t>
      </w:r>
      <w:proofErr w:type="spellStart"/>
      <w:r w:rsidRPr="00E7665A">
        <w:rPr>
          <w:sz w:val="22"/>
          <w:szCs w:val="22"/>
          <w:lang w:val="sr-Latn-ME"/>
        </w:rPr>
        <w:t>eritropoezu</w:t>
      </w:r>
      <w:proofErr w:type="spellEnd"/>
      <w:r w:rsidRPr="00E7665A">
        <w:rPr>
          <w:sz w:val="22"/>
          <w:szCs w:val="22"/>
          <w:lang w:val="sr-Latn-ME"/>
        </w:rPr>
        <w:t xml:space="preserve"> i ne utiče na </w:t>
      </w:r>
      <w:proofErr w:type="spellStart"/>
      <w:r w:rsidRPr="00E7665A">
        <w:rPr>
          <w:sz w:val="22"/>
          <w:szCs w:val="22"/>
          <w:lang w:val="sr-Latn-ME"/>
        </w:rPr>
        <w:t>leukopoezu</w:t>
      </w:r>
      <w:proofErr w:type="spellEnd"/>
      <w:r w:rsidRPr="00E7665A">
        <w:rPr>
          <w:sz w:val="22"/>
          <w:szCs w:val="22"/>
          <w:lang w:val="sr-Latn-ME"/>
        </w:rPr>
        <w:t xml:space="preserve">. Nije utvrđeno </w:t>
      </w:r>
      <w:proofErr w:type="spellStart"/>
      <w:r w:rsidRPr="00E7665A">
        <w:rPr>
          <w:sz w:val="22"/>
          <w:szCs w:val="22"/>
          <w:lang w:val="sr-Latn-ME"/>
        </w:rPr>
        <w:t>citotoksično</w:t>
      </w:r>
      <w:proofErr w:type="spellEnd"/>
      <w:r w:rsidRPr="00E7665A">
        <w:rPr>
          <w:sz w:val="22"/>
          <w:szCs w:val="22"/>
          <w:lang w:val="sr-Latn-ME"/>
        </w:rPr>
        <w:t xml:space="preserve"> </w:t>
      </w:r>
      <w:r w:rsidR="00A2499D" w:rsidRPr="00E7665A">
        <w:rPr>
          <w:sz w:val="22"/>
          <w:szCs w:val="22"/>
          <w:lang w:val="sr-Latn-ME"/>
        </w:rPr>
        <w:t xml:space="preserve">djelovanje </w:t>
      </w:r>
      <w:proofErr w:type="spellStart"/>
      <w:r w:rsidRPr="00E7665A">
        <w:rPr>
          <w:sz w:val="22"/>
          <w:szCs w:val="22"/>
          <w:lang w:val="sr-Latn-ME"/>
        </w:rPr>
        <w:t>epoetina</w:t>
      </w:r>
      <w:proofErr w:type="spellEnd"/>
      <w:r w:rsidRPr="00E7665A">
        <w:rPr>
          <w:sz w:val="22"/>
          <w:szCs w:val="22"/>
          <w:lang w:val="sr-Latn-ME"/>
        </w:rPr>
        <w:t xml:space="preserve"> beta na </w:t>
      </w:r>
      <w:proofErr w:type="spellStart"/>
      <w:r w:rsidRPr="00E7665A">
        <w:rPr>
          <w:sz w:val="22"/>
          <w:szCs w:val="22"/>
          <w:lang w:val="sr-Latn-ME"/>
        </w:rPr>
        <w:t>kostnu</w:t>
      </w:r>
      <w:proofErr w:type="spellEnd"/>
      <w:r w:rsidRPr="00E7665A">
        <w:rPr>
          <w:sz w:val="22"/>
          <w:szCs w:val="22"/>
          <w:lang w:val="sr-Latn-ME"/>
        </w:rPr>
        <w:t xml:space="preserve"> srž ili ćelije kože</w:t>
      </w:r>
      <w:r w:rsidR="008859E2" w:rsidRPr="00E7665A">
        <w:rPr>
          <w:sz w:val="22"/>
          <w:szCs w:val="22"/>
          <w:lang w:val="sr-Latn-ME"/>
        </w:rPr>
        <w:t xml:space="preserve"> kod </w:t>
      </w:r>
      <w:proofErr w:type="spellStart"/>
      <w:r w:rsidR="008859E2" w:rsidRPr="00E7665A">
        <w:rPr>
          <w:sz w:val="22"/>
          <w:szCs w:val="22"/>
          <w:lang w:val="sr-Latn-ME"/>
        </w:rPr>
        <w:t>ljudi</w:t>
      </w:r>
      <w:proofErr w:type="spellEnd"/>
      <w:r w:rsidRPr="00E7665A">
        <w:rPr>
          <w:sz w:val="22"/>
          <w:szCs w:val="22"/>
          <w:lang w:val="sr-Latn-ME"/>
        </w:rPr>
        <w:t xml:space="preserve">. </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r w:rsidRPr="00E7665A">
        <w:rPr>
          <w:sz w:val="22"/>
          <w:szCs w:val="22"/>
          <w:lang w:val="sr-Latn-ME"/>
        </w:rPr>
        <w:lastRenderedPageBreak/>
        <w:t xml:space="preserve">Nakon primjene pojedinačne doze </w:t>
      </w:r>
      <w:proofErr w:type="spellStart"/>
      <w:r w:rsidRPr="00E7665A">
        <w:rPr>
          <w:sz w:val="22"/>
          <w:szCs w:val="22"/>
          <w:lang w:val="sr-Latn-ME"/>
        </w:rPr>
        <w:t>epoetina</w:t>
      </w:r>
      <w:proofErr w:type="spellEnd"/>
      <w:r w:rsidRPr="00E7665A">
        <w:rPr>
          <w:sz w:val="22"/>
          <w:szCs w:val="22"/>
          <w:lang w:val="sr-Latn-ME"/>
        </w:rPr>
        <w:t xml:space="preserve"> beta nijesu primijećena dejstva na ponašanje ili </w:t>
      </w:r>
      <w:proofErr w:type="spellStart"/>
      <w:r w:rsidRPr="00E7665A">
        <w:rPr>
          <w:sz w:val="22"/>
          <w:szCs w:val="22"/>
          <w:lang w:val="sr-Latn-ME"/>
        </w:rPr>
        <w:t>lokomotornu</w:t>
      </w:r>
      <w:proofErr w:type="spellEnd"/>
      <w:r w:rsidRPr="00E7665A">
        <w:rPr>
          <w:sz w:val="22"/>
          <w:szCs w:val="22"/>
          <w:lang w:val="sr-Latn-ME"/>
        </w:rPr>
        <w:t xml:space="preserve"> aktivnost miševa i </w:t>
      </w:r>
      <w:proofErr w:type="spellStart"/>
      <w:r w:rsidRPr="00E7665A">
        <w:rPr>
          <w:sz w:val="22"/>
          <w:szCs w:val="22"/>
          <w:lang w:val="sr-Latn-ME"/>
        </w:rPr>
        <w:t>cirkulatornu</w:t>
      </w:r>
      <w:proofErr w:type="spellEnd"/>
      <w:r w:rsidRPr="00E7665A">
        <w:rPr>
          <w:sz w:val="22"/>
          <w:szCs w:val="22"/>
          <w:lang w:val="sr-Latn-ME"/>
        </w:rPr>
        <w:t xml:space="preserve"> ili respiratornu funkciju pasa. </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u w:val="single"/>
          <w:lang w:val="sr-Latn-ME"/>
        </w:rPr>
      </w:pPr>
      <w:r w:rsidRPr="00E7665A">
        <w:rPr>
          <w:sz w:val="22"/>
          <w:szCs w:val="22"/>
          <w:u w:val="single"/>
          <w:lang w:val="sr-Latn-ME"/>
        </w:rPr>
        <w:t>Klinička efikasnost i bezbjednost</w:t>
      </w:r>
    </w:p>
    <w:p w:rsidR="008859E2" w:rsidRPr="00E7665A" w:rsidRDefault="008859E2" w:rsidP="00BF3E6B">
      <w:pPr>
        <w:jc w:val="both"/>
        <w:rPr>
          <w:sz w:val="22"/>
          <w:szCs w:val="22"/>
          <w:u w:val="single"/>
          <w:lang w:val="sr-Latn-ME"/>
        </w:rPr>
      </w:pPr>
    </w:p>
    <w:p w:rsidR="00BF3E6B" w:rsidRPr="00E7665A" w:rsidRDefault="00BF3E6B" w:rsidP="00BF3E6B">
      <w:pPr>
        <w:jc w:val="both"/>
        <w:rPr>
          <w:sz w:val="22"/>
          <w:szCs w:val="22"/>
          <w:lang w:val="sr-Latn-ME"/>
        </w:rPr>
      </w:pPr>
      <w:r w:rsidRPr="00E7665A">
        <w:rPr>
          <w:sz w:val="22"/>
          <w:szCs w:val="22"/>
          <w:lang w:val="sr-Latn-ME"/>
        </w:rPr>
        <w:t xml:space="preserve">U </w:t>
      </w:r>
      <w:proofErr w:type="spellStart"/>
      <w:r w:rsidRPr="00E7665A">
        <w:rPr>
          <w:sz w:val="22"/>
          <w:szCs w:val="22"/>
          <w:lang w:val="sr-Latn-ME"/>
        </w:rPr>
        <w:t>randomizovanoj</w:t>
      </w:r>
      <w:proofErr w:type="spellEnd"/>
      <w:r w:rsidRPr="00E7665A">
        <w:rPr>
          <w:sz w:val="22"/>
          <w:szCs w:val="22"/>
          <w:lang w:val="sr-Latn-ME"/>
        </w:rPr>
        <w:t xml:space="preserve">, dvostruko slijepoj, </w:t>
      </w:r>
      <w:proofErr w:type="spellStart"/>
      <w:r w:rsidRPr="00E7665A">
        <w:rPr>
          <w:sz w:val="22"/>
          <w:szCs w:val="22"/>
          <w:lang w:val="sr-Latn-ME"/>
        </w:rPr>
        <w:t>placebo</w:t>
      </w:r>
      <w:proofErr w:type="spellEnd"/>
      <w:r w:rsidRPr="00E7665A">
        <w:rPr>
          <w:sz w:val="22"/>
          <w:szCs w:val="22"/>
          <w:lang w:val="sr-Latn-ME"/>
        </w:rPr>
        <w:t xml:space="preserve"> kontrolisanoj studiji, </w:t>
      </w:r>
      <w:r w:rsidR="008859E2" w:rsidRPr="00E7665A">
        <w:rPr>
          <w:sz w:val="22"/>
          <w:szCs w:val="22"/>
          <w:lang w:val="sr-Latn-ME"/>
        </w:rPr>
        <w:t>koje je obuhvatilo</w:t>
      </w:r>
      <w:r w:rsidRPr="00E7665A">
        <w:rPr>
          <w:sz w:val="22"/>
          <w:szCs w:val="22"/>
          <w:lang w:val="sr-Latn-ME"/>
        </w:rPr>
        <w:t xml:space="preserve"> 4038 CRF pacijenata koji nijesu na dijalizi, a imaju dijabetes tipa 2 i vrijednost hemoglobina ≤ 11 g/d</w:t>
      </w:r>
      <w:r w:rsidR="008859E2" w:rsidRPr="00E7665A">
        <w:rPr>
          <w:sz w:val="22"/>
          <w:szCs w:val="22"/>
          <w:lang w:val="sr-Latn-ME"/>
        </w:rPr>
        <w:t>l</w:t>
      </w:r>
      <w:r w:rsidRPr="00E7665A">
        <w:rPr>
          <w:sz w:val="22"/>
          <w:szCs w:val="22"/>
          <w:lang w:val="sr-Latn-ME"/>
        </w:rPr>
        <w:t xml:space="preserve">, pacijenti su primali ili </w:t>
      </w:r>
      <w:proofErr w:type="spellStart"/>
      <w:r w:rsidRPr="00E7665A">
        <w:rPr>
          <w:sz w:val="22"/>
          <w:szCs w:val="22"/>
          <w:lang w:val="sr-Latn-ME"/>
        </w:rPr>
        <w:t>darbepoetin</w:t>
      </w:r>
      <w:proofErr w:type="spellEnd"/>
      <w:r w:rsidRPr="00E7665A">
        <w:rPr>
          <w:sz w:val="22"/>
          <w:szCs w:val="22"/>
          <w:lang w:val="sr-Latn-ME"/>
        </w:rPr>
        <w:t xml:space="preserve"> alfa da bi se postigao nivo hemoglobina od </w:t>
      </w:r>
      <w:proofErr w:type="spellStart"/>
      <w:r w:rsidRPr="00E7665A">
        <w:rPr>
          <w:sz w:val="22"/>
          <w:szCs w:val="22"/>
          <w:lang w:val="sr-Latn-ME"/>
        </w:rPr>
        <w:t>13g</w:t>
      </w:r>
      <w:proofErr w:type="spellEnd"/>
      <w:r w:rsidRPr="00E7665A">
        <w:rPr>
          <w:sz w:val="22"/>
          <w:szCs w:val="22"/>
          <w:lang w:val="sr-Latn-ME"/>
        </w:rPr>
        <w:t>/d</w:t>
      </w:r>
      <w:r w:rsidR="008859E2" w:rsidRPr="00E7665A">
        <w:rPr>
          <w:sz w:val="22"/>
          <w:szCs w:val="22"/>
          <w:lang w:val="sr-Latn-ME"/>
        </w:rPr>
        <w:t>l</w:t>
      </w:r>
      <w:r w:rsidRPr="00E7665A">
        <w:rPr>
          <w:sz w:val="22"/>
          <w:szCs w:val="22"/>
          <w:lang w:val="sr-Latn-ME"/>
        </w:rPr>
        <w:t xml:space="preserve"> ili </w:t>
      </w:r>
      <w:proofErr w:type="spellStart"/>
      <w:r w:rsidRPr="00E7665A">
        <w:rPr>
          <w:sz w:val="22"/>
          <w:szCs w:val="22"/>
          <w:lang w:val="sr-Latn-ME"/>
        </w:rPr>
        <w:t>placebo</w:t>
      </w:r>
      <w:proofErr w:type="spellEnd"/>
      <w:r w:rsidRPr="00E7665A">
        <w:rPr>
          <w:sz w:val="22"/>
          <w:szCs w:val="22"/>
          <w:lang w:val="sr-Latn-ME"/>
        </w:rPr>
        <w:t xml:space="preserve"> (vidjeti dio 4.4.). Studija nije postigla ni jedan od osnovnih ciljeva: smanjenje rizika od smrtnosti zbog bilo kog uzroka, </w:t>
      </w:r>
      <w:proofErr w:type="spellStart"/>
      <w:r w:rsidRPr="00E7665A">
        <w:rPr>
          <w:sz w:val="22"/>
          <w:szCs w:val="22"/>
          <w:lang w:val="sr-Latn-ME"/>
        </w:rPr>
        <w:t>kardiovaskularnih</w:t>
      </w:r>
      <w:proofErr w:type="spellEnd"/>
      <w:r w:rsidRPr="00E7665A">
        <w:rPr>
          <w:sz w:val="22"/>
          <w:szCs w:val="22"/>
          <w:lang w:val="sr-Latn-ME"/>
        </w:rPr>
        <w:t xml:space="preserve"> bolesti ili oboljenja bubrega u posljednjoj fazi. Analiza pojedinačnih komponenti složenih krajnjih tačaka pokazuje sljedeće hazardne koeficijente- HR (sa 95% intervalom pov</w:t>
      </w:r>
      <w:r w:rsidR="003A4602" w:rsidRPr="00E7665A">
        <w:rPr>
          <w:sz w:val="22"/>
          <w:szCs w:val="22"/>
          <w:lang w:val="sr-Latn-ME"/>
        </w:rPr>
        <w:t>j</w:t>
      </w:r>
      <w:r w:rsidRPr="00E7665A">
        <w:rPr>
          <w:sz w:val="22"/>
          <w:szCs w:val="22"/>
          <w:lang w:val="sr-Latn-ME"/>
        </w:rPr>
        <w:t>erenja CI): smrt 1.05 (0.92, 1.21), moždani udar 1.92 (1.38, 2.68),</w:t>
      </w:r>
      <w:r w:rsidR="003570B1" w:rsidRPr="00E7665A">
        <w:rPr>
          <w:sz w:val="22"/>
          <w:szCs w:val="22"/>
          <w:lang w:val="sr-Latn-ME"/>
        </w:rPr>
        <w:t xml:space="preserve"> </w:t>
      </w:r>
      <w:proofErr w:type="spellStart"/>
      <w:r w:rsidRPr="00E7665A">
        <w:rPr>
          <w:sz w:val="22"/>
          <w:szCs w:val="22"/>
          <w:lang w:val="sr-Latn-ME"/>
        </w:rPr>
        <w:t>kongestivna</w:t>
      </w:r>
      <w:proofErr w:type="spellEnd"/>
      <w:r w:rsidRPr="00E7665A">
        <w:rPr>
          <w:sz w:val="22"/>
          <w:szCs w:val="22"/>
          <w:lang w:val="sr-Latn-ME"/>
        </w:rPr>
        <w:t xml:space="preserve"> srčana </w:t>
      </w:r>
      <w:proofErr w:type="spellStart"/>
      <w:r w:rsidRPr="00E7665A">
        <w:rPr>
          <w:sz w:val="22"/>
          <w:szCs w:val="22"/>
          <w:lang w:val="sr-Latn-ME"/>
        </w:rPr>
        <w:t>insuficijencija</w:t>
      </w:r>
      <w:proofErr w:type="spellEnd"/>
      <w:r w:rsidRPr="00E7665A">
        <w:rPr>
          <w:sz w:val="22"/>
          <w:szCs w:val="22"/>
          <w:lang w:val="sr-Latn-ME"/>
        </w:rPr>
        <w:t xml:space="preserve"> 0.89 (0.74, 1.08), infarkt </w:t>
      </w:r>
      <w:proofErr w:type="spellStart"/>
      <w:r w:rsidRPr="00E7665A">
        <w:rPr>
          <w:sz w:val="22"/>
          <w:szCs w:val="22"/>
          <w:lang w:val="sr-Latn-ME"/>
        </w:rPr>
        <w:t>miokarda</w:t>
      </w:r>
      <w:proofErr w:type="spellEnd"/>
      <w:r w:rsidRPr="00E7665A">
        <w:rPr>
          <w:sz w:val="22"/>
          <w:szCs w:val="22"/>
          <w:lang w:val="sr-Latn-ME"/>
        </w:rPr>
        <w:t xml:space="preserve"> 0.96 (0.75, 1.23), </w:t>
      </w:r>
      <w:proofErr w:type="spellStart"/>
      <w:r w:rsidRPr="00E7665A">
        <w:rPr>
          <w:sz w:val="22"/>
          <w:szCs w:val="22"/>
          <w:lang w:val="sr-Latn-ME"/>
        </w:rPr>
        <w:t>hospitalizacija</w:t>
      </w:r>
      <w:proofErr w:type="spellEnd"/>
      <w:r w:rsidRPr="00E7665A">
        <w:rPr>
          <w:sz w:val="22"/>
          <w:szCs w:val="22"/>
          <w:lang w:val="sr-Latn-ME"/>
        </w:rPr>
        <w:t xml:space="preserve"> zbog</w:t>
      </w:r>
      <w:r w:rsidR="003570B1" w:rsidRPr="00E7665A">
        <w:rPr>
          <w:sz w:val="22"/>
          <w:szCs w:val="22"/>
          <w:lang w:val="sr-Latn-ME"/>
        </w:rPr>
        <w:t xml:space="preserve"> </w:t>
      </w:r>
      <w:proofErr w:type="spellStart"/>
      <w:r w:rsidRPr="00E7665A">
        <w:rPr>
          <w:sz w:val="22"/>
          <w:szCs w:val="22"/>
          <w:lang w:val="sr-Latn-ME"/>
        </w:rPr>
        <w:t>ishemije</w:t>
      </w:r>
      <w:proofErr w:type="spellEnd"/>
      <w:r w:rsidRPr="00E7665A">
        <w:rPr>
          <w:sz w:val="22"/>
          <w:szCs w:val="22"/>
          <w:lang w:val="sr-Latn-ME"/>
        </w:rPr>
        <w:t xml:space="preserve"> </w:t>
      </w:r>
      <w:proofErr w:type="spellStart"/>
      <w:r w:rsidRPr="00E7665A">
        <w:rPr>
          <w:sz w:val="22"/>
          <w:szCs w:val="22"/>
          <w:lang w:val="sr-Latn-ME"/>
        </w:rPr>
        <w:t>miokarda</w:t>
      </w:r>
      <w:proofErr w:type="spellEnd"/>
      <w:r w:rsidRPr="00E7665A">
        <w:rPr>
          <w:sz w:val="22"/>
          <w:szCs w:val="22"/>
          <w:lang w:val="sr-Latn-ME"/>
        </w:rPr>
        <w:t xml:space="preserve"> 0.84 (0.55, 1.27), </w:t>
      </w:r>
      <w:r w:rsidR="008859E2" w:rsidRPr="00E7665A">
        <w:rPr>
          <w:sz w:val="22"/>
          <w:szCs w:val="22"/>
          <w:lang w:val="sr-Latn-ME"/>
        </w:rPr>
        <w:t xml:space="preserve">završna faza bolesti bubrega </w:t>
      </w:r>
      <w:r w:rsidRPr="00E7665A">
        <w:rPr>
          <w:sz w:val="22"/>
          <w:szCs w:val="22"/>
          <w:lang w:val="sr-Latn-ME"/>
        </w:rPr>
        <w:t>1.02 (0.87, 1.18).</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r w:rsidRPr="00E7665A">
        <w:rPr>
          <w:sz w:val="22"/>
          <w:szCs w:val="22"/>
          <w:lang w:val="sr-Latn-ME"/>
        </w:rPr>
        <w:t xml:space="preserve">Kod pacijenata sa hroničnom </w:t>
      </w:r>
      <w:proofErr w:type="spellStart"/>
      <w:r w:rsidRPr="00E7665A">
        <w:rPr>
          <w:sz w:val="22"/>
          <w:szCs w:val="22"/>
          <w:lang w:val="sr-Latn-ME"/>
        </w:rPr>
        <w:t>insuficijencijom</w:t>
      </w:r>
      <w:proofErr w:type="spellEnd"/>
      <w:r w:rsidRPr="00E7665A">
        <w:rPr>
          <w:sz w:val="22"/>
          <w:szCs w:val="22"/>
          <w:lang w:val="sr-Latn-ME"/>
        </w:rPr>
        <w:t xml:space="preserve"> bubrega (kod onih na dijalizi i onih koji nijesu bili na dijalizi, koji imaju ili nemaju dijabetes) sprovedene su post-</w:t>
      </w:r>
      <w:proofErr w:type="spellStart"/>
      <w:r w:rsidRPr="00E7665A">
        <w:rPr>
          <w:sz w:val="22"/>
          <w:szCs w:val="22"/>
          <w:lang w:val="sr-Latn-ME"/>
        </w:rPr>
        <w:t>hoc</w:t>
      </w:r>
      <w:proofErr w:type="spellEnd"/>
      <w:r w:rsidRPr="00E7665A">
        <w:rPr>
          <w:sz w:val="22"/>
          <w:szCs w:val="22"/>
          <w:lang w:val="sr-Latn-ME"/>
        </w:rPr>
        <w:t xml:space="preserve"> analize </w:t>
      </w:r>
      <w:proofErr w:type="spellStart"/>
      <w:r w:rsidRPr="00E7665A">
        <w:rPr>
          <w:sz w:val="22"/>
          <w:szCs w:val="22"/>
          <w:lang w:val="sr-Latn-ME"/>
        </w:rPr>
        <w:t>objedinjenih</w:t>
      </w:r>
      <w:proofErr w:type="spellEnd"/>
      <w:r w:rsidRPr="00E7665A">
        <w:rPr>
          <w:sz w:val="22"/>
          <w:szCs w:val="22"/>
          <w:lang w:val="sr-Latn-ME"/>
        </w:rPr>
        <w:t xml:space="preserve"> podataka iz kliničkih ispitivanja ljekova za stimulaciju </w:t>
      </w:r>
      <w:proofErr w:type="spellStart"/>
      <w:r w:rsidRPr="00E7665A">
        <w:rPr>
          <w:sz w:val="22"/>
          <w:szCs w:val="22"/>
          <w:lang w:val="sr-Latn-ME"/>
        </w:rPr>
        <w:t>eritropoeze</w:t>
      </w:r>
      <w:proofErr w:type="spellEnd"/>
      <w:r w:rsidRPr="00E7665A">
        <w:rPr>
          <w:sz w:val="22"/>
          <w:szCs w:val="22"/>
          <w:lang w:val="sr-Latn-ME"/>
        </w:rPr>
        <w:t xml:space="preserve">. Primijećena je tendencija povećanja procijenjenog rizika od smrti zbog bilo kojeg uzroka te </w:t>
      </w:r>
      <w:proofErr w:type="spellStart"/>
      <w:r w:rsidRPr="00E7665A">
        <w:rPr>
          <w:sz w:val="22"/>
          <w:szCs w:val="22"/>
          <w:lang w:val="sr-Latn-ME"/>
        </w:rPr>
        <w:t>kardiovaskularnih</w:t>
      </w:r>
      <w:proofErr w:type="spellEnd"/>
      <w:r w:rsidRPr="00E7665A">
        <w:rPr>
          <w:sz w:val="22"/>
          <w:szCs w:val="22"/>
          <w:lang w:val="sr-Latn-ME"/>
        </w:rPr>
        <w:t xml:space="preserve"> i </w:t>
      </w:r>
      <w:proofErr w:type="spellStart"/>
      <w:r w:rsidRPr="00E7665A">
        <w:rPr>
          <w:sz w:val="22"/>
          <w:szCs w:val="22"/>
          <w:lang w:val="sr-Latn-ME"/>
        </w:rPr>
        <w:t>cerebrovaskularnih</w:t>
      </w:r>
      <w:proofErr w:type="spellEnd"/>
      <w:r w:rsidRPr="00E7665A">
        <w:rPr>
          <w:sz w:val="22"/>
          <w:szCs w:val="22"/>
          <w:lang w:val="sr-Latn-ME"/>
        </w:rPr>
        <w:t xml:space="preserve"> događaja povezanih sa višim kumulativnim dozama ljekova za stimulaciju </w:t>
      </w:r>
      <w:proofErr w:type="spellStart"/>
      <w:r w:rsidRPr="00E7665A">
        <w:rPr>
          <w:sz w:val="22"/>
          <w:szCs w:val="22"/>
          <w:lang w:val="sr-Latn-ME"/>
        </w:rPr>
        <w:t>eritropoeze</w:t>
      </w:r>
      <w:proofErr w:type="spellEnd"/>
      <w:r w:rsidRPr="00E7665A">
        <w:rPr>
          <w:sz w:val="22"/>
          <w:szCs w:val="22"/>
          <w:lang w:val="sr-Latn-ME"/>
        </w:rPr>
        <w:t>, nezavisno o</w:t>
      </w:r>
      <w:r w:rsidR="008859E2" w:rsidRPr="00E7665A">
        <w:rPr>
          <w:sz w:val="22"/>
          <w:szCs w:val="22"/>
          <w:lang w:val="sr-Latn-ME"/>
        </w:rPr>
        <w:t>d</w:t>
      </w:r>
      <w:r w:rsidRPr="00E7665A">
        <w:rPr>
          <w:sz w:val="22"/>
          <w:szCs w:val="22"/>
          <w:lang w:val="sr-Latn-ME"/>
        </w:rPr>
        <w:t xml:space="preserve"> dijabetes</w:t>
      </w:r>
      <w:r w:rsidR="008859E2" w:rsidRPr="00E7665A">
        <w:rPr>
          <w:sz w:val="22"/>
          <w:szCs w:val="22"/>
          <w:lang w:val="sr-Latn-ME"/>
        </w:rPr>
        <w:t>a</w:t>
      </w:r>
      <w:r w:rsidRPr="00E7665A">
        <w:rPr>
          <w:sz w:val="22"/>
          <w:szCs w:val="22"/>
          <w:lang w:val="sr-Latn-ME"/>
        </w:rPr>
        <w:t xml:space="preserve"> i statusu dijalize (vidjeti djelove 4.2 i 4.4).</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proofErr w:type="spellStart"/>
      <w:r w:rsidRPr="00E7665A">
        <w:rPr>
          <w:sz w:val="22"/>
          <w:szCs w:val="22"/>
          <w:lang w:val="sr-Latn-ME"/>
        </w:rPr>
        <w:t>Eritropoetin</w:t>
      </w:r>
      <w:proofErr w:type="spellEnd"/>
      <w:r w:rsidRPr="00E7665A">
        <w:rPr>
          <w:sz w:val="22"/>
          <w:szCs w:val="22"/>
          <w:lang w:val="sr-Latn-ME"/>
        </w:rPr>
        <w:t xml:space="preserve"> je faktor rasta koji primarno stimuliše produkciju </w:t>
      </w:r>
      <w:proofErr w:type="spellStart"/>
      <w:r w:rsidRPr="00E7665A">
        <w:rPr>
          <w:sz w:val="22"/>
          <w:szCs w:val="22"/>
          <w:lang w:val="sr-Latn-ME"/>
        </w:rPr>
        <w:t>eritrocita</w:t>
      </w:r>
      <w:proofErr w:type="spellEnd"/>
      <w:r w:rsidRPr="00E7665A">
        <w:rPr>
          <w:sz w:val="22"/>
          <w:szCs w:val="22"/>
          <w:lang w:val="sr-Latn-ME"/>
        </w:rPr>
        <w:t xml:space="preserve">. </w:t>
      </w:r>
      <w:proofErr w:type="spellStart"/>
      <w:r w:rsidRPr="00E7665A">
        <w:rPr>
          <w:sz w:val="22"/>
          <w:szCs w:val="22"/>
          <w:lang w:val="sr-Latn-ME"/>
        </w:rPr>
        <w:t>Eritropoetinski</w:t>
      </w:r>
      <w:proofErr w:type="spellEnd"/>
      <w:r w:rsidRPr="00E7665A">
        <w:rPr>
          <w:sz w:val="22"/>
          <w:szCs w:val="22"/>
          <w:lang w:val="sr-Latn-ME"/>
        </w:rPr>
        <w:t xml:space="preserve"> receptori mogu biti </w:t>
      </w:r>
      <w:proofErr w:type="spellStart"/>
      <w:r w:rsidRPr="00E7665A">
        <w:rPr>
          <w:sz w:val="22"/>
          <w:szCs w:val="22"/>
          <w:lang w:val="sr-Latn-ME"/>
        </w:rPr>
        <w:t>eksprimirani</w:t>
      </w:r>
      <w:proofErr w:type="spellEnd"/>
      <w:r w:rsidRPr="00E7665A">
        <w:rPr>
          <w:sz w:val="22"/>
          <w:szCs w:val="22"/>
          <w:lang w:val="sr-Latn-ME"/>
        </w:rPr>
        <w:t xml:space="preserve"> na površini različitih tumorskih ćelija. </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r w:rsidRPr="00E7665A">
        <w:rPr>
          <w:sz w:val="22"/>
          <w:szCs w:val="22"/>
          <w:lang w:val="sr-Latn-ME"/>
        </w:rPr>
        <w:t xml:space="preserve">Preživljavanje i progresija tumora ispitivani su u pet velikih kontrolisanih studija u kojima je učestvovalo ukupno 2833 pacijenata. Četiri studije su bila dvostruko slijepe, </w:t>
      </w:r>
      <w:proofErr w:type="spellStart"/>
      <w:r w:rsidRPr="00E7665A">
        <w:rPr>
          <w:sz w:val="22"/>
          <w:szCs w:val="22"/>
          <w:lang w:val="sr-Latn-ME"/>
        </w:rPr>
        <w:t>placebo</w:t>
      </w:r>
      <w:proofErr w:type="spellEnd"/>
      <w:r w:rsidRPr="00E7665A">
        <w:rPr>
          <w:sz w:val="22"/>
          <w:szCs w:val="22"/>
          <w:lang w:val="sr-Latn-ME"/>
        </w:rPr>
        <w:t xml:space="preserve"> kontrolisane, a jedna je bila otvorena. U dvije studije su regrutovani pacijenti koji su primali hemoterapiju. Ciljna koncentracija hemoglobina u dvije studije je bila &gt;13 g/dl, a u preostale tri studije bila je između 12 i 14 g/dl. U otvorenoj studiji nije bilo razlika u ukupnom preživljavanju između pacijenata liječenih </w:t>
      </w:r>
      <w:proofErr w:type="spellStart"/>
      <w:r w:rsidRPr="00E7665A">
        <w:rPr>
          <w:sz w:val="22"/>
          <w:szCs w:val="22"/>
          <w:lang w:val="sr-Latn-ME"/>
        </w:rPr>
        <w:t>rekombinantnim</w:t>
      </w:r>
      <w:proofErr w:type="spellEnd"/>
      <w:r w:rsidRPr="00E7665A">
        <w:rPr>
          <w:sz w:val="22"/>
          <w:szCs w:val="22"/>
          <w:lang w:val="sr-Latn-ME"/>
        </w:rPr>
        <w:t xml:space="preserve"> humanim </w:t>
      </w:r>
      <w:proofErr w:type="spellStart"/>
      <w:r w:rsidRPr="00E7665A">
        <w:rPr>
          <w:sz w:val="22"/>
          <w:szCs w:val="22"/>
          <w:lang w:val="sr-Latn-ME"/>
        </w:rPr>
        <w:t>eritropoetinom</w:t>
      </w:r>
      <w:proofErr w:type="spellEnd"/>
      <w:r w:rsidRPr="00E7665A">
        <w:rPr>
          <w:sz w:val="22"/>
          <w:szCs w:val="22"/>
          <w:lang w:val="sr-Latn-ME"/>
        </w:rPr>
        <w:t xml:space="preserve"> i pacijenata u kontrolnoj grupi. U četiri </w:t>
      </w:r>
      <w:proofErr w:type="spellStart"/>
      <w:r w:rsidRPr="00E7665A">
        <w:rPr>
          <w:sz w:val="22"/>
          <w:szCs w:val="22"/>
          <w:lang w:val="sr-Latn-ME"/>
        </w:rPr>
        <w:t>placebo</w:t>
      </w:r>
      <w:proofErr w:type="spellEnd"/>
      <w:r w:rsidRPr="00E7665A">
        <w:rPr>
          <w:sz w:val="22"/>
          <w:szCs w:val="22"/>
          <w:lang w:val="sr-Latn-ME"/>
        </w:rPr>
        <w:t xml:space="preserve"> kontrolisane studije koeficijenti </w:t>
      </w:r>
      <w:proofErr w:type="spellStart"/>
      <w:r w:rsidRPr="00E7665A">
        <w:rPr>
          <w:sz w:val="22"/>
          <w:szCs w:val="22"/>
          <w:lang w:val="sr-Latn-ME"/>
        </w:rPr>
        <w:t>hazardnosti</w:t>
      </w:r>
      <w:proofErr w:type="spellEnd"/>
      <w:r w:rsidRPr="00E7665A">
        <w:rPr>
          <w:sz w:val="22"/>
          <w:szCs w:val="22"/>
          <w:lang w:val="sr-Latn-ME"/>
        </w:rPr>
        <w:t xml:space="preserve"> za ukupno preživljavanje kretali su se u rasponu od 1,25 do 2,47 u korist kontrolnih grupa. Te su studije pokazala dosljedan, neobjašnjiv, statistički značajan porast mortaliteta kod pacijenata sa anemijom povezanom s raznim uobičajenim </w:t>
      </w:r>
      <w:proofErr w:type="spellStart"/>
      <w:r w:rsidRPr="00E7665A">
        <w:rPr>
          <w:sz w:val="22"/>
          <w:szCs w:val="22"/>
          <w:lang w:val="sr-Latn-ME"/>
        </w:rPr>
        <w:t>karcinomima</w:t>
      </w:r>
      <w:proofErr w:type="spellEnd"/>
      <w:r w:rsidRPr="00E7665A">
        <w:rPr>
          <w:sz w:val="22"/>
          <w:szCs w:val="22"/>
          <w:lang w:val="sr-Latn-ME"/>
        </w:rPr>
        <w:t xml:space="preserve"> koji su primali </w:t>
      </w:r>
      <w:proofErr w:type="spellStart"/>
      <w:r w:rsidRPr="00E7665A">
        <w:rPr>
          <w:sz w:val="22"/>
          <w:szCs w:val="22"/>
          <w:lang w:val="sr-Latn-ME"/>
        </w:rPr>
        <w:t>rekombinantni</w:t>
      </w:r>
      <w:proofErr w:type="spellEnd"/>
      <w:r w:rsidRPr="00E7665A">
        <w:rPr>
          <w:sz w:val="22"/>
          <w:szCs w:val="22"/>
          <w:lang w:val="sr-Latn-ME"/>
        </w:rPr>
        <w:t xml:space="preserve"> humani </w:t>
      </w:r>
      <w:proofErr w:type="spellStart"/>
      <w:r w:rsidRPr="00E7665A">
        <w:rPr>
          <w:sz w:val="22"/>
          <w:szCs w:val="22"/>
          <w:lang w:val="sr-Latn-ME"/>
        </w:rPr>
        <w:t>eritropoetin</w:t>
      </w:r>
      <w:proofErr w:type="spellEnd"/>
      <w:r w:rsidRPr="00E7665A">
        <w:rPr>
          <w:sz w:val="22"/>
          <w:szCs w:val="22"/>
          <w:lang w:val="sr-Latn-ME"/>
        </w:rPr>
        <w:t>, u odnosu na pacijente u kontrolnim grupama. Rezultat ukupnog preživlj</w:t>
      </w:r>
      <w:r w:rsidR="003A4602" w:rsidRPr="00E7665A">
        <w:rPr>
          <w:sz w:val="22"/>
          <w:szCs w:val="22"/>
          <w:lang w:val="sr-Latn-ME"/>
        </w:rPr>
        <w:t>ava</w:t>
      </w:r>
      <w:r w:rsidRPr="00E7665A">
        <w:rPr>
          <w:sz w:val="22"/>
          <w:szCs w:val="22"/>
          <w:lang w:val="sr-Latn-ME"/>
        </w:rPr>
        <w:t xml:space="preserve">nja u studijama ne može se na zadovoljavajući način objasniti razlikom u učestalosti pojave tromboze i s njom povezanih komplikacija između ispitanika koji su primali </w:t>
      </w:r>
      <w:proofErr w:type="spellStart"/>
      <w:r w:rsidRPr="00E7665A">
        <w:rPr>
          <w:sz w:val="22"/>
          <w:szCs w:val="22"/>
          <w:lang w:val="sr-Latn-ME"/>
        </w:rPr>
        <w:t>rekombinantni</w:t>
      </w:r>
      <w:proofErr w:type="spellEnd"/>
      <w:r w:rsidRPr="00E7665A">
        <w:rPr>
          <w:sz w:val="22"/>
          <w:szCs w:val="22"/>
          <w:lang w:val="sr-Latn-ME"/>
        </w:rPr>
        <w:t xml:space="preserve"> humani </w:t>
      </w:r>
      <w:proofErr w:type="spellStart"/>
      <w:r w:rsidRPr="00E7665A">
        <w:rPr>
          <w:sz w:val="22"/>
          <w:szCs w:val="22"/>
          <w:lang w:val="sr-Latn-ME"/>
        </w:rPr>
        <w:t>eritropoetin</w:t>
      </w:r>
      <w:proofErr w:type="spellEnd"/>
      <w:r w:rsidRPr="00E7665A">
        <w:rPr>
          <w:sz w:val="22"/>
          <w:szCs w:val="22"/>
          <w:lang w:val="sr-Latn-ME"/>
        </w:rPr>
        <w:t xml:space="preserve"> i ispitanika u kontrolnoj grupi.</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r w:rsidRPr="00E7665A">
        <w:rPr>
          <w:sz w:val="22"/>
          <w:szCs w:val="22"/>
          <w:lang w:val="sr-Latn-ME"/>
        </w:rPr>
        <w:t xml:space="preserve">Meta-analiza podataka pojedinih pacijenata koja je uključivala podatke iz svih 12 kontrolisanih kliničkih studija sa </w:t>
      </w:r>
      <w:r w:rsidR="008859E2" w:rsidRPr="00E7665A">
        <w:rPr>
          <w:sz w:val="22"/>
          <w:szCs w:val="22"/>
          <w:lang w:val="sr-Latn-ME"/>
        </w:rPr>
        <w:t xml:space="preserve">lijekom </w:t>
      </w:r>
      <w:proofErr w:type="spellStart"/>
      <w:r w:rsidR="00980E2B" w:rsidRPr="00E7665A">
        <w:rPr>
          <w:sz w:val="22"/>
          <w:szCs w:val="22"/>
          <w:lang w:val="sr-Latn-ME"/>
        </w:rPr>
        <w:t>NeoRecormon</w:t>
      </w:r>
      <w:proofErr w:type="spellEnd"/>
      <w:r w:rsidRPr="00E7665A">
        <w:rPr>
          <w:sz w:val="22"/>
          <w:szCs w:val="22"/>
          <w:lang w:val="sr-Latn-ME"/>
        </w:rPr>
        <w:t xml:space="preserve"> kod anemičnih pacijenata </w:t>
      </w:r>
      <w:proofErr w:type="spellStart"/>
      <w:r w:rsidRPr="00E7665A">
        <w:rPr>
          <w:sz w:val="22"/>
          <w:szCs w:val="22"/>
          <w:lang w:val="sr-Latn-ME"/>
        </w:rPr>
        <w:t>oboljelih</w:t>
      </w:r>
      <w:proofErr w:type="spellEnd"/>
      <w:r w:rsidRPr="00E7665A">
        <w:rPr>
          <w:sz w:val="22"/>
          <w:szCs w:val="22"/>
          <w:lang w:val="sr-Latn-ME"/>
        </w:rPr>
        <w:t xml:space="preserve"> od </w:t>
      </w:r>
      <w:proofErr w:type="spellStart"/>
      <w:r w:rsidRPr="00E7665A">
        <w:rPr>
          <w:sz w:val="22"/>
          <w:szCs w:val="22"/>
          <w:lang w:val="sr-Latn-ME"/>
        </w:rPr>
        <w:t>karcinoma</w:t>
      </w:r>
      <w:proofErr w:type="spellEnd"/>
      <w:r w:rsidRPr="00E7665A">
        <w:rPr>
          <w:sz w:val="22"/>
          <w:szCs w:val="22"/>
          <w:lang w:val="sr-Latn-ME"/>
        </w:rPr>
        <w:t xml:space="preserve"> (n=2301), pokazala je procjenu ukupnog koeficijenta rizika za preživljavanje od 1,13 u korist kontrolnih grupa (95% CI 0,87, 1,46). Kod pacijenata sa početnom vrijednošću hemoglobina manjom ili jednakom 10 g/dl (n=899), procjena koeficijenta rizika za preživljavanje bila je 0,98 (95% CI 0,68 – 1,40). U ukupnoj populaciji primijećen je povećani relativni rizik od </w:t>
      </w:r>
      <w:proofErr w:type="spellStart"/>
      <w:r w:rsidRPr="00E7665A">
        <w:rPr>
          <w:sz w:val="22"/>
          <w:szCs w:val="22"/>
          <w:lang w:val="sr-Latn-ME"/>
        </w:rPr>
        <w:t>tromboembolije</w:t>
      </w:r>
      <w:proofErr w:type="spellEnd"/>
      <w:r w:rsidRPr="00E7665A">
        <w:rPr>
          <w:sz w:val="22"/>
          <w:szCs w:val="22"/>
          <w:lang w:val="sr-Latn-ME"/>
        </w:rPr>
        <w:t xml:space="preserve"> (</w:t>
      </w:r>
      <w:proofErr w:type="spellStart"/>
      <w:r w:rsidRPr="00E7665A">
        <w:rPr>
          <w:sz w:val="22"/>
          <w:szCs w:val="22"/>
          <w:lang w:val="sr-Latn-ME"/>
        </w:rPr>
        <w:t>RR</w:t>
      </w:r>
      <w:proofErr w:type="spellEnd"/>
      <w:r w:rsidRPr="00E7665A">
        <w:rPr>
          <w:sz w:val="22"/>
          <w:szCs w:val="22"/>
          <w:lang w:val="sr-Latn-ME"/>
        </w:rPr>
        <w:t xml:space="preserve"> 1,62, 95% CI: 1,13, 2,31).</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r w:rsidRPr="00E7665A">
        <w:rPr>
          <w:sz w:val="22"/>
          <w:szCs w:val="22"/>
          <w:lang w:val="sr-Latn-ME"/>
        </w:rPr>
        <w:t>Sprovedena je analiza podataka na nivou pojedinačnog pacijenta na više od 13</w:t>
      </w:r>
      <w:r w:rsidR="008859E2" w:rsidRPr="00E7665A">
        <w:rPr>
          <w:sz w:val="22"/>
          <w:szCs w:val="22"/>
          <w:lang w:val="sr-Latn-ME"/>
        </w:rPr>
        <w:t xml:space="preserve"> </w:t>
      </w:r>
      <w:r w:rsidRPr="00E7665A">
        <w:rPr>
          <w:sz w:val="22"/>
          <w:szCs w:val="22"/>
          <w:lang w:val="sr-Latn-ME"/>
        </w:rPr>
        <w:t xml:space="preserve">900 pacijenata sa </w:t>
      </w:r>
      <w:proofErr w:type="spellStart"/>
      <w:r w:rsidRPr="00E7665A">
        <w:rPr>
          <w:sz w:val="22"/>
          <w:szCs w:val="22"/>
          <w:lang w:val="sr-Latn-ME"/>
        </w:rPr>
        <w:t>karcinomom</w:t>
      </w:r>
      <w:proofErr w:type="spellEnd"/>
      <w:r w:rsidRPr="00E7665A">
        <w:rPr>
          <w:sz w:val="22"/>
          <w:szCs w:val="22"/>
          <w:lang w:val="sr-Latn-ME"/>
        </w:rPr>
        <w:t xml:space="preserve"> (</w:t>
      </w:r>
      <w:proofErr w:type="spellStart"/>
      <w:r w:rsidRPr="00E7665A">
        <w:rPr>
          <w:sz w:val="22"/>
          <w:szCs w:val="22"/>
          <w:lang w:val="sr-Latn-ME"/>
        </w:rPr>
        <w:t>hemo</w:t>
      </w:r>
      <w:proofErr w:type="spellEnd"/>
      <w:r w:rsidRPr="00E7665A">
        <w:rPr>
          <w:sz w:val="22"/>
          <w:szCs w:val="22"/>
          <w:lang w:val="sr-Latn-ME"/>
        </w:rPr>
        <w:t xml:space="preserve">-, radio-, </w:t>
      </w:r>
      <w:proofErr w:type="spellStart"/>
      <w:r w:rsidRPr="00E7665A">
        <w:rPr>
          <w:sz w:val="22"/>
          <w:szCs w:val="22"/>
          <w:lang w:val="sr-Latn-ME"/>
        </w:rPr>
        <w:t>hemoradio</w:t>
      </w:r>
      <w:proofErr w:type="spellEnd"/>
      <w:r w:rsidRPr="00E7665A">
        <w:rPr>
          <w:sz w:val="22"/>
          <w:szCs w:val="22"/>
          <w:lang w:val="sr-Latn-ME"/>
        </w:rPr>
        <w:t xml:space="preserve">- ili bez terapije) koji su učestvovali u 53 kontrolisane kliničke studije koji su uključivali različite </w:t>
      </w:r>
      <w:proofErr w:type="spellStart"/>
      <w:r w:rsidRPr="00E7665A">
        <w:rPr>
          <w:sz w:val="22"/>
          <w:szCs w:val="22"/>
          <w:lang w:val="sr-Latn-ME"/>
        </w:rPr>
        <w:t>epoetine</w:t>
      </w:r>
      <w:proofErr w:type="spellEnd"/>
      <w:r w:rsidRPr="00E7665A">
        <w:rPr>
          <w:sz w:val="22"/>
          <w:szCs w:val="22"/>
          <w:lang w:val="sr-Latn-ME"/>
        </w:rPr>
        <w:t>.  Meta-analizom podataka o ukupnom preživljavanju,  dobila se procjena koeficijenta rizika od 1,06 u korist kontrolne grupe (95% CI: 1.00, 1.12; 53 ispitivanja i 13</w:t>
      </w:r>
      <w:r w:rsidR="008859E2" w:rsidRPr="00E7665A">
        <w:rPr>
          <w:sz w:val="22"/>
          <w:szCs w:val="22"/>
          <w:lang w:val="sr-Latn-ME"/>
        </w:rPr>
        <w:t xml:space="preserve"> </w:t>
      </w:r>
      <w:r w:rsidRPr="00E7665A">
        <w:rPr>
          <w:sz w:val="22"/>
          <w:szCs w:val="22"/>
          <w:lang w:val="sr-Latn-ME"/>
        </w:rPr>
        <w:t xml:space="preserve">933 pacijenata) i za pacijente sa </w:t>
      </w:r>
      <w:proofErr w:type="spellStart"/>
      <w:r w:rsidRPr="00E7665A">
        <w:rPr>
          <w:sz w:val="22"/>
          <w:szCs w:val="22"/>
          <w:lang w:val="sr-Latn-ME"/>
        </w:rPr>
        <w:t>karcinomom</w:t>
      </w:r>
      <w:proofErr w:type="spellEnd"/>
      <w:r w:rsidRPr="00E7665A">
        <w:rPr>
          <w:sz w:val="22"/>
          <w:szCs w:val="22"/>
          <w:lang w:val="sr-Latn-ME"/>
        </w:rPr>
        <w:t xml:space="preserve"> koji primaju </w:t>
      </w:r>
      <w:proofErr w:type="spellStart"/>
      <w:r w:rsidRPr="00E7665A">
        <w:rPr>
          <w:sz w:val="22"/>
          <w:szCs w:val="22"/>
          <w:lang w:val="sr-Latn-ME"/>
        </w:rPr>
        <w:t>hemioterapiju</w:t>
      </w:r>
      <w:proofErr w:type="spellEnd"/>
      <w:r w:rsidRPr="00E7665A">
        <w:rPr>
          <w:sz w:val="22"/>
          <w:szCs w:val="22"/>
          <w:lang w:val="sr-Latn-ME"/>
        </w:rPr>
        <w:t>, ukupni koeficijent rizika za preživljavanje je bio 1</w:t>
      </w:r>
      <w:r w:rsidR="008859E2" w:rsidRPr="00E7665A">
        <w:rPr>
          <w:sz w:val="22"/>
          <w:szCs w:val="22"/>
          <w:lang w:val="sr-Latn-ME"/>
        </w:rPr>
        <w:t>.</w:t>
      </w:r>
      <w:r w:rsidRPr="00E7665A">
        <w:rPr>
          <w:sz w:val="22"/>
          <w:szCs w:val="22"/>
          <w:lang w:val="sr-Latn-ME"/>
        </w:rPr>
        <w:t>04  (95% CI: 0.97, 1.11; 38 ispitivanja i 10 441 pacijent). Meta-analiza je tako</w:t>
      </w:r>
      <w:r w:rsidR="008859E2" w:rsidRPr="00E7665A">
        <w:rPr>
          <w:sz w:val="22"/>
          <w:szCs w:val="22"/>
          <w:lang w:val="sr-Latn-ME"/>
        </w:rPr>
        <w:t>đ</w:t>
      </w:r>
      <w:r w:rsidRPr="00E7665A">
        <w:rPr>
          <w:sz w:val="22"/>
          <w:szCs w:val="22"/>
          <w:lang w:val="sr-Latn-ME"/>
        </w:rPr>
        <w:t xml:space="preserve">e ukazala na konzistentno i značajno povećan relativni rizik od </w:t>
      </w:r>
      <w:proofErr w:type="spellStart"/>
      <w:r w:rsidRPr="00E7665A">
        <w:rPr>
          <w:sz w:val="22"/>
          <w:szCs w:val="22"/>
          <w:lang w:val="sr-Latn-ME"/>
        </w:rPr>
        <w:t>tromboembolijskih</w:t>
      </w:r>
      <w:proofErr w:type="spellEnd"/>
      <w:r w:rsidRPr="00E7665A">
        <w:rPr>
          <w:sz w:val="22"/>
          <w:szCs w:val="22"/>
          <w:lang w:val="sr-Latn-ME"/>
        </w:rPr>
        <w:t xml:space="preserve"> doga</w:t>
      </w:r>
      <w:r w:rsidR="008859E2" w:rsidRPr="00E7665A">
        <w:rPr>
          <w:sz w:val="22"/>
          <w:szCs w:val="22"/>
          <w:lang w:val="sr-Latn-ME"/>
        </w:rPr>
        <w:t>đ</w:t>
      </w:r>
      <w:r w:rsidRPr="00E7665A">
        <w:rPr>
          <w:sz w:val="22"/>
          <w:szCs w:val="22"/>
          <w:lang w:val="sr-Latn-ME"/>
        </w:rPr>
        <w:t xml:space="preserve">aja kod pacijenata sa </w:t>
      </w:r>
      <w:proofErr w:type="spellStart"/>
      <w:r w:rsidRPr="00E7665A">
        <w:rPr>
          <w:sz w:val="22"/>
          <w:szCs w:val="22"/>
          <w:lang w:val="sr-Latn-ME"/>
        </w:rPr>
        <w:t>karcinomom</w:t>
      </w:r>
      <w:proofErr w:type="spellEnd"/>
      <w:r w:rsidRPr="00E7665A">
        <w:rPr>
          <w:sz w:val="22"/>
          <w:szCs w:val="22"/>
          <w:lang w:val="sr-Latn-ME"/>
        </w:rPr>
        <w:t xml:space="preserve"> koji primaju </w:t>
      </w:r>
      <w:proofErr w:type="spellStart"/>
      <w:r w:rsidRPr="00E7665A">
        <w:rPr>
          <w:sz w:val="22"/>
          <w:szCs w:val="22"/>
          <w:lang w:val="sr-Latn-ME"/>
        </w:rPr>
        <w:t>rekombinantni</w:t>
      </w:r>
      <w:proofErr w:type="spellEnd"/>
      <w:r w:rsidRPr="00E7665A">
        <w:rPr>
          <w:sz w:val="22"/>
          <w:szCs w:val="22"/>
          <w:lang w:val="sr-Latn-ME"/>
        </w:rPr>
        <w:t xml:space="preserve"> humani </w:t>
      </w:r>
      <w:proofErr w:type="spellStart"/>
      <w:r w:rsidRPr="00E7665A">
        <w:rPr>
          <w:sz w:val="22"/>
          <w:szCs w:val="22"/>
          <w:lang w:val="sr-Latn-ME"/>
        </w:rPr>
        <w:t>eritropoetin</w:t>
      </w:r>
      <w:proofErr w:type="spellEnd"/>
      <w:r w:rsidRPr="00E7665A">
        <w:rPr>
          <w:sz w:val="22"/>
          <w:szCs w:val="22"/>
          <w:lang w:val="sr-Latn-ME"/>
        </w:rPr>
        <w:t xml:space="preserve"> (vid</w:t>
      </w:r>
      <w:r w:rsidR="00884B1E" w:rsidRPr="00E7665A">
        <w:rPr>
          <w:sz w:val="22"/>
          <w:szCs w:val="22"/>
          <w:lang w:val="sr-Latn-ME"/>
        </w:rPr>
        <w:t>jeti</w:t>
      </w:r>
      <w:r w:rsidRPr="00E7665A">
        <w:rPr>
          <w:sz w:val="22"/>
          <w:szCs w:val="22"/>
          <w:lang w:val="sr-Latn-ME"/>
        </w:rPr>
        <w:t xml:space="preserve"> dio 4.4).</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r w:rsidRPr="00E7665A">
        <w:rPr>
          <w:sz w:val="22"/>
          <w:szCs w:val="22"/>
          <w:lang w:val="sr-Latn-ME"/>
        </w:rPr>
        <w:lastRenderedPageBreak/>
        <w:t xml:space="preserve">U vrlo rijetkim slučajevima tokom terapije </w:t>
      </w:r>
      <w:proofErr w:type="spellStart"/>
      <w:r w:rsidRPr="00E7665A">
        <w:rPr>
          <w:sz w:val="22"/>
          <w:szCs w:val="22"/>
          <w:lang w:val="sr-Latn-ME"/>
        </w:rPr>
        <w:t>rekombinantnim</w:t>
      </w:r>
      <w:proofErr w:type="spellEnd"/>
      <w:r w:rsidRPr="00E7665A">
        <w:rPr>
          <w:sz w:val="22"/>
          <w:szCs w:val="22"/>
          <w:lang w:val="sr-Latn-ME"/>
        </w:rPr>
        <w:t xml:space="preserve"> humanim </w:t>
      </w:r>
      <w:proofErr w:type="spellStart"/>
      <w:r w:rsidRPr="00E7665A">
        <w:rPr>
          <w:sz w:val="22"/>
          <w:szCs w:val="22"/>
          <w:lang w:val="sr-Latn-ME"/>
        </w:rPr>
        <w:t>eritropoetinom</w:t>
      </w:r>
      <w:proofErr w:type="spellEnd"/>
      <w:r w:rsidRPr="00E7665A">
        <w:rPr>
          <w:sz w:val="22"/>
          <w:szCs w:val="22"/>
          <w:lang w:val="sr-Latn-ME"/>
        </w:rPr>
        <w:t xml:space="preserve"> (</w:t>
      </w:r>
      <w:proofErr w:type="spellStart"/>
      <w:r w:rsidRPr="00E7665A">
        <w:rPr>
          <w:sz w:val="22"/>
          <w:szCs w:val="22"/>
          <w:lang w:val="sr-Latn-ME"/>
        </w:rPr>
        <w:t>rHuEPO</w:t>
      </w:r>
      <w:proofErr w:type="spellEnd"/>
      <w:r w:rsidRPr="00E7665A">
        <w:rPr>
          <w:sz w:val="22"/>
          <w:szCs w:val="22"/>
          <w:lang w:val="sr-Latn-ME"/>
        </w:rPr>
        <w:t xml:space="preserve">) došlo je do pojave </w:t>
      </w:r>
      <w:proofErr w:type="spellStart"/>
      <w:r w:rsidRPr="00E7665A">
        <w:rPr>
          <w:sz w:val="22"/>
          <w:szCs w:val="22"/>
          <w:lang w:val="sr-Latn-ME"/>
        </w:rPr>
        <w:t>neutralizirajućih</w:t>
      </w:r>
      <w:proofErr w:type="spellEnd"/>
      <w:r w:rsidRPr="00E7665A">
        <w:rPr>
          <w:sz w:val="22"/>
          <w:szCs w:val="22"/>
          <w:lang w:val="sr-Latn-ME"/>
        </w:rPr>
        <w:t xml:space="preserve"> </w:t>
      </w:r>
      <w:proofErr w:type="spellStart"/>
      <w:r w:rsidRPr="00E7665A">
        <w:rPr>
          <w:sz w:val="22"/>
          <w:szCs w:val="22"/>
          <w:lang w:val="sr-Latn-ME"/>
        </w:rPr>
        <w:t>antieritropoetinskih</w:t>
      </w:r>
      <w:proofErr w:type="spellEnd"/>
      <w:r w:rsidRPr="00E7665A">
        <w:rPr>
          <w:sz w:val="22"/>
          <w:szCs w:val="22"/>
          <w:lang w:val="sr-Latn-ME"/>
        </w:rPr>
        <w:t xml:space="preserve"> antitijela sa ili bez izolovane </w:t>
      </w:r>
      <w:proofErr w:type="spellStart"/>
      <w:r w:rsidRPr="00E7665A">
        <w:rPr>
          <w:sz w:val="22"/>
          <w:szCs w:val="22"/>
          <w:lang w:val="sr-Latn-ME"/>
        </w:rPr>
        <w:t>aplazije</w:t>
      </w:r>
      <w:proofErr w:type="spellEnd"/>
      <w:r w:rsidRPr="00E7665A">
        <w:rPr>
          <w:sz w:val="22"/>
          <w:szCs w:val="22"/>
          <w:lang w:val="sr-Latn-ME"/>
        </w:rPr>
        <w:t xml:space="preserve"> crvene krvne loze (PRCA).</w:t>
      </w:r>
    </w:p>
    <w:p w:rsidR="00BF3E6B" w:rsidRPr="00E7665A" w:rsidRDefault="00BF3E6B" w:rsidP="00BF3E6B">
      <w:pPr>
        <w:tabs>
          <w:tab w:val="left" w:pos="540"/>
          <w:tab w:val="left" w:pos="569"/>
        </w:tabs>
        <w:jc w:val="both"/>
        <w:rPr>
          <w:b/>
          <w:bCs/>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5.2. </w:t>
      </w:r>
      <w:r w:rsidR="00480FB1" w:rsidRPr="00E7665A">
        <w:rPr>
          <w:b/>
          <w:bCs/>
          <w:sz w:val="22"/>
          <w:szCs w:val="22"/>
          <w:lang w:val="sr-Latn-ME"/>
        </w:rPr>
        <w:tab/>
      </w:r>
      <w:proofErr w:type="spellStart"/>
      <w:r w:rsidRPr="00E7665A">
        <w:rPr>
          <w:b/>
          <w:bCs/>
          <w:sz w:val="22"/>
          <w:szCs w:val="22"/>
          <w:lang w:val="sr-Latn-ME"/>
        </w:rPr>
        <w:t>Farmakokinetički</w:t>
      </w:r>
      <w:proofErr w:type="spellEnd"/>
      <w:r w:rsidRPr="00E7665A">
        <w:rPr>
          <w:b/>
          <w:bCs/>
          <w:sz w:val="22"/>
          <w:szCs w:val="22"/>
          <w:lang w:val="sr-Latn-ME"/>
        </w:rPr>
        <w:t xml:space="preserve"> podaci</w:t>
      </w:r>
      <w:r w:rsidR="003A7059" w:rsidRPr="00E7665A">
        <w:rPr>
          <w:b/>
          <w:bCs/>
          <w:sz w:val="22"/>
          <w:szCs w:val="22"/>
          <w:lang w:val="sr-Latn-ME"/>
        </w:rPr>
        <w:t xml:space="preserve"> </w:t>
      </w:r>
    </w:p>
    <w:p w:rsidR="00BF3E6B" w:rsidRPr="00E7665A" w:rsidRDefault="00BF3E6B" w:rsidP="00BF3E6B">
      <w:pPr>
        <w:tabs>
          <w:tab w:val="left" w:pos="540"/>
          <w:tab w:val="left" w:pos="569"/>
        </w:tabs>
        <w:jc w:val="both"/>
        <w:rPr>
          <w:b/>
          <w:bCs/>
          <w:sz w:val="22"/>
          <w:szCs w:val="22"/>
          <w:lang w:val="sr-Latn-ME"/>
        </w:rPr>
      </w:pPr>
    </w:p>
    <w:p w:rsidR="00BF3E6B" w:rsidRPr="00E7665A" w:rsidRDefault="00BF3E6B" w:rsidP="00BF3E6B">
      <w:pPr>
        <w:jc w:val="both"/>
        <w:rPr>
          <w:sz w:val="22"/>
          <w:szCs w:val="22"/>
          <w:lang w:val="sr-Latn-ME"/>
        </w:rPr>
      </w:pPr>
      <w:proofErr w:type="spellStart"/>
      <w:r w:rsidRPr="00E7665A">
        <w:rPr>
          <w:sz w:val="22"/>
          <w:szCs w:val="22"/>
          <w:lang w:val="sr-Latn-ME"/>
        </w:rPr>
        <w:t>Farmakokinetička</w:t>
      </w:r>
      <w:proofErr w:type="spellEnd"/>
      <w:r w:rsidRPr="00E7665A">
        <w:rPr>
          <w:sz w:val="22"/>
          <w:szCs w:val="22"/>
          <w:lang w:val="sr-Latn-ME"/>
        </w:rPr>
        <w:t xml:space="preserve"> ispitivanja na zdravim dobrovoljcima i </w:t>
      </w:r>
      <w:proofErr w:type="spellStart"/>
      <w:r w:rsidRPr="00E7665A">
        <w:rPr>
          <w:sz w:val="22"/>
          <w:szCs w:val="22"/>
          <w:lang w:val="sr-Latn-ME"/>
        </w:rPr>
        <w:t>uremičnim</w:t>
      </w:r>
      <w:proofErr w:type="spellEnd"/>
      <w:r w:rsidRPr="00E7665A">
        <w:rPr>
          <w:sz w:val="22"/>
          <w:szCs w:val="22"/>
          <w:lang w:val="sr-Latn-ME"/>
        </w:rPr>
        <w:t xml:space="preserve"> pacijentima pokazuju da je poluvrijeme eliminacije </w:t>
      </w:r>
      <w:proofErr w:type="spellStart"/>
      <w:r w:rsidRPr="00E7665A">
        <w:rPr>
          <w:sz w:val="22"/>
          <w:szCs w:val="22"/>
          <w:lang w:val="sr-Latn-ME"/>
        </w:rPr>
        <w:t>intravenski</w:t>
      </w:r>
      <w:proofErr w:type="spellEnd"/>
      <w:r w:rsidRPr="00E7665A">
        <w:rPr>
          <w:sz w:val="22"/>
          <w:szCs w:val="22"/>
          <w:lang w:val="sr-Latn-ME"/>
        </w:rPr>
        <w:t xml:space="preserve"> primijenjenog </w:t>
      </w:r>
      <w:proofErr w:type="spellStart"/>
      <w:r w:rsidRPr="00E7665A">
        <w:rPr>
          <w:sz w:val="22"/>
          <w:szCs w:val="22"/>
          <w:lang w:val="sr-Latn-ME"/>
        </w:rPr>
        <w:t>epoetina</w:t>
      </w:r>
      <w:proofErr w:type="spellEnd"/>
      <w:r w:rsidRPr="00E7665A">
        <w:rPr>
          <w:sz w:val="22"/>
          <w:szCs w:val="22"/>
          <w:lang w:val="sr-Latn-ME"/>
        </w:rPr>
        <w:t xml:space="preserve"> beta između 4 i 12 časova, kao i da volumen distribucije odgovara jednostrukoj do dvostrukoj zapremini plazme. Analogni rezultati su utvrđeni eksperimentima na životinjama, kod </w:t>
      </w:r>
      <w:proofErr w:type="spellStart"/>
      <w:r w:rsidRPr="00E7665A">
        <w:rPr>
          <w:sz w:val="22"/>
          <w:szCs w:val="22"/>
          <w:lang w:val="sr-Latn-ME"/>
        </w:rPr>
        <w:t>uremičnih</w:t>
      </w:r>
      <w:proofErr w:type="spellEnd"/>
      <w:r w:rsidRPr="00E7665A">
        <w:rPr>
          <w:sz w:val="22"/>
          <w:szCs w:val="22"/>
          <w:lang w:val="sr-Latn-ME"/>
        </w:rPr>
        <w:t xml:space="preserve"> i normalnih pacova. </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r w:rsidRPr="00E7665A">
        <w:rPr>
          <w:sz w:val="22"/>
          <w:szCs w:val="22"/>
          <w:lang w:val="sr-Latn-ME"/>
        </w:rPr>
        <w:t xml:space="preserve">Nakon </w:t>
      </w:r>
      <w:proofErr w:type="spellStart"/>
      <w:r w:rsidRPr="00E7665A">
        <w:rPr>
          <w:sz w:val="22"/>
          <w:szCs w:val="22"/>
          <w:lang w:val="sr-Latn-ME"/>
        </w:rPr>
        <w:t>su</w:t>
      </w:r>
      <w:r w:rsidR="003A4602" w:rsidRPr="00E7665A">
        <w:rPr>
          <w:sz w:val="22"/>
          <w:szCs w:val="22"/>
          <w:lang w:val="sr-Latn-ME"/>
        </w:rPr>
        <w:t>b</w:t>
      </w:r>
      <w:r w:rsidRPr="00E7665A">
        <w:rPr>
          <w:sz w:val="22"/>
          <w:szCs w:val="22"/>
          <w:lang w:val="sr-Latn-ME"/>
        </w:rPr>
        <w:t>kutane</w:t>
      </w:r>
      <w:proofErr w:type="spellEnd"/>
      <w:r w:rsidRPr="00E7665A">
        <w:rPr>
          <w:sz w:val="22"/>
          <w:szCs w:val="22"/>
          <w:lang w:val="sr-Latn-ME"/>
        </w:rPr>
        <w:t xml:space="preserve"> primjene </w:t>
      </w:r>
      <w:proofErr w:type="spellStart"/>
      <w:r w:rsidRPr="00E7665A">
        <w:rPr>
          <w:sz w:val="22"/>
          <w:szCs w:val="22"/>
          <w:lang w:val="sr-Latn-ME"/>
        </w:rPr>
        <w:t>epoetina</w:t>
      </w:r>
      <w:proofErr w:type="spellEnd"/>
      <w:r w:rsidRPr="00E7665A">
        <w:rPr>
          <w:sz w:val="22"/>
          <w:szCs w:val="22"/>
          <w:lang w:val="sr-Latn-ME"/>
        </w:rPr>
        <w:t xml:space="preserve"> beta u </w:t>
      </w:r>
      <w:proofErr w:type="spellStart"/>
      <w:r w:rsidRPr="00E7665A">
        <w:rPr>
          <w:sz w:val="22"/>
          <w:szCs w:val="22"/>
          <w:lang w:val="sr-Latn-ME"/>
        </w:rPr>
        <w:t>uremičnih</w:t>
      </w:r>
      <w:proofErr w:type="spellEnd"/>
      <w:r w:rsidRPr="00E7665A">
        <w:rPr>
          <w:sz w:val="22"/>
          <w:szCs w:val="22"/>
          <w:lang w:val="sr-Latn-ME"/>
        </w:rPr>
        <w:t xml:space="preserve"> pacijenata, produžena resorpcija rezultira </w:t>
      </w:r>
      <w:proofErr w:type="spellStart"/>
      <w:r w:rsidRPr="00E7665A">
        <w:rPr>
          <w:sz w:val="22"/>
          <w:szCs w:val="22"/>
          <w:lang w:val="sr-Latn-ME"/>
        </w:rPr>
        <w:t>koncentracijskim</w:t>
      </w:r>
      <w:proofErr w:type="spellEnd"/>
      <w:r w:rsidRPr="00E7665A">
        <w:rPr>
          <w:sz w:val="22"/>
          <w:szCs w:val="22"/>
          <w:lang w:val="sr-Latn-ME"/>
        </w:rPr>
        <w:t xml:space="preserve"> platoom u serumu, zbog čega se maksimalne koncentracije dostižu u prosjeku nakon 12 – 28 časova. Terminalno poluvrijeme eliminacije je duže nego kod </w:t>
      </w:r>
      <w:proofErr w:type="spellStart"/>
      <w:r w:rsidRPr="00E7665A">
        <w:rPr>
          <w:sz w:val="22"/>
          <w:szCs w:val="22"/>
          <w:lang w:val="sr-Latn-ME"/>
        </w:rPr>
        <w:t>intravenske</w:t>
      </w:r>
      <w:proofErr w:type="spellEnd"/>
      <w:r w:rsidRPr="00E7665A">
        <w:rPr>
          <w:sz w:val="22"/>
          <w:szCs w:val="22"/>
          <w:lang w:val="sr-Latn-ME"/>
        </w:rPr>
        <w:t xml:space="preserve"> primjene, s prosjekom od 13 – 28 časova. </w:t>
      </w:r>
    </w:p>
    <w:p w:rsidR="00BF3E6B" w:rsidRPr="00E7665A" w:rsidRDefault="00BF3E6B" w:rsidP="00BF3E6B">
      <w:pPr>
        <w:jc w:val="both"/>
        <w:rPr>
          <w:sz w:val="22"/>
          <w:szCs w:val="22"/>
          <w:lang w:val="sr-Latn-ME"/>
        </w:rPr>
      </w:pPr>
    </w:p>
    <w:p w:rsidR="00BF3E6B" w:rsidRPr="00E7665A" w:rsidRDefault="00BF3E6B" w:rsidP="00BF3E6B">
      <w:pPr>
        <w:jc w:val="both"/>
        <w:rPr>
          <w:sz w:val="22"/>
          <w:szCs w:val="22"/>
          <w:lang w:val="sr-Latn-ME"/>
        </w:rPr>
      </w:pPr>
      <w:proofErr w:type="spellStart"/>
      <w:r w:rsidRPr="00E7665A">
        <w:rPr>
          <w:sz w:val="22"/>
          <w:szCs w:val="22"/>
          <w:lang w:val="sr-Latn-ME"/>
        </w:rPr>
        <w:t>Bioraspoloživost</w:t>
      </w:r>
      <w:proofErr w:type="spellEnd"/>
      <w:r w:rsidRPr="00E7665A">
        <w:rPr>
          <w:sz w:val="22"/>
          <w:szCs w:val="22"/>
          <w:lang w:val="sr-Latn-ME"/>
        </w:rPr>
        <w:t xml:space="preserve"> </w:t>
      </w:r>
      <w:proofErr w:type="spellStart"/>
      <w:r w:rsidRPr="00E7665A">
        <w:rPr>
          <w:sz w:val="22"/>
          <w:szCs w:val="22"/>
          <w:lang w:val="sr-Latn-ME"/>
        </w:rPr>
        <w:t>epoetina</w:t>
      </w:r>
      <w:proofErr w:type="spellEnd"/>
      <w:r w:rsidRPr="00E7665A">
        <w:rPr>
          <w:sz w:val="22"/>
          <w:szCs w:val="22"/>
          <w:lang w:val="sr-Latn-ME"/>
        </w:rPr>
        <w:t xml:space="preserve"> beta nakon </w:t>
      </w:r>
      <w:proofErr w:type="spellStart"/>
      <w:r w:rsidRPr="00E7665A">
        <w:rPr>
          <w:sz w:val="22"/>
          <w:szCs w:val="22"/>
          <w:lang w:val="sr-Latn-ME"/>
        </w:rPr>
        <w:t>subkutane</w:t>
      </w:r>
      <w:proofErr w:type="spellEnd"/>
      <w:r w:rsidRPr="00E7665A">
        <w:rPr>
          <w:sz w:val="22"/>
          <w:szCs w:val="22"/>
          <w:lang w:val="sr-Latn-ME"/>
        </w:rPr>
        <w:t xml:space="preserve"> primjene iznosi između 23 i 42% u poređenju sa </w:t>
      </w:r>
      <w:proofErr w:type="spellStart"/>
      <w:r w:rsidRPr="00E7665A">
        <w:rPr>
          <w:sz w:val="22"/>
          <w:szCs w:val="22"/>
          <w:lang w:val="sr-Latn-ME"/>
        </w:rPr>
        <w:t>intravenskom</w:t>
      </w:r>
      <w:proofErr w:type="spellEnd"/>
      <w:r w:rsidRPr="00E7665A">
        <w:rPr>
          <w:sz w:val="22"/>
          <w:szCs w:val="22"/>
          <w:lang w:val="sr-Latn-ME"/>
        </w:rPr>
        <w:t xml:space="preserve"> primjenom. </w:t>
      </w:r>
    </w:p>
    <w:p w:rsidR="0072020E" w:rsidRPr="00E7665A" w:rsidRDefault="0072020E" w:rsidP="00BF3E6B">
      <w:pPr>
        <w:tabs>
          <w:tab w:val="left" w:pos="540"/>
          <w:tab w:val="left" w:pos="569"/>
        </w:tabs>
        <w:jc w:val="both"/>
        <w:rPr>
          <w:bCs/>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5.3. </w:t>
      </w:r>
      <w:r w:rsidR="00480FB1" w:rsidRPr="00E7665A">
        <w:rPr>
          <w:b/>
          <w:bCs/>
          <w:sz w:val="22"/>
          <w:szCs w:val="22"/>
          <w:lang w:val="sr-Latn-ME"/>
        </w:rPr>
        <w:tab/>
      </w:r>
      <w:proofErr w:type="spellStart"/>
      <w:r w:rsidRPr="00E7665A">
        <w:rPr>
          <w:b/>
          <w:bCs/>
          <w:sz w:val="22"/>
          <w:szCs w:val="22"/>
          <w:lang w:val="sr-Latn-ME"/>
        </w:rPr>
        <w:t>Pretklinički</w:t>
      </w:r>
      <w:proofErr w:type="spellEnd"/>
      <w:r w:rsidRPr="00E7665A">
        <w:rPr>
          <w:b/>
          <w:bCs/>
          <w:sz w:val="22"/>
          <w:szCs w:val="22"/>
          <w:lang w:val="sr-Latn-ME"/>
        </w:rPr>
        <w:t xml:space="preserve"> podaci o bezbjednosti </w:t>
      </w:r>
    </w:p>
    <w:p w:rsidR="00836B35" w:rsidRPr="00E7665A" w:rsidRDefault="00836B35" w:rsidP="00BF3E6B">
      <w:pPr>
        <w:tabs>
          <w:tab w:val="left" w:pos="540"/>
          <w:tab w:val="left" w:pos="569"/>
        </w:tabs>
        <w:jc w:val="both"/>
        <w:rPr>
          <w:bCs/>
          <w:sz w:val="22"/>
          <w:szCs w:val="22"/>
          <w:lang w:val="sr-Latn-ME"/>
        </w:rPr>
      </w:pPr>
    </w:p>
    <w:p w:rsidR="00BF3E6B" w:rsidRPr="00E7665A" w:rsidRDefault="00BF3E6B" w:rsidP="00BF3E6B">
      <w:pPr>
        <w:jc w:val="both"/>
        <w:rPr>
          <w:sz w:val="22"/>
          <w:szCs w:val="22"/>
          <w:lang w:val="sr-Latn-ME"/>
        </w:rPr>
      </w:pPr>
      <w:proofErr w:type="spellStart"/>
      <w:r w:rsidRPr="00E7665A">
        <w:rPr>
          <w:sz w:val="22"/>
          <w:szCs w:val="22"/>
          <w:lang w:val="sr-Latn-ME"/>
        </w:rPr>
        <w:t>Pretklinički</w:t>
      </w:r>
      <w:proofErr w:type="spellEnd"/>
      <w:r w:rsidRPr="00E7665A">
        <w:rPr>
          <w:sz w:val="22"/>
          <w:szCs w:val="22"/>
          <w:lang w:val="sr-Latn-ME"/>
        </w:rPr>
        <w:t xml:space="preserve"> podaci dobijeni na osnovu uobičajenih studija farmakološke bezbjednosti, toksičnosti </w:t>
      </w:r>
      <w:r w:rsidR="00760C9C" w:rsidRPr="00E7665A">
        <w:rPr>
          <w:sz w:val="22"/>
          <w:szCs w:val="22"/>
          <w:lang w:val="sr-Latn-ME"/>
        </w:rPr>
        <w:t xml:space="preserve"> </w:t>
      </w:r>
      <w:r w:rsidRPr="00E7665A">
        <w:rPr>
          <w:sz w:val="22"/>
          <w:szCs w:val="22"/>
          <w:lang w:val="sr-Latn-ME"/>
        </w:rPr>
        <w:t xml:space="preserve">ponovljenih doza, </w:t>
      </w:r>
      <w:proofErr w:type="spellStart"/>
      <w:r w:rsidRPr="00E7665A">
        <w:rPr>
          <w:sz w:val="22"/>
          <w:szCs w:val="22"/>
          <w:lang w:val="sr-Latn-ME"/>
        </w:rPr>
        <w:t>genotoksičnosti</w:t>
      </w:r>
      <w:proofErr w:type="spellEnd"/>
      <w:r w:rsidRPr="00E7665A">
        <w:rPr>
          <w:sz w:val="22"/>
          <w:szCs w:val="22"/>
          <w:lang w:val="sr-Latn-ME"/>
        </w:rPr>
        <w:t xml:space="preserve"> i reproduktivne toksičnosti ne ukazuju na mogućnost bilo kakve posebne opasnosti po </w:t>
      </w:r>
      <w:proofErr w:type="spellStart"/>
      <w:r w:rsidRPr="00E7665A">
        <w:rPr>
          <w:sz w:val="22"/>
          <w:szCs w:val="22"/>
          <w:lang w:val="sr-Latn-ME"/>
        </w:rPr>
        <w:t>ljude</w:t>
      </w:r>
      <w:proofErr w:type="spellEnd"/>
      <w:r w:rsidRPr="00E7665A">
        <w:rPr>
          <w:sz w:val="22"/>
          <w:szCs w:val="22"/>
          <w:lang w:val="sr-Latn-ME"/>
        </w:rPr>
        <w:t>.</w:t>
      </w:r>
    </w:p>
    <w:p w:rsidR="00BF3E6B" w:rsidRPr="00E7665A" w:rsidRDefault="00BF3E6B" w:rsidP="00BF3E6B">
      <w:pPr>
        <w:jc w:val="both"/>
        <w:rPr>
          <w:sz w:val="22"/>
          <w:szCs w:val="22"/>
          <w:lang w:val="sr-Latn-ME"/>
        </w:rPr>
      </w:pPr>
      <w:r w:rsidRPr="00E7665A">
        <w:rPr>
          <w:sz w:val="22"/>
          <w:szCs w:val="22"/>
          <w:lang w:val="sr-Latn-ME"/>
        </w:rPr>
        <w:t xml:space="preserve">Studija kancerogenosti homolognog </w:t>
      </w:r>
      <w:proofErr w:type="spellStart"/>
      <w:r w:rsidRPr="00E7665A">
        <w:rPr>
          <w:sz w:val="22"/>
          <w:szCs w:val="22"/>
          <w:lang w:val="sr-Latn-ME"/>
        </w:rPr>
        <w:t>eritropoetina</w:t>
      </w:r>
      <w:proofErr w:type="spellEnd"/>
      <w:r w:rsidRPr="00E7665A">
        <w:rPr>
          <w:sz w:val="22"/>
          <w:szCs w:val="22"/>
          <w:lang w:val="sr-Latn-ME"/>
        </w:rPr>
        <w:t xml:space="preserve"> na miševima nije pokazala nikakve znakove </w:t>
      </w:r>
      <w:proofErr w:type="spellStart"/>
      <w:r w:rsidRPr="00E7665A">
        <w:rPr>
          <w:sz w:val="22"/>
          <w:szCs w:val="22"/>
          <w:lang w:val="sr-Latn-ME"/>
        </w:rPr>
        <w:t>proliferativnog</w:t>
      </w:r>
      <w:proofErr w:type="spellEnd"/>
      <w:r w:rsidRPr="00E7665A">
        <w:rPr>
          <w:sz w:val="22"/>
          <w:szCs w:val="22"/>
          <w:lang w:val="sr-Latn-ME"/>
        </w:rPr>
        <w:t xml:space="preserve"> ili </w:t>
      </w:r>
      <w:proofErr w:type="spellStart"/>
      <w:r w:rsidRPr="00E7665A">
        <w:rPr>
          <w:sz w:val="22"/>
          <w:szCs w:val="22"/>
          <w:lang w:val="sr-Latn-ME"/>
        </w:rPr>
        <w:t>tumorogenog</w:t>
      </w:r>
      <w:proofErr w:type="spellEnd"/>
      <w:r w:rsidRPr="00E7665A">
        <w:rPr>
          <w:sz w:val="22"/>
          <w:szCs w:val="22"/>
          <w:lang w:val="sr-Latn-ME"/>
        </w:rPr>
        <w:t xml:space="preserve"> potencijala.</w:t>
      </w:r>
    </w:p>
    <w:p w:rsidR="00760C9C" w:rsidRPr="00E7665A" w:rsidRDefault="00760C9C" w:rsidP="00BF3E6B">
      <w:pPr>
        <w:jc w:val="both"/>
        <w:rPr>
          <w:sz w:val="22"/>
          <w:szCs w:val="22"/>
          <w:lang w:val="sr-Latn-ME"/>
        </w:rPr>
      </w:pPr>
    </w:p>
    <w:p w:rsidR="00396DFD" w:rsidRPr="00E7665A" w:rsidRDefault="00396DFD" w:rsidP="00BF3E6B">
      <w:pPr>
        <w:tabs>
          <w:tab w:val="left" w:pos="540"/>
          <w:tab w:val="left" w:pos="569"/>
        </w:tabs>
        <w:jc w:val="both"/>
        <w:rPr>
          <w:b/>
          <w:bCs/>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6. </w:t>
      </w:r>
      <w:r w:rsidR="00480FB1" w:rsidRPr="00E7665A">
        <w:rPr>
          <w:b/>
          <w:bCs/>
          <w:sz w:val="22"/>
          <w:szCs w:val="22"/>
          <w:lang w:val="sr-Latn-ME"/>
        </w:rPr>
        <w:tab/>
      </w:r>
      <w:r w:rsidRPr="00E7665A">
        <w:rPr>
          <w:b/>
          <w:bCs/>
          <w:sz w:val="22"/>
          <w:szCs w:val="22"/>
          <w:lang w:val="sr-Latn-ME"/>
        </w:rPr>
        <w:t>FARMACEUTSKI PODACI</w:t>
      </w:r>
    </w:p>
    <w:p w:rsidR="00836B35" w:rsidRPr="00E7665A" w:rsidRDefault="00836B35" w:rsidP="00BF3E6B">
      <w:pPr>
        <w:tabs>
          <w:tab w:val="left" w:pos="540"/>
          <w:tab w:val="left" w:pos="569"/>
        </w:tabs>
        <w:jc w:val="both"/>
        <w:rPr>
          <w:bCs/>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6.1. </w:t>
      </w:r>
      <w:r w:rsidR="00480FB1" w:rsidRPr="00E7665A">
        <w:rPr>
          <w:b/>
          <w:bCs/>
          <w:sz w:val="22"/>
          <w:szCs w:val="22"/>
          <w:lang w:val="sr-Latn-ME"/>
        </w:rPr>
        <w:tab/>
      </w:r>
      <w:r w:rsidRPr="00E7665A">
        <w:rPr>
          <w:b/>
          <w:bCs/>
          <w:sz w:val="22"/>
          <w:szCs w:val="22"/>
          <w:lang w:val="sr-Latn-ME"/>
        </w:rPr>
        <w:t>Lista pomoćnih supstanci</w:t>
      </w:r>
      <w:r w:rsidR="002E0135" w:rsidRPr="00E7665A">
        <w:rPr>
          <w:b/>
          <w:bCs/>
          <w:sz w:val="22"/>
          <w:szCs w:val="22"/>
          <w:lang w:val="sr-Latn-ME"/>
        </w:rPr>
        <w:t xml:space="preserve"> (</w:t>
      </w:r>
      <w:proofErr w:type="spellStart"/>
      <w:r w:rsidR="002E0135" w:rsidRPr="00E7665A">
        <w:rPr>
          <w:b/>
          <w:bCs/>
          <w:sz w:val="22"/>
          <w:szCs w:val="22"/>
          <w:lang w:val="sr-Latn-ME"/>
        </w:rPr>
        <w:t>ekscipijenasa</w:t>
      </w:r>
      <w:proofErr w:type="spellEnd"/>
      <w:r w:rsidR="002E0135" w:rsidRPr="00E7665A">
        <w:rPr>
          <w:b/>
          <w:bCs/>
          <w:sz w:val="22"/>
          <w:szCs w:val="22"/>
          <w:lang w:val="sr-Latn-ME"/>
        </w:rPr>
        <w:t>)</w:t>
      </w:r>
    </w:p>
    <w:p w:rsidR="0072020E" w:rsidRPr="00E7665A" w:rsidRDefault="0072020E" w:rsidP="00BF3E6B">
      <w:pPr>
        <w:tabs>
          <w:tab w:val="left" w:pos="540"/>
          <w:tab w:val="left" w:pos="569"/>
        </w:tabs>
        <w:jc w:val="both"/>
        <w:rPr>
          <w:bCs/>
          <w:sz w:val="22"/>
          <w:szCs w:val="22"/>
          <w:lang w:val="sr-Latn-ME"/>
        </w:rPr>
      </w:pPr>
    </w:p>
    <w:p w:rsidR="00BF3E6B" w:rsidRPr="00E7665A" w:rsidRDefault="00BF3E6B" w:rsidP="00BF3E6B">
      <w:pPr>
        <w:tabs>
          <w:tab w:val="left" w:pos="540"/>
          <w:tab w:val="left" w:pos="569"/>
        </w:tabs>
        <w:jc w:val="both"/>
        <w:rPr>
          <w:bCs/>
          <w:sz w:val="22"/>
          <w:szCs w:val="22"/>
          <w:lang w:val="sr-Latn-ME"/>
        </w:rPr>
      </w:pPr>
      <w:proofErr w:type="spellStart"/>
      <w:r w:rsidRPr="00E7665A">
        <w:rPr>
          <w:bCs/>
          <w:sz w:val="22"/>
          <w:szCs w:val="22"/>
          <w:lang w:val="sr-Latn-ME"/>
        </w:rPr>
        <w:t>Urea</w:t>
      </w:r>
      <w:proofErr w:type="spellEnd"/>
      <w:r w:rsidRPr="00E7665A">
        <w:rPr>
          <w:bCs/>
          <w:sz w:val="22"/>
          <w:szCs w:val="22"/>
          <w:lang w:val="sr-Latn-ME"/>
        </w:rPr>
        <w:t>,</w:t>
      </w:r>
    </w:p>
    <w:p w:rsidR="00BF3E6B" w:rsidRPr="00E7665A" w:rsidRDefault="00BF3E6B" w:rsidP="00BF3E6B">
      <w:pPr>
        <w:tabs>
          <w:tab w:val="left" w:pos="540"/>
          <w:tab w:val="left" w:pos="569"/>
        </w:tabs>
        <w:jc w:val="both"/>
        <w:rPr>
          <w:bCs/>
          <w:sz w:val="22"/>
          <w:szCs w:val="22"/>
          <w:lang w:val="sr-Latn-ME"/>
        </w:rPr>
      </w:pPr>
      <w:r w:rsidRPr="00E7665A">
        <w:rPr>
          <w:bCs/>
          <w:sz w:val="22"/>
          <w:szCs w:val="22"/>
          <w:lang w:val="sr-Latn-ME"/>
        </w:rPr>
        <w:t>Natrijum hlorid</w:t>
      </w:r>
      <w:r w:rsidR="003A4602" w:rsidRPr="00E7665A">
        <w:rPr>
          <w:bCs/>
          <w:sz w:val="22"/>
          <w:szCs w:val="22"/>
          <w:lang w:val="sr-Latn-ME"/>
        </w:rPr>
        <w:t>,</w:t>
      </w:r>
    </w:p>
    <w:p w:rsidR="00BF3E6B" w:rsidRPr="00E7665A" w:rsidRDefault="00BF3E6B" w:rsidP="00BF3E6B">
      <w:pPr>
        <w:tabs>
          <w:tab w:val="left" w:pos="540"/>
          <w:tab w:val="left" w:pos="569"/>
        </w:tabs>
        <w:jc w:val="both"/>
        <w:rPr>
          <w:bCs/>
          <w:sz w:val="22"/>
          <w:szCs w:val="22"/>
          <w:lang w:val="sr-Latn-ME"/>
        </w:rPr>
      </w:pPr>
      <w:proofErr w:type="spellStart"/>
      <w:r w:rsidRPr="00E7665A">
        <w:rPr>
          <w:bCs/>
          <w:sz w:val="22"/>
          <w:szCs w:val="22"/>
          <w:lang w:val="sr-Latn-ME"/>
        </w:rPr>
        <w:t>Polisorbat</w:t>
      </w:r>
      <w:proofErr w:type="spellEnd"/>
      <w:r w:rsidRPr="00E7665A">
        <w:rPr>
          <w:bCs/>
          <w:sz w:val="22"/>
          <w:szCs w:val="22"/>
          <w:lang w:val="sr-Latn-ME"/>
        </w:rPr>
        <w:t xml:space="preserve"> 20,</w:t>
      </w:r>
    </w:p>
    <w:p w:rsidR="00BF3E6B" w:rsidRPr="00E7665A" w:rsidRDefault="00BF3E6B" w:rsidP="00BF3E6B">
      <w:pPr>
        <w:tabs>
          <w:tab w:val="left" w:pos="540"/>
          <w:tab w:val="left" w:pos="569"/>
        </w:tabs>
        <w:jc w:val="both"/>
        <w:rPr>
          <w:bCs/>
          <w:sz w:val="22"/>
          <w:szCs w:val="22"/>
          <w:lang w:val="sr-Latn-ME"/>
        </w:rPr>
      </w:pPr>
      <w:r w:rsidRPr="00E7665A">
        <w:rPr>
          <w:bCs/>
          <w:sz w:val="22"/>
          <w:szCs w:val="22"/>
          <w:lang w:val="sr-Latn-ME"/>
        </w:rPr>
        <w:t xml:space="preserve">Natrijum </w:t>
      </w:r>
      <w:proofErr w:type="spellStart"/>
      <w:r w:rsidRPr="00E7665A">
        <w:rPr>
          <w:bCs/>
          <w:sz w:val="22"/>
          <w:szCs w:val="22"/>
          <w:lang w:val="sr-Latn-ME"/>
        </w:rPr>
        <w:t>dihidrogen</w:t>
      </w:r>
      <w:proofErr w:type="spellEnd"/>
      <w:r w:rsidRPr="00E7665A">
        <w:rPr>
          <w:bCs/>
          <w:sz w:val="22"/>
          <w:szCs w:val="22"/>
          <w:lang w:val="sr-Latn-ME"/>
        </w:rPr>
        <w:t xml:space="preserve"> fosfat </w:t>
      </w:r>
      <w:proofErr w:type="spellStart"/>
      <w:r w:rsidRPr="00E7665A">
        <w:rPr>
          <w:bCs/>
          <w:sz w:val="22"/>
          <w:szCs w:val="22"/>
          <w:lang w:val="sr-Latn-ME"/>
        </w:rPr>
        <w:t>dihidrat</w:t>
      </w:r>
      <w:proofErr w:type="spellEnd"/>
      <w:r w:rsidR="00993A2B" w:rsidRPr="00E7665A">
        <w:rPr>
          <w:bCs/>
          <w:sz w:val="22"/>
          <w:szCs w:val="22"/>
          <w:lang w:val="sr-Latn-ME"/>
        </w:rPr>
        <w:t>,</w:t>
      </w:r>
    </w:p>
    <w:p w:rsidR="00BF3E6B" w:rsidRPr="00E7665A" w:rsidRDefault="00BF3E6B" w:rsidP="00BF3E6B">
      <w:pPr>
        <w:tabs>
          <w:tab w:val="left" w:pos="540"/>
          <w:tab w:val="left" w:pos="569"/>
        </w:tabs>
        <w:jc w:val="both"/>
        <w:rPr>
          <w:bCs/>
          <w:sz w:val="22"/>
          <w:szCs w:val="22"/>
          <w:lang w:val="sr-Latn-ME"/>
        </w:rPr>
      </w:pPr>
      <w:proofErr w:type="spellStart"/>
      <w:r w:rsidRPr="00E7665A">
        <w:rPr>
          <w:bCs/>
          <w:sz w:val="22"/>
          <w:szCs w:val="22"/>
          <w:lang w:val="sr-Latn-ME"/>
        </w:rPr>
        <w:t>Dinatrijum</w:t>
      </w:r>
      <w:proofErr w:type="spellEnd"/>
      <w:r w:rsidRPr="00E7665A">
        <w:rPr>
          <w:bCs/>
          <w:sz w:val="22"/>
          <w:szCs w:val="22"/>
          <w:lang w:val="sr-Latn-ME"/>
        </w:rPr>
        <w:t xml:space="preserve"> </w:t>
      </w:r>
      <w:r w:rsidR="00993A2B" w:rsidRPr="00E7665A">
        <w:rPr>
          <w:bCs/>
          <w:sz w:val="22"/>
          <w:szCs w:val="22"/>
          <w:lang w:val="sr-Latn-ME"/>
        </w:rPr>
        <w:t xml:space="preserve">hidrogen </w:t>
      </w:r>
      <w:r w:rsidRPr="00E7665A">
        <w:rPr>
          <w:bCs/>
          <w:sz w:val="22"/>
          <w:szCs w:val="22"/>
          <w:lang w:val="sr-Latn-ME"/>
        </w:rPr>
        <w:t xml:space="preserve">fosfat </w:t>
      </w:r>
      <w:proofErr w:type="spellStart"/>
      <w:r w:rsidRPr="00E7665A">
        <w:rPr>
          <w:bCs/>
          <w:sz w:val="22"/>
          <w:szCs w:val="22"/>
          <w:lang w:val="sr-Latn-ME"/>
        </w:rPr>
        <w:t>dodekahidrat</w:t>
      </w:r>
      <w:proofErr w:type="spellEnd"/>
      <w:r w:rsidRPr="00E7665A">
        <w:rPr>
          <w:bCs/>
          <w:sz w:val="22"/>
          <w:szCs w:val="22"/>
          <w:lang w:val="sr-Latn-ME"/>
        </w:rPr>
        <w:t>,</w:t>
      </w:r>
    </w:p>
    <w:p w:rsidR="00BF3E6B" w:rsidRPr="00E7665A" w:rsidRDefault="00BF3E6B" w:rsidP="00BF3E6B">
      <w:pPr>
        <w:tabs>
          <w:tab w:val="left" w:pos="540"/>
          <w:tab w:val="left" w:pos="569"/>
        </w:tabs>
        <w:jc w:val="both"/>
        <w:rPr>
          <w:bCs/>
          <w:sz w:val="22"/>
          <w:szCs w:val="22"/>
          <w:lang w:val="sr-Latn-ME"/>
        </w:rPr>
      </w:pPr>
      <w:r w:rsidRPr="00E7665A">
        <w:rPr>
          <w:bCs/>
          <w:sz w:val="22"/>
          <w:szCs w:val="22"/>
          <w:lang w:val="sr-Latn-ME"/>
        </w:rPr>
        <w:t xml:space="preserve">Kalcijum hlorid </w:t>
      </w:r>
      <w:proofErr w:type="spellStart"/>
      <w:r w:rsidRPr="00E7665A">
        <w:rPr>
          <w:bCs/>
          <w:sz w:val="22"/>
          <w:szCs w:val="22"/>
          <w:lang w:val="sr-Latn-ME"/>
        </w:rPr>
        <w:t>dihidrat</w:t>
      </w:r>
      <w:proofErr w:type="spellEnd"/>
      <w:r w:rsidRPr="00E7665A">
        <w:rPr>
          <w:bCs/>
          <w:sz w:val="22"/>
          <w:szCs w:val="22"/>
          <w:lang w:val="sr-Latn-ME"/>
        </w:rPr>
        <w:t>,</w:t>
      </w:r>
    </w:p>
    <w:p w:rsidR="00BF3E6B" w:rsidRPr="00E7665A" w:rsidRDefault="00BF3E6B" w:rsidP="00BF3E6B">
      <w:pPr>
        <w:tabs>
          <w:tab w:val="left" w:pos="540"/>
          <w:tab w:val="left" w:pos="569"/>
        </w:tabs>
        <w:jc w:val="both"/>
        <w:rPr>
          <w:bCs/>
          <w:sz w:val="22"/>
          <w:szCs w:val="22"/>
          <w:lang w:val="sr-Latn-ME"/>
        </w:rPr>
      </w:pPr>
      <w:proofErr w:type="spellStart"/>
      <w:r w:rsidRPr="00E7665A">
        <w:rPr>
          <w:bCs/>
          <w:sz w:val="22"/>
          <w:szCs w:val="22"/>
          <w:lang w:val="sr-Latn-ME"/>
        </w:rPr>
        <w:t>Glicin</w:t>
      </w:r>
      <w:proofErr w:type="spellEnd"/>
      <w:r w:rsidRPr="00E7665A">
        <w:rPr>
          <w:bCs/>
          <w:sz w:val="22"/>
          <w:szCs w:val="22"/>
          <w:lang w:val="sr-Latn-ME"/>
        </w:rPr>
        <w:t>,</w:t>
      </w:r>
    </w:p>
    <w:p w:rsidR="00BF3E6B" w:rsidRPr="00E7665A" w:rsidRDefault="00BF3E6B" w:rsidP="00BF3E6B">
      <w:pPr>
        <w:tabs>
          <w:tab w:val="left" w:pos="540"/>
          <w:tab w:val="left" w:pos="569"/>
        </w:tabs>
        <w:jc w:val="both"/>
        <w:rPr>
          <w:bCs/>
          <w:sz w:val="22"/>
          <w:szCs w:val="22"/>
          <w:lang w:val="sr-Latn-ME"/>
        </w:rPr>
      </w:pPr>
      <w:r w:rsidRPr="00E7665A">
        <w:rPr>
          <w:bCs/>
          <w:sz w:val="22"/>
          <w:szCs w:val="22"/>
          <w:lang w:val="sr-Latn-ME"/>
        </w:rPr>
        <w:t>L- leucin,</w:t>
      </w:r>
    </w:p>
    <w:p w:rsidR="00BF3E6B" w:rsidRPr="00E7665A" w:rsidRDefault="00BF3E6B" w:rsidP="00BF3E6B">
      <w:pPr>
        <w:tabs>
          <w:tab w:val="left" w:pos="540"/>
          <w:tab w:val="left" w:pos="569"/>
        </w:tabs>
        <w:jc w:val="both"/>
        <w:rPr>
          <w:bCs/>
          <w:sz w:val="22"/>
          <w:szCs w:val="22"/>
          <w:lang w:val="sr-Latn-ME"/>
        </w:rPr>
      </w:pPr>
      <w:r w:rsidRPr="00E7665A">
        <w:rPr>
          <w:bCs/>
          <w:sz w:val="22"/>
          <w:szCs w:val="22"/>
          <w:lang w:val="sr-Latn-ME"/>
        </w:rPr>
        <w:t xml:space="preserve">L- </w:t>
      </w:r>
      <w:proofErr w:type="spellStart"/>
      <w:r w:rsidRPr="00E7665A">
        <w:rPr>
          <w:bCs/>
          <w:sz w:val="22"/>
          <w:szCs w:val="22"/>
          <w:lang w:val="sr-Latn-ME"/>
        </w:rPr>
        <w:t>izoleucin</w:t>
      </w:r>
      <w:proofErr w:type="spellEnd"/>
      <w:r w:rsidRPr="00E7665A">
        <w:rPr>
          <w:bCs/>
          <w:sz w:val="22"/>
          <w:szCs w:val="22"/>
          <w:lang w:val="sr-Latn-ME"/>
        </w:rPr>
        <w:t>,</w:t>
      </w:r>
    </w:p>
    <w:p w:rsidR="00BF3E6B" w:rsidRPr="00E7665A" w:rsidRDefault="00BF3E6B" w:rsidP="00BF3E6B">
      <w:pPr>
        <w:tabs>
          <w:tab w:val="left" w:pos="540"/>
          <w:tab w:val="left" w:pos="569"/>
        </w:tabs>
        <w:jc w:val="both"/>
        <w:rPr>
          <w:bCs/>
          <w:sz w:val="22"/>
          <w:szCs w:val="22"/>
          <w:lang w:val="sr-Latn-ME"/>
        </w:rPr>
      </w:pPr>
      <w:r w:rsidRPr="00E7665A">
        <w:rPr>
          <w:bCs/>
          <w:sz w:val="22"/>
          <w:szCs w:val="22"/>
          <w:lang w:val="sr-Latn-ME"/>
        </w:rPr>
        <w:t xml:space="preserve">L- </w:t>
      </w:r>
      <w:proofErr w:type="spellStart"/>
      <w:r w:rsidRPr="00E7665A">
        <w:rPr>
          <w:bCs/>
          <w:sz w:val="22"/>
          <w:szCs w:val="22"/>
          <w:lang w:val="sr-Latn-ME"/>
        </w:rPr>
        <w:t>treonin</w:t>
      </w:r>
      <w:proofErr w:type="spellEnd"/>
      <w:r w:rsidRPr="00E7665A">
        <w:rPr>
          <w:bCs/>
          <w:sz w:val="22"/>
          <w:szCs w:val="22"/>
          <w:lang w:val="sr-Latn-ME"/>
        </w:rPr>
        <w:t>,</w:t>
      </w:r>
    </w:p>
    <w:p w:rsidR="00BF3E6B" w:rsidRPr="00E7665A" w:rsidRDefault="00BF3E6B" w:rsidP="00BF3E6B">
      <w:pPr>
        <w:tabs>
          <w:tab w:val="left" w:pos="540"/>
          <w:tab w:val="left" w:pos="569"/>
        </w:tabs>
        <w:jc w:val="both"/>
        <w:rPr>
          <w:bCs/>
          <w:sz w:val="22"/>
          <w:szCs w:val="22"/>
          <w:lang w:val="sr-Latn-ME"/>
        </w:rPr>
      </w:pPr>
      <w:r w:rsidRPr="00E7665A">
        <w:rPr>
          <w:bCs/>
          <w:sz w:val="22"/>
          <w:szCs w:val="22"/>
          <w:lang w:val="sr-Latn-ME"/>
        </w:rPr>
        <w:t>L- glutaminska kiselina,</w:t>
      </w:r>
    </w:p>
    <w:p w:rsidR="00BF3E6B" w:rsidRPr="00E7665A" w:rsidRDefault="00BF3E6B" w:rsidP="00BF3E6B">
      <w:pPr>
        <w:tabs>
          <w:tab w:val="left" w:pos="540"/>
          <w:tab w:val="left" w:pos="569"/>
        </w:tabs>
        <w:jc w:val="both"/>
        <w:rPr>
          <w:bCs/>
          <w:sz w:val="22"/>
          <w:szCs w:val="22"/>
          <w:lang w:val="sr-Latn-ME"/>
        </w:rPr>
      </w:pPr>
      <w:r w:rsidRPr="00E7665A">
        <w:rPr>
          <w:bCs/>
          <w:sz w:val="22"/>
          <w:szCs w:val="22"/>
          <w:lang w:val="sr-Latn-ME"/>
        </w:rPr>
        <w:t xml:space="preserve">L- </w:t>
      </w:r>
      <w:proofErr w:type="spellStart"/>
      <w:r w:rsidRPr="00E7665A">
        <w:rPr>
          <w:bCs/>
          <w:sz w:val="22"/>
          <w:szCs w:val="22"/>
          <w:lang w:val="sr-Latn-ME"/>
        </w:rPr>
        <w:t>fenilalanin</w:t>
      </w:r>
      <w:proofErr w:type="spellEnd"/>
      <w:r w:rsidRPr="00E7665A">
        <w:rPr>
          <w:bCs/>
          <w:sz w:val="22"/>
          <w:szCs w:val="22"/>
          <w:lang w:val="sr-Latn-ME"/>
        </w:rPr>
        <w:t>,</w:t>
      </w:r>
    </w:p>
    <w:p w:rsidR="00BF3E6B" w:rsidRPr="00E7665A" w:rsidRDefault="00BF3E6B" w:rsidP="00BF3E6B">
      <w:pPr>
        <w:tabs>
          <w:tab w:val="left" w:pos="540"/>
          <w:tab w:val="left" w:pos="569"/>
        </w:tabs>
        <w:jc w:val="both"/>
        <w:rPr>
          <w:bCs/>
          <w:sz w:val="22"/>
          <w:szCs w:val="22"/>
          <w:lang w:val="sr-Latn-ME"/>
        </w:rPr>
      </w:pPr>
      <w:r w:rsidRPr="00E7665A">
        <w:rPr>
          <w:bCs/>
          <w:sz w:val="22"/>
          <w:szCs w:val="22"/>
          <w:lang w:val="sr-Latn-ME"/>
        </w:rPr>
        <w:t>Voda za injekcije.</w:t>
      </w:r>
    </w:p>
    <w:p w:rsidR="00BF3E6B" w:rsidRPr="00E7665A" w:rsidRDefault="00BF3E6B" w:rsidP="00BF3E6B">
      <w:pPr>
        <w:tabs>
          <w:tab w:val="left" w:pos="540"/>
          <w:tab w:val="left" w:pos="569"/>
        </w:tabs>
        <w:jc w:val="both"/>
        <w:rPr>
          <w:bCs/>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6.2. </w:t>
      </w:r>
      <w:r w:rsidR="00480FB1" w:rsidRPr="00E7665A">
        <w:rPr>
          <w:b/>
          <w:bCs/>
          <w:sz w:val="22"/>
          <w:szCs w:val="22"/>
          <w:lang w:val="sr-Latn-ME"/>
        </w:rPr>
        <w:tab/>
      </w:r>
      <w:r w:rsidRPr="00E7665A">
        <w:rPr>
          <w:b/>
          <w:bCs/>
          <w:sz w:val="22"/>
          <w:szCs w:val="22"/>
          <w:lang w:val="sr-Latn-ME"/>
        </w:rPr>
        <w:t>Inkompatibilnost</w:t>
      </w:r>
      <w:r w:rsidR="002846DB" w:rsidRPr="00E7665A">
        <w:rPr>
          <w:b/>
          <w:bCs/>
          <w:sz w:val="22"/>
          <w:szCs w:val="22"/>
          <w:lang w:val="sr-Latn-ME"/>
        </w:rPr>
        <w:t>i</w:t>
      </w:r>
    </w:p>
    <w:p w:rsidR="0072020E" w:rsidRPr="00E7665A" w:rsidRDefault="0072020E" w:rsidP="00BF3E6B">
      <w:pPr>
        <w:tabs>
          <w:tab w:val="left" w:pos="540"/>
          <w:tab w:val="left" w:pos="569"/>
        </w:tabs>
        <w:jc w:val="both"/>
        <w:rPr>
          <w:bCs/>
          <w:sz w:val="22"/>
          <w:szCs w:val="22"/>
          <w:lang w:val="sr-Latn-ME"/>
        </w:rPr>
      </w:pPr>
    </w:p>
    <w:p w:rsidR="00BF3E6B" w:rsidRPr="00E7665A" w:rsidRDefault="00BF3E6B" w:rsidP="00094AC4">
      <w:pPr>
        <w:pStyle w:val="Header"/>
        <w:tabs>
          <w:tab w:val="left" w:pos="284"/>
        </w:tabs>
        <w:jc w:val="both"/>
        <w:rPr>
          <w:sz w:val="22"/>
          <w:szCs w:val="22"/>
          <w:lang w:val="sr-Latn-ME"/>
        </w:rPr>
      </w:pPr>
      <w:r w:rsidRPr="00E7665A">
        <w:rPr>
          <w:sz w:val="22"/>
          <w:szCs w:val="22"/>
          <w:lang w:val="sr-Latn-ME"/>
        </w:rPr>
        <w:t xml:space="preserve">U odsustvu studija kompatibilnosti, ovaj lijek se ne </w:t>
      </w:r>
      <w:r w:rsidR="00993A2B" w:rsidRPr="00E7665A">
        <w:rPr>
          <w:sz w:val="22"/>
          <w:szCs w:val="22"/>
          <w:lang w:val="sr-Latn-ME"/>
        </w:rPr>
        <w:t xml:space="preserve">smije </w:t>
      </w:r>
      <w:r w:rsidRPr="00E7665A">
        <w:rPr>
          <w:sz w:val="22"/>
          <w:szCs w:val="22"/>
          <w:lang w:val="sr-Latn-ME"/>
        </w:rPr>
        <w:t xml:space="preserve">miješati sa drugim ljekovima. </w:t>
      </w:r>
    </w:p>
    <w:p w:rsidR="00993A2B" w:rsidRPr="00E7665A" w:rsidRDefault="00993A2B" w:rsidP="00094AC4">
      <w:pPr>
        <w:pStyle w:val="Header"/>
        <w:tabs>
          <w:tab w:val="left" w:pos="284"/>
        </w:tabs>
        <w:jc w:val="both"/>
        <w:rPr>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6.3.</w:t>
      </w:r>
      <w:r w:rsidR="00C05DF8" w:rsidRPr="00E7665A">
        <w:rPr>
          <w:b/>
          <w:bCs/>
          <w:sz w:val="22"/>
          <w:szCs w:val="22"/>
          <w:lang w:val="sr-Latn-ME"/>
        </w:rPr>
        <w:t xml:space="preserve"> </w:t>
      </w:r>
      <w:r w:rsidR="00480FB1" w:rsidRPr="00E7665A">
        <w:rPr>
          <w:b/>
          <w:bCs/>
          <w:sz w:val="22"/>
          <w:szCs w:val="22"/>
          <w:lang w:val="sr-Latn-ME"/>
        </w:rPr>
        <w:tab/>
      </w:r>
      <w:r w:rsidRPr="00E7665A">
        <w:rPr>
          <w:b/>
          <w:bCs/>
          <w:sz w:val="22"/>
          <w:szCs w:val="22"/>
          <w:lang w:val="sr-Latn-ME"/>
        </w:rPr>
        <w:t>Rok upotrebe</w:t>
      </w:r>
    </w:p>
    <w:p w:rsidR="0072020E" w:rsidRPr="00E7665A" w:rsidRDefault="0072020E" w:rsidP="00BF3E6B">
      <w:pPr>
        <w:tabs>
          <w:tab w:val="left" w:pos="540"/>
          <w:tab w:val="left" w:pos="569"/>
        </w:tabs>
        <w:jc w:val="both"/>
        <w:rPr>
          <w:bCs/>
          <w:sz w:val="22"/>
          <w:szCs w:val="22"/>
          <w:lang w:val="sr-Latn-ME"/>
        </w:rPr>
      </w:pPr>
    </w:p>
    <w:p w:rsidR="00BF3E6B" w:rsidRPr="00E7665A" w:rsidRDefault="00BF3E6B" w:rsidP="00BF3E6B">
      <w:pPr>
        <w:jc w:val="both"/>
        <w:rPr>
          <w:sz w:val="22"/>
          <w:szCs w:val="22"/>
          <w:lang w:val="sr-Latn-ME"/>
        </w:rPr>
      </w:pPr>
      <w:r w:rsidRPr="00E7665A">
        <w:rPr>
          <w:sz w:val="22"/>
          <w:szCs w:val="22"/>
          <w:lang w:val="sr-Latn-ME"/>
        </w:rPr>
        <w:t>2 godine.</w:t>
      </w:r>
    </w:p>
    <w:p w:rsidR="00BF3E6B" w:rsidRPr="00E7665A" w:rsidRDefault="00BF3E6B" w:rsidP="00BF3E6B">
      <w:pPr>
        <w:tabs>
          <w:tab w:val="left" w:pos="540"/>
          <w:tab w:val="left" w:pos="569"/>
        </w:tabs>
        <w:jc w:val="both"/>
        <w:rPr>
          <w:bCs/>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6.4. </w:t>
      </w:r>
      <w:r w:rsidR="00480FB1" w:rsidRPr="00E7665A">
        <w:rPr>
          <w:b/>
          <w:bCs/>
          <w:sz w:val="22"/>
          <w:szCs w:val="22"/>
          <w:lang w:val="sr-Latn-ME"/>
        </w:rPr>
        <w:tab/>
      </w:r>
      <w:r w:rsidRPr="00E7665A">
        <w:rPr>
          <w:b/>
          <w:bCs/>
          <w:sz w:val="22"/>
          <w:szCs w:val="22"/>
          <w:lang w:val="sr-Latn-ME"/>
        </w:rPr>
        <w:t>Posebne mjere upozorenja pri čuvanju</w:t>
      </w:r>
      <w:r w:rsidR="00F8570A" w:rsidRPr="00E7665A">
        <w:rPr>
          <w:b/>
          <w:bCs/>
          <w:sz w:val="22"/>
          <w:szCs w:val="22"/>
          <w:lang w:val="sr-Latn-ME"/>
        </w:rPr>
        <w:t xml:space="preserve"> lijeka</w:t>
      </w:r>
    </w:p>
    <w:p w:rsidR="00EC2532" w:rsidRPr="00E7665A" w:rsidRDefault="00EC2532" w:rsidP="00BF3E6B">
      <w:pPr>
        <w:tabs>
          <w:tab w:val="left" w:pos="540"/>
          <w:tab w:val="left" w:pos="569"/>
        </w:tabs>
        <w:jc w:val="both"/>
        <w:rPr>
          <w:bCs/>
          <w:sz w:val="22"/>
          <w:szCs w:val="22"/>
          <w:lang w:val="sr-Latn-ME"/>
        </w:rPr>
      </w:pPr>
    </w:p>
    <w:p w:rsidR="00BF3E6B" w:rsidRPr="00E7665A" w:rsidRDefault="00BF3E6B" w:rsidP="00094AC4">
      <w:pPr>
        <w:jc w:val="both"/>
        <w:rPr>
          <w:sz w:val="22"/>
          <w:szCs w:val="22"/>
          <w:lang w:val="sr-Latn-ME"/>
        </w:rPr>
      </w:pPr>
      <w:r w:rsidRPr="00E7665A">
        <w:rPr>
          <w:sz w:val="22"/>
          <w:szCs w:val="22"/>
          <w:lang w:val="sr-Latn-ME"/>
        </w:rPr>
        <w:t xml:space="preserve">Čuvati </w:t>
      </w:r>
      <w:r w:rsidR="00993A2B" w:rsidRPr="00E7665A">
        <w:rPr>
          <w:sz w:val="22"/>
          <w:szCs w:val="22"/>
          <w:lang w:val="sr-Latn-ME"/>
        </w:rPr>
        <w:t xml:space="preserve">u frižideru, </w:t>
      </w:r>
      <w:r w:rsidRPr="00E7665A">
        <w:rPr>
          <w:sz w:val="22"/>
          <w:szCs w:val="22"/>
          <w:lang w:val="sr-Latn-ME"/>
        </w:rPr>
        <w:t>na temperaturi od 2</w:t>
      </w:r>
      <w:r w:rsidRPr="00E7665A">
        <w:rPr>
          <w:sz w:val="22"/>
          <w:szCs w:val="22"/>
          <w:vertAlign w:val="superscript"/>
          <w:lang w:val="sr-Latn-ME"/>
        </w:rPr>
        <w:t>o</w:t>
      </w:r>
      <w:r w:rsidRPr="00E7665A">
        <w:rPr>
          <w:sz w:val="22"/>
          <w:szCs w:val="22"/>
          <w:lang w:val="sr-Latn-ME"/>
        </w:rPr>
        <w:t>C do 8</w:t>
      </w:r>
      <w:r w:rsidRPr="00E7665A">
        <w:rPr>
          <w:sz w:val="22"/>
          <w:szCs w:val="22"/>
          <w:vertAlign w:val="superscript"/>
          <w:lang w:val="sr-Latn-ME"/>
        </w:rPr>
        <w:t>o</w:t>
      </w:r>
      <w:r w:rsidRPr="00E7665A">
        <w:rPr>
          <w:sz w:val="22"/>
          <w:szCs w:val="22"/>
          <w:lang w:val="sr-Latn-ME"/>
        </w:rPr>
        <w:t xml:space="preserve">C. </w:t>
      </w:r>
    </w:p>
    <w:p w:rsidR="00BF3E6B" w:rsidRPr="00E7665A" w:rsidRDefault="00BF3E6B" w:rsidP="00094AC4">
      <w:pPr>
        <w:jc w:val="both"/>
        <w:rPr>
          <w:sz w:val="22"/>
          <w:szCs w:val="22"/>
          <w:lang w:val="sr-Latn-ME"/>
        </w:rPr>
      </w:pPr>
      <w:r w:rsidRPr="00E7665A">
        <w:rPr>
          <w:sz w:val="22"/>
          <w:szCs w:val="22"/>
          <w:lang w:val="sr-Latn-ME"/>
        </w:rPr>
        <w:lastRenderedPageBreak/>
        <w:t>Napunjeni injekcioni špric čuvati u originalnom kartonskom pakovanju</w:t>
      </w:r>
      <w:r w:rsidR="00993A2B" w:rsidRPr="00E7665A">
        <w:rPr>
          <w:sz w:val="22"/>
          <w:szCs w:val="22"/>
          <w:lang w:val="sr-Latn-ME"/>
        </w:rPr>
        <w:t>,</w:t>
      </w:r>
      <w:r w:rsidRPr="00E7665A">
        <w:rPr>
          <w:sz w:val="22"/>
          <w:szCs w:val="22"/>
          <w:lang w:val="sr-Latn-ME"/>
        </w:rPr>
        <w:t xml:space="preserve"> radi zaštite od svjetlosti. </w:t>
      </w:r>
    </w:p>
    <w:p w:rsidR="00BF3E6B" w:rsidRPr="00E7665A" w:rsidRDefault="00BF3E6B" w:rsidP="00094AC4">
      <w:pPr>
        <w:jc w:val="both"/>
        <w:rPr>
          <w:sz w:val="22"/>
          <w:szCs w:val="22"/>
          <w:lang w:val="sr-Latn-ME"/>
        </w:rPr>
      </w:pPr>
      <w:r w:rsidRPr="00E7665A">
        <w:rPr>
          <w:sz w:val="22"/>
          <w:szCs w:val="22"/>
          <w:lang w:val="sr-Latn-ME"/>
        </w:rPr>
        <w:t>Za ambulantnu primjenu, pacijent može</w:t>
      </w:r>
      <w:r w:rsidR="00993A2B" w:rsidRPr="00E7665A">
        <w:rPr>
          <w:sz w:val="22"/>
          <w:szCs w:val="22"/>
          <w:lang w:val="sr-Latn-ME"/>
        </w:rPr>
        <w:t xml:space="preserve"> </w:t>
      </w:r>
      <w:r w:rsidR="00993A2B" w:rsidRPr="00E7665A">
        <w:rPr>
          <w:sz w:val="22"/>
          <w:szCs w:val="22"/>
          <w:u w:val="single"/>
          <w:lang w:val="sr-Latn-ME"/>
        </w:rPr>
        <w:t>jednom</w:t>
      </w:r>
      <w:r w:rsidRPr="00E7665A">
        <w:rPr>
          <w:sz w:val="22"/>
          <w:szCs w:val="22"/>
          <w:lang w:val="sr-Latn-ME"/>
        </w:rPr>
        <w:t xml:space="preserve"> da izvadi lijek iz frižidera i čuva ga na sobnoj temperaturi (ne </w:t>
      </w:r>
      <w:proofErr w:type="spellStart"/>
      <w:r w:rsidRPr="00E7665A">
        <w:rPr>
          <w:sz w:val="22"/>
          <w:szCs w:val="22"/>
          <w:lang w:val="sr-Latn-ME"/>
        </w:rPr>
        <w:t>preko</w:t>
      </w:r>
      <w:proofErr w:type="spellEnd"/>
      <w:r w:rsidRPr="00E7665A">
        <w:rPr>
          <w:sz w:val="22"/>
          <w:szCs w:val="22"/>
          <w:lang w:val="sr-Latn-ME"/>
        </w:rPr>
        <w:t xml:space="preserve"> </w:t>
      </w:r>
      <w:proofErr w:type="spellStart"/>
      <w:r w:rsidRPr="00E7665A">
        <w:rPr>
          <w:sz w:val="22"/>
          <w:szCs w:val="22"/>
          <w:lang w:val="sr-Latn-ME"/>
        </w:rPr>
        <w:t>25</w:t>
      </w:r>
      <w:r w:rsidRPr="00E7665A">
        <w:rPr>
          <w:sz w:val="22"/>
          <w:szCs w:val="22"/>
          <w:vertAlign w:val="superscript"/>
          <w:lang w:val="sr-Latn-ME"/>
        </w:rPr>
        <w:t>o</w:t>
      </w:r>
      <w:r w:rsidRPr="00E7665A">
        <w:rPr>
          <w:sz w:val="22"/>
          <w:szCs w:val="22"/>
          <w:lang w:val="sr-Latn-ME"/>
        </w:rPr>
        <w:t>C</w:t>
      </w:r>
      <w:proofErr w:type="spellEnd"/>
      <w:r w:rsidRPr="00E7665A">
        <w:rPr>
          <w:sz w:val="22"/>
          <w:szCs w:val="22"/>
          <w:lang w:val="sr-Latn-ME"/>
        </w:rPr>
        <w:t xml:space="preserve">) najduže do 3 dana. </w:t>
      </w:r>
    </w:p>
    <w:p w:rsidR="00BF3E6B" w:rsidRPr="00E7665A" w:rsidRDefault="00BF3E6B" w:rsidP="00BF3E6B">
      <w:pPr>
        <w:tabs>
          <w:tab w:val="left" w:pos="540"/>
          <w:tab w:val="left" w:pos="569"/>
        </w:tabs>
        <w:jc w:val="both"/>
        <w:rPr>
          <w:bCs/>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6.5. </w:t>
      </w:r>
      <w:r w:rsidR="00480FB1" w:rsidRPr="00E7665A">
        <w:rPr>
          <w:b/>
          <w:bCs/>
          <w:sz w:val="22"/>
          <w:szCs w:val="22"/>
          <w:lang w:val="sr-Latn-ME"/>
        </w:rPr>
        <w:tab/>
      </w:r>
      <w:r w:rsidR="002846DB" w:rsidRPr="00E7665A">
        <w:rPr>
          <w:b/>
          <w:bCs/>
          <w:sz w:val="22"/>
          <w:szCs w:val="22"/>
          <w:lang w:val="sr-Latn-ME"/>
        </w:rPr>
        <w:t xml:space="preserve">Vrsta i sadržaj </w:t>
      </w:r>
      <w:r w:rsidR="00F8570A" w:rsidRPr="00E7665A">
        <w:rPr>
          <w:b/>
          <w:bCs/>
          <w:sz w:val="22"/>
          <w:szCs w:val="22"/>
          <w:lang w:val="sr-Latn-ME"/>
        </w:rPr>
        <w:t>pakovanja</w:t>
      </w:r>
      <w:r w:rsidR="00C06864" w:rsidRPr="00E7665A">
        <w:rPr>
          <w:b/>
          <w:bCs/>
          <w:sz w:val="22"/>
          <w:szCs w:val="22"/>
          <w:lang w:val="sr-Latn-ME"/>
        </w:rPr>
        <w:t xml:space="preserve"> </w:t>
      </w:r>
    </w:p>
    <w:p w:rsidR="0072020E" w:rsidRPr="00E7665A" w:rsidRDefault="0072020E" w:rsidP="00BF3E6B">
      <w:pPr>
        <w:tabs>
          <w:tab w:val="left" w:pos="540"/>
          <w:tab w:val="left" w:pos="569"/>
        </w:tabs>
        <w:jc w:val="both"/>
        <w:rPr>
          <w:bCs/>
          <w:sz w:val="22"/>
          <w:szCs w:val="22"/>
          <w:lang w:val="sr-Latn-ME"/>
        </w:rPr>
      </w:pPr>
    </w:p>
    <w:p w:rsidR="00D5171B" w:rsidRPr="00E7665A" w:rsidRDefault="00D5171B" w:rsidP="00094AC4">
      <w:pPr>
        <w:jc w:val="both"/>
        <w:rPr>
          <w:bCs/>
          <w:sz w:val="22"/>
          <w:szCs w:val="22"/>
          <w:u w:val="single"/>
          <w:lang w:val="sr-Latn-ME"/>
        </w:rPr>
      </w:pPr>
      <w:proofErr w:type="spellStart"/>
      <w:r w:rsidRPr="00E7665A">
        <w:rPr>
          <w:bCs/>
          <w:sz w:val="22"/>
          <w:szCs w:val="22"/>
          <w:u w:val="single"/>
          <w:lang w:val="sr-Latn-ME"/>
        </w:rPr>
        <w:t>NeoRecormon</w:t>
      </w:r>
      <w:proofErr w:type="spellEnd"/>
      <w:r w:rsidRPr="00E7665A">
        <w:rPr>
          <w:bCs/>
          <w:sz w:val="22"/>
          <w:szCs w:val="22"/>
          <w:u w:val="single"/>
          <w:lang w:val="sr-Latn-ME"/>
        </w:rPr>
        <w:t>, 2</w:t>
      </w:r>
      <w:r w:rsidR="00350798" w:rsidRPr="00E7665A">
        <w:rPr>
          <w:bCs/>
          <w:sz w:val="22"/>
          <w:szCs w:val="22"/>
          <w:u w:val="single"/>
          <w:lang w:val="sr-Latn-ME"/>
        </w:rPr>
        <w:t xml:space="preserve"> </w:t>
      </w:r>
      <w:r w:rsidRPr="00E7665A">
        <w:rPr>
          <w:bCs/>
          <w:sz w:val="22"/>
          <w:szCs w:val="22"/>
          <w:u w:val="single"/>
          <w:lang w:val="sr-Latn-ME"/>
        </w:rPr>
        <w:t xml:space="preserve">000 </w:t>
      </w:r>
      <w:proofErr w:type="spellStart"/>
      <w:r w:rsidRPr="00E7665A">
        <w:rPr>
          <w:bCs/>
          <w:sz w:val="22"/>
          <w:szCs w:val="22"/>
          <w:u w:val="single"/>
          <w:lang w:val="sr-Latn-ME"/>
        </w:rPr>
        <w:t>i.j</w:t>
      </w:r>
      <w:proofErr w:type="spellEnd"/>
      <w:r w:rsidRPr="00E7665A">
        <w:rPr>
          <w:bCs/>
          <w:sz w:val="22"/>
          <w:szCs w:val="22"/>
          <w:u w:val="single"/>
          <w:lang w:val="sr-Latn-ME"/>
        </w:rPr>
        <w:t>., rastvor za injekciju u napunjenom injekcionom špricu</w:t>
      </w:r>
    </w:p>
    <w:p w:rsidR="00D5171B" w:rsidRPr="00E7665A" w:rsidRDefault="00993A2B" w:rsidP="00BF3E6B">
      <w:pPr>
        <w:autoSpaceDE w:val="0"/>
        <w:autoSpaceDN w:val="0"/>
        <w:adjustRightInd w:val="0"/>
        <w:jc w:val="both"/>
        <w:rPr>
          <w:sz w:val="22"/>
          <w:szCs w:val="22"/>
          <w:lang w:val="sr-Latn-ME"/>
        </w:rPr>
      </w:pPr>
      <w:r w:rsidRPr="00E7665A">
        <w:rPr>
          <w:sz w:val="22"/>
          <w:szCs w:val="22"/>
          <w:lang w:val="sr-Latn-ME"/>
        </w:rPr>
        <w:t>Unutrašnje pakovanje je n</w:t>
      </w:r>
      <w:r w:rsidR="00BF3E6B" w:rsidRPr="00E7665A">
        <w:rPr>
          <w:sz w:val="22"/>
          <w:szCs w:val="22"/>
          <w:lang w:val="sr-Latn-ME"/>
        </w:rPr>
        <w:t>apunjen</w:t>
      </w:r>
      <w:r w:rsidRPr="00E7665A">
        <w:rPr>
          <w:sz w:val="22"/>
          <w:szCs w:val="22"/>
          <w:lang w:val="sr-Latn-ME"/>
        </w:rPr>
        <w:t>i</w:t>
      </w:r>
      <w:r w:rsidR="00BF3E6B" w:rsidRPr="00E7665A">
        <w:rPr>
          <w:sz w:val="22"/>
          <w:szCs w:val="22"/>
          <w:lang w:val="sr-Latn-ME"/>
        </w:rPr>
        <w:t xml:space="preserve"> </w:t>
      </w:r>
      <w:r w:rsidRPr="00E7665A">
        <w:rPr>
          <w:sz w:val="22"/>
          <w:szCs w:val="22"/>
          <w:lang w:val="sr-Latn-ME"/>
        </w:rPr>
        <w:t xml:space="preserve">injekcioni </w:t>
      </w:r>
      <w:r w:rsidR="00BF3E6B" w:rsidRPr="00E7665A">
        <w:rPr>
          <w:sz w:val="22"/>
          <w:szCs w:val="22"/>
          <w:lang w:val="sr-Latn-ME"/>
        </w:rPr>
        <w:t>špric</w:t>
      </w:r>
      <w:r w:rsidRPr="00E7665A">
        <w:rPr>
          <w:sz w:val="22"/>
          <w:szCs w:val="22"/>
          <w:lang w:val="sr-Latn-ME"/>
        </w:rPr>
        <w:t xml:space="preserve"> izrađen od </w:t>
      </w:r>
      <w:r w:rsidR="00BF3E6B" w:rsidRPr="00E7665A">
        <w:rPr>
          <w:sz w:val="22"/>
          <w:szCs w:val="22"/>
          <w:lang w:val="sr-Latn-ME"/>
        </w:rPr>
        <w:t>stakl</w:t>
      </w:r>
      <w:r w:rsidRPr="00E7665A">
        <w:rPr>
          <w:sz w:val="22"/>
          <w:szCs w:val="22"/>
          <w:lang w:val="sr-Latn-ME"/>
        </w:rPr>
        <w:t>a</w:t>
      </w:r>
      <w:r w:rsidR="00BF3E6B" w:rsidRPr="00E7665A">
        <w:rPr>
          <w:sz w:val="22"/>
          <w:szCs w:val="22"/>
          <w:lang w:val="sr-Latn-ME"/>
        </w:rPr>
        <w:t xml:space="preserve"> tip I</w:t>
      </w:r>
      <w:r w:rsidRPr="00E7665A">
        <w:rPr>
          <w:sz w:val="22"/>
          <w:szCs w:val="22"/>
          <w:lang w:val="sr-Latn-ME"/>
        </w:rPr>
        <w:t>,</w:t>
      </w:r>
      <w:r w:rsidR="00BF3E6B" w:rsidRPr="00E7665A">
        <w:rPr>
          <w:sz w:val="22"/>
          <w:szCs w:val="22"/>
          <w:lang w:val="sr-Latn-ME"/>
        </w:rPr>
        <w:t xml:space="preserve"> s</w:t>
      </w:r>
      <w:r w:rsidRPr="00E7665A">
        <w:rPr>
          <w:sz w:val="22"/>
          <w:szCs w:val="22"/>
          <w:lang w:val="sr-Latn-ME"/>
        </w:rPr>
        <w:t>a</w:t>
      </w:r>
      <w:r w:rsidR="00BF3E6B" w:rsidRPr="00E7665A">
        <w:rPr>
          <w:sz w:val="22"/>
          <w:szCs w:val="22"/>
          <w:lang w:val="sr-Latn-ME"/>
        </w:rPr>
        <w:t xml:space="preserve"> zaštitnom kapicom i gumenim klipom (guma obložena </w:t>
      </w:r>
      <w:proofErr w:type="spellStart"/>
      <w:r w:rsidR="00BF3E6B" w:rsidRPr="00E7665A">
        <w:rPr>
          <w:sz w:val="22"/>
          <w:szCs w:val="22"/>
          <w:lang w:val="sr-Latn-ME"/>
        </w:rPr>
        <w:t>teflonom</w:t>
      </w:r>
      <w:proofErr w:type="spellEnd"/>
      <w:r w:rsidR="00BF3E6B" w:rsidRPr="00E7665A">
        <w:rPr>
          <w:sz w:val="22"/>
          <w:szCs w:val="22"/>
          <w:lang w:val="sr-Latn-ME"/>
        </w:rPr>
        <w:t>)</w:t>
      </w:r>
      <w:r w:rsidR="00D5171B" w:rsidRPr="00E7665A">
        <w:rPr>
          <w:sz w:val="22"/>
          <w:szCs w:val="22"/>
          <w:lang w:val="sr-Latn-ME"/>
        </w:rPr>
        <w:t xml:space="preserve">, koji sadrži </w:t>
      </w:r>
      <w:r w:rsidR="00BF3E6B" w:rsidRPr="00E7665A">
        <w:rPr>
          <w:sz w:val="22"/>
          <w:szCs w:val="22"/>
          <w:lang w:val="sr-Latn-ME"/>
        </w:rPr>
        <w:t xml:space="preserve"> 0,3</w:t>
      </w:r>
      <w:r w:rsidR="00D5171B" w:rsidRPr="00E7665A">
        <w:rPr>
          <w:sz w:val="22"/>
          <w:szCs w:val="22"/>
          <w:lang w:val="sr-Latn-ME"/>
        </w:rPr>
        <w:t xml:space="preserve"> ml rastvora za injekciju.</w:t>
      </w:r>
    </w:p>
    <w:p w:rsidR="00D5171B" w:rsidRPr="00E7665A" w:rsidRDefault="00D5171B" w:rsidP="00BF3E6B">
      <w:pPr>
        <w:autoSpaceDE w:val="0"/>
        <w:autoSpaceDN w:val="0"/>
        <w:adjustRightInd w:val="0"/>
        <w:jc w:val="both"/>
        <w:rPr>
          <w:sz w:val="22"/>
          <w:szCs w:val="22"/>
          <w:lang w:val="sr-Latn-ME"/>
        </w:rPr>
      </w:pPr>
    </w:p>
    <w:p w:rsidR="00D5171B" w:rsidRPr="00E7665A" w:rsidRDefault="00D5171B" w:rsidP="00D5171B">
      <w:pPr>
        <w:jc w:val="both"/>
        <w:rPr>
          <w:bCs/>
          <w:sz w:val="22"/>
          <w:szCs w:val="22"/>
          <w:u w:val="single"/>
          <w:lang w:val="sr-Latn-ME"/>
        </w:rPr>
      </w:pPr>
      <w:proofErr w:type="spellStart"/>
      <w:r w:rsidRPr="00E7665A">
        <w:rPr>
          <w:bCs/>
          <w:sz w:val="22"/>
          <w:szCs w:val="22"/>
          <w:u w:val="single"/>
          <w:lang w:val="sr-Latn-ME"/>
        </w:rPr>
        <w:t>NeoRecormon</w:t>
      </w:r>
      <w:proofErr w:type="spellEnd"/>
      <w:r w:rsidRPr="00E7665A">
        <w:rPr>
          <w:bCs/>
          <w:sz w:val="22"/>
          <w:szCs w:val="22"/>
          <w:u w:val="single"/>
          <w:lang w:val="sr-Latn-ME"/>
        </w:rPr>
        <w:t>, 10</w:t>
      </w:r>
      <w:r w:rsidR="00350798" w:rsidRPr="00E7665A">
        <w:rPr>
          <w:bCs/>
          <w:sz w:val="22"/>
          <w:szCs w:val="22"/>
          <w:u w:val="single"/>
          <w:lang w:val="sr-Latn-ME"/>
        </w:rPr>
        <w:t xml:space="preserve"> </w:t>
      </w:r>
      <w:r w:rsidRPr="00E7665A">
        <w:rPr>
          <w:bCs/>
          <w:sz w:val="22"/>
          <w:szCs w:val="22"/>
          <w:u w:val="single"/>
          <w:lang w:val="sr-Latn-ME"/>
        </w:rPr>
        <w:t xml:space="preserve">000 </w:t>
      </w:r>
      <w:proofErr w:type="spellStart"/>
      <w:r w:rsidRPr="00E7665A">
        <w:rPr>
          <w:bCs/>
          <w:sz w:val="22"/>
          <w:szCs w:val="22"/>
          <w:u w:val="single"/>
          <w:lang w:val="sr-Latn-ME"/>
        </w:rPr>
        <w:t>i.j</w:t>
      </w:r>
      <w:proofErr w:type="spellEnd"/>
      <w:r w:rsidRPr="00E7665A">
        <w:rPr>
          <w:bCs/>
          <w:sz w:val="22"/>
          <w:szCs w:val="22"/>
          <w:u w:val="single"/>
          <w:lang w:val="sr-Latn-ME"/>
        </w:rPr>
        <w:t>., rastvor za injekciju u napunjenom injekcionom špricu</w:t>
      </w:r>
    </w:p>
    <w:p w:rsidR="00D5171B" w:rsidRPr="00E7665A" w:rsidRDefault="00D5171B" w:rsidP="00D5171B">
      <w:pPr>
        <w:autoSpaceDE w:val="0"/>
        <w:autoSpaceDN w:val="0"/>
        <w:adjustRightInd w:val="0"/>
        <w:jc w:val="both"/>
        <w:rPr>
          <w:sz w:val="22"/>
          <w:szCs w:val="22"/>
          <w:lang w:val="sr-Latn-ME"/>
        </w:rPr>
      </w:pPr>
      <w:r w:rsidRPr="00E7665A">
        <w:rPr>
          <w:sz w:val="22"/>
          <w:szCs w:val="22"/>
          <w:lang w:val="sr-Latn-ME"/>
        </w:rPr>
        <w:t xml:space="preserve">Unutrašnje pakovanje je napunjeni injekcioni špric izrađen od stakla tip I, sa zaštitnom kapicom i gumenim klipom (guma obložena </w:t>
      </w:r>
      <w:proofErr w:type="spellStart"/>
      <w:r w:rsidRPr="00E7665A">
        <w:rPr>
          <w:sz w:val="22"/>
          <w:szCs w:val="22"/>
          <w:lang w:val="sr-Latn-ME"/>
        </w:rPr>
        <w:t>teflonom</w:t>
      </w:r>
      <w:proofErr w:type="spellEnd"/>
      <w:r w:rsidRPr="00E7665A">
        <w:rPr>
          <w:sz w:val="22"/>
          <w:szCs w:val="22"/>
          <w:lang w:val="sr-Latn-ME"/>
        </w:rPr>
        <w:t xml:space="preserve">), koji sadrži </w:t>
      </w:r>
      <w:r w:rsidR="00BF3E6B" w:rsidRPr="00E7665A">
        <w:rPr>
          <w:sz w:val="22"/>
          <w:szCs w:val="22"/>
          <w:lang w:val="sr-Latn-ME"/>
        </w:rPr>
        <w:t>0,6 ml rastvora</w:t>
      </w:r>
      <w:r w:rsidRPr="00E7665A">
        <w:rPr>
          <w:sz w:val="22"/>
          <w:szCs w:val="22"/>
          <w:lang w:val="sr-Latn-ME"/>
        </w:rPr>
        <w:t xml:space="preserve"> za injekciju.</w:t>
      </w:r>
    </w:p>
    <w:p w:rsidR="009D6259" w:rsidRPr="00E7665A" w:rsidRDefault="009D6259" w:rsidP="00D5171B">
      <w:pPr>
        <w:autoSpaceDE w:val="0"/>
        <w:autoSpaceDN w:val="0"/>
        <w:adjustRightInd w:val="0"/>
        <w:jc w:val="both"/>
        <w:rPr>
          <w:sz w:val="22"/>
          <w:szCs w:val="22"/>
          <w:lang w:val="sr-Latn-ME"/>
        </w:rPr>
      </w:pPr>
    </w:p>
    <w:p w:rsidR="00BF3E6B" w:rsidRPr="00E7665A" w:rsidRDefault="00D5171B" w:rsidP="00BF3E6B">
      <w:pPr>
        <w:autoSpaceDE w:val="0"/>
        <w:autoSpaceDN w:val="0"/>
        <w:adjustRightInd w:val="0"/>
        <w:jc w:val="both"/>
        <w:rPr>
          <w:sz w:val="22"/>
          <w:szCs w:val="22"/>
          <w:lang w:val="sr-Latn-ME"/>
        </w:rPr>
      </w:pPr>
      <w:r w:rsidRPr="00E7665A">
        <w:rPr>
          <w:sz w:val="22"/>
          <w:szCs w:val="22"/>
          <w:lang w:val="sr-Latn-ME"/>
        </w:rPr>
        <w:t xml:space="preserve">Spoljašnje pakovanje je </w:t>
      </w:r>
      <w:proofErr w:type="spellStart"/>
      <w:r w:rsidRPr="00E7665A">
        <w:rPr>
          <w:sz w:val="22"/>
          <w:szCs w:val="22"/>
          <w:lang w:val="sr-Latn-ME"/>
        </w:rPr>
        <w:t>složiva</w:t>
      </w:r>
      <w:proofErr w:type="spellEnd"/>
      <w:r w:rsidRPr="00E7665A">
        <w:rPr>
          <w:sz w:val="22"/>
          <w:szCs w:val="22"/>
          <w:lang w:val="sr-Latn-ME"/>
        </w:rPr>
        <w:t xml:space="preserve"> kartonska kutija koja sadrži 6 napunjen</w:t>
      </w:r>
      <w:r w:rsidR="00FE461F" w:rsidRPr="00E7665A">
        <w:rPr>
          <w:sz w:val="22"/>
          <w:szCs w:val="22"/>
          <w:lang w:val="sr-Latn-ME"/>
        </w:rPr>
        <w:t>ih injekcionih špriceva, 6 igala promjera 27G1/2 i Uputstvo za lijek.</w:t>
      </w:r>
    </w:p>
    <w:p w:rsidR="00BF3E6B" w:rsidRPr="00E7665A" w:rsidRDefault="00BF3E6B" w:rsidP="00BF3E6B">
      <w:pPr>
        <w:tabs>
          <w:tab w:val="left" w:pos="540"/>
          <w:tab w:val="left" w:pos="569"/>
        </w:tabs>
        <w:jc w:val="both"/>
        <w:rPr>
          <w:bCs/>
          <w:sz w:val="22"/>
          <w:szCs w:val="22"/>
          <w:lang w:val="sr-Latn-ME"/>
        </w:rPr>
      </w:pPr>
    </w:p>
    <w:p w:rsidR="002846DB"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6.6. </w:t>
      </w:r>
      <w:r w:rsidR="00480FB1" w:rsidRPr="00E7665A">
        <w:rPr>
          <w:b/>
          <w:bCs/>
          <w:sz w:val="22"/>
          <w:szCs w:val="22"/>
          <w:lang w:val="sr-Latn-ME"/>
        </w:rPr>
        <w:tab/>
      </w:r>
      <w:r w:rsidRPr="00E7665A">
        <w:rPr>
          <w:b/>
          <w:bCs/>
          <w:color w:val="000000"/>
          <w:sz w:val="22"/>
          <w:szCs w:val="22"/>
          <w:lang w:val="sr-Latn-ME"/>
        </w:rPr>
        <w:t>Posebne mjere opreza pri odlaganju materijala koji treba odbaciti nakon primjene lijeka</w:t>
      </w:r>
      <w:r w:rsidRPr="00E7665A">
        <w:rPr>
          <w:b/>
          <w:bCs/>
          <w:sz w:val="22"/>
          <w:szCs w:val="22"/>
          <w:lang w:val="sr-Latn-ME"/>
        </w:rPr>
        <w:t xml:space="preserve"> </w:t>
      </w:r>
      <w:r w:rsidR="00310F03" w:rsidRPr="00E7665A">
        <w:rPr>
          <w:b/>
          <w:bCs/>
          <w:sz w:val="22"/>
          <w:szCs w:val="22"/>
          <w:lang w:val="sr-Latn-ME"/>
        </w:rPr>
        <w:t>(i druga uputs</w:t>
      </w:r>
      <w:r w:rsidR="004109FA" w:rsidRPr="00E7665A">
        <w:rPr>
          <w:b/>
          <w:bCs/>
          <w:sz w:val="22"/>
          <w:szCs w:val="22"/>
          <w:lang w:val="sr-Latn-ME"/>
        </w:rPr>
        <w:t>t</w:t>
      </w:r>
      <w:r w:rsidR="00310F03" w:rsidRPr="00E7665A">
        <w:rPr>
          <w:b/>
          <w:bCs/>
          <w:sz w:val="22"/>
          <w:szCs w:val="22"/>
          <w:lang w:val="sr-Latn-ME"/>
        </w:rPr>
        <w:t xml:space="preserve">va za rukovanje lijekom) </w:t>
      </w:r>
    </w:p>
    <w:p w:rsidR="00B66A70" w:rsidRPr="00E7665A" w:rsidRDefault="00B66A70" w:rsidP="00BF3E6B">
      <w:pPr>
        <w:tabs>
          <w:tab w:val="left" w:pos="540"/>
          <w:tab w:val="left" w:pos="569"/>
        </w:tabs>
        <w:jc w:val="both"/>
        <w:rPr>
          <w:b/>
          <w:bCs/>
          <w:sz w:val="22"/>
          <w:szCs w:val="22"/>
          <w:lang w:val="sr-Latn-ME"/>
        </w:rPr>
      </w:pPr>
    </w:p>
    <w:p w:rsidR="003D02AF" w:rsidRPr="00E7665A" w:rsidRDefault="00BF3E6B" w:rsidP="00BF3E6B">
      <w:pPr>
        <w:jc w:val="both"/>
        <w:rPr>
          <w:sz w:val="22"/>
          <w:szCs w:val="22"/>
          <w:lang w:val="sr-Latn-ME"/>
        </w:rPr>
      </w:pPr>
      <w:r w:rsidRPr="00E7665A">
        <w:rPr>
          <w:sz w:val="22"/>
          <w:szCs w:val="22"/>
          <w:lang w:val="sr-Latn-ME"/>
        </w:rPr>
        <w:t>Prvo operite ruke!</w:t>
      </w:r>
      <w:bookmarkStart w:id="0" w:name="_GoBack"/>
      <w:bookmarkEnd w:id="0"/>
    </w:p>
    <w:p w:rsidR="00BF3E6B" w:rsidRPr="00E7665A" w:rsidRDefault="00BF3E6B" w:rsidP="00BF3E6B">
      <w:pPr>
        <w:numPr>
          <w:ilvl w:val="0"/>
          <w:numId w:val="19"/>
        </w:numPr>
        <w:jc w:val="both"/>
        <w:rPr>
          <w:sz w:val="22"/>
          <w:szCs w:val="22"/>
          <w:lang w:val="sr-Latn-ME"/>
        </w:rPr>
      </w:pPr>
      <w:r w:rsidRPr="00E7665A">
        <w:rPr>
          <w:sz w:val="22"/>
          <w:szCs w:val="22"/>
          <w:lang w:val="sr-Latn-ME"/>
        </w:rPr>
        <w:t xml:space="preserve">Izvadite </w:t>
      </w:r>
      <w:r w:rsidR="00FE461F" w:rsidRPr="00E7665A">
        <w:rPr>
          <w:sz w:val="22"/>
          <w:szCs w:val="22"/>
          <w:lang w:val="sr-Latn-ME"/>
        </w:rPr>
        <w:t xml:space="preserve">jedan </w:t>
      </w:r>
      <w:r w:rsidRPr="00E7665A">
        <w:rPr>
          <w:sz w:val="22"/>
          <w:szCs w:val="22"/>
          <w:lang w:val="sr-Latn-ME"/>
        </w:rPr>
        <w:t xml:space="preserve">špric iz pakovanja i provjerite da li je rastvor bistar, bezbojan i praktično bez vidljivih čestica. Sa šprica skinite kapicu. </w:t>
      </w:r>
    </w:p>
    <w:p w:rsidR="00BF3E6B" w:rsidRPr="00E7665A" w:rsidRDefault="00BF3E6B" w:rsidP="00BF3E6B">
      <w:pPr>
        <w:numPr>
          <w:ilvl w:val="0"/>
          <w:numId w:val="19"/>
        </w:numPr>
        <w:jc w:val="both"/>
        <w:rPr>
          <w:sz w:val="22"/>
          <w:szCs w:val="22"/>
          <w:lang w:val="sr-Latn-ME"/>
        </w:rPr>
      </w:pPr>
      <w:r w:rsidRPr="00E7665A">
        <w:rPr>
          <w:sz w:val="22"/>
          <w:szCs w:val="22"/>
          <w:lang w:val="sr-Latn-ME"/>
        </w:rPr>
        <w:t xml:space="preserve">Izvadite </w:t>
      </w:r>
      <w:r w:rsidR="00FE461F" w:rsidRPr="00E7665A">
        <w:rPr>
          <w:sz w:val="22"/>
          <w:szCs w:val="22"/>
          <w:lang w:val="sr-Latn-ME"/>
        </w:rPr>
        <w:t xml:space="preserve">jednu </w:t>
      </w:r>
      <w:r w:rsidRPr="00E7665A">
        <w:rPr>
          <w:sz w:val="22"/>
          <w:szCs w:val="22"/>
          <w:lang w:val="sr-Latn-ME"/>
        </w:rPr>
        <w:t xml:space="preserve">iglu iz pakovanja, namjestite je na špric, i skinite zaštitnu kapicu sa igle. </w:t>
      </w:r>
    </w:p>
    <w:p w:rsidR="00BF3E6B" w:rsidRPr="00E7665A" w:rsidRDefault="00BF3E6B" w:rsidP="00BF3E6B">
      <w:pPr>
        <w:numPr>
          <w:ilvl w:val="0"/>
          <w:numId w:val="19"/>
        </w:numPr>
        <w:jc w:val="both"/>
        <w:rPr>
          <w:sz w:val="22"/>
          <w:szCs w:val="22"/>
          <w:lang w:val="sr-Latn-ME"/>
        </w:rPr>
      </w:pPr>
      <w:r w:rsidRPr="00E7665A">
        <w:rPr>
          <w:sz w:val="22"/>
          <w:szCs w:val="22"/>
          <w:lang w:val="sr-Latn-ME"/>
        </w:rPr>
        <w:t>Izbacite vazduh iz šprica i igle držeći špric vertikalno</w:t>
      </w:r>
      <w:r w:rsidR="00FE461F" w:rsidRPr="00E7665A">
        <w:rPr>
          <w:sz w:val="22"/>
          <w:szCs w:val="22"/>
          <w:lang w:val="sr-Latn-ME"/>
        </w:rPr>
        <w:t xml:space="preserve"> naviše</w:t>
      </w:r>
      <w:r w:rsidRPr="00E7665A">
        <w:rPr>
          <w:sz w:val="22"/>
          <w:szCs w:val="22"/>
          <w:lang w:val="sr-Latn-ME"/>
        </w:rPr>
        <w:t xml:space="preserve"> </w:t>
      </w:r>
      <w:proofErr w:type="spellStart"/>
      <w:r w:rsidRPr="00E7665A">
        <w:rPr>
          <w:sz w:val="22"/>
          <w:szCs w:val="22"/>
          <w:lang w:val="sr-Latn-ME"/>
        </w:rPr>
        <w:t>n</w:t>
      </w:r>
      <w:r w:rsidR="00FE461F" w:rsidRPr="00E7665A">
        <w:rPr>
          <w:sz w:val="22"/>
          <w:szCs w:val="22"/>
          <w:lang w:val="sr-Latn-ME"/>
        </w:rPr>
        <w:t>j</w:t>
      </w:r>
      <w:r w:rsidRPr="00E7665A">
        <w:rPr>
          <w:sz w:val="22"/>
          <w:szCs w:val="22"/>
          <w:lang w:val="sr-Latn-ME"/>
        </w:rPr>
        <w:t>ežno</w:t>
      </w:r>
      <w:proofErr w:type="spellEnd"/>
      <w:r w:rsidRPr="00E7665A">
        <w:rPr>
          <w:sz w:val="22"/>
          <w:szCs w:val="22"/>
          <w:lang w:val="sr-Latn-ME"/>
        </w:rPr>
        <w:t xml:space="preserve"> gurajući klip. Nastavite da gurate klip sve dok ne dođete do količine </w:t>
      </w:r>
      <w:proofErr w:type="spellStart"/>
      <w:r w:rsidR="00980E2B" w:rsidRPr="00E7665A">
        <w:rPr>
          <w:sz w:val="22"/>
          <w:szCs w:val="22"/>
          <w:lang w:val="sr-Latn-ME"/>
        </w:rPr>
        <w:t>NeoRecormon</w:t>
      </w:r>
      <w:r w:rsidRPr="00E7665A">
        <w:rPr>
          <w:sz w:val="22"/>
          <w:szCs w:val="22"/>
          <w:lang w:val="sr-Latn-ME"/>
        </w:rPr>
        <w:t>a</w:t>
      </w:r>
      <w:proofErr w:type="spellEnd"/>
      <w:r w:rsidRPr="00E7665A">
        <w:rPr>
          <w:sz w:val="22"/>
          <w:szCs w:val="22"/>
          <w:lang w:val="sr-Latn-ME"/>
        </w:rPr>
        <w:t xml:space="preserve"> u špricu koja vam je propisana. </w:t>
      </w:r>
    </w:p>
    <w:p w:rsidR="00BF3E6B" w:rsidRPr="00E7665A" w:rsidRDefault="00BF3E6B" w:rsidP="00094AC4">
      <w:pPr>
        <w:numPr>
          <w:ilvl w:val="0"/>
          <w:numId w:val="19"/>
        </w:numPr>
        <w:jc w:val="both"/>
        <w:rPr>
          <w:sz w:val="22"/>
          <w:szCs w:val="22"/>
          <w:lang w:val="sr-Latn-ME"/>
        </w:rPr>
      </w:pPr>
      <w:r w:rsidRPr="00E7665A">
        <w:rPr>
          <w:sz w:val="22"/>
          <w:szCs w:val="22"/>
          <w:lang w:val="sr-Latn-ME"/>
        </w:rPr>
        <w:t xml:space="preserve">Očistite kožu na mjestu uboda alkoholnim </w:t>
      </w:r>
      <w:proofErr w:type="spellStart"/>
      <w:r w:rsidRPr="00E7665A">
        <w:rPr>
          <w:sz w:val="22"/>
          <w:szCs w:val="22"/>
          <w:lang w:val="sr-Latn-ME"/>
        </w:rPr>
        <w:t>tupferom</w:t>
      </w:r>
      <w:proofErr w:type="spellEnd"/>
      <w:r w:rsidRPr="00E7665A">
        <w:rPr>
          <w:sz w:val="22"/>
          <w:szCs w:val="22"/>
          <w:lang w:val="sr-Latn-ME"/>
        </w:rPr>
        <w:t>. Napravite nabor na koži tako što ćete uštinuti kožu između palca i kažiprsta. Držite špric u blizini kože i ubodite igl</w:t>
      </w:r>
      <w:r w:rsidR="00FE461F" w:rsidRPr="00E7665A">
        <w:rPr>
          <w:sz w:val="22"/>
          <w:szCs w:val="22"/>
          <w:lang w:val="sr-Latn-ME"/>
        </w:rPr>
        <w:t>om</w:t>
      </w:r>
      <w:r w:rsidRPr="00E7665A">
        <w:rPr>
          <w:sz w:val="22"/>
          <w:szCs w:val="22"/>
          <w:lang w:val="sr-Latn-ME"/>
        </w:rPr>
        <w:t xml:space="preserve"> u nabor kože brzim, odlučnim pokretom. Ubrizgajte rastvor </w:t>
      </w:r>
      <w:proofErr w:type="spellStart"/>
      <w:r w:rsidR="00980E2B" w:rsidRPr="00E7665A">
        <w:rPr>
          <w:sz w:val="22"/>
          <w:szCs w:val="22"/>
          <w:lang w:val="sr-Latn-ME"/>
        </w:rPr>
        <w:t>NeoRecormon</w:t>
      </w:r>
      <w:r w:rsidRPr="00E7665A">
        <w:rPr>
          <w:sz w:val="22"/>
          <w:szCs w:val="22"/>
          <w:lang w:val="sr-Latn-ME"/>
        </w:rPr>
        <w:t>a</w:t>
      </w:r>
      <w:proofErr w:type="spellEnd"/>
      <w:r w:rsidRPr="00E7665A">
        <w:rPr>
          <w:sz w:val="22"/>
          <w:szCs w:val="22"/>
          <w:lang w:val="sr-Latn-ME"/>
        </w:rPr>
        <w:t xml:space="preserve">. Izvucite iglu brzo i </w:t>
      </w:r>
      <w:r w:rsidR="00FE461F" w:rsidRPr="00E7665A">
        <w:rPr>
          <w:sz w:val="22"/>
          <w:szCs w:val="22"/>
          <w:lang w:val="sr-Latn-ME"/>
        </w:rPr>
        <w:t>pritisnite</w:t>
      </w:r>
      <w:r w:rsidRPr="00E7665A">
        <w:rPr>
          <w:sz w:val="22"/>
          <w:szCs w:val="22"/>
          <w:lang w:val="sr-Latn-ME"/>
        </w:rPr>
        <w:t xml:space="preserve"> mjest</w:t>
      </w:r>
      <w:r w:rsidR="00FE461F" w:rsidRPr="00E7665A">
        <w:rPr>
          <w:sz w:val="22"/>
          <w:szCs w:val="22"/>
          <w:lang w:val="sr-Latn-ME"/>
        </w:rPr>
        <w:t>o</w:t>
      </w:r>
      <w:r w:rsidRPr="00E7665A">
        <w:rPr>
          <w:sz w:val="22"/>
          <w:szCs w:val="22"/>
          <w:lang w:val="sr-Latn-ME"/>
        </w:rPr>
        <w:t xml:space="preserve"> ubrizgavanja suvim, sterilnim </w:t>
      </w:r>
      <w:proofErr w:type="spellStart"/>
      <w:r w:rsidRPr="00E7665A">
        <w:rPr>
          <w:sz w:val="22"/>
          <w:szCs w:val="22"/>
          <w:lang w:val="sr-Latn-ME"/>
        </w:rPr>
        <w:t>tupferom</w:t>
      </w:r>
      <w:proofErr w:type="spellEnd"/>
      <w:r w:rsidRPr="00E7665A">
        <w:rPr>
          <w:sz w:val="22"/>
          <w:szCs w:val="22"/>
          <w:lang w:val="sr-Latn-ME"/>
        </w:rPr>
        <w:t xml:space="preserve">. </w:t>
      </w:r>
    </w:p>
    <w:p w:rsidR="00BF3E6B" w:rsidRPr="00E7665A" w:rsidRDefault="00BF3E6B" w:rsidP="00BF3E6B">
      <w:pPr>
        <w:tabs>
          <w:tab w:val="left" w:pos="1875"/>
        </w:tabs>
        <w:jc w:val="both"/>
        <w:rPr>
          <w:sz w:val="22"/>
          <w:szCs w:val="22"/>
          <w:lang w:val="sr-Latn-ME"/>
        </w:rPr>
      </w:pPr>
      <w:r w:rsidRPr="00E7665A">
        <w:rPr>
          <w:sz w:val="22"/>
          <w:szCs w:val="22"/>
          <w:lang w:val="sr-Latn-ME"/>
        </w:rPr>
        <w:tab/>
      </w:r>
    </w:p>
    <w:p w:rsidR="00BF3E6B" w:rsidRPr="00E7665A" w:rsidRDefault="00BF3E6B" w:rsidP="00BF3E6B">
      <w:pPr>
        <w:jc w:val="both"/>
        <w:rPr>
          <w:sz w:val="22"/>
          <w:szCs w:val="22"/>
          <w:lang w:val="sr-Latn-ME"/>
        </w:rPr>
      </w:pPr>
      <w:r w:rsidRPr="00E7665A">
        <w:rPr>
          <w:sz w:val="22"/>
          <w:szCs w:val="22"/>
          <w:lang w:val="sr-Latn-ME"/>
        </w:rPr>
        <w:t xml:space="preserve">Ovaj lijek je namijenjen za jednokratnu upotrebu. Sva neiskorišćena količina </w:t>
      </w:r>
      <w:r w:rsidR="00FE461F" w:rsidRPr="00E7665A">
        <w:rPr>
          <w:sz w:val="22"/>
          <w:szCs w:val="22"/>
          <w:lang w:val="sr-Latn-ME"/>
        </w:rPr>
        <w:t>lijeka i/</w:t>
      </w:r>
      <w:r w:rsidRPr="00E7665A">
        <w:rPr>
          <w:sz w:val="22"/>
          <w:szCs w:val="22"/>
          <w:lang w:val="sr-Latn-ME"/>
        </w:rPr>
        <w:t>ili otpadn</w:t>
      </w:r>
      <w:r w:rsidR="00FE461F" w:rsidRPr="00E7665A">
        <w:rPr>
          <w:sz w:val="22"/>
          <w:szCs w:val="22"/>
          <w:lang w:val="sr-Latn-ME"/>
        </w:rPr>
        <w:t>og</w:t>
      </w:r>
      <w:r w:rsidRPr="00E7665A">
        <w:rPr>
          <w:sz w:val="22"/>
          <w:szCs w:val="22"/>
          <w:lang w:val="sr-Latn-ME"/>
        </w:rPr>
        <w:t xml:space="preserve"> materijal</w:t>
      </w:r>
      <w:r w:rsidR="00FE461F" w:rsidRPr="00E7665A">
        <w:rPr>
          <w:sz w:val="22"/>
          <w:szCs w:val="22"/>
          <w:lang w:val="sr-Latn-ME"/>
        </w:rPr>
        <w:t>a</w:t>
      </w:r>
      <w:r w:rsidRPr="00E7665A">
        <w:rPr>
          <w:sz w:val="22"/>
          <w:szCs w:val="22"/>
          <w:lang w:val="sr-Latn-ME"/>
        </w:rPr>
        <w:t xml:space="preserve"> mora se ukloniti u skladu sa </w:t>
      </w:r>
      <w:r w:rsidR="00FE461F" w:rsidRPr="00E7665A">
        <w:rPr>
          <w:sz w:val="22"/>
          <w:szCs w:val="22"/>
          <w:lang w:val="sr-Latn-ME"/>
        </w:rPr>
        <w:t xml:space="preserve">važećim </w:t>
      </w:r>
      <w:r w:rsidRPr="00E7665A">
        <w:rPr>
          <w:sz w:val="22"/>
          <w:szCs w:val="22"/>
          <w:lang w:val="sr-Latn-ME"/>
        </w:rPr>
        <w:t xml:space="preserve">propisima. </w:t>
      </w:r>
    </w:p>
    <w:p w:rsidR="0072020E" w:rsidRPr="00E7665A" w:rsidRDefault="0072020E" w:rsidP="00BF3E6B">
      <w:pPr>
        <w:tabs>
          <w:tab w:val="left" w:pos="540"/>
          <w:tab w:val="left" w:pos="569"/>
        </w:tabs>
        <w:jc w:val="both"/>
        <w:rPr>
          <w:bCs/>
          <w:sz w:val="22"/>
          <w:szCs w:val="22"/>
          <w:lang w:val="sr-Latn-ME"/>
        </w:rPr>
      </w:pPr>
    </w:p>
    <w:p w:rsidR="006D0193" w:rsidRPr="00E7665A" w:rsidRDefault="006D0193" w:rsidP="00BF3E6B">
      <w:pPr>
        <w:tabs>
          <w:tab w:val="left" w:pos="540"/>
          <w:tab w:val="left" w:pos="569"/>
        </w:tabs>
        <w:jc w:val="both"/>
        <w:rPr>
          <w:bCs/>
          <w:sz w:val="22"/>
          <w:szCs w:val="22"/>
          <w:lang w:val="sr-Latn-ME"/>
        </w:rPr>
      </w:pPr>
    </w:p>
    <w:p w:rsidR="00F8570A"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7. </w:t>
      </w:r>
      <w:r w:rsidR="00480FB1" w:rsidRPr="00E7665A">
        <w:rPr>
          <w:b/>
          <w:bCs/>
          <w:sz w:val="22"/>
          <w:szCs w:val="22"/>
          <w:lang w:val="sr-Latn-ME"/>
        </w:rPr>
        <w:tab/>
      </w:r>
      <w:r w:rsidRPr="00E7665A">
        <w:rPr>
          <w:b/>
          <w:bCs/>
          <w:sz w:val="22"/>
          <w:szCs w:val="22"/>
          <w:lang w:val="sr-Latn-ME"/>
        </w:rPr>
        <w:t>NOSILAC DOZVOLE</w:t>
      </w:r>
      <w:r w:rsidR="00483928" w:rsidRPr="00E7665A">
        <w:rPr>
          <w:b/>
          <w:bCs/>
          <w:sz w:val="22"/>
          <w:szCs w:val="22"/>
          <w:lang w:val="sr-Latn-ME"/>
        </w:rPr>
        <w:t xml:space="preserve"> </w:t>
      </w:r>
    </w:p>
    <w:p w:rsidR="00C61BE0" w:rsidRPr="00E7665A" w:rsidRDefault="00C61BE0" w:rsidP="00BF3E6B">
      <w:pPr>
        <w:tabs>
          <w:tab w:val="left" w:pos="540"/>
          <w:tab w:val="left" w:pos="569"/>
        </w:tabs>
        <w:jc w:val="both"/>
        <w:rPr>
          <w:bCs/>
          <w:sz w:val="22"/>
          <w:szCs w:val="22"/>
          <w:lang w:val="sr-Latn-ME"/>
        </w:rPr>
      </w:pPr>
    </w:p>
    <w:p w:rsidR="00BF3E6B" w:rsidRPr="00E7665A" w:rsidRDefault="00BF3E6B" w:rsidP="00BF3E6B">
      <w:pPr>
        <w:tabs>
          <w:tab w:val="left" w:pos="540"/>
          <w:tab w:val="left" w:pos="569"/>
        </w:tabs>
        <w:jc w:val="both"/>
        <w:rPr>
          <w:bCs/>
          <w:sz w:val="22"/>
          <w:szCs w:val="22"/>
          <w:lang w:val="sr-Latn-ME"/>
        </w:rPr>
      </w:pPr>
      <w:r w:rsidRPr="00E7665A">
        <w:rPr>
          <w:bCs/>
          <w:sz w:val="22"/>
          <w:szCs w:val="22"/>
          <w:lang w:val="sr-Latn-ME"/>
        </w:rPr>
        <w:t>“</w:t>
      </w:r>
      <w:proofErr w:type="spellStart"/>
      <w:r w:rsidRPr="00E7665A">
        <w:rPr>
          <w:bCs/>
          <w:sz w:val="22"/>
          <w:szCs w:val="22"/>
          <w:lang w:val="sr-Latn-ME"/>
        </w:rPr>
        <w:t>Hoffmann</w:t>
      </w:r>
      <w:proofErr w:type="spellEnd"/>
      <w:r w:rsidRPr="00E7665A">
        <w:rPr>
          <w:bCs/>
          <w:sz w:val="22"/>
          <w:szCs w:val="22"/>
          <w:lang w:val="sr-Latn-ME"/>
        </w:rPr>
        <w:t xml:space="preserve"> – La </w:t>
      </w:r>
      <w:proofErr w:type="spellStart"/>
      <w:r w:rsidRPr="00E7665A">
        <w:rPr>
          <w:bCs/>
          <w:sz w:val="22"/>
          <w:szCs w:val="22"/>
          <w:lang w:val="sr-Latn-ME"/>
        </w:rPr>
        <w:t>Roche</w:t>
      </w:r>
      <w:proofErr w:type="spellEnd"/>
      <w:r w:rsidRPr="00E7665A">
        <w:rPr>
          <w:bCs/>
          <w:sz w:val="22"/>
          <w:szCs w:val="22"/>
          <w:lang w:val="sr-Latn-ME"/>
        </w:rPr>
        <w:t xml:space="preserve"> L</w:t>
      </w:r>
      <w:r w:rsidR="006D0193" w:rsidRPr="00E7665A">
        <w:rPr>
          <w:bCs/>
          <w:sz w:val="22"/>
          <w:szCs w:val="22"/>
          <w:lang w:val="sr-Latn-ME"/>
        </w:rPr>
        <w:t>TD</w:t>
      </w:r>
      <w:r w:rsidRPr="00E7665A">
        <w:rPr>
          <w:bCs/>
          <w:sz w:val="22"/>
          <w:szCs w:val="22"/>
          <w:lang w:val="sr-Latn-ME"/>
        </w:rPr>
        <w:t xml:space="preserve">” </w:t>
      </w:r>
      <w:r w:rsidR="006D0193" w:rsidRPr="00E7665A">
        <w:rPr>
          <w:bCs/>
          <w:sz w:val="22"/>
          <w:szCs w:val="22"/>
          <w:lang w:val="sr-Latn-ME"/>
        </w:rPr>
        <w:t>D.S.D.</w:t>
      </w:r>
      <w:r w:rsidRPr="00E7665A">
        <w:rPr>
          <w:bCs/>
          <w:sz w:val="22"/>
          <w:szCs w:val="22"/>
          <w:lang w:val="sr-Latn-ME"/>
        </w:rPr>
        <w:t xml:space="preserve"> Podgorica</w:t>
      </w:r>
      <w:r w:rsidR="006D0193" w:rsidRPr="00E7665A">
        <w:rPr>
          <w:bCs/>
          <w:sz w:val="22"/>
          <w:szCs w:val="22"/>
          <w:lang w:val="sr-Latn-ME"/>
        </w:rPr>
        <w:t>,</w:t>
      </w:r>
    </w:p>
    <w:p w:rsidR="00C37FD7" w:rsidRPr="00E7665A" w:rsidRDefault="006D0193" w:rsidP="00BF3E6B">
      <w:pPr>
        <w:tabs>
          <w:tab w:val="left" w:pos="540"/>
          <w:tab w:val="left" w:pos="569"/>
        </w:tabs>
        <w:jc w:val="both"/>
        <w:rPr>
          <w:bCs/>
          <w:sz w:val="22"/>
          <w:szCs w:val="22"/>
          <w:lang w:val="sr-Latn-ME"/>
        </w:rPr>
      </w:pPr>
      <w:r w:rsidRPr="00E7665A">
        <w:rPr>
          <w:bCs/>
          <w:sz w:val="22"/>
          <w:szCs w:val="22"/>
          <w:lang w:val="sr-Latn-ME"/>
        </w:rPr>
        <w:t xml:space="preserve">Ul. </w:t>
      </w:r>
      <w:r w:rsidR="00BF3E6B" w:rsidRPr="00E7665A">
        <w:rPr>
          <w:bCs/>
          <w:sz w:val="22"/>
          <w:szCs w:val="22"/>
          <w:lang w:val="sr-Latn-ME"/>
        </w:rPr>
        <w:t>Cetinjska 11, 81000 Podgorica, Crna Gora</w:t>
      </w:r>
    </w:p>
    <w:p w:rsidR="00BF3E6B" w:rsidRPr="00E7665A" w:rsidRDefault="00BF3E6B" w:rsidP="00BF3E6B">
      <w:pPr>
        <w:tabs>
          <w:tab w:val="left" w:pos="540"/>
          <w:tab w:val="left" w:pos="569"/>
        </w:tabs>
        <w:jc w:val="both"/>
        <w:rPr>
          <w:bCs/>
          <w:sz w:val="22"/>
          <w:szCs w:val="22"/>
          <w:lang w:val="sr-Latn-ME"/>
        </w:rPr>
      </w:pPr>
    </w:p>
    <w:p w:rsidR="006D0193" w:rsidRPr="00E7665A" w:rsidRDefault="006D0193" w:rsidP="00BF3E6B">
      <w:pPr>
        <w:tabs>
          <w:tab w:val="left" w:pos="540"/>
          <w:tab w:val="left" w:pos="569"/>
        </w:tabs>
        <w:jc w:val="both"/>
        <w:rPr>
          <w:bCs/>
          <w:sz w:val="22"/>
          <w:szCs w:val="22"/>
          <w:lang w:val="sr-Latn-ME"/>
        </w:rPr>
      </w:pP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8. </w:t>
      </w:r>
      <w:r w:rsidR="00480FB1" w:rsidRPr="00E7665A">
        <w:rPr>
          <w:b/>
          <w:bCs/>
          <w:sz w:val="22"/>
          <w:szCs w:val="22"/>
          <w:lang w:val="sr-Latn-ME"/>
        </w:rPr>
        <w:tab/>
      </w:r>
      <w:r w:rsidRPr="00E7665A">
        <w:rPr>
          <w:b/>
          <w:bCs/>
          <w:sz w:val="22"/>
          <w:szCs w:val="22"/>
          <w:lang w:val="sr-Latn-ME"/>
        </w:rPr>
        <w:t>BROJ DOZVOLE</w:t>
      </w:r>
      <w:r w:rsidR="008A6D43" w:rsidRPr="00E7665A">
        <w:rPr>
          <w:b/>
          <w:bCs/>
          <w:sz w:val="22"/>
          <w:szCs w:val="22"/>
          <w:lang w:val="sr-Latn-ME"/>
        </w:rPr>
        <w:t xml:space="preserve"> ZA STAVLJANJE LIJEKA U PROMET</w:t>
      </w:r>
    </w:p>
    <w:p w:rsidR="0072020E" w:rsidRPr="00E7665A" w:rsidRDefault="0072020E" w:rsidP="00BF3E6B">
      <w:pPr>
        <w:tabs>
          <w:tab w:val="left" w:pos="540"/>
          <w:tab w:val="left" w:pos="569"/>
        </w:tabs>
        <w:jc w:val="both"/>
        <w:rPr>
          <w:bCs/>
          <w:sz w:val="22"/>
          <w:szCs w:val="22"/>
          <w:lang w:val="sr-Latn-ME"/>
        </w:rPr>
      </w:pPr>
    </w:p>
    <w:p w:rsidR="00BF3E6B" w:rsidRPr="00E7665A" w:rsidRDefault="00980E2B" w:rsidP="00BF3E6B">
      <w:pPr>
        <w:pStyle w:val="Header"/>
        <w:jc w:val="both"/>
        <w:rPr>
          <w:sz w:val="22"/>
          <w:szCs w:val="22"/>
          <w:lang w:val="sr-Latn-ME"/>
        </w:rPr>
      </w:pPr>
      <w:proofErr w:type="spellStart"/>
      <w:r w:rsidRPr="00E7665A">
        <w:rPr>
          <w:sz w:val="22"/>
          <w:szCs w:val="22"/>
          <w:lang w:val="sr-Latn-ME"/>
        </w:rPr>
        <w:t>NeoRecormon</w:t>
      </w:r>
      <w:proofErr w:type="spellEnd"/>
      <w:r w:rsidR="00BF3E6B" w:rsidRPr="00E7665A">
        <w:rPr>
          <w:sz w:val="22"/>
          <w:szCs w:val="22"/>
          <w:lang w:val="sr-Latn-ME"/>
        </w:rPr>
        <w:t>, rastvor za injekciju u napunjenom injekcionom špricu, 2</w:t>
      </w:r>
      <w:r w:rsidR="0074220C" w:rsidRPr="00E7665A">
        <w:rPr>
          <w:sz w:val="22"/>
          <w:szCs w:val="22"/>
          <w:lang w:val="sr-Latn-ME"/>
        </w:rPr>
        <w:t xml:space="preserve"> </w:t>
      </w:r>
      <w:r w:rsidR="00BF3E6B" w:rsidRPr="00E7665A">
        <w:rPr>
          <w:sz w:val="22"/>
          <w:szCs w:val="22"/>
          <w:lang w:val="sr-Latn-ME"/>
        </w:rPr>
        <w:t xml:space="preserve">000 </w:t>
      </w:r>
      <w:proofErr w:type="spellStart"/>
      <w:r w:rsidR="00BF3E6B" w:rsidRPr="00E7665A">
        <w:rPr>
          <w:sz w:val="22"/>
          <w:szCs w:val="22"/>
          <w:lang w:val="sr-Latn-ME"/>
        </w:rPr>
        <w:t>i.j</w:t>
      </w:r>
      <w:proofErr w:type="spellEnd"/>
      <w:r w:rsidR="00BF3E6B" w:rsidRPr="00E7665A">
        <w:rPr>
          <w:sz w:val="22"/>
          <w:szCs w:val="22"/>
          <w:lang w:val="sr-Latn-ME"/>
        </w:rPr>
        <w:t>.</w:t>
      </w:r>
      <w:r w:rsidR="006D0193" w:rsidRPr="00E7665A">
        <w:rPr>
          <w:sz w:val="22"/>
          <w:szCs w:val="22"/>
          <w:lang w:val="sr-Latn-ME"/>
        </w:rPr>
        <w:t>:</w:t>
      </w:r>
      <w:r w:rsidR="00E7665A" w:rsidRPr="00E7665A">
        <w:rPr>
          <w:sz w:val="22"/>
          <w:szCs w:val="22"/>
          <w:lang w:val="sr-Latn-ME"/>
        </w:rPr>
        <w:t xml:space="preserve"> 2030/24/3969 - 4487</w:t>
      </w:r>
    </w:p>
    <w:p w:rsidR="006D0193" w:rsidRPr="00E7665A" w:rsidRDefault="00980E2B" w:rsidP="00BF3E6B">
      <w:pPr>
        <w:pStyle w:val="Header"/>
        <w:tabs>
          <w:tab w:val="left" w:pos="284"/>
        </w:tabs>
        <w:jc w:val="both"/>
        <w:rPr>
          <w:sz w:val="22"/>
          <w:szCs w:val="22"/>
          <w:lang w:val="sr-Latn-ME"/>
        </w:rPr>
      </w:pPr>
      <w:proofErr w:type="spellStart"/>
      <w:r w:rsidRPr="00E7665A">
        <w:rPr>
          <w:sz w:val="22"/>
          <w:szCs w:val="22"/>
          <w:lang w:val="sr-Latn-ME"/>
        </w:rPr>
        <w:t>NeoRecormon</w:t>
      </w:r>
      <w:proofErr w:type="spellEnd"/>
      <w:r w:rsidR="00BF3E6B" w:rsidRPr="00E7665A">
        <w:rPr>
          <w:sz w:val="22"/>
          <w:szCs w:val="22"/>
          <w:lang w:val="sr-Latn-ME"/>
        </w:rPr>
        <w:t>, rastvor za injekciju u napunjenom injekcionom špricu, 10</w:t>
      </w:r>
      <w:r w:rsidR="0074220C" w:rsidRPr="00E7665A">
        <w:rPr>
          <w:sz w:val="22"/>
          <w:szCs w:val="22"/>
          <w:lang w:val="sr-Latn-ME"/>
        </w:rPr>
        <w:t xml:space="preserve"> </w:t>
      </w:r>
      <w:r w:rsidR="008E1698" w:rsidRPr="00E7665A">
        <w:rPr>
          <w:sz w:val="22"/>
          <w:szCs w:val="22"/>
          <w:lang w:val="sr-Latn-ME"/>
        </w:rPr>
        <w:t xml:space="preserve">000 </w:t>
      </w:r>
      <w:proofErr w:type="spellStart"/>
      <w:r w:rsidR="008E1698" w:rsidRPr="00E7665A">
        <w:rPr>
          <w:sz w:val="22"/>
          <w:szCs w:val="22"/>
          <w:lang w:val="sr-Latn-ME"/>
        </w:rPr>
        <w:t>i.j</w:t>
      </w:r>
      <w:proofErr w:type="spellEnd"/>
      <w:r w:rsidR="008E1698" w:rsidRPr="00E7665A">
        <w:rPr>
          <w:sz w:val="22"/>
          <w:szCs w:val="22"/>
          <w:lang w:val="sr-Latn-ME"/>
        </w:rPr>
        <w:t>.</w:t>
      </w:r>
      <w:r w:rsidR="006D0193" w:rsidRPr="00E7665A">
        <w:rPr>
          <w:sz w:val="22"/>
          <w:szCs w:val="22"/>
          <w:lang w:val="sr-Latn-ME"/>
        </w:rPr>
        <w:t>:</w:t>
      </w:r>
      <w:r w:rsidR="008E1698" w:rsidRPr="00E7665A">
        <w:rPr>
          <w:sz w:val="22"/>
          <w:szCs w:val="22"/>
          <w:lang w:val="sr-Latn-ME"/>
        </w:rPr>
        <w:t xml:space="preserve"> 2030/24/3972 – 4488 </w:t>
      </w:r>
    </w:p>
    <w:p w:rsidR="006D0193" w:rsidRPr="00E7665A" w:rsidRDefault="006D0193" w:rsidP="00BF3E6B">
      <w:pPr>
        <w:pStyle w:val="Header"/>
        <w:tabs>
          <w:tab w:val="left" w:pos="284"/>
        </w:tabs>
        <w:jc w:val="both"/>
        <w:rPr>
          <w:sz w:val="22"/>
          <w:szCs w:val="22"/>
          <w:lang w:val="sr-Latn-ME"/>
        </w:rPr>
      </w:pPr>
    </w:p>
    <w:p w:rsidR="00BF3E6B" w:rsidRPr="00E7665A" w:rsidRDefault="00BF3E6B" w:rsidP="00BF3E6B">
      <w:pPr>
        <w:pStyle w:val="Header"/>
        <w:tabs>
          <w:tab w:val="left" w:pos="284"/>
        </w:tabs>
        <w:jc w:val="both"/>
        <w:rPr>
          <w:sz w:val="22"/>
          <w:szCs w:val="22"/>
          <w:lang w:val="sr-Latn-ME"/>
        </w:rPr>
      </w:pPr>
      <w:r w:rsidRPr="00E7665A">
        <w:rPr>
          <w:sz w:val="22"/>
          <w:szCs w:val="22"/>
          <w:lang w:val="sr-Latn-ME"/>
        </w:rPr>
        <w:t xml:space="preserve"> </w:t>
      </w:r>
    </w:p>
    <w:p w:rsidR="0072020E" w:rsidRPr="00E7665A" w:rsidRDefault="0072020E" w:rsidP="00BF3E6B">
      <w:pPr>
        <w:tabs>
          <w:tab w:val="left" w:pos="540"/>
          <w:tab w:val="left" w:pos="569"/>
        </w:tabs>
        <w:jc w:val="both"/>
        <w:rPr>
          <w:b/>
          <w:bCs/>
          <w:sz w:val="22"/>
          <w:szCs w:val="22"/>
          <w:lang w:val="sr-Latn-ME"/>
        </w:rPr>
      </w:pPr>
      <w:r w:rsidRPr="00E7665A">
        <w:rPr>
          <w:b/>
          <w:bCs/>
          <w:sz w:val="22"/>
          <w:szCs w:val="22"/>
          <w:lang w:val="sr-Latn-ME"/>
        </w:rPr>
        <w:t xml:space="preserve">9. </w:t>
      </w:r>
      <w:r w:rsidR="00480FB1" w:rsidRPr="00E7665A">
        <w:rPr>
          <w:b/>
          <w:bCs/>
          <w:sz w:val="22"/>
          <w:szCs w:val="22"/>
          <w:lang w:val="sr-Latn-ME"/>
        </w:rPr>
        <w:tab/>
      </w:r>
      <w:r w:rsidRPr="00E7665A">
        <w:rPr>
          <w:b/>
          <w:bCs/>
          <w:sz w:val="22"/>
          <w:szCs w:val="22"/>
          <w:lang w:val="sr-Latn-ME"/>
        </w:rPr>
        <w:t xml:space="preserve">DATUM </w:t>
      </w:r>
      <w:r w:rsidR="00C05DF8" w:rsidRPr="00E7665A">
        <w:rPr>
          <w:b/>
          <w:bCs/>
          <w:sz w:val="22"/>
          <w:szCs w:val="22"/>
          <w:lang w:val="sr-Latn-ME"/>
        </w:rPr>
        <w:t xml:space="preserve">PRVE </w:t>
      </w:r>
      <w:r w:rsidR="008A6D43" w:rsidRPr="00E7665A">
        <w:rPr>
          <w:b/>
          <w:bCs/>
          <w:sz w:val="22"/>
          <w:szCs w:val="22"/>
          <w:lang w:val="sr-Latn-ME"/>
        </w:rPr>
        <w:t>DOZVOLE</w:t>
      </w:r>
      <w:r w:rsidR="00C05DF8" w:rsidRPr="00E7665A">
        <w:rPr>
          <w:b/>
          <w:bCs/>
          <w:sz w:val="22"/>
          <w:szCs w:val="22"/>
          <w:lang w:val="sr-Latn-ME"/>
        </w:rPr>
        <w:t>/OBNOVE DOZVOLE</w:t>
      </w:r>
      <w:r w:rsidR="008A6D43" w:rsidRPr="00E7665A">
        <w:rPr>
          <w:b/>
          <w:bCs/>
          <w:sz w:val="22"/>
          <w:szCs w:val="22"/>
          <w:lang w:val="sr-Latn-ME"/>
        </w:rPr>
        <w:t xml:space="preserve"> ZA STAVLJANJE LIJEKA U PROMET</w:t>
      </w:r>
    </w:p>
    <w:p w:rsidR="00BF3E6B" w:rsidRPr="00E7665A" w:rsidRDefault="00BF3E6B" w:rsidP="00BF3E6B">
      <w:pPr>
        <w:tabs>
          <w:tab w:val="left" w:pos="540"/>
          <w:tab w:val="left" w:pos="569"/>
        </w:tabs>
        <w:jc w:val="both"/>
        <w:rPr>
          <w:b/>
          <w:bCs/>
          <w:sz w:val="22"/>
          <w:szCs w:val="22"/>
          <w:lang w:val="sr-Latn-ME"/>
        </w:rPr>
      </w:pPr>
    </w:p>
    <w:p w:rsidR="00BF3E6B" w:rsidRPr="00E7665A" w:rsidRDefault="006D0193" w:rsidP="00BF3E6B">
      <w:pPr>
        <w:pStyle w:val="Header"/>
        <w:jc w:val="both"/>
        <w:rPr>
          <w:sz w:val="22"/>
          <w:szCs w:val="22"/>
          <w:lang w:val="sr-Latn-ME"/>
        </w:rPr>
      </w:pPr>
      <w:r w:rsidRPr="00E7665A">
        <w:rPr>
          <w:sz w:val="22"/>
          <w:szCs w:val="22"/>
          <w:lang w:val="sr-Latn-ME"/>
        </w:rPr>
        <w:t>Datum prve dozvole</w:t>
      </w:r>
      <w:r w:rsidR="00BF3E6B" w:rsidRPr="00E7665A">
        <w:rPr>
          <w:sz w:val="22"/>
          <w:szCs w:val="22"/>
          <w:lang w:val="sr-Latn-ME"/>
        </w:rPr>
        <w:t>: 10.03.2014.</w:t>
      </w:r>
      <w:r w:rsidRPr="00E7665A">
        <w:rPr>
          <w:sz w:val="22"/>
          <w:szCs w:val="22"/>
          <w:lang w:val="sr-Latn-ME"/>
        </w:rPr>
        <w:t xml:space="preserve"> godine</w:t>
      </w:r>
    </w:p>
    <w:p w:rsidR="00BF3E6B" w:rsidRPr="00E7665A" w:rsidRDefault="006D0193" w:rsidP="00BF3E6B">
      <w:pPr>
        <w:pStyle w:val="Header"/>
        <w:jc w:val="both"/>
        <w:rPr>
          <w:sz w:val="22"/>
          <w:szCs w:val="22"/>
          <w:lang w:val="sr-Latn-ME"/>
        </w:rPr>
      </w:pPr>
      <w:r w:rsidRPr="00E7665A">
        <w:rPr>
          <w:sz w:val="22"/>
          <w:szCs w:val="22"/>
          <w:lang w:val="sr-Latn-ME"/>
        </w:rPr>
        <w:t>Datum posljednje obnove dozvole:</w:t>
      </w:r>
      <w:r w:rsidR="008E1698" w:rsidRPr="00E7665A">
        <w:rPr>
          <w:sz w:val="22"/>
          <w:szCs w:val="22"/>
          <w:lang w:val="sr-Latn-ME"/>
        </w:rPr>
        <w:t xml:space="preserve"> 26.07.2024. godine</w:t>
      </w:r>
    </w:p>
    <w:p w:rsidR="0072020E" w:rsidRPr="00E7665A" w:rsidRDefault="0072020E" w:rsidP="00BF3E6B">
      <w:pPr>
        <w:tabs>
          <w:tab w:val="left" w:pos="540"/>
          <w:tab w:val="left" w:pos="569"/>
        </w:tabs>
        <w:jc w:val="both"/>
        <w:rPr>
          <w:bCs/>
          <w:sz w:val="22"/>
          <w:szCs w:val="22"/>
          <w:lang w:val="sr-Latn-ME"/>
        </w:rPr>
      </w:pPr>
    </w:p>
    <w:p w:rsidR="00836B35" w:rsidRPr="00E7665A" w:rsidRDefault="00836B35" w:rsidP="00BF3E6B">
      <w:pPr>
        <w:tabs>
          <w:tab w:val="left" w:pos="540"/>
          <w:tab w:val="left" w:pos="569"/>
        </w:tabs>
        <w:jc w:val="both"/>
        <w:rPr>
          <w:bCs/>
          <w:sz w:val="22"/>
          <w:szCs w:val="22"/>
          <w:lang w:val="sr-Latn-ME"/>
        </w:rPr>
      </w:pPr>
    </w:p>
    <w:p w:rsidR="003F6A59" w:rsidRPr="00E7665A" w:rsidRDefault="0072020E" w:rsidP="00BF3E6B">
      <w:pPr>
        <w:tabs>
          <w:tab w:val="left" w:pos="540"/>
          <w:tab w:val="left" w:pos="569"/>
        </w:tabs>
        <w:ind w:left="540" w:hanging="540"/>
        <w:jc w:val="both"/>
        <w:rPr>
          <w:bCs/>
          <w:sz w:val="22"/>
          <w:szCs w:val="22"/>
          <w:lang w:val="sr-Latn-ME"/>
        </w:rPr>
      </w:pPr>
      <w:r w:rsidRPr="00E7665A">
        <w:rPr>
          <w:b/>
          <w:bCs/>
          <w:sz w:val="22"/>
          <w:szCs w:val="22"/>
          <w:lang w:val="sr-Latn-ME"/>
        </w:rPr>
        <w:t xml:space="preserve">10. </w:t>
      </w:r>
      <w:r w:rsidR="00480FB1" w:rsidRPr="00E7665A">
        <w:rPr>
          <w:b/>
          <w:bCs/>
          <w:sz w:val="22"/>
          <w:szCs w:val="22"/>
          <w:lang w:val="sr-Latn-ME"/>
        </w:rPr>
        <w:tab/>
      </w:r>
      <w:r w:rsidR="002846DB" w:rsidRPr="00E7665A">
        <w:rPr>
          <w:b/>
          <w:bCs/>
          <w:sz w:val="22"/>
          <w:szCs w:val="22"/>
          <w:lang w:val="sr-Latn-ME"/>
        </w:rPr>
        <w:t>D</w:t>
      </w:r>
      <w:r w:rsidR="00EC2532" w:rsidRPr="00E7665A">
        <w:rPr>
          <w:b/>
          <w:bCs/>
          <w:sz w:val="22"/>
          <w:szCs w:val="22"/>
          <w:lang w:val="sr-Latn-ME"/>
        </w:rPr>
        <w:t xml:space="preserve">ATUM REVIZIJE TEKSTA </w:t>
      </w:r>
    </w:p>
    <w:p w:rsidR="003F6A59" w:rsidRPr="00E7665A" w:rsidRDefault="003F6A59" w:rsidP="00BF3E6B">
      <w:pPr>
        <w:tabs>
          <w:tab w:val="left" w:pos="540"/>
          <w:tab w:val="left" w:pos="569"/>
        </w:tabs>
        <w:jc w:val="both"/>
        <w:rPr>
          <w:bCs/>
          <w:sz w:val="22"/>
          <w:szCs w:val="22"/>
          <w:lang w:val="sr-Latn-ME"/>
        </w:rPr>
      </w:pPr>
    </w:p>
    <w:p w:rsidR="003F6A59" w:rsidRPr="00E7665A" w:rsidRDefault="008E1698" w:rsidP="00BF3E6B">
      <w:pPr>
        <w:jc w:val="both"/>
        <w:rPr>
          <w:sz w:val="22"/>
          <w:szCs w:val="22"/>
          <w:lang w:val="sr-Latn-ME"/>
        </w:rPr>
      </w:pPr>
      <w:r w:rsidRPr="00E7665A">
        <w:rPr>
          <w:sz w:val="22"/>
          <w:szCs w:val="22"/>
          <w:lang w:val="sr-Latn-ME"/>
        </w:rPr>
        <w:t>Jul, 2024. godine</w:t>
      </w:r>
    </w:p>
    <w:sectPr w:rsidR="003F6A59" w:rsidRPr="00E7665A"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B6E" w:rsidRDefault="00257B6E">
      <w:r>
        <w:separator/>
      </w:r>
    </w:p>
  </w:endnote>
  <w:endnote w:type="continuationSeparator" w:id="0">
    <w:p w:rsidR="00257B6E" w:rsidRDefault="0025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69" w:rsidRPr="00B23F69" w:rsidRDefault="0044756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D02AF">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D02AF">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B6E" w:rsidRDefault="00257B6E">
      <w:r>
        <w:separator/>
      </w:r>
    </w:p>
  </w:footnote>
  <w:footnote w:type="continuationSeparator" w:id="0">
    <w:p w:rsidR="00257B6E" w:rsidRDefault="00257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9pt;height:13.55pt;visibility:visible" o:bullet="t">
        <v:imagedata r:id="rId1" o:title="BT_1000x858px"/>
      </v:shape>
    </w:pict>
  </w:numPicBullet>
  <w:abstractNum w:abstractNumId="0" w15:restartNumberingAfterBreak="0">
    <w:nsid w:val="051402D3"/>
    <w:multiLevelType w:val="hybridMultilevel"/>
    <w:tmpl w:val="DB3E826A"/>
    <w:lvl w:ilvl="0" w:tplc="6CCAFC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7A6425"/>
    <w:multiLevelType w:val="hybridMultilevel"/>
    <w:tmpl w:val="790E85EE"/>
    <w:lvl w:ilvl="0" w:tplc="9568329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80ECC"/>
    <w:multiLevelType w:val="hybridMultilevel"/>
    <w:tmpl w:val="C4987C98"/>
    <w:lvl w:ilvl="0" w:tplc="9568329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D44CB"/>
    <w:multiLevelType w:val="hybridMultilevel"/>
    <w:tmpl w:val="8BEE97BC"/>
    <w:lvl w:ilvl="0" w:tplc="9E6649E0">
      <w:start w:val="8"/>
      <w:numFmt w:val="bullet"/>
      <w:lvlText w:val="-"/>
      <w:lvlJc w:val="left"/>
      <w:pPr>
        <w:tabs>
          <w:tab w:val="num" w:pos="567"/>
        </w:tabs>
        <w:ind w:left="567" w:hanging="567"/>
      </w:pPr>
      <w:rPr>
        <w:rFonts w:ascii="Arial" w:eastAsia="Times New Roman" w:hAnsi="Aria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AB847E5"/>
    <w:multiLevelType w:val="hybridMultilevel"/>
    <w:tmpl w:val="CDC82284"/>
    <w:lvl w:ilvl="0" w:tplc="B77E14E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921451"/>
    <w:multiLevelType w:val="hybridMultilevel"/>
    <w:tmpl w:val="9BB05FCC"/>
    <w:lvl w:ilvl="0" w:tplc="974E16FC">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70BF1BD0"/>
    <w:multiLevelType w:val="hybridMultilevel"/>
    <w:tmpl w:val="4878766C"/>
    <w:lvl w:ilvl="0" w:tplc="8742870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006ED0"/>
    <w:multiLevelType w:val="hybridMultilevel"/>
    <w:tmpl w:val="E62EEE9A"/>
    <w:lvl w:ilvl="0" w:tplc="0D500610">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num>
  <w:num w:numId="4">
    <w:abstractNumId w:val="13"/>
  </w:num>
  <w:num w:numId="5">
    <w:abstractNumId w:val="6"/>
  </w:num>
  <w:num w:numId="6">
    <w:abstractNumId w:val="2"/>
  </w:num>
  <w:num w:numId="7">
    <w:abstractNumId w:val="11"/>
  </w:num>
  <w:num w:numId="8">
    <w:abstractNumId w:val="5"/>
  </w:num>
  <w:num w:numId="9">
    <w:abstractNumId w:val="10"/>
  </w:num>
  <w:num w:numId="10">
    <w:abstractNumId w:val="17"/>
  </w:num>
  <w:num w:numId="11">
    <w:abstractNumId w:val="7"/>
  </w:num>
  <w:num w:numId="12">
    <w:abstractNumId w:val="16"/>
  </w:num>
  <w:num w:numId="13">
    <w:abstractNumId w:val="8"/>
  </w:num>
  <w:num w:numId="14">
    <w:abstractNumId w:val="3"/>
  </w:num>
  <w:num w:numId="15">
    <w:abstractNumId w:val="12"/>
  </w:num>
  <w:num w:numId="16">
    <w:abstractNumId w:val="9"/>
  </w:num>
  <w:num w:numId="17">
    <w:abstractNumId w:val="15"/>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3037"/>
    <w:rsid w:val="00033469"/>
    <w:rsid w:val="00036FA0"/>
    <w:rsid w:val="00037079"/>
    <w:rsid w:val="0003793F"/>
    <w:rsid w:val="00045130"/>
    <w:rsid w:val="000453BE"/>
    <w:rsid w:val="00057E35"/>
    <w:rsid w:val="00075E28"/>
    <w:rsid w:val="00076726"/>
    <w:rsid w:val="00080303"/>
    <w:rsid w:val="00083D02"/>
    <w:rsid w:val="00094AC4"/>
    <w:rsid w:val="000A3F58"/>
    <w:rsid w:val="000A4BF1"/>
    <w:rsid w:val="000B62BE"/>
    <w:rsid w:val="000D2343"/>
    <w:rsid w:val="000D3449"/>
    <w:rsid w:val="000D425A"/>
    <w:rsid w:val="000D60CC"/>
    <w:rsid w:val="000E1F78"/>
    <w:rsid w:val="000E2084"/>
    <w:rsid w:val="000E6F55"/>
    <w:rsid w:val="000F77FA"/>
    <w:rsid w:val="00107BF7"/>
    <w:rsid w:val="001215F0"/>
    <w:rsid w:val="00126F53"/>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57B6E"/>
    <w:rsid w:val="00266046"/>
    <w:rsid w:val="002846DB"/>
    <w:rsid w:val="00284CCD"/>
    <w:rsid w:val="002C4170"/>
    <w:rsid w:val="002C6637"/>
    <w:rsid w:val="002E0135"/>
    <w:rsid w:val="002E37A5"/>
    <w:rsid w:val="002E440B"/>
    <w:rsid w:val="002F7496"/>
    <w:rsid w:val="00310F03"/>
    <w:rsid w:val="003247D2"/>
    <w:rsid w:val="00343D9B"/>
    <w:rsid w:val="003445C1"/>
    <w:rsid w:val="00350798"/>
    <w:rsid w:val="00355B61"/>
    <w:rsid w:val="003570B1"/>
    <w:rsid w:val="00362686"/>
    <w:rsid w:val="00371510"/>
    <w:rsid w:val="00396DFD"/>
    <w:rsid w:val="003A4602"/>
    <w:rsid w:val="003A7059"/>
    <w:rsid w:val="003A77B0"/>
    <w:rsid w:val="003B7A36"/>
    <w:rsid w:val="003C17AB"/>
    <w:rsid w:val="003C7823"/>
    <w:rsid w:val="003D02AF"/>
    <w:rsid w:val="003E1DCC"/>
    <w:rsid w:val="003E7488"/>
    <w:rsid w:val="003F11A1"/>
    <w:rsid w:val="003F6A59"/>
    <w:rsid w:val="004065C8"/>
    <w:rsid w:val="004109FA"/>
    <w:rsid w:val="00411B4B"/>
    <w:rsid w:val="00415BEE"/>
    <w:rsid w:val="004254E9"/>
    <w:rsid w:val="00427F85"/>
    <w:rsid w:val="00436F42"/>
    <w:rsid w:val="004378B4"/>
    <w:rsid w:val="00447569"/>
    <w:rsid w:val="00451314"/>
    <w:rsid w:val="00452A2C"/>
    <w:rsid w:val="00452E9D"/>
    <w:rsid w:val="004534C7"/>
    <w:rsid w:val="004671AA"/>
    <w:rsid w:val="00471DF8"/>
    <w:rsid w:val="00480FB1"/>
    <w:rsid w:val="00483928"/>
    <w:rsid w:val="004C331F"/>
    <w:rsid w:val="004D6103"/>
    <w:rsid w:val="004E3BCE"/>
    <w:rsid w:val="004E4ECF"/>
    <w:rsid w:val="004E70AD"/>
    <w:rsid w:val="004F0E97"/>
    <w:rsid w:val="004F17E2"/>
    <w:rsid w:val="00501DD1"/>
    <w:rsid w:val="00515C21"/>
    <w:rsid w:val="00530BD7"/>
    <w:rsid w:val="00537867"/>
    <w:rsid w:val="0054076D"/>
    <w:rsid w:val="00545CD2"/>
    <w:rsid w:val="005476F3"/>
    <w:rsid w:val="00572527"/>
    <w:rsid w:val="00573E40"/>
    <w:rsid w:val="00574D16"/>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A1351"/>
    <w:rsid w:val="006A1497"/>
    <w:rsid w:val="006A31C8"/>
    <w:rsid w:val="006B0BD1"/>
    <w:rsid w:val="006B5404"/>
    <w:rsid w:val="006C2C32"/>
    <w:rsid w:val="006C3733"/>
    <w:rsid w:val="006D0193"/>
    <w:rsid w:val="006D20A5"/>
    <w:rsid w:val="006D37BF"/>
    <w:rsid w:val="00702E22"/>
    <w:rsid w:val="0072020E"/>
    <w:rsid w:val="0074220C"/>
    <w:rsid w:val="00753400"/>
    <w:rsid w:val="00754902"/>
    <w:rsid w:val="00760C9C"/>
    <w:rsid w:val="00767064"/>
    <w:rsid w:val="00786071"/>
    <w:rsid w:val="007A3ECB"/>
    <w:rsid w:val="007A5B91"/>
    <w:rsid w:val="007D020B"/>
    <w:rsid w:val="007D7BB3"/>
    <w:rsid w:val="007E31E9"/>
    <w:rsid w:val="007F05E3"/>
    <w:rsid w:val="00824AB9"/>
    <w:rsid w:val="008350D3"/>
    <w:rsid w:val="00836B35"/>
    <w:rsid w:val="00843BDE"/>
    <w:rsid w:val="0087588C"/>
    <w:rsid w:val="00884B1E"/>
    <w:rsid w:val="008859E2"/>
    <w:rsid w:val="00887FB3"/>
    <w:rsid w:val="0089705C"/>
    <w:rsid w:val="008A6D43"/>
    <w:rsid w:val="008B491E"/>
    <w:rsid w:val="008B77C6"/>
    <w:rsid w:val="008C1A28"/>
    <w:rsid w:val="008C2E98"/>
    <w:rsid w:val="008D7CB9"/>
    <w:rsid w:val="008E1698"/>
    <w:rsid w:val="008E49BD"/>
    <w:rsid w:val="008E53E9"/>
    <w:rsid w:val="008E5771"/>
    <w:rsid w:val="008F4ACF"/>
    <w:rsid w:val="00924166"/>
    <w:rsid w:val="00940B9B"/>
    <w:rsid w:val="00953573"/>
    <w:rsid w:val="0095676E"/>
    <w:rsid w:val="00956983"/>
    <w:rsid w:val="00963CF0"/>
    <w:rsid w:val="00964BB1"/>
    <w:rsid w:val="009775D9"/>
    <w:rsid w:val="00980E2B"/>
    <w:rsid w:val="00993A2B"/>
    <w:rsid w:val="0099683E"/>
    <w:rsid w:val="00996CD5"/>
    <w:rsid w:val="00997175"/>
    <w:rsid w:val="009A1847"/>
    <w:rsid w:val="009B062A"/>
    <w:rsid w:val="009D6259"/>
    <w:rsid w:val="009E22D0"/>
    <w:rsid w:val="009E7C6F"/>
    <w:rsid w:val="009F07B1"/>
    <w:rsid w:val="009F1793"/>
    <w:rsid w:val="009F2D23"/>
    <w:rsid w:val="00A01D69"/>
    <w:rsid w:val="00A02335"/>
    <w:rsid w:val="00A2499D"/>
    <w:rsid w:val="00A46C9A"/>
    <w:rsid w:val="00A619F3"/>
    <w:rsid w:val="00A62A73"/>
    <w:rsid w:val="00A87FF6"/>
    <w:rsid w:val="00AA0A3B"/>
    <w:rsid w:val="00AA2763"/>
    <w:rsid w:val="00AA33B6"/>
    <w:rsid w:val="00AB50CA"/>
    <w:rsid w:val="00AB6D64"/>
    <w:rsid w:val="00AC53CE"/>
    <w:rsid w:val="00AD2193"/>
    <w:rsid w:val="00AE6A81"/>
    <w:rsid w:val="00AF19F4"/>
    <w:rsid w:val="00AF2AC7"/>
    <w:rsid w:val="00AF74CE"/>
    <w:rsid w:val="00B006B5"/>
    <w:rsid w:val="00B208DB"/>
    <w:rsid w:val="00B23F69"/>
    <w:rsid w:val="00B60619"/>
    <w:rsid w:val="00B66A70"/>
    <w:rsid w:val="00B67366"/>
    <w:rsid w:val="00B7066D"/>
    <w:rsid w:val="00B80EE1"/>
    <w:rsid w:val="00B84135"/>
    <w:rsid w:val="00BF3E6B"/>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4C0D"/>
    <w:rsid w:val="00C96C21"/>
    <w:rsid w:val="00CA04B9"/>
    <w:rsid w:val="00CA1FEB"/>
    <w:rsid w:val="00CD4F85"/>
    <w:rsid w:val="00CD6F02"/>
    <w:rsid w:val="00CE246D"/>
    <w:rsid w:val="00CF07A0"/>
    <w:rsid w:val="00CF3E03"/>
    <w:rsid w:val="00D0082A"/>
    <w:rsid w:val="00D21455"/>
    <w:rsid w:val="00D31819"/>
    <w:rsid w:val="00D47634"/>
    <w:rsid w:val="00D5171B"/>
    <w:rsid w:val="00D709B3"/>
    <w:rsid w:val="00D74CD2"/>
    <w:rsid w:val="00D75906"/>
    <w:rsid w:val="00DA2ED6"/>
    <w:rsid w:val="00DB1D55"/>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7665A"/>
    <w:rsid w:val="00E868E5"/>
    <w:rsid w:val="00E9237A"/>
    <w:rsid w:val="00E939FA"/>
    <w:rsid w:val="00EA5765"/>
    <w:rsid w:val="00EC2532"/>
    <w:rsid w:val="00EC60BC"/>
    <w:rsid w:val="00EC6BFB"/>
    <w:rsid w:val="00ED7812"/>
    <w:rsid w:val="00EF3B86"/>
    <w:rsid w:val="00F317E9"/>
    <w:rsid w:val="00F34554"/>
    <w:rsid w:val="00F35B68"/>
    <w:rsid w:val="00F45F77"/>
    <w:rsid w:val="00F5167F"/>
    <w:rsid w:val="00F52258"/>
    <w:rsid w:val="00F731C5"/>
    <w:rsid w:val="00F8570A"/>
    <w:rsid w:val="00F91C7B"/>
    <w:rsid w:val="00FE461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341B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2E440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4C863-47D8-4357-966B-F066D21E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14</Pages>
  <Words>6154</Words>
  <Characters>35080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41152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37</cp:revision>
  <cp:lastPrinted>2023-02-09T08:16:00Z</cp:lastPrinted>
  <dcterms:created xsi:type="dcterms:W3CDTF">2024-04-08T11:23:00Z</dcterms:created>
  <dcterms:modified xsi:type="dcterms:W3CDTF">2024-07-29T05:50:00Z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