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C67E42" w:rsidRDefault="001A5518" w:rsidP="00E626F0">
      <w:pPr>
        <w:jc w:val="both"/>
        <w:rPr>
          <w:b/>
          <w:bCs/>
          <w:i/>
          <w:iCs/>
          <w:noProof/>
          <w:sz w:val="22"/>
          <w:szCs w:val="22"/>
          <w:u w:val="single"/>
          <w:lang w:val="sr-Latn-BA"/>
        </w:rPr>
      </w:pPr>
    </w:p>
    <w:p w:rsidR="00F91C7B" w:rsidRPr="00C67E42" w:rsidRDefault="00F91C7B" w:rsidP="00DE454F">
      <w:pPr>
        <w:jc w:val="center"/>
        <w:rPr>
          <w:b/>
          <w:bCs/>
          <w:i/>
          <w:iCs/>
          <w:noProof/>
          <w:sz w:val="22"/>
          <w:szCs w:val="22"/>
          <w:u w:val="single"/>
          <w:lang w:val="sr-Latn-BA"/>
        </w:rPr>
      </w:pPr>
    </w:p>
    <w:p w:rsidR="002510A5" w:rsidRPr="00C67E42" w:rsidRDefault="002510A5" w:rsidP="00DE454F">
      <w:pPr>
        <w:jc w:val="center"/>
        <w:rPr>
          <w:b/>
          <w:bCs/>
          <w:iCs/>
          <w:noProof/>
          <w:sz w:val="22"/>
          <w:szCs w:val="22"/>
          <w:u w:val="single"/>
          <w:lang w:val="sr-Latn-BA"/>
        </w:rPr>
      </w:pPr>
      <w:r w:rsidRPr="00C67E42">
        <w:rPr>
          <w:b/>
          <w:bCs/>
          <w:iCs/>
          <w:noProof/>
          <w:sz w:val="22"/>
          <w:szCs w:val="22"/>
          <w:u w:val="single"/>
          <w:lang w:val="sr-Latn-BA"/>
        </w:rPr>
        <w:t>SAŽETAK KARAKTERISTIKA LIJEKA</w:t>
      </w:r>
    </w:p>
    <w:p w:rsidR="002510A5" w:rsidRPr="00C67E42" w:rsidRDefault="002510A5" w:rsidP="00E626F0">
      <w:pPr>
        <w:jc w:val="both"/>
        <w:rPr>
          <w:b/>
          <w:bCs/>
          <w:i/>
          <w:iCs/>
          <w:noProof/>
          <w:sz w:val="22"/>
          <w:szCs w:val="22"/>
          <w:u w:val="single"/>
          <w:lang w:val="sr-Latn-BA"/>
        </w:rPr>
      </w:pPr>
    </w:p>
    <w:p w:rsidR="00C37FD7" w:rsidRPr="00C67E42" w:rsidRDefault="00C37FD7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>1.</w:t>
      </w:r>
      <w:r w:rsidR="00F5167F" w:rsidRPr="00C67E42">
        <w:rPr>
          <w:b/>
          <w:bCs/>
          <w:noProof/>
          <w:sz w:val="22"/>
          <w:szCs w:val="22"/>
          <w:lang w:val="sr-Latn-BA"/>
        </w:rPr>
        <w:tab/>
      </w:r>
      <w:r w:rsidR="002846DB" w:rsidRPr="00C67E42">
        <w:rPr>
          <w:b/>
          <w:bCs/>
          <w:noProof/>
          <w:sz w:val="22"/>
          <w:szCs w:val="22"/>
          <w:lang w:val="sr-Latn-BA"/>
        </w:rPr>
        <w:t xml:space="preserve">NAZIV </w:t>
      </w:r>
      <w:r w:rsidRPr="00C67E42">
        <w:rPr>
          <w:b/>
          <w:bCs/>
          <w:noProof/>
          <w:sz w:val="22"/>
          <w:szCs w:val="22"/>
          <w:lang w:val="sr-Latn-BA"/>
        </w:rPr>
        <w:t>LIJEKA</w:t>
      </w:r>
    </w:p>
    <w:p w:rsidR="00EC2532" w:rsidRPr="00C67E42" w:rsidRDefault="00EC2532" w:rsidP="00E626F0">
      <w:pPr>
        <w:jc w:val="both"/>
        <w:rPr>
          <w:noProof/>
          <w:sz w:val="22"/>
          <w:szCs w:val="22"/>
          <w:lang w:val="sr-Latn-BA"/>
        </w:rPr>
      </w:pPr>
    </w:p>
    <w:p w:rsidR="00F80C54" w:rsidRPr="00BE002E" w:rsidRDefault="00F80C54" w:rsidP="00E626F0">
      <w:pPr>
        <w:jc w:val="both"/>
        <w:rPr>
          <w:bCs/>
          <w:noProof/>
          <w:sz w:val="22"/>
          <w:szCs w:val="22"/>
          <w:lang w:val="sr-Latn-BA"/>
        </w:rPr>
      </w:pPr>
      <w:r w:rsidRPr="00BE002E">
        <w:rPr>
          <w:bCs/>
          <w:noProof/>
          <w:sz w:val="22"/>
          <w:szCs w:val="22"/>
          <w:lang w:val="sr-Latn-BA"/>
        </w:rPr>
        <w:t>LYSOBACT</w:t>
      </w:r>
      <w:r w:rsidR="00E67F97">
        <w:rPr>
          <w:bCs/>
          <w:noProof/>
          <w:sz w:val="22"/>
          <w:szCs w:val="22"/>
          <w:lang w:val="sr-Latn-BA"/>
        </w:rPr>
        <w:t>,</w:t>
      </w:r>
      <w:r w:rsidRPr="00BE002E">
        <w:rPr>
          <w:bCs/>
          <w:noProof/>
          <w:sz w:val="22"/>
          <w:szCs w:val="22"/>
          <w:lang w:val="sr-Latn-BA"/>
        </w:rPr>
        <w:t xml:space="preserve"> 20 mg</w:t>
      </w:r>
      <w:r w:rsidR="00E67F97">
        <w:rPr>
          <w:bCs/>
          <w:noProof/>
          <w:sz w:val="22"/>
          <w:szCs w:val="22"/>
          <w:lang w:val="sr-Latn-BA"/>
        </w:rPr>
        <w:t xml:space="preserve"> + </w:t>
      </w:r>
      <w:r w:rsidRPr="00BE002E">
        <w:rPr>
          <w:bCs/>
          <w:noProof/>
          <w:sz w:val="22"/>
          <w:szCs w:val="22"/>
          <w:lang w:val="sr-Latn-BA"/>
        </w:rPr>
        <w:t>10 mg</w:t>
      </w:r>
      <w:r w:rsidR="00E67F97">
        <w:rPr>
          <w:bCs/>
          <w:noProof/>
          <w:sz w:val="22"/>
          <w:szCs w:val="22"/>
          <w:lang w:val="sr-Latn-BA"/>
        </w:rPr>
        <w:t>,</w:t>
      </w:r>
      <w:r w:rsidRPr="00BE002E">
        <w:rPr>
          <w:bCs/>
          <w:noProof/>
          <w:sz w:val="22"/>
          <w:szCs w:val="22"/>
          <w:lang w:val="sr-Latn-BA"/>
        </w:rPr>
        <w:t xml:space="preserve"> komprimovan</w:t>
      </w:r>
      <w:r w:rsidR="00E67F97">
        <w:rPr>
          <w:bCs/>
          <w:noProof/>
          <w:sz w:val="22"/>
          <w:szCs w:val="22"/>
          <w:lang w:val="sr-Latn-BA"/>
        </w:rPr>
        <w:t>a</w:t>
      </w:r>
      <w:r w:rsidRPr="00BE002E">
        <w:rPr>
          <w:bCs/>
          <w:noProof/>
          <w:sz w:val="22"/>
          <w:szCs w:val="22"/>
          <w:lang w:val="sr-Latn-BA"/>
        </w:rPr>
        <w:t xml:space="preserve"> lozeng</w:t>
      </w:r>
      <w:r w:rsidR="00E67F97">
        <w:rPr>
          <w:bCs/>
          <w:noProof/>
          <w:sz w:val="22"/>
          <w:szCs w:val="22"/>
          <w:lang w:val="sr-Latn-BA"/>
        </w:rPr>
        <w:t>a</w:t>
      </w:r>
    </w:p>
    <w:p w:rsidR="000D425A" w:rsidRPr="00C67E42" w:rsidRDefault="000D425A" w:rsidP="00E626F0">
      <w:pPr>
        <w:jc w:val="both"/>
        <w:rPr>
          <w:bCs/>
          <w:noProof/>
          <w:sz w:val="22"/>
          <w:szCs w:val="22"/>
          <w:lang w:val="sr-Latn-BA"/>
        </w:rPr>
      </w:pPr>
    </w:p>
    <w:p w:rsidR="006D20A5" w:rsidRPr="00C67E42" w:rsidRDefault="006D20A5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INN:</w:t>
      </w:r>
      <w:r w:rsidR="00381096" w:rsidRPr="00C67E42">
        <w:rPr>
          <w:noProof/>
          <w:sz w:val="22"/>
          <w:szCs w:val="22"/>
          <w:lang w:val="sr-Latn-BA"/>
        </w:rPr>
        <w:t xml:space="preserve"> lizozim</w:t>
      </w:r>
      <w:r w:rsidR="00E67F97">
        <w:rPr>
          <w:noProof/>
          <w:sz w:val="22"/>
          <w:szCs w:val="22"/>
          <w:lang w:val="sr-Latn-BA"/>
        </w:rPr>
        <w:t xml:space="preserve">, </w:t>
      </w:r>
      <w:r w:rsidR="00381096" w:rsidRPr="00C67E42">
        <w:rPr>
          <w:noProof/>
          <w:sz w:val="22"/>
          <w:szCs w:val="22"/>
          <w:lang w:val="sr-Latn-BA"/>
        </w:rPr>
        <w:t>piridoksin</w:t>
      </w:r>
    </w:p>
    <w:p w:rsidR="006D20A5" w:rsidRPr="00C67E42" w:rsidRDefault="006D20A5" w:rsidP="00E626F0">
      <w:pPr>
        <w:jc w:val="both"/>
        <w:rPr>
          <w:bCs/>
          <w:noProof/>
          <w:sz w:val="22"/>
          <w:szCs w:val="22"/>
          <w:lang w:val="sr-Latn-BA"/>
        </w:rPr>
      </w:pPr>
    </w:p>
    <w:p w:rsidR="00530BD7" w:rsidRPr="00C67E42" w:rsidRDefault="00530BD7" w:rsidP="00E626F0">
      <w:pPr>
        <w:jc w:val="both"/>
        <w:rPr>
          <w:bCs/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2. </w:t>
      </w:r>
      <w:r w:rsidR="00F5167F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KVALITATIVNI I KVANTITATIVNI SASTAV</w:t>
      </w:r>
    </w:p>
    <w:p w:rsidR="00381096" w:rsidRPr="00C67E42" w:rsidRDefault="00381096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381096" w:rsidRPr="00C67E42" w:rsidRDefault="0038109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Jedna LYSOBACT komprimovana lozenga sadrži: </w:t>
      </w:r>
      <w:r w:rsidR="00E67F97">
        <w:rPr>
          <w:bCs/>
          <w:noProof/>
          <w:sz w:val="22"/>
          <w:szCs w:val="22"/>
          <w:lang w:val="sr-Latn-BA"/>
        </w:rPr>
        <w:t xml:space="preserve">20 mg </w:t>
      </w:r>
      <w:r w:rsidRPr="00C67E42">
        <w:rPr>
          <w:bCs/>
          <w:noProof/>
          <w:sz w:val="22"/>
          <w:szCs w:val="22"/>
          <w:lang w:val="sr-Latn-BA"/>
        </w:rPr>
        <w:t xml:space="preserve">lizozim </w:t>
      </w:r>
      <w:r w:rsidR="003D2267">
        <w:rPr>
          <w:bCs/>
          <w:noProof/>
          <w:sz w:val="22"/>
          <w:szCs w:val="22"/>
          <w:lang w:val="sr-Latn-BA"/>
        </w:rPr>
        <w:t xml:space="preserve">hidrohlorida i </w:t>
      </w:r>
      <w:r w:rsidR="00E67F97" w:rsidRPr="00C67E42">
        <w:rPr>
          <w:bCs/>
          <w:noProof/>
          <w:sz w:val="22"/>
          <w:szCs w:val="22"/>
          <w:lang w:val="sr-Latn-BA"/>
        </w:rPr>
        <w:t>10 mg</w:t>
      </w:r>
      <w:r w:rsidR="00E67F97">
        <w:rPr>
          <w:bCs/>
          <w:noProof/>
          <w:sz w:val="22"/>
          <w:szCs w:val="22"/>
          <w:lang w:val="sr-Latn-BA"/>
        </w:rPr>
        <w:t xml:space="preserve"> </w:t>
      </w:r>
      <w:r w:rsidR="003D2267">
        <w:rPr>
          <w:bCs/>
          <w:noProof/>
          <w:sz w:val="22"/>
          <w:szCs w:val="22"/>
          <w:lang w:val="sr-Latn-BA"/>
        </w:rPr>
        <w:t>piridoksin hidroh</w:t>
      </w:r>
      <w:r w:rsidRPr="00C67E42">
        <w:rPr>
          <w:bCs/>
          <w:noProof/>
          <w:sz w:val="22"/>
          <w:szCs w:val="22"/>
          <w:lang w:val="sr-Latn-BA"/>
        </w:rPr>
        <w:t>lorida.</w:t>
      </w:r>
    </w:p>
    <w:p w:rsidR="00381096" w:rsidRPr="00C67E42" w:rsidRDefault="0038109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381096" w:rsidRPr="00C67E42" w:rsidRDefault="001121EF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1121EF">
        <w:rPr>
          <w:bCs/>
          <w:noProof/>
          <w:sz w:val="22"/>
          <w:szCs w:val="22"/>
          <w:lang w:val="sr-Latn-BA"/>
        </w:rPr>
        <w:t xml:space="preserve">Pomoćne supstance </w:t>
      </w:r>
      <w:r w:rsidR="00381096" w:rsidRPr="00CB68E9">
        <w:rPr>
          <w:bCs/>
          <w:noProof/>
          <w:sz w:val="22"/>
          <w:szCs w:val="22"/>
          <w:lang w:val="sr-Latn-BA"/>
        </w:rPr>
        <w:t>s</w:t>
      </w:r>
      <w:r w:rsidR="00ED25C8">
        <w:rPr>
          <w:bCs/>
          <w:noProof/>
          <w:sz w:val="22"/>
          <w:szCs w:val="22"/>
          <w:lang w:val="sr-Latn-BA"/>
        </w:rPr>
        <w:t>a potvrđenim</w:t>
      </w:r>
      <w:r w:rsidR="00381096" w:rsidRPr="00C67E42">
        <w:rPr>
          <w:bCs/>
          <w:noProof/>
          <w:sz w:val="22"/>
          <w:szCs w:val="22"/>
          <w:lang w:val="sr-Latn-BA"/>
        </w:rPr>
        <w:t xml:space="preserve"> d</w:t>
      </w:r>
      <w:r w:rsidR="00A02235" w:rsidRPr="00C67E42">
        <w:rPr>
          <w:bCs/>
          <w:noProof/>
          <w:sz w:val="22"/>
          <w:szCs w:val="22"/>
          <w:lang w:val="sr-Latn-BA"/>
        </w:rPr>
        <w:t>ejstvom</w:t>
      </w:r>
      <w:r w:rsidR="00381096" w:rsidRPr="00C67E42">
        <w:rPr>
          <w:bCs/>
          <w:noProof/>
          <w:sz w:val="22"/>
          <w:szCs w:val="22"/>
          <w:lang w:val="sr-Latn-BA"/>
        </w:rPr>
        <w:t>: laktoza</w:t>
      </w:r>
      <w:r w:rsidR="00E67F97">
        <w:rPr>
          <w:bCs/>
          <w:noProof/>
          <w:sz w:val="22"/>
          <w:szCs w:val="22"/>
          <w:lang w:val="sr-Latn-BA"/>
        </w:rPr>
        <w:t>, monohidrat</w:t>
      </w:r>
      <w:r w:rsidR="00381096" w:rsidRPr="00C67E42">
        <w:rPr>
          <w:bCs/>
          <w:noProof/>
          <w:sz w:val="22"/>
          <w:szCs w:val="22"/>
          <w:lang w:val="sr-Latn-BA"/>
        </w:rPr>
        <w:t>.</w:t>
      </w:r>
    </w:p>
    <w:p w:rsidR="005A0B2E" w:rsidRPr="00C67E42" w:rsidRDefault="005A0B2E" w:rsidP="00E626F0">
      <w:pPr>
        <w:jc w:val="both"/>
        <w:rPr>
          <w:noProof/>
          <w:sz w:val="22"/>
          <w:szCs w:val="22"/>
          <w:lang w:val="sr-Latn-BA"/>
        </w:rPr>
      </w:pPr>
    </w:p>
    <w:p w:rsidR="0003793F" w:rsidRPr="00C67E42" w:rsidRDefault="0003793F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Za spisak svih ekscipijenasa, pogledati dio 6.1.</w:t>
      </w:r>
    </w:p>
    <w:p w:rsidR="0003793F" w:rsidRPr="00C67E42" w:rsidRDefault="0003793F" w:rsidP="00E626F0">
      <w:pPr>
        <w:jc w:val="both"/>
        <w:rPr>
          <w:noProof/>
          <w:sz w:val="22"/>
          <w:szCs w:val="22"/>
          <w:lang w:val="sr-Latn-BA"/>
        </w:rPr>
      </w:pPr>
    </w:p>
    <w:p w:rsidR="00C37FD7" w:rsidRPr="00C67E42" w:rsidRDefault="00C37FD7" w:rsidP="00E626F0">
      <w:pPr>
        <w:jc w:val="both"/>
        <w:rPr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3. </w:t>
      </w:r>
      <w:r w:rsidR="00F5167F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FARMACEUTSKI OBLIK</w:t>
      </w:r>
      <w:r w:rsidR="009F2D23" w:rsidRPr="00C67E42">
        <w:rPr>
          <w:b/>
          <w:bCs/>
          <w:noProof/>
          <w:sz w:val="22"/>
          <w:szCs w:val="22"/>
          <w:lang w:val="sr-Latn-BA"/>
        </w:rPr>
        <w:t xml:space="preserve"> </w:t>
      </w:r>
    </w:p>
    <w:p w:rsidR="00411B4B" w:rsidRPr="00C67E42" w:rsidRDefault="00411B4B" w:rsidP="00E626F0">
      <w:pPr>
        <w:jc w:val="both"/>
        <w:rPr>
          <w:bCs/>
          <w:noProof/>
          <w:sz w:val="22"/>
          <w:szCs w:val="22"/>
          <w:lang w:val="sr-Latn-BA"/>
        </w:rPr>
      </w:pPr>
    </w:p>
    <w:p w:rsidR="00900D7D" w:rsidRPr="00C67E42" w:rsidRDefault="00900D7D" w:rsidP="00E626F0">
      <w:pPr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Komprimovana lozenga. </w:t>
      </w:r>
    </w:p>
    <w:p w:rsidR="00900D7D" w:rsidRPr="00C67E42" w:rsidRDefault="00900D7D" w:rsidP="00E626F0">
      <w:pPr>
        <w:jc w:val="both"/>
        <w:rPr>
          <w:bCs/>
          <w:noProof/>
          <w:sz w:val="22"/>
          <w:szCs w:val="22"/>
          <w:lang w:val="sr-Latn-BA"/>
        </w:rPr>
      </w:pPr>
    </w:p>
    <w:p w:rsidR="00900D7D" w:rsidRPr="00C67E42" w:rsidRDefault="00900D7D" w:rsidP="00E626F0">
      <w:pPr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Komprimovane lozenge bijele do gotovo bijele boje, okruglog oblika, ravnih i glatkih površina, neoštećenih </w:t>
      </w:r>
      <w:r w:rsidR="00E67F97">
        <w:rPr>
          <w:bCs/>
          <w:noProof/>
          <w:sz w:val="22"/>
          <w:szCs w:val="22"/>
          <w:lang w:val="sr-Latn-BA"/>
        </w:rPr>
        <w:t>ivica</w:t>
      </w:r>
      <w:r w:rsidR="00E67F97" w:rsidRPr="00C67E42">
        <w:rPr>
          <w:bCs/>
          <w:noProof/>
          <w:sz w:val="22"/>
          <w:szCs w:val="22"/>
          <w:lang w:val="sr-Latn-BA"/>
        </w:rPr>
        <w:t xml:space="preserve"> </w:t>
      </w:r>
      <w:r w:rsidRPr="00C67E42">
        <w:rPr>
          <w:bCs/>
          <w:noProof/>
          <w:sz w:val="22"/>
          <w:szCs w:val="22"/>
          <w:lang w:val="sr-Latn-BA"/>
        </w:rPr>
        <w:t xml:space="preserve">s utisnutom </w:t>
      </w:r>
      <w:r w:rsidR="00E67F97">
        <w:rPr>
          <w:bCs/>
          <w:noProof/>
          <w:sz w:val="22"/>
          <w:szCs w:val="22"/>
          <w:lang w:val="sr-Latn-BA"/>
        </w:rPr>
        <w:t>podionom</w:t>
      </w:r>
      <w:r w:rsidR="00E67F97" w:rsidRPr="00C67E42">
        <w:rPr>
          <w:bCs/>
          <w:noProof/>
          <w:sz w:val="22"/>
          <w:szCs w:val="22"/>
          <w:lang w:val="sr-Latn-BA"/>
        </w:rPr>
        <w:t xml:space="preserve"> </w:t>
      </w:r>
      <w:r w:rsidRPr="00C67E42">
        <w:rPr>
          <w:bCs/>
          <w:noProof/>
          <w:sz w:val="22"/>
          <w:szCs w:val="22"/>
          <w:lang w:val="sr-Latn-BA"/>
        </w:rPr>
        <w:t>crtom s jedne strane.</w:t>
      </w:r>
    </w:p>
    <w:p w:rsidR="00900D7D" w:rsidRPr="00C67E42" w:rsidRDefault="0027347B" w:rsidP="00E626F0">
      <w:pPr>
        <w:jc w:val="both"/>
        <w:rPr>
          <w:bCs/>
          <w:noProof/>
          <w:sz w:val="22"/>
          <w:szCs w:val="22"/>
          <w:lang w:val="sr-Latn-BA"/>
        </w:rPr>
      </w:pPr>
      <w:r>
        <w:rPr>
          <w:bCs/>
          <w:noProof/>
          <w:sz w:val="22"/>
          <w:szCs w:val="22"/>
          <w:lang w:val="sr-Latn-BA"/>
        </w:rPr>
        <w:t>Podiona crta</w:t>
      </w:r>
      <w:r w:rsidRPr="00C67E42">
        <w:rPr>
          <w:bCs/>
          <w:noProof/>
          <w:sz w:val="22"/>
          <w:szCs w:val="22"/>
          <w:lang w:val="sr-Latn-BA"/>
        </w:rPr>
        <w:t xml:space="preserve"> </w:t>
      </w:r>
      <w:r w:rsidR="00900D7D" w:rsidRPr="00C67E42">
        <w:rPr>
          <w:bCs/>
          <w:noProof/>
          <w:sz w:val="22"/>
          <w:szCs w:val="22"/>
          <w:lang w:val="sr-Latn-BA"/>
        </w:rPr>
        <w:t>nije namij</w:t>
      </w:r>
      <w:r w:rsidR="00506877" w:rsidRPr="00C67E42">
        <w:rPr>
          <w:bCs/>
          <w:noProof/>
          <w:sz w:val="22"/>
          <w:szCs w:val="22"/>
          <w:lang w:val="sr-Latn-BA"/>
        </w:rPr>
        <w:t>enjen</w:t>
      </w:r>
      <w:r>
        <w:rPr>
          <w:bCs/>
          <w:noProof/>
          <w:sz w:val="22"/>
          <w:szCs w:val="22"/>
          <w:lang w:val="sr-Latn-BA"/>
        </w:rPr>
        <w:t>a</w:t>
      </w:r>
      <w:r w:rsidR="00506877" w:rsidRPr="00C67E42">
        <w:rPr>
          <w:bCs/>
          <w:noProof/>
          <w:sz w:val="22"/>
          <w:szCs w:val="22"/>
          <w:lang w:val="sr-Latn-BA"/>
        </w:rPr>
        <w:t xml:space="preserve"> za lomljenje </w:t>
      </w:r>
      <w:r w:rsidR="005E7C9D" w:rsidRPr="00C67E42">
        <w:rPr>
          <w:bCs/>
          <w:noProof/>
          <w:sz w:val="22"/>
          <w:szCs w:val="22"/>
          <w:lang w:val="sr-Latn-BA"/>
        </w:rPr>
        <w:t xml:space="preserve">komprimovane </w:t>
      </w:r>
      <w:r w:rsidR="00900D7D" w:rsidRPr="00C67E42">
        <w:rPr>
          <w:bCs/>
          <w:noProof/>
          <w:sz w:val="22"/>
          <w:szCs w:val="22"/>
          <w:lang w:val="sr-Latn-BA"/>
        </w:rPr>
        <w:t>lozenge.</w:t>
      </w:r>
    </w:p>
    <w:p w:rsidR="00EC2532" w:rsidRDefault="00EC2532" w:rsidP="00E626F0">
      <w:pPr>
        <w:jc w:val="both"/>
        <w:rPr>
          <w:bCs/>
          <w:noProof/>
          <w:sz w:val="22"/>
          <w:szCs w:val="22"/>
          <w:lang w:val="sr-Latn-BA"/>
        </w:rPr>
      </w:pPr>
    </w:p>
    <w:p w:rsidR="0027347B" w:rsidRPr="00C67E42" w:rsidRDefault="0027347B" w:rsidP="00E626F0">
      <w:pPr>
        <w:jc w:val="both"/>
        <w:rPr>
          <w:bCs/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4.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KLINIČKI PODACI</w:t>
      </w:r>
    </w:p>
    <w:p w:rsidR="00CD6F02" w:rsidRPr="00C67E42" w:rsidRDefault="00CD6F0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4.1.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Terapijske indikacije</w:t>
      </w: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B0832" w:rsidRPr="00C67E42" w:rsidRDefault="00EB083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Pomoćno lokalno liječenje bolesti/stanja ograničenih na sluznicu usta i orofarinksa, uključujući i afte. </w:t>
      </w:r>
    </w:p>
    <w:p w:rsidR="00EB0832" w:rsidRPr="00C67E42" w:rsidRDefault="00EB083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B0832" w:rsidRPr="00C67E42" w:rsidRDefault="00260E3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Lijek </w:t>
      </w:r>
      <w:r w:rsidR="003071DB" w:rsidRPr="00C67E42">
        <w:rPr>
          <w:bCs/>
          <w:noProof/>
          <w:sz w:val="22"/>
          <w:szCs w:val="22"/>
          <w:lang w:val="sr-Latn-BA"/>
        </w:rPr>
        <w:t>LYSOBACT je indikovan kod</w:t>
      </w:r>
      <w:r w:rsidR="00EB0832" w:rsidRPr="00C67E42">
        <w:rPr>
          <w:bCs/>
          <w:noProof/>
          <w:sz w:val="22"/>
          <w:szCs w:val="22"/>
          <w:lang w:val="sr-Latn-BA"/>
        </w:rPr>
        <w:t xml:space="preserve"> odraslih i djece starije od 6 godina.</w:t>
      </w:r>
    </w:p>
    <w:p w:rsidR="00EB0832" w:rsidRPr="00C67E42" w:rsidRDefault="00EB083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B0832" w:rsidRPr="00C67E42" w:rsidRDefault="00EB083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Napomena: kod pojave opštih kliničkih znakova bakterijske infekcije, treba razmotriti sistemsku terapiju antibioticima.</w:t>
      </w:r>
    </w:p>
    <w:p w:rsidR="00EB0832" w:rsidRPr="00C67E42" w:rsidRDefault="00EB083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4.2.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Doziranje i način primjene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1D44DB" w:rsidRPr="00C67E42" w:rsidRDefault="001D44DB" w:rsidP="00E626F0">
      <w:pPr>
        <w:jc w:val="both"/>
        <w:rPr>
          <w:noProof/>
          <w:sz w:val="22"/>
          <w:szCs w:val="22"/>
          <w:u w:val="single"/>
          <w:lang w:val="sr-Latn-BA"/>
        </w:rPr>
      </w:pPr>
      <w:r w:rsidRPr="00C67E42">
        <w:rPr>
          <w:b/>
          <w:noProof/>
          <w:sz w:val="22"/>
          <w:szCs w:val="22"/>
          <w:u w:val="single"/>
          <w:lang w:val="sr-Latn-BA"/>
        </w:rPr>
        <w:t>Doziranje</w:t>
      </w:r>
    </w:p>
    <w:p w:rsidR="001D44DB" w:rsidRPr="00C67E42" w:rsidRDefault="001D44DB" w:rsidP="00E626F0">
      <w:pPr>
        <w:jc w:val="both"/>
        <w:rPr>
          <w:noProof/>
          <w:sz w:val="22"/>
          <w:szCs w:val="22"/>
          <w:u w:val="single"/>
          <w:lang w:val="sr-Latn-BA"/>
        </w:rPr>
      </w:pPr>
    </w:p>
    <w:p w:rsidR="001D44DB" w:rsidRPr="00C67E42" w:rsidRDefault="001D44DB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Odrasli i djeca starija od 6 godina:</w:t>
      </w:r>
    </w:p>
    <w:p w:rsidR="001D44DB" w:rsidRPr="00C67E42" w:rsidRDefault="001D44DB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 xml:space="preserve">6 do 8 komprimovanih lozengi, koje treba ravnomjerno rasporediti tokom dana. </w:t>
      </w:r>
    </w:p>
    <w:p w:rsidR="001D44DB" w:rsidRPr="00C67E42" w:rsidRDefault="001D44DB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 xml:space="preserve">Između svake primjene mora postojati razmak od najmanje 1 sat. </w:t>
      </w:r>
    </w:p>
    <w:p w:rsidR="001D44DB" w:rsidRPr="00C67E42" w:rsidRDefault="001D44DB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Ako simptomi potraju duže od 5 dana i/ili u slučaju pojave povezane groznice, potrebno je potražiti savjet ljekara.</w:t>
      </w:r>
    </w:p>
    <w:p w:rsidR="001D44DB" w:rsidRPr="00C67E42" w:rsidRDefault="001D44DB" w:rsidP="00E626F0">
      <w:pPr>
        <w:jc w:val="both"/>
        <w:rPr>
          <w:noProof/>
          <w:sz w:val="22"/>
          <w:szCs w:val="22"/>
          <w:lang w:val="sr-Latn-BA"/>
        </w:rPr>
      </w:pPr>
    </w:p>
    <w:p w:rsidR="001D44DB" w:rsidRPr="00C67E42" w:rsidRDefault="001D44DB" w:rsidP="00E626F0">
      <w:pPr>
        <w:jc w:val="both"/>
        <w:rPr>
          <w:i/>
          <w:noProof/>
          <w:sz w:val="22"/>
          <w:szCs w:val="22"/>
          <w:u w:val="single"/>
          <w:lang w:val="sr-Latn-BA"/>
        </w:rPr>
      </w:pPr>
      <w:r w:rsidRPr="00C67E42">
        <w:rPr>
          <w:i/>
          <w:noProof/>
          <w:sz w:val="22"/>
          <w:szCs w:val="22"/>
          <w:u w:val="single"/>
          <w:lang w:val="sr-Latn-BA"/>
        </w:rPr>
        <w:t>Pedijatrijska populacija</w:t>
      </w:r>
    </w:p>
    <w:p w:rsidR="001D44DB" w:rsidRPr="00C67E42" w:rsidRDefault="001D44DB" w:rsidP="00E626F0">
      <w:pPr>
        <w:jc w:val="both"/>
        <w:rPr>
          <w:noProof/>
          <w:sz w:val="22"/>
          <w:szCs w:val="22"/>
          <w:lang w:val="sr-Latn-BA"/>
        </w:rPr>
      </w:pPr>
    </w:p>
    <w:p w:rsidR="001D44DB" w:rsidRPr="00C67E42" w:rsidRDefault="00BA09E3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 xml:space="preserve">Lijek </w:t>
      </w:r>
      <w:r w:rsidR="007276DD" w:rsidRPr="00C67E42">
        <w:rPr>
          <w:noProof/>
          <w:sz w:val="22"/>
          <w:szCs w:val="22"/>
          <w:lang w:val="sr-Latn-BA"/>
        </w:rPr>
        <w:t>LYSOBACT  je  kontraindikovan kod</w:t>
      </w:r>
      <w:r w:rsidR="001D44DB" w:rsidRPr="00C67E42">
        <w:rPr>
          <w:noProof/>
          <w:sz w:val="22"/>
          <w:szCs w:val="22"/>
          <w:lang w:val="sr-Latn-BA"/>
        </w:rPr>
        <w:t xml:space="preserve"> </w:t>
      </w:r>
      <w:r w:rsidR="007276DD" w:rsidRPr="00C67E42">
        <w:rPr>
          <w:noProof/>
          <w:sz w:val="22"/>
          <w:szCs w:val="22"/>
          <w:lang w:val="sr-Latn-BA"/>
        </w:rPr>
        <w:t>djece mlađe od 6 godina (pogledati</w:t>
      </w:r>
      <w:r w:rsidR="001D44DB" w:rsidRPr="00C67E42">
        <w:rPr>
          <w:noProof/>
          <w:sz w:val="22"/>
          <w:szCs w:val="22"/>
          <w:lang w:val="sr-Latn-BA"/>
        </w:rPr>
        <w:t xml:space="preserve"> dio 4.3.).</w:t>
      </w:r>
    </w:p>
    <w:p w:rsidR="001D44DB" w:rsidRPr="00C67E42" w:rsidRDefault="001D44DB" w:rsidP="00E626F0">
      <w:pPr>
        <w:jc w:val="both"/>
        <w:rPr>
          <w:noProof/>
          <w:sz w:val="22"/>
          <w:szCs w:val="22"/>
          <w:lang w:val="sr-Latn-BA"/>
        </w:rPr>
      </w:pPr>
    </w:p>
    <w:p w:rsidR="001D44DB" w:rsidRPr="00C67E42" w:rsidRDefault="001D44DB" w:rsidP="00E626F0">
      <w:pPr>
        <w:jc w:val="both"/>
        <w:rPr>
          <w:b/>
          <w:noProof/>
          <w:sz w:val="22"/>
          <w:szCs w:val="22"/>
          <w:u w:val="single"/>
          <w:lang w:val="sr-Latn-BA"/>
        </w:rPr>
      </w:pPr>
      <w:r w:rsidRPr="00C67E42">
        <w:rPr>
          <w:b/>
          <w:noProof/>
          <w:sz w:val="22"/>
          <w:szCs w:val="22"/>
          <w:u w:val="single"/>
          <w:lang w:val="sr-Latn-BA"/>
        </w:rPr>
        <w:t>Način primjene</w:t>
      </w:r>
    </w:p>
    <w:p w:rsidR="001D44DB" w:rsidRPr="00C67E42" w:rsidRDefault="001D44DB" w:rsidP="00E626F0">
      <w:pPr>
        <w:jc w:val="both"/>
        <w:rPr>
          <w:noProof/>
          <w:sz w:val="22"/>
          <w:szCs w:val="22"/>
          <w:lang w:val="sr-Latn-BA"/>
        </w:rPr>
      </w:pPr>
    </w:p>
    <w:p w:rsidR="00335731" w:rsidRPr="00335731" w:rsidRDefault="00335731" w:rsidP="00335731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335731">
        <w:rPr>
          <w:bCs/>
          <w:noProof/>
          <w:sz w:val="22"/>
          <w:szCs w:val="22"/>
          <w:lang w:val="sr-Latn-BA"/>
        </w:rPr>
        <w:t>Oralna primjena.</w:t>
      </w:r>
    </w:p>
    <w:p w:rsidR="00452E9D" w:rsidRDefault="00335731" w:rsidP="00335731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335731">
        <w:rPr>
          <w:bCs/>
          <w:noProof/>
          <w:sz w:val="22"/>
          <w:szCs w:val="22"/>
          <w:lang w:val="sr-Latn-BA"/>
        </w:rPr>
        <w:t>Komprimovane lozenge treba ostaviti da se polako otope ispod jezika.</w:t>
      </w:r>
    </w:p>
    <w:p w:rsidR="00335731" w:rsidRPr="00C67E42" w:rsidRDefault="00335731" w:rsidP="00335731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4.3.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Kontraindikacije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CF75A0" w:rsidRPr="00C67E42" w:rsidRDefault="00A758C7" w:rsidP="00E626F0">
      <w:pPr>
        <w:jc w:val="both"/>
        <w:rPr>
          <w:noProof/>
          <w:sz w:val="22"/>
          <w:szCs w:val="22"/>
          <w:lang w:val="sr-Latn-BA"/>
        </w:rPr>
      </w:pPr>
      <w:r>
        <w:rPr>
          <w:noProof/>
          <w:sz w:val="22"/>
          <w:szCs w:val="22"/>
          <w:lang w:val="sr-Latn-BA"/>
        </w:rPr>
        <w:t>Ovaj lijek je kontraindikovan</w:t>
      </w:r>
      <w:r w:rsidR="00CF75A0" w:rsidRPr="00C67E42">
        <w:rPr>
          <w:noProof/>
          <w:sz w:val="22"/>
          <w:szCs w:val="22"/>
          <w:lang w:val="sr-Latn-BA"/>
        </w:rPr>
        <w:t xml:space="preserve"> u sljedećim situacijama:</w:t>
      </w:r>
    </w:p>
    <w:p w:rsidR="00CF75A0" w:rsidRPr="00C67E42" w:rsidRDefault="00CF75A0" w:rsidP="00E626F0">
      <w:pPr>
        <w:jc w:val="both"/>
        <w:rPr>
          <w:noProof/>
          <w:sz w:val="22"/>
          <w:szCs w:val="22"/>
          <w:lang w:val="sr-Latn-BA"/>
        </w:rPr>
      </w:pPr>
    </w:p>
    <w:p w:rsidR="00CF75A0" w:rsidRPr="00C67E42" w:rsidRDefault="00CF75A0" w:rsidP="00E626F0">
      <w:pPr>
        <w:pStyle w:val="ListParagraph"/>
        <w:numPr>
          <w:ilvl w:val="0"/>
          <w:numId w:val="12"/>
        </w:num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Preosjetljivost na aktivne supstance ili na bilo koju od pomoćnih supstanci navedenih u dijelu 6.1 (uključujući i alergiju na lizozim ili jaja);</w:t>
      </w:r>
    </w:p>
    <w:p w:rsidR="00CF75A0" w:rsidRPr="00C67E42" w:rsidRDefault="00CF75A0" w:rsidP="00E626F0">
      <w:pPr>
        <w:pStyle w:val="ListParagraph"/>
        <w:numPr>
          <w:ilvl w:val="0"/>
          <w:numId w:val="12"/>
        </w:num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Djeca mlađa od 6 godina.</w:t>
      </w:r>
    </w:p>
    <w:p w:rsidR="00CF75A0" w:rsidRPr="00C67E42" w:rsidRDefault="00CF75A0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4.4.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Posebna upozorenja i mjere opreza pri upotrebi lijeka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u w:val="single"/>
          <w:lang w:val="sr-Latn-BA"/>
        </w:rPr>
      </w:pPr>
      <w:r w:rsidRPr="00C67E42">
        <w:rPr>
          <w:b/>
          <w:bCs/>
          <w:noProof/>
          <w:sz w:val="22"/>
          <w:szCs w:val="22"/>
          <w:u w:val="single"/>
          <w:lang w:val="sr-Latn-BA"/>
        </w:rPr>
        <w:t>Posebna upozorenja</w:t>
      </w: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Kod pojave opštih kliničkih znakova bakterijske infekcije, potrebno je razmotriti sistemsku terapiju antibioticima.</w:t>
      </w: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Indikacija ne opravdava tretman duži od 5 dana, s obzirom da bi to moglo dovesti do poremećaja ravnoteže normalne mikroflore usne šupljine, s rizikom od širenja bakterija ili gljivica.</w:t>
      </w: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Ovaj lijek sadrži laktozu. Pacijenti s rijetkim nasljednim poremećajem nepodnošenja galaktoze, nedostatkom „Lapp laktaze“ ili s glukoza-galaktoza malapsorpcijom, ne bi trebali primjenjivati ovaj lijek. </w:t>
      </w: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Ovaj lijek sadrži natrij</w:t>
      </w:r>
      <w:r w:rsidR="00B64D83">
        <w:rPr>
          <w:bCs/>
          <w:noProof/>
          <w:sz w:val="22"/>
          <w:szCs w:val="22"/>
          <w:lang w:val="sr-Latn-BA"/>
        </w:rPr>
        <w:t>um</w:t>
      </w:r>
      <w:r w:rsidRPr="00C67E42">
        <w:rPr>
          <w:bCs/>
          <w:noProof/>
          <w:sz w:val="22"/>
          <w:szCs w:val="22"/>
          <w:lang w:val="sr-Latn-BA"/>
        </w:rPr>
        <w:t>, manje od 1 mmol (23 mg) po jednoj dozi, u osnovi ne sadrži natrij</w:t>
      </w:r>
      <w:r w:rsidR="00B64D83">
        <w:rPr>
          <w:bCs/>
          <w:noProof/>
          <w:sz w:val="22"/>
          <w:szCs w:val="22"/>
          <w:lang w:val="sr-Latn-BA"/>
        </w:rPr>
        <w:t>um</w:t>
      </w:r>
      <w:r w:rsidRPr="00C67E42">
        <w:rPr>
          <w:bCs/>
          <w:noProof/>
          <w:sz w:val="22"/>
          <w:szCs w:val="22"/>
          <w:lang w:val="sr-Latn-BA"/>
        </w:rPr>
        <w:t>.</w:t>
      </w: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u w:val="single"/>
          <w:lang w:val="sr-Latn-BA"/>
        </w:rPr>
      </w:pPr>
      <w:r w:rsidRPr="00C67E42">
        <w:rPr>
          <w:b/>
          <w:bCs/>
          <w:noProof/>
          <w:sz w:val="22"/>
          <w:szCs w:val="22"/>
          <w:u w:val="single"/>
          <w:lang w:val="sr-Latn-BA"/>
        </w:rPr>
        <w:t>Mjere opreza pri primjeni</w:t>
      </w: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U slučaju pojave drugih simptoma (jaka upala grla, glavobolja, mučnina, povraćanje, itd.) ili s njima povezane groznice, potrebno je ponovo procijeniti način liječenja.</w:t>
      </w: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Ovaj lijek se ne smije primjenjivati kroz duži period.</w:t>
      </w:r>
    </w:p>
    <w:p w:rsidR="00057E35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Prekomjerno uzimanje piridoksina može biti odgovorno za pojavu senzorne neuropatije, koja se javlja prilikom primjene velikih doza piridoksina (&gt;100 mg/dan), tokom dugog perioda (više mjeseci ili čak godina). To je obično reverzibilno nakon prekida liječenja.</w:t>
      </w:r>
    </w:p>
    <w:p w:rsidR="006E34B4" w:rsidRPr="00C67E42" w:rsidRDefault="006E34B4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411B4B" w:rsidRPr="00C67E42" w:rsidRDefault="00411B4B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>4.5.</w:t>
      </w:r>
      <w:r w:rsidR="000D60CC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Interakcije sa drugim ljekovima i druge vrste interakcija</w:t>
      </w:r>
    </w:p>
    <w:p w:rsidR="0057521B" w:rsidRPr="00C67E42" w:rsidRDefault="0057521B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57521B" w:rsidRPr="00C67E42" w:rsidRDefault="0057521B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Nije primjenjivo.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4.6.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="006D20A5" w:rsidRPr="00C67E42">
        <w:rPr>
          <w:b/>
          <w:noProof/>
          <w:sz w:val="22"/>
          <w:szCs w:val="22"/>
          <w:lang w:val="sr-Latn-BA"/>
        </w:rPr>
        <w:t>Plodnost, trudnoća i dojenje</w:t>
      </w:r>
    </w:p>
    <w:p w:rsidR="002031B3" w:rsidRPr="00C67E42" w:rsidRDefault="002031B3" w:rsidP="00E626F0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BA"/>
        </w:rPr>
      </w:pPr>
    </w:p>
    <w:p w:rsidR="0000186C" w:rsidRPr="00C67E42" w:rsidRDefault="0000186C" w:rsidP="00E626F0">
      <w:pPr>
        <w:jc w:val="both"/>
        <w:rPr>
          <w:noProof/>
          <w:sz w:val="22"/>
          <w:szCs w:val="22"/>
          <w:u w:val="single"/>
          <w:lang w:val="sr-Latn-BA"/>
        </w:rPr>
      </w:pPr>
      <w:r w:rsidRPr="00C67E42">
        <w:rPr>
          <w:b/>
          <w:bCs/>
          <w:noProof/>
          <w:color w:val="000000"/>
          <w:sz w:val="22"/>
          <w:szCs w:val="22"/>
          <w:u w:val="single"/>
          <w:lang w:val="sr-Latn-BA"/>
        </w:rPr>
        <w:t xml:space="preserve">Trudnoća </w:t>
      </w: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</w:p>
    <w:p w:rsidR="0000186C" w:rsidRPr="00C67E42" w:rsidRDefault="0000186C" w:rsidP="00E626F0">
      <w:pPr>
        <w:jc w:val="both"/>
        <w:rPr>
          <w:noProof/>
          <w:sz w:val="22"/>
          <w:szCs w:val="22"/>
          <w:u w:val="single"/>
          <w:lang w:val="sr-Latn-BA"/>
        </w:rPr>
      </w:pPr>
      <w:r w:rsidRPr="00C67E42">
        <w:rPr>
          <w:i/>
          <w:noProof/>
          <w:sz w:val="22"/>
          <w:szCs w:val="22"/>
          <w:u w:val="single"/>
          <w:lang w:val="sr-Latn-BA"/>
        </w:rPr>
        <w:t>Piridoksin</w:t>
      </w: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Klinički podaci dobiveni analizom velikog broja izloženih trudnoća ni</w:t>
      </w:r>
      <w:r w:rsidR="00264D65">
        <w:rPr>
          <w:noProof/>
          <w:sz w:val="22"/>
          <w:szCs w:val="22"/>
          <w:lang w:val="sr-Latn-BA"/>
        </w:rPr>
        <w:t>je</w:t>
      </w:r>
      <w:r w:rsidRPr="00C67E42">
        <w:rPr>
          <w:noProof/>
          <w:sz w:val="22"/>
          <w:szCs w:val="22"/>
          <w:lang w:val="sr-Latn-BA"/>
        </w:rPr>
        <w:t>su pokazali nikakve posebne malformativne ili fetotoksične efekte piridoksina.</w:t>
      </w:r>
    </w:p>
    <w:p w:rsidR="0000186C" w:rsidRPr="00C67E42" w:rsidRDefault="0000186C" w:rsidP="00E626F0">
      <w:pPr>
        <w:jc w:val="both"/>
        <w:rPr>
          <w:i/>
          <w:noProof/>
          <w:sz w:val="22"/>
          <w:szCs w:val="22"/>
          <w:u w:val="single"/>
          <w:lang w:val="sr-Latn-BA"/>
        </w:rPr>
      </w:pPr>
    </w:p>
    <w:p w:rsidR="0000186C" w:rsidRPr="00C67E42" w:rsidRDefault="0000186C" w:rsidP="00E626F0">
      <w:pPr>
        <w:jc w:val="both"/>
        <w:rPr>
          <w:noProof/>
          <w:sz w:val="22"/>
          <w:szCs w:val="22"/>
          <w:u w:val="single"/>
          <w:lang w:val="sr-Latn-BA"/>
        </w:rPr>
      </w:pPr>
      <w:r w:rsidRPr="00C67E42">
        <w:rPr>
          <w:i/>
          <w:noProof/>
          <w:sz w:val="22"/>
          <w:szCs w:val="22"/>
          <w:u w:val="single"/>
          <w:lang w:val="sr-Latn-BA"/>
        </w:rPr>
        <w:t>Lizozim</w:t>
      </w: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Nema  istraživanja o teratogenosti kod životinja. Klinički podaci su nedovoljni i ne omogućuju donošenje zaključka.</w:t>
      </w: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Stoga se, kao mjera opreza, ne preporučuje primjena ovog lijeka tokom trudnoće.</w:t>
      </w:r>
    </w:p>
    <w:p w:rsidR="0000186C" w:rsidRPr="00C67E42" w:rsidRDefault="0000186C" w:rsidP="00E626F0">
      <w:pPr>
        <w:jc w:val="both"/>
        <w:rPr>
          <w:b/>
          <w:noProof/>
          <w:sz w:val="22"/>
          <w:szCs w:val="22"/>
          <w:lang w:val="sr-Latn-BA"/>
        </w:rPr>
      </w:pPr>
    </w:p>
    <w:p w:rsidR="0000186C" w:rsidRPr="00C67E42" w:rsidRDefault="0000186C" w:rsidP="00E626F0">
      <w:pPr>
        <w:jc w:val="both"/>
        <w:rPr>
          <w:b/>
          <w:noProof/>
          <w:sz w:val="22"/>
          <w:szCs w:val="22"/>
          <w:u w:val="single"/>
          <w:lang w:val="sr-Latn-BA"/>
        </w:rPr>
      </w:pPr>
      <w:r w:rsidRPr="00C67E42">
        <w:rPr>
          <w:b/>
          <w:noProof/>
          <w:sz w:val="22"/>
          <w:szCs w:val="22"/>
          <w:u w:val="single"/>
          <w:lang w:val="sr-Latn-BA"/>
        </w:rPr>
        <w:t>Dojenje</w:t>
      </w:r>
    </w:p>
    <w:p w:rsidR="0000186C" w:rsidRPr="00C67E42" w:rsidRDefault="0000186C" w:rsidP="00E626F0">
      <w:pPr>
        <w:jc w:val="both"/>
        <w:rPr>
          <w:b/>
          <w:noProof/>
          <w:sz w:val="22"/>
          <w:szCs w:val="22"/>
          <w:u w:val="single"/>
          <w:lang w:val="sr-Latn-BA"/>
        </w:rPr>
      </w:pP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lastRenderedPageBreak/>
        <w:t xml:space="preserve">S obzirom da nema dovoljno podataka o izlučivanju lizozima u majčino mlijeko, kao i zbog velike količine piridoksina sadržanog u </w:t>
      </w:r>
      <w:r w:rsidR="00F41301" w:rsidRPr="00C67E42">
        <w:rPr>
          <w:noProof/>
          <w:sz w:val="22"/>
          <w:szCs w:val="22"/>
          <w:lang w:val="sr-Latn-BA"/>
        </w:rPr>
        <w:t>lijeku LYSOBACT</w:t>
      </w:r>
      <w:r w:rsidRPr="00C67E42">
        <w:rPr>
          <w:noProof/>
          <w:sz w:val="22"/>
          <w:szCs w:val="22"/>
          <w:lang w:val="sr-Latn-BA"/>
        </w:rPr>
        <w:t>, primjenu lijeka treba izbjegavati u periodu dojenja,</w:t>
      </w: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</w:p>
    <w:p w:rsidR="0000186C" w:rsidRPr="00C67E42" w:rsidRDefault="0000186C" w:rsidP="00E626F0">
      <w:pPr>
        <w:jc w:val="both"/>
        <w:rPr>
          <w:b/>
          <w:noProof/>
          <w:sz w:val="22"/>
          <w:szCs w:val="22"/>
          <w:u w:val="single"/>
          <w:lang w:val="sr-Latn-BA"/>
        </w:rPr>
      </w:pPr>
      <w:r w:rsidRPr="00C67E42">
        <w:rPr>
          <w:b/>
          <w:noProof/>
          <w:sz w:val="22"/>
          <w:szCs w:val="22"/>
          <w:u w:val="single"/>
          <w:lang w:val="sr-Latn-BA"/>
        </w:rPr>
        <w:t>Plodnost</w:t>
      </w:r>
    </w:p>
    <w:p w:rsidR="0000186C" w:rsidRPr="00C67E42" w:rsidRDefault="0000186C" w:rsidP="00E626F0">
      <w:pPr>
        <w:jc w:val="both"/>
        <w:rPr>
          <w:b/>
          <w:noProof/>
          <w:sz w:val="22"/>
          <w:szCs w:val="22"/>
          <w:u w:val="single"/>
          <w:lang w:val="sr-Latn-BA"/>
        </w:rPr>
      </w:pPr>
    </w:p>
    <w:p w:rsidR="0000186C" w:rsidRPr="00C67E42" w:rsidRDefault="0000186C" w:rsidP="00E626F0">
      <w:pPr>
        <w:jc w:val="both"/>
        <w:rPr>
          <w:i/>
          <w:noProof/>
          <w:sz w:val="22"/>
          <w:szCs w:val="22"/>
          <w:u w:val="single"/>
          <w:lang w:val="sr-Latn-BA"/>
        </w:rPr>
      </w:pPr>
      <w:r w:rsidRPr="00C67E42">
        <w:rPr>
          <w:i/>
          <w:noProof/>
          <w:sz w:val="22"/>
          <w:szCs w:val="22"/>
          <w:u w:val="single"/>
          <w:lang w:val="sr-Latn-BA"/>
        </w:rPr>
        <w:t>Lizozim</w:t>
      </w: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Ne postoje dostupna istraživanja za procjenu efekata lizozima na plodnost.</w:t>
      </w: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</w:p>
    <w:p w:rsidR="0000186C" w:rsidRPr="00C67E42" w:rsidRDefault="0000186C" w:rsidP="00E626F0">
      <w:pPr>
        <w:jc w:val="both"/>
        <w:rPr>
          <w:i/>
          <w:noProof/>
          <w:sz w:val="22"/>
          <w:szCs w:val="22"/>
          <w:u w:val="single"/>
          <w:lang w:val="sr-Latn-BA"/>
        </w:rPr>
      </w:pPr>
      <w:r w:rsidRPr="00C67E42">
        <w:rPr>
          <w:i/>
          <w:noProof/>
          <w:sz w:val="22"/>
          <w:szCs w:val="22"/>
          <w:u w:val="single"/>
          <w:lang w:val="sr-Latn-BA"/>
        </w:rPr>
        <w:t>Piridoksin</w:t>
      </w:r>
    </w:p>
    <w:p w:rsidR="0000186C" w:rsidRPr="00C67E42" w:rsidRDefault="0000186C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Primjena pi</w:t>
      </w:r>
      <w:r w:rsidR="00670EE0">
        <w:rPr>
          <w:noProof/>
          <w:sz w:val="22"/>
          <w:szCs w:val="22"/>
          <w:lang w:val="sr-Latn-BA"/>
        </w:rPr>
        <w:t>ridoksina u preporučenim dozama</w:t>
      </w:r>
      <w:r w:rsidRPr="00C67E42">
        <w:rPr>
          <w:noProof/>
          <w:sz w:val="22"/>
          <w:szCs w:val="22"/>
          <w:lang w:val="sr-Latn-BA"/>
        </w:rPr>
        <w:t xml:space="preserve"> vjerovatno neće uticati na plodnost.</w:t>
      </w:r>
    </w:p>
    <w:p w:rsidR="00227BDB" w:rsidRPr="00C67E42" w:rsidRDefault="00227BDB" w:rsidP="00E626F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4.7.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 xml:space="preserve">Uticaj na </w:t>
      </w:r>
      <w:r w:rsidR="002031B3" w:rsidRPr="00C67E42">
        <w:rPr>
          <w:b/>
          <w:bCs/>
          <w:noProof/>
          <w:sz w:val="22"/>
          <w:szCs w:val="22"/>
          <w:lang w:val="sr-Latn-BA"/>
        </w:rPr>
        <w:t xml:space="preserve">sposobnost </w:t>
      </w:r>
      <w:r w:rsidR="00F34554" w:rsidRPr="00C67E42">
        <w:rPr>
          <w:b/>
          <w:bCs/>
          <w:noProof/>
          <w:sz w:val="22"/>
          <w:szCs w:val="22"/>
          <w:lang w:val="sr-Latn-BA"/>
        </w:rPr>
        <w:t>upravljanja vozili</w:t>
      </w:r>
      <w:r w:rsidRPr="00C67E42">
        <w:rPr>
          <w:b/>
          <w:bCs/>
          <w:noProof/>
          <w:sz w:val="22"/>
          <w:szCs w:val="22"/>
          <w:lang w:val="sr-Latn-BA"/>
        </w:rPr>
        <w:t>m</w:t>
      </w:r>
      <w:r w:rsidR="00F34554" w:rsidRPr="00C67E42">
        <w:rPr>
          <w:b/>
          <w:bCs/>
          <w:noProof/>
          <w:sz w:val="22"/>
          <w:szCs w:val="22"/>
          <w:lang w:val="sr-Latn-BA"/>
        </w:rPr>
        <w:t>a</w:t>
      </w:r>
      <w:r w:rsidRPr="00C67E42">
        <w:rPr>
          <w:b/>
          <w:bCs/>
          <w:noProof/>
          <w:sz w:val="22"/>
          <w:szCs w:val="22"/>
          <w:lang w:val="sr-Latn-BA"/>
        </w:rPr>
        <w:t xml:space="preserve"> i </w:t>
      </w:r>
      <w:r w:rsidR="000D3449" w:rsidRPr="00C67E42">
        <w:rPr>
          <w:b/>
          <w:bCs/>
          <w:noProof/>
          <w:sz w:val="22"/>
          <w:szCs w:val="22"/>
          <w:lang w:val="sr-Latn-BA"/>
        </w:rPr>
        <w:t xml:space="preserve">rukovanje </w:t>
      </w:r>
      <w:r w:rsidRPr="00C67E42">
        <w:rPr>
          <w:b/>
          <w:bCs/>
          <w:noProof/>
          <w:sz w:val="22"/>
          <w:szCs w:val="22"/>
          <w:lang w:val="sr-Latn-BA"/>
        </w:rPr>
        <w:t>mašinama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AF4127" w:rsidRPr="00C67E42" w:rsidRDefault="00C66E55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Lijek </w:t>
      </w:r>
      <w:r w:rsidR="00AF4127" w:rsidRPr="00C67E42">
        <w:rPr>
          <w:bCs/>
          <w:noProof/>
          <w:sz w:val="22"/>
          <w:szCs w:val="22"/>
          <w:lang w:val="sr-Latn-BA"/>
        </w:rPr>
        <w:t>LYSOBACT ne utiče ili zanemarivo utiče na sposobnost upravljanja vozilima i rada na mašinama.</w:t>
      </w:r>
    </w:p>
    <w:p w:rsidR="00AF4127" w:rsidRPr="00C67E42" w:rsidRDefault="00AF4127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4.8.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Neželjena dejstva</w:t>
      </w:r>
    </w:p>
    <w:p w:rsidR="004E70AD" w:rsidRPr="00C67E42" w:rsidRDefault="004E70AD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BD67FD" w:rsidRPr="00C67E42" w:rsidRDefault="00987DEC" w:rsidP="00E626F0">
      <w:pPr>
        <w:jc w:val="both"/>
        <w:rPr>
          <w:noProof/>
          <w:sz w:val="22"/>
          <w:szCs w:val="22"/>
          <w:lang w:val="sr-Latn-BA"/>
        </w:rPr>
      </w:pPr>
      <w:r w:rsidRPr="00C67E42">
        <w:rPr>
          <w:noProof/>
          <w:sz w:val="22"/>
          <w:szCs w:val="22"/>
          <w:lang w:val="sr-Latn-BA"/>
        </w:rPr>
        <w:t>Neželjena dejstv</w:t>
      </w:r>
      <w:r w:rsidR="00E909D4">
        <w:rPr>
          <w:noProof/>
          <w:sz w:val="22"/>
          <w:szCs w:val="22"/>
          <w:lang w:val="sr-Latn-BA"/>
        </w:rPr>
        <w:t>a</w:t>
      </w:r>
      <w:r w:rsidR="00BD67FD" w:rsidRPr="00C67E42">
        <w:rPr>
          <w:noProof/>
          <w:sz w:val="22"/>
          <w:szCs w:val="22"/>
          <w:lang w:val="sr-Latn-BA"/>
        </w:rPr>
        <w:t xml:space="preserve"> su u sljedećoj tabeli prikazana prema klasifikaciji organskih sistema (SOC). </w:t>
      </w:r>
      <w:r w:rsidR="00B32C5A" w:rsidRPr="00C67E42">
        <w:rPr>
          <w:noProof/>
          <w:sz w:val="22"/>
          <w:szCs w:val="22"/>
          <w:lang w:val="sr-Latn-BA"/>
        </w:rPr>
        <w:t>Učestalost neželjenih dejstava</w:t>
      </w:r>
      <w:r w:rsidR="00BD67FD" w:rsidRPr="00C67E42">
        <w:rPr>
          <w:noProof/>
          <w:sz w:val="22"/>
          <w:szCs w:val="22"/>
          <w:lang w:val="sr-Latn-BA"/>
        </w:rPr>
        <w:t xml:space="preserve"> definisana je u skladu sa sljedećom konvencijom: vrlo često (≥1/10), često </w:t>
      </w:r>
      <w:r w:rsidR="00AC3A6B" w:rsidRPr="00C67E42">
        <w:rPr>
          <w:noProof/>
          <w:sz w:val="22"/>
          <w:szCs w:val="22"/>
          <w:lang w:val="sr-Latn-BA"/>
        </w:rPr>
        <w:t>(≥1/100 do &lt;1/10), povremeno</w:t>
      </w:r>
      <w:r w:rsidR="00BD67FD" w:rsidRPr="00C67E42">
        <w:rPr>
          <w:noProof/>
          <w:sz w:val="22"/>
          <w:szCs w:val="22"/>
          <w:lang w:val="sr-Latn-BA"/>
        </w:rPr>
        <w:t xml:space="preserve"> (≥1/1000 do &lt;1/100), rijetko (≥1/10 000 do &lt;1/1000), vrlo rijetko (&lt;1/10 000), nepoznato (učestalost se ne može se procijeniti iz dostupnih podataka).</w:t>
      </w:r>
    </w:p>
    <w:p w:rsidR="00BD67FD" w:rsidRPr="00C67E42" w:rsidRDefault="00BD67FD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2771"/>
        <w:gridCol w:w="2795"/>
      </w:tblGrid>
      <w:tr w:rsidR="00BD67FD" w:rsidRPr="00C67E42" w:rsidTr="00181D37">
        <w:trPr>
          <w:trHeight w:val="759"/>
        </w:trPr>
        <w:tc>
          <w:tcPr>
            <w:tcW w:w="3502" w:type="dxa"/>
            <w:shd w:val="clear" w:color="auto" w:fill="FFFFFF"/>
          </w:tcPr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b/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b/>
                <w:noProof/>
                <w:sz w:val="22"/>
                <w:szCs w:val="22"/>
                <w:lang w:val="sr-Latn-BA" w:eastAsia="bs-Latn-BA"/>
              </w:rPr>
              <w:t>Klasifikacija prema organskim sistemima</w:t>
            </w:r>
          </w:p>
        </w:tc>
        <w:tc>
          <w:tcPr>
            <w:tcW w:w="2771" w:type="dxa"/>
            <w:shd w:val="clear" w:color="auto" w:fill="FFFFFF"/>
          </w:tcPr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b/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b/>
                <w:noProof/>
                <w:sz w:val="22"/>
                <w:szCs w:val="22"/>
                <w:lang w:val="sr-Latn-BA" w:eastAsia="bs-Latn-BA"/>
              </w:rPr>
              <w:t xml:space="preserve">Učestalost </w:t>
            </w:r>
          </w:p>
        </w:tc>
        <w:tc>
          <w:tcPr>
            <w:tcW w:w="2795" w:type="dxa"/>
            <w:shd w:val="clear" w:color="auto" w:fill="FFFFFF"/>
          </w:tcPr>
          <w:p w:rsidR="00BD67FD" w:rsidRPr="00C67E42" w:rsidRDefault="00BD67FD" w:rsidP="00011445">
            <w:pPr>
              <w:tabs>
                <w:tab w:val="left" w:pos="0"/>
                <w:tab w:val="left" w:pos="426"/>
              </w:tabs>
              <w:jc w:val="both"/>
              <w:rPr>
                <w:b/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b/>
                <w:noProof/>
                <w:sz w:val="22"/>
                <w:szCs w:val="22"/>
                <w:lang w:val="sr-Latn-BA" w:eastAsia="bs-Latn-BA"/>
              </w:rPr>
              <w:t xml:space="preserve">Neželjeno </w:t>
            </w:r>
            <w:r w:rsidR="00011445" w:rsidRPr="00C67E42">
              <w:rPr>
                <w:b/>
                <w:noProof/>
                <w:sz w:val="22"/>
                <w:szCs w:val="22"/>
                <w:lang w:val="sr-Latn-BA" w:eastAsia="bs-Latn-BA"/>
              </w:rPr>
              <w:t>dejstvo</w:t>
            </w:r>
          </w:p>
        </w:tc>
      </w:tr>
      <w:tr w:rsidR="00BD67FD" w:rsidRPr="00C67E42" w:rsidTr="00181D37">
        <w:tc>
          <w:tcPr>
            <w:tcW w:w="3502" w:type="dxa"/>
            <w:shd w:val="clear" w:color="auto" w:fill="auto"/>
          </w:tcPr>
          <w:p w:rsidR="00BD67FD" w:rsidRPr="00C67E42" w:rsidRDefault="00716790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>
              <w:rPr>
                <w:noProof/>
                <w:sz w:val="22"/>
                <w:szCs w:val="22"/>
                <w:lang w:val="sr-Latn-BA" w:eastAsia="bs-Latn-BA"/>
              </w:rPr>
              <w:t xml:space="preserve">Poremećaji imunog </w:t>
            </w:r>
            <w:r w:rsidR="00BD67FD" w:rsidRPr="00C67E42">
              <w:rPr>
                <w:noProof/>
                <w:sz w:val="22"/>
                <w:szCs w:val="22"/>
                <w:lang w:val="sr-Latn-BA" w:eastAsia="bs-Latn-BA"/>
              </w:rPr>
              <w:t>sistema</w:t>
            </w:r>
          </w:p>
        </w:tc>
        <w:tc>
          <w:tcPr>
            <w:tcW w:w="2771" w:type="dxa"/>
            <w:shd w:val="clear" w:color="auto" w:fill="auto"/>
          </w:tcPr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>Nepoznato</w:t>
            </w:r>
          </w:p>
        </w:tc>
        <w:tc>
          <w:tcPr>
            <w:tcW w:w="2795" w:type="dxa"/>
            <w:shd w:val="clear" w:color="auto" w:fill="auto"/>
          </w:tcPr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>Anafilaktički šok</w:t>
            </w:r>
          </w:p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>Anafilaktička reakcija</w:t>
            </w:r>
          </w:p>
        </w:tc>
      </w:tr>
      <w:tr w:rsidR="00BD67FD" w:rsidRPr="00C67E42" w:rsidTr="00181D37">
        <w:tc>
          <w:tcPr>
            <w:tcW w:w="3502" w:type="dxa"/>
            <w:shd w:val="clear" w:color="auto" w:fill="auto"/>
          </w:tcPr>
          <w:p w:rsidR="00716790" w:rsidRPr="00C67E42" w:rsidRDefault="00BD67FD" w:rsidP="0071679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 xml:space="preserve">Poremećaji </w:t>
            </w:r>
            <w:r w:rsidR="00716790" w:rsidRPr="00716790">
              <w:rPr>
                <w:noProof/>
                <w:sz w:val="22"/>
                <w:szCs w:val="22"/>
                <w:lang w:val="sr-Latn-BA" w:eastAsia="bs-Latn-BA"/>
              </w:rPr>
              <w:t>na nivou kože i potkožnog tkiva</w:t>
            </w:r>
          </w:p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</w:p>
        </w:tc>
        <w:tc>
          <w:tcPr>
            <w:tcW w:w="2771" w:type="dxa"/>
            <w:shd w:val="clear" w:color="auto" w:fill="auto"/>
          </w:tcPr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>Nepoznato</w:t>
            </w:r>
          </w:p>
        </w:tc>
        <w:tc>
          <w:tcPr>
            <w:tcW w:w="2795" w:type="dxa"/>
            <w:shd w:val="clear" w:color="auto" w:fill="auto"/>
          </w:tcPr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>Angioedem</w:t>
            </w:r>
          </w:p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>Pruritus</w:t>
            </w:r>
          </w:p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>Fotosenzitivna reakcija</w:t>
            </w:r>
          </w:p>
          <w:p w:rsidR="00BD67FD" w:rsidRPr="00C67E42" w:rsidRDefault="00BD67FD" w:rsidP="00E626F0">
            <w:pPr>
              <w:tabs>
                <w:tab w:val="left" w:pos="0"/>
                <w:tab w:val="left" w:pos="426"/>
              </w:tabs>
              <w:jc w:val="both"/>
              <w:rPr>
                <w:noProof/>
                <w:sz w:val="22"/>
                <w:szCs w:val="22"/>
                <w:lang w:val="sr-Latn-BA" w:eastAsia="bs-Latn-BA"/>
              </w:rPr>
            </w:pPr>
            <w:r w:rsidRPr="00C67E42">
              <w:rPr>
                <w:noProof/>
                <w:sz w:val="22"/>
                <w:szCs w:val="22"/>
                <w:lang w:val="sr-Latn-BA" w:eastAsia="bs-Latn-BA"/>
              </w:rPr>
              <w:t>Urtikarija</w:t>
            </w:r>
          </w:p>
        </w:tc>
      </w:tr>
    </w:tbl>
    <w:p w:rsidR="00BD67FD" w:rsidRPr="00C67E42" w:rsidRDefault="00BD67FD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5A23D2" w:rsidRPr="00C67E42" w:rsidRDefault="005A23D2" w:rsidP="00E626F0">
      <w:pPr>
        <w:spacing w:after="200" w:line="276" w:lineRule="auto"/>
        <w:jc w:val="both"/>
        <w:rPr>
          <w:rFonts w:eastAsia="Calibri"/>
          <w:noProof/>
          <w:sz w:val="22"/>
          <w:szCs w:val="22"/>
          <w:u w:val="single"/>
          <w:lang w:val="sr-Latn-BA"/>
        </w:rPr>
      </w:pPr>
      <w:r w:rsidRPr="00C67E42">
        <w:rPr>
          <w:rFonts w:eastAsia="Calibri"/>
          <w:noProof/>
          <w:sz w:val="22"/>
          <w:szCs w:val="22"/>
          <w:u w:val="single"/>
          <w:lang w:val="sr-Latn-BA"/>
        </w:rPr>
        <w:t>Prijavljivanje sumnji na neželjena dejstva</w:t>
      </w:r>
    </w:p>
    <w:p w:rsidR="005A23D2" w:rsidRPr="00C67E42" w:rsidRDefault="005A23D2" w:rsidP="00E626F0">
      <w:pPr>
        <w:spacing w:after="200"/>
        <w:jc w:val="both"/>
        <w:rPr>
          <w:rFonts w:eastAsia="Calibri"/>
          <w:noProof/>
          <w:sz w:val="22"/>
          <w:szCs w:val="22"/>
          <w:lang w:val="sr-Latn-BA"/>
        </w:rPr>
      </w:pPr>
      <w:r w:rsidRPr="00C67E42">
        <w:rPr>
          <w:rFonts w:eastAsia="Calibri"/>
          <w:noProof/>
          <w:sz w:val="22"/>
          <w:szCs w:val="22"/>
          <w:lang w:val="sr-Latn-BA"/>
        </w:rPr>
        <w:t>Prijavljivanje neželjenih dejstava nakon dobijanja dozvole je od velikog značaja jer obezbjeđuje kont</w:t>
      </w:r>
      <w:r w:rsidR="00EA5765" w:rsidRPr="00C67E42">
        <w:rPr>
          <w:rFonts w:eastAsia="Calibri"/>
          <w:noProof/>
          <w:sz w:val="22"/>
          <w:szCs w:val="22"/>
          <w:lang w:val="sr-Latn-BA"/>
        </w:rPr>
        <w:t>inuirano praćenje odnosa korist</w:t>
      </w:r>
      <w:r w:rsidRPr="00C67E42">
        <w:rPr>
          <w:rFonts w:eastAsia="Calibri"/>
          <w:noProof/>
          <w:sz w:val="22"/>
          <w:szCs w:val="22"/>
          <w:lang w:val="sr-Latn-BA"/>
        </w:rPr>
        <w:t>/rizik primjene lijeka. Zdravstveni radnici treba da prijave svaku sumnju na neželjeno</w:t>
      </w:r>
      <w:r w:rsidR="009B062A" w:rsidRPr="00C67E42">
        <w:rPr>
          <w:rFonts w:eastAsia="Calibri"/>
          <w:noProof/>
          <w:sz w:val="22"/>
          <w:szCs w:val="22"/>
          <w:lang w:val="sr-Latn-BA"/>
        </w:rPr>
        <w:t xml:space="preserve"> </w:t>
      </w:r>
      <w:r w:rsidRPr="00C67E42">
        <w:rPr>
          <w:rFonts w:eastAsia="Calibri"/>
          <w:noProof/>
          <w:sz w:val="22"/>
          <w:szCs w:val="22"/>
          <w:lang w:val="sr-Latn-BA"/>
        </w:rPr>
        <w:t xml:space="preserve">dejstvo ovog lijeka </w:t>
      </w:r>
      <w:r w:rsidR="004E70AD" w:rsidRPr="00C67E42">
        <w:rPr>
          <w:rFonts w:eastAsia="Calibri"/>
          <w:noProof/>
          <w:sz w:val="22"/>
          <w:szCs w:val="22"/>
          <w:lang w:val="sr-Latn-BA"/>
        </w:rPr>
        <w:t>Institutu</w:t>
      </w:r>
      <w:r w:rsidRPr="00C67E42">
        <w:rPr>
          <w:rFonts w:eastAsia="Calibri"/>
          <w:noProof/>
          <w:sz w:val="22"/>
          <w:szCs w:val="22"/>
          <w:lang w:val="sr-Latn-BA"/>
        </w:rPr>
        <w:t xml:space="preserve"> za ljekove i medicinska sredstva</w:t>
      </w:r>
      <w:r w:rsidR="004E70AD" w:rsidRPr="00C67E42">
        <w:rPr>
          <w:rFonts w:eastAsia="Calibri"/>
          <w:noProof/>
          <w:sz w:val="22"/>
          <w:szCs w:val="22"/>
          <w:lang w:val="sr-Latn-BA"/>
        </w:rPr>
        <w:t xml:space="preserve"> </w:t>
      </w:r>
      <w:r w:rsidRPr="00C67E42">
        <w:rPr>
          <w:rFonts w:eastAsia="Calibri"/>
          <w:noProof/>
          <w:sz w:val="22"/>
          <w:szCs w:val="22"/>
          <w:lang w:val="sr-Latn-BA"/>
        </w:rPr>
        <w:t>(</w:t>
      </w:r>
      <w:r w:rsidR="004E70AD" w:rsidRPr="00C67E42">
        <w:rPr>
          <w:rFonts w:eastAsia="Calibri"/>
          <w:noProof/>
          <w:sz w:val="22"/>
          <w:szCs w:val="22"/>
          <w:lang w:val="sr-Latn-BA"/>
        </w:rPr>
        <w:t>CInMED</w:t>
      </w:r>
      <w:r w:rsidRPr="00C67E42">
        <w:rPr>
          <w:rFonts w:eastAsia="Calibri"/>
          <w:noProof/>
          <w:sz w:val="22"/>
          <w:szCs w:val="22"/>
          <w:lang w:val="sr-Latn-BA"/>
        </w:rPr>
        <w:t>):</w:t>
      </w:r>
    </w:p>
    <w:p w:rsidR="005A23D2" w:rsidRPr="00C67E42" w:rsidRDefault="004E70AD" w:rsidP="00E626F0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C67E42">
        <w:rPr>
          <w:rFonts w:eastAsia="Calibri"/>
          <w:noProof/>
          <w:sz w:val="22"/>
          <w:szCs w:val="22"/>
          <w:lang w:val="sr-Latn-BA"/>
        </w:rPr>
        <w:t xml:space="preserve">Institut </w:t>
      </w:r>
      <w:r w:rsidR="005A23D2" w:rsidRPr="00C67E42">
        <w:rPr>
          <w:rFonts w:eastAsia="Calibri"/>
          <w:noProof/>
          <w:sz w:val="22"/>
          <w:szCs w:val="22"/>
          <w:lang w:val="sr-Latn-BA"/>
        </w:rPr>
        <w:t xml:space="preserve">za ljekove i medicinska sredstva </w:t>
      </w:r>
    </w:p>
    <w:p w:rsidR="005A23D2" w:rsidRPr="00C67E42" w:rsidRDefault="005A23D2" w:rsidP="00E626F0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C67E42">
        <w:rPr>
          <w:rFonts w:eastAsia="Calibri"/>
          <w:noProof/>
          <w:sz w:val="22"/>
          <w:szCs w:val="22"/>
          <w:lang w:val="sr-Latn-BA"/>
        </w:rPr>
        <w:t>Odjeljenje za farmakovigilancu</w:t>
      </w:r>
    </w:p>
    <w:p w:rsidR="00EA5765" w:rsidRPr="00C67E42" w:rsidRDefault="005A23D2" w:rsidP="00E626F0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C67E42">
        <w:rPr>
          <w:rFonts w:eastAsia="Calibri"/>
          <w:noProof/>
          <w:sz w:val="22"/>
          <w:szCs w:val="22"/>
          <w:lang w:val="sr-Latn-BA"/>
        </w:rPr>
        <w:t>Bulevar Ivana Crnojevića 64a, 81000 Podgorica</w:t>
      </w:r>
    </w:p>
    <w:p w:rsidR="00EA5765" w:rsidRPr="00C67E42" w:rsidRDefault="00EA5765" w:rsidP="00E626F0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5A23D2" w:rsidRPr="00C67E42" w:rsidRDefault="005A23D2" w:rsidP="00E626F0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C67E42">
        <w:rPr>
          <w:rFonts w:eastAsia="Calibri"/>
          <w:noProof/>
          <w:sz w:val="22"/>
          <w:szCs w:val="22"/>
          <w:lang w:val="sr-Latn-BA"/>
        </w:rPr>
        <w:t>tel: +382 (0) 20 310 280</w:t>
      </w:r>
    </w:p>
    <w:p w:rsidR="00EA5765" w:rsidRPr="00C67E42" w:rsidRDefault="005A23D2" w:rsidP="00E626F0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C67E42">
        <w:rPr>
          <w:rFonts w:eastAsia="Calibri"/>
          <w:noProof/>
          <w:sz w:val="22"/>
          <w:szCs w:val="22"/>
          <w:lang w:val="sr-Latn-BA"/>
        </w:rPr>
        <w:t>fax:</w:t>
      </w:r>
      <w:r w:rsidR="00EA5765" w:rsidRPr="00C67E42">
        <w:rPr>
          <w:rFonts w:eastAsia="Calibri"/>
          <w:noProof/>
          <w:sz w:val="22"/>
          <w:szCs w:val="22"/>
          <w:lang w:val="sr-Latn-BA"/>
        </w:rPr>
        <w:t xml:space="preserve"> </w:t>
      </w:r>
      <w:r w:rsidRPr="00C67E42">
        <w:rPr>
          <w:rFonts w:eastAsia="Calibri"/>
          <w:noProof/>
          <w:sz w:val="22"/>
          <w:szCs w:val="22"/>
          <w:lang w:val="sr-Latn-BA"/>
        </w:rPr>
        <w:t>+382 (0) 20 310 581</w:t>
      </w:r>
    </w:p>
    <w:p w:rsidR="005A23D2" w:rsidRPr="00C67E42" w:rsidRDefault="00B40804" w:rsidP="00E626F0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hyperlink r:id="rId8" w:history="1">
        <w:r w:rsidR="004E70AD" w:rsidRPr="00C67E42">
          <w:rPr>
            <w:rStyle w:val="Hyperlink"/>
            <w:rFonts w:eastAsia="Calibri"/>
            <w:noProof/>
            <w:sz w:val="22"/>
            <w:szCs w:val="22"/>
            <w:lang w:val="sr-Latn-BA"/>
          </w:rPr>
          <w:t>www.cinmed.me</w:t>
        </w:r>
      </w:hyperlink>
    </w:p>
    <w:p w:rsidR="00EA5765" w:rsidRPr="00C67E42" w:rsidRDefault="00B40804" w:rsidP="00E626F0">
      <w:pPr>
        <w:pStyle w:val="NoSpacing"/>
        <w:jc w:val="both"/>
        <w:rPr>
          <w:rFonts w:eastAsia="Calibri"/>
          <w:noProof/>
          <w:color w:val="0000FF"/>
          <w:sz w:val="22"/>
          <w:szCs w:val="22"/>
          <w:u w:val="single"/>
          <w:lang w:val="sr-Latn-BA"/>
        </w:rPr>
      </w:pPr>
      <w:hyperlink r:id="rId9" w:history="1">
        <w:r w:rsidR="004E70AD" w:rsidRPr="00C67E42">
          <w:rPr>
            <w:rStyle w:val="Hyperlink"/>
            <w:rFonts w:eastAsia="Calibri"/>
            <w:noProof/>
            <w:sz w:val="22"/>
            <w:szCs w:val="22"/>
            <w:lang w:val="sr-Latn-BA"/>
          </w:rPr>
          <w:t>nezeljenadejstva@cinmed.me</w:t>
        </w:r>
      </w:hyperlink>
    </w:p>
    <w:p w:rsidR="00836B35" w:rsidRDefault="005A23D2" w:rsidP="00331061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C67E42">
        <w:rPr>
          <w:rFonts w:eastAsia="Calibri"/>
          <w:noProof/>
          <w:sz w:val="22"/>
          <w:szCs w:val="22"/>
          <w:lang w:val="sr-Latn-BA"/>
        </w:rPr>
        <w:t>putem IS zdravstvene zaštite</w:t>
      </w:r>
    </w:p>
    <w:p w:rsidR="009809E6" w:rsidRPr="009809E6" w:rsidRDefault="009809E6" w:rsidP="009809E6">
      <w:pPr>
        <w:pStyle w:val="NoSpacing"/>
        <w:rPr>
          <w:b/>
          <w:bCs/>
          <w:noProof/>
          <w:sz w:val="22"/>
          <w:szCs w:val="22"/>
          <w:lang w:val="sr-Latn-RS"/>
        </w:rPr>
      </w:pPr>
      <w:r w:rsidRPr="009809E6">
        <w:rPr>
          <w:b/>
          <w:bCs/>
          <w:noProof/>
          <w:sz w:val="22"/>
          <w:szCs w:val="22"/>
          <w:lang w:val="sr-Latn-RS"/>
        </w:rPr>
        <w:t>QR kod za online prijavu sumnje na neželjeno dejstvo lijeka:</w:t>
      </w:r>
    </w:p>
    <w:p w:rsidR="009809E6" w:rsidRPr="009809E6" w:rsidRDefault="009809E6" w:rsidP="009809E6">
      <w:pPr>
        <w:pStyle w:val="NoSpacing"/>
        <w:rPr>
          <w:b/>
          <w:bCs/>
          <w:noProof/>
          <w:sz w:val="22"/>
          <w:szCs w:val="22"/>
          <w:lang w:val="sr-Latn-RS"/>
        </w:rPr>
      </w:pPr>
    </w:p>
    <w:p w:rsidR="009809E6" w:rsidRPr="009809E6" w:rsidRDefault="009809E6" w:rsidP="009809E6">
      <w:pPr>
        <w:pStyle w:val="NoSpacing"/>
        <w:jc w:val="both"/>
        <w:rPr>
          <w:b/>
          <w:bCs/>
          <w:noProof/>
          <w:sz w:val="22"/>
          <w:szCs w:val="22"/>
          <w:lang w:val="sr-Latn-RS"/>
        </w:rPr>
      </w:pPr>
      <w:r w:rsidRPr="009809E6">
        <w:rPr>
          <w:b/>
          <w:bCs/>
          <w:noProof/>
          <w:sz w:val="22"/>
          <w:szCs w:val="22"/>
        </w:rPr>
        <w:drawing>
          <wp:inline distT="0" distB="0" distL="0" distR="0" wp14:anchorId="50EDFA3D" wp14:editId="54A5D04C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9E6" w:rsidRPr="00C67E42" w:rsidRDefault="009809E6" w:rsidP="00331061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CD6F02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lastRenderedPageBreak/>
        <w:t xml:space="preserve">4.9.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Predoziranje</w:t>
      </w:r>
      <w:r w:rsidR="002846DB" w:rsidRPr="00C67E42">
        <w:rPr>
          <w:b/>
          <w:bCs/>
          <w:noProof/>
          <w:sz w:val="22"/>
          <w:szCs w:val="22"/>
          <w:lang w:val="sr-Latn-BA"/>
        </w:rPr>
        <w:t xml:space="preserve"> </w:t>
      </w:r>
    </w:p>
    <w:p w:rsidR="00CD6F02" w:rsidRPr="00C67E42" w:rsidRDefault="00CD6F02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331C69" w:rsidRPr="00C67E42" w:rsidRDefault="00331C69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U slučaju akutnog predoziranja</w:t>
      </w:r>
      <w:r w:rsidR="00583DB1" w:rsidRPr="00C67E42">
        <w:rPr>
          <w:bCs/>
          <w:noProof/>
          <w:sz w:val="22"/>
          <w:szCs w:val="22"/>
          <w:lang w:val="sr-Latn-BA"/>
        </w:rPr>
        <w:t xml:space="preserve"> lijekom LYSOBACT</w:t>
      </w:r>
      <w:r w:rsidRPr="00C67E42">
        <w:rPr>
          <w:bCs/>
          <w:noProof/>
          <w:sz w:val="22"/>
          <w:szCs w:val="22"/>
          <w:lang w:val="sr-Latn-BA"/>
        </w:rPr>
        <w:t>, ne očekuju se nikakve kliničke posljedice.</w:t>
      </w:r>
    </w:p>
    <w:p w:rsidR="00227BDB" w:rsidRPr="00C67E42" w:rsidRDefault="00331C69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U slučaju primjene velikih doza piridoksina (&gt;100 mg/dan), tokom dugog perioda (više mjeseci ili čak godina), postoji rizik od senzorne neuropatije, koja je reverzibilna </w:t>
      </w:r>
      <w:r w:rsidR="003F316F" w:rsidRPr="00C67E42">
        <w:rPr>
          <w:bCs/>
          <w:noProof/>
          <w:sz w:val="22"/>
          <w:szCs w:val="22"/>
          <w:lang w:val="sr-Latn-BA"/>
        </w:rPr>
        <w:t>nakon prekida liječenja (pogledati</w:t>
      </w:r>
      <w:r w:rsidRPr="00C67E42">
        <w:rPr>
          <w:bCs/>
          <w:noProof/>
          <w:sz w:val="22"/>
          <w:szCs w:val="22"/>
          <w:lang w:val="sr-Latn-BA"/>
        </w:rPr>
        <w:t xml:space="preserve"> dio 4.4.).</w:t>
      </w:r>
    </w:p>
    <w:p w:rsidR="00331C69" w:rsidRPr="00C67E42" w:rsidRDefault="00331C69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5.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FARMAKOLOŠK</w:t>
      </w:r>
      <w:r w:rsidR="000D425A" w:rsidRPr="00C67E42">
        <w:rPr>
          <w:b/>
          <w:bCs/>
          <w:noProof/>
          <w:sz w:val="22"/>
          <w:szCs w:val="22"/>
          <w:lang w:val="sr-Latn-BA"/>
        </w:rPr>
        <w:t>I</w:t>
      </w:r>
      <w:r w:rsidRPr="00C67E42">
        <w:rPr>
          <w:b/>
          <w:bCs/>
          <w:noProof/>
          <w:sz w:val="22"/>
          <w:szCs w:val="22"/>
          <w:lang w:val="sr-Latn-BA"/>
        </w:rPr>
        <w:t xml:space="preserve"> PODACI</w:t>
      </w:r>
    </w:p>
    <w:p w:rsidR="00331C69" w:rsidRPr="00C67E42" w:rsidRDefault="00331C69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5.1.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Farmakodinamski podaci</w:t>
      </w:r>
      <w:r w:rsidR="003A7059" w:rsidRPr="00C67E42">
        <w:rPr>
          <w:b/>
          <w:bCs/>
          <w:noProof/>
          <w:sz w:val="22"/>
          <w:szCs w:val="22"/>
          <w:lang w:val="sr-Latn-BA"/>
        </w:rPr>
        <w:t xml:space="preserve"> 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E65626" w:rsidRPr="00C67E42" w:rsidRDefault="00986B25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Farmakoterapijska grupa: l</w:t>
      </w:r>
      <w:r w:rsidR="00E65626" w:rsidRPr="00C67E42">
        <w:rPr>
          <w:bCs/>
          <w:noProof/>
          <w:sz w:val="22"/>
          <w:szCs w:val="22"/>
          <w:lang w:val="sr-Latn-BA"/>
        </w:rPr>
        <w:t>jekovi koji djeluju na respiratorni sistem - lokalni antiseptici.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 xml:space="preserve">ATC kod: R02AA20.  </w:t>
      </w:r>
    </w:p>
    <w:p w:rsidR="00F45F77" w:rsidRPr="00C67E42" w:rsidRDefault="00F45F77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2E37A5" w:rsidRPr="00C67E42" w:rsidRDefault="002E37A5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5.2.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Farmakokinetički podaci</w:t>
      </w:r>
      <w:r w:rsidR="003A7059" w:rsidRPr="00C67E42">
        <w:rPr>
          <w:b/>
          <w:bCs/>
          <w:noProof/>
          <w:sz w:val="22"/>
          <w:szCs w:val="22"/>
          <w:lang w:val="sr-Latn-BA"/>
        </w:rPr>
        <w:t xml:space="preserve"> 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65626" w:rsidRPr="00C67E42" w:rsidRDefault="00E65626" w:rsidP="00E626F0">
      <w:pPr>
        <w:pStyle w:val="IntoksikacijesaovimpreparatomsuupreporueenomdoziranjunemogueeSobzromda"/>
        <w:jc w:val="both"/>
        <w:rPr>
          <w:rFonts w:ascii="Times New Roman" w:hAnsi="Times New Roman"/>
          <w:noProof/>
          <w:sz w:val="22"/>
          <w:szCs w:val="22"/>
          <w:lang w:val="sr-Latn-BA"/>
        </w:rPr>
      </w:pPr>
      <w:r w:rsidRPr="00C67E42">
        <w:rPr>
          <w:rFonts w:ascii="Times New Roman" w:hAnsi="Times New Roman"/>
          <w:noProof/>
          <w:sz w:val="22"/>
          <w:szCs w:val="22"/>
          <w:lang w:val="sr-Latn-BA"/>
        </w:rPr>
        <w:t>Nije naznačeno.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5.3.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 xml:space="preserve">Pretklinički podaci o bezbjednosti </w:t>
      </w:r>
    </w:p>
    <w:p w:rsidR="00836B35" w:rsidRPr="00C67E42" w:rsidRDefault="00836B35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65626" w:rsidRPr="00C67E42" w:rsidRDefault="004959EC" w:rsidP="00E626F0">
      <w:pPr>
        <w:pStyle w:val="IntoksikacijesaovimpreparatomsuupreporueenomdoziranjunemogueeSobzromda"/>
        <w:jc w:val="both"/>
        <w:rPr>
          <w:rFonts w:ascii="Times New Roman" w:hAnsi="Times New Roman"/>
          <w:b/>
          <w:noProof/>
          <w:sz w:val="22"/>
          <w:szCs w:val="22"/>
          <w:u w:val="single"/>
          <w:lang w:val="sr-Latn-BA"/>
        </w:rPr>
      </w:pPr>
      <w:r>
        <w:rPr>
          <w:rFonts w:ascii="Times New Roman" w:hAnsi="Times New Roman"/>
          <w:b/>
          <w:noProof/>
          <w:sz w:val="22"/>
          <w:szCs w:val="22"/>
          <w:u w:val="single"/>
          <w:lang w:val="sr-Latn-BA"/>
        </w:rPr>
        <w:t>Lizozim hidroh</w:t>
      </w:r>
      <w:r w:rsidR="00E65626" w:rsidRPr="00C67E42">
        <w:rPr>
          <w:rFonts w:ascii="Times New Roman" w:hAnsi="Times New Roman"/>
          <w:b/>
          <w:noProof/>
          <w:sz w:val="22"/>
          <w:szCs w:val="22"/>
          <w:u w:val="single"/>
          <w:lang w:val="sr-Latn-BA"/>
        </w:rPr>
        <w:t>lorid</w:t>
      </w:r>
    </w:p>
    <w:p w:rsidR="00E65626" w:rsidRPr="00C67E42" w:rsidRDefault="00E65626" w:rsidP="00E626F0">
      <w:pPr>
        <w:jc w:val="both"/>
        <w:rPr>
          <w:rFonts w:eastAsia="Univers Condensed"/>
          <w:noProof/>
          <w:sz w:val="22"/>
          <w:szCs w:val="22"/>
          <w:lang w:val="sr-Latn-BA"/>
        </w:rPr>
      </w:pPr>
    </w:p>
    <w:p w:rsidR="00E65626" w:rsidRPr="00C67E42" w:rsidRDefault="00E65626" w:rsidP="00E626F0">
      <w:pPr>
        <w:jc w:val="both"/>
        <w:rPr>
          <w:rFonts w:eastAsia="Univers Condensed"/>
          <w:noProof/>
          <w:sz w:val="22"/>
          <w:szCs w:val="22"/>
          <w:lang w:val="sr-Latn-BA"/>
        </w:rPr>
      </w:pPr>
      <w:r w:rsidRPr="00C67E42">
        <w:rPr>
          <w:rFonts w:eastAsia="Univers Condensed"/>
          <w:noProof/>
          <w:sz w:val="22"/>
          <w:szCs w:val="22"/>
          <w:lang w:val="sr-Latn-BA"/>
        </w:rPr>
        <w:t>Eksperimentalne studije su pokazale imunoto</w:t>
      </w:r>
      <w:r w:rsidR="005123FA">
        <w:rPr>
          <w:rFonts w:eastAsia="Univers Condensed"/>
          <w:noProof/>
          <w:sz w:val="22"/>
          <w:szCs w:val="22"/>
          <w:lang w:val="sr-Latn-BA"/>
        </w:rPr>
        <w:t>ksični potencijal lizozim hidroh</w:t>
      </w:r>
      <w:r w:rsidRPr="00C67E42">
        <w:rPr>
          <w:rFonts w:eastAsia="Univers Condensed"/>
          <w:noProof/>
          <w:sz w:val="22"/>
          <w:szCs w:val="22"/>
          <w:lang w:val="sr-Latn-BA"/>
        </w:rPr>
        <w:t>lorida. Eksperimentalne studije su dokazale imunotoksični potencijal lizozima iz kokošijeg jajeta, što se pokazalo relevantnim i za ljude. Ni</w:t>
      </w:r>
      <w:r w:rsidR="00D75D66">
        <w:rPr>
          <w:rFonts w:eastAsia="Univers Condensed"/>
          <w:noProof/>
          <w:sz w:val="22"/>
          <w:szCs w:val="22"/>
          <w:lang w:val="sr-Latn-BA"/>
        </w:rPr>
        <w:t>je</w:t>
      </w:r>
      <w:r w:rsidRPr="00C67E42">
        <w:rPr>
          <w:rFonts w:eastAsia="Univers Condensed"/>
          <w:noProof/>
          <w:sz w:val="22"/>
          <w:szCs w:val="22"/>
          <w:lang w:val="sr-Latn-BA"/>
        </w:rPr>
        <w:t>su provedene studije genotoksičnosti, kancerogenosti, reproduktivne i razvoj</w:t>
      </w:r>
      <w:r w:rsidR="00DD74E4">
        <w:rPr>
          <w:rFonts w:eastAsia="Univers Condensed"/>
          <w:noProof/>
          <w:sz w:val="22"/>
          <w:szCs w:val="22"/>
          <w:lang w:val="sr-Latn-BA"/>
        </w:rPr>
        <w:t>ne toksičnosti za lizozim hidroh</w:t>
      </w:r>
      <w:r w:rsidRPr="00C67E42">
        <w:rPr>
          <w:rFonts w:eastAsia="Univers Condensed"/>
          <w:noProof/>
          <w:sz w:val="22"/>
          <w:szCs w:val="22"/>
          <w:lang w:val="sr-Latn-BA"/>
        </w:rPr>
        <w:t xml:space="preserve">lorid. </w:t>
      </w:r>
    </w:p>
    <w:p w:rsidR="00396DFD" w:rsidRPr="00C67E42" w:rsidRDefault="00396DFD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E65626" w:rsidRPr="00C67E42" w:rsidRDefault="007356BE" w:rsidP="00E626F0">
      <w:pPr>
        <w:jc w:val="both"/>
        <w:rPr>
          <w:rFonts w:eastAsia="Univers Condensed"/>
          <w:b/>
          <w:noProof/>
          <w:sz w:val="22"/>
          <w:szCs w:val="22"/>
          <w:u w:val="single"/>
          <w:lang w:val="sr-Latn-BA"/>
        </w:rPr>
      </w:pPr>
      <w:r>
        <w:rPr>
          <w:rFonts w:eastAsia="Univers Condensed"/>
          <w:b/>
          <w:noProof/>
          <w:sz w:val="22"/>
          <w:szCs w:val="22"/>
          <w:u w:val="single"/>
          <w:lang w:val="sr-Latn-BA"/>
        </w:rPr>
        <w:t>Piridoksin hidroh</w:t>
      </w:r>
      <w:r w:rsidR="00E65626" w:rsidRPr="00C67E42">
        <w:rPr>
          <w:rFonts w:eastAsia="Univers Condensed"/>
          <w:b/>
          <w:noProof/>
          <w:sz w:val="22"/>
          <w:szCs w:val="22"/>
          <w:u w:val="single"/>
          <w:lang w:val="sr-Latn-BA"/>
        </w:rPr>
        <w:t xml:space="preserve">lorid </w:t>
      </w:r>
    </w:p>
    <w:p w:rsidR="00E65626" w:rsidRPr="00C67E42" w:rsidRDefault="00E65626" w:rsidP="00E626F0">
      <w:pPr>
        <w:jc w:val="both"/>
        <w:rPr>
          <w:rFonts w:eastAsia="Univers Condensed"/>
          <w:noProof/>
          <w:sz w:val="22"/>
          <w:szCs w:val="22"/>
          <w:lang w:val="sr-Latn-BA"/>
        </w:rPr>
      </w:pPr>
    </w:p>
    <w:p w:rsidR="00E65626" w:rsidRPr="00C67E42" w:rsidRDefault="005A556E" w:rsidP="00E626F0">
      <w:pPr>
        <w:jc w:val="both"/>
        <w:rPr>
          <w:rFonts w:eastAsia="Univers Condensed"/>
          <w:noProof/>
          <w:sz w:val="22"/>
          <w:szCs w:val="22"/>
          <w:lang w:val="sr-Latn-BA"/>
        </w:rPr>
      </w:pPr>
      <w:r>
        <w:rPr>
          <w:rFonts w:eastAsia="Univers Condensed"/>
          <w:noProof/>
          <w:sz w:val="22"/>
          <w:szCs w:val="22"/>
          <w:lang w:val="sr-Latn-BA"/>
        </w:rPr>
        <w:t>Studije s piridoksin hidroh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>loridom pokazal</w:t>
      </w:r>
      <w:r w:rsidR="001355A0" w:rsidRPr="00C67E42">
        <w:rPr>
          <w:rFonts w:eastAsia="Univers Condensed"/>
          <w:noProof/>
          <w:sz w:val="22"/>
          <w:szCs w:val="22"/>
          <w:lang w:val="sr-Latn-BA"/>
        </w:rPr>
        <w:t>e su neurotoksičnost kod pacova</w:t>
      </w:r>
      <w:r w:rsidR="00313F85">
        <w:rPr>
          <w:rFonts w:eastAsia="Univers Condensed"/>
          <w:noProof/>
          <w:sz w:val="22"/>
          <w:szCs w:val="22"/>
          <w:lang w:val="sr-Latn-BA"/>
        </w:rPr>
        <w:t xml:space="preserve"> i pasa, kao i kod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 xml:space="preserve"> ljudi, nakon ponovljene oralne primjene doza koje su više od terapijskih doza prisutnih u lijeku sa sadržajem lizozima i piridoksina, a k</w:t>
      </w:r>
      <w:r w:rsidR="001F4C6C">
        <w:rPr>
          <w:rFonts w:eastAsia="Univers Condensed"/>
          <w:noProof/>
          <w:sz w:val="22"/>
          <w:szCs w:val="22"/>
          <w:lang w:val="sr-Latn-BA"/>
        </w:rPr>
        <w:t xml:space="preserve">oji je namijenjen za primjenu kod </w:t>
      </w:r>
      <w:r w:rsidR="00512DE3">
        <w:rPr>
          <w:rFonts w:eastAsia="Univers Condensed"/>
          <w:noProof/>
          <w:sz w:val="22"/>
          <w:szCs w:val="22"/>
          <w:lang w:val="sr-Latn-BA"/>
        </w:rPr>
        <w:t>ljudi. Piridoksin hidroh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 xml:space="preserve">lorid nije genotoksičan u konvencionalnim ispitivanjima genotoksičnosti </w:t>
      </w:r>
      <w:r w:rsidR="00E65626" w:rsidRPr="00C67E42">
        <w:rPr>
          <w:rFonts w:eastAsia="Univers Condensed"/>
          <w:i/>
          <w:noProof/>
          <w:sz w:val="22"/>
          <w:szCs w:val="22"/>
          <w:lang w:val="sr-Latn-BA"/>
        </w:rPr>
        <w:t>in vitro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 xml:space="preserve">. </w:t>
      </w:r>
      <w:r w:rsidR="00B624D3">
        <w:rPr>
          <w:rFonts w:eastAsia="Univers Condensed"/>
          <w:noProof/>
          <w:sz w:val="22"/>
          <w:szCs w:val="22"/>
          <w:lang w:val="sr-Latn-BA"/>
        </w:rPr>
        <w:t>Dokazano je da piridoksin hidroh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>lorid ne ispoljava maternalni toksični</w:t>
      </w:r>
      <w:r w:rsidR="00284AC5" w:rsidRPr="00C67E42">
        <w:rPr>
          <w:rFonts w:eastAsia="Univers Condensed"/>
          <w:noProof/>
          <w:sz w:val="22"/>
          <w:szCs w:val="22"/>
          <w:lang w:val="sr-Latn-BA"/>
        </w:rPr>
        <w:t xml:space="preserve"> efekat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>, kao ni embriotoksični, fe</w:t>
      </w:r>
      <w:r w:rsidR="00D65116" w:rsidRPr="00C67E42">
        <w:rPr>
          <w:rFonts w:eastAsia="Univers Condensed"/>
          <w:noProof/>
          <w:sz w:val="22"/>
          <w:szCs w:val="22"/>
          <w:lang w:val="sr-Latn-BA"/>
        </w:rPr>
        <w:t>totoksični ili teratogeni efekat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 xml:space="preserve">, nakon oralne primjene doza do 80 mg/kg/dan kod </w:t>
      </w:r>
      <w:r w:rsidR="00B813B9" w:rsidRPr="00C67E42">
        <w:rPr>
          <w:rFonts w:eastAsia="Univers Condensed"/>
          <w:noProof/>
          <w:sz w:val="22"/>
          <w:szCs w:val="22"/>
          <w:lang w:val="sr-Latn-BA"/>
        </w:rPr>
        <w:t>pacova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>. Nema dostupnih eksperimentalnih studija za procjenu kancerogen</w:t>
      </w:r>
      <w:r w:rsidR="004F79FE">
        <w:rPr>
          <w:rFonts w:eastAsia="Univers Condensed"/>
          <w:noProof/>
          <w:sz w:val="22"/>
          <w:szCs w:val="22"/>
          <w:lang w:val="sr-Latn-BA"/>
        </w:rPr>
        <w:t>og potencijala piridoksin hidroh</w:t>
      </w:r>
      <w:r w:rsidR="00E65626" w:rsidRPr="00C67E42">
        <w:rPr>
          <w:rFonts w:eastAsia="Univers Condensed"/>
          <w:noProof/>
          <w:sz w:val="22"/>
          <w:szCs w:val="22"/>
          <w:lang w:val="sr-Latn-BA"/>
        </w:rPr>
        <w:t>lorida.</w:t>
      </w:r>
    </w:p>
    <w:p w:rsidR="00E65626" w:rsidRPr="00C67E42" w:rsidRDefault="00E65626" w:rsidP="00E626F0">
      <w:pPr>
        <w:jc w:val="both"/>
        <w:rPr>
          <w:rFonts w:eastAsia="Univers Condensed"/>
          <w:noProof/>
          <w:sz w:val="22"/>
          <w:szCs w:val="22"/>
          <w:lang w:val="sr-Latn-BA"/>
        </w:rPr>
      </w:pPr>
    </w:p>
    <w:p w:rsidR="00E65626" w:rsidRPr="00C67E42" w:rsidRDefault="00E65626" w:rsidP="00E626F0">
      <w:pPr>
        <w:jc w:val="both"/>
        <w:rPr>
          <w:b/>
          <w:noProof/>
          <w:sz w:val="22"/>
          <w:szCs w:val="22"/>
          <w:u w:val="single"/>
          <w:lang w:val="sr-Latn-BA"/>
        </w:rPr>
      </w:pPr>
      <w:r w:rsidRPr="00C67E42">
        <w:rPr>
          <w:b/>
          <w:noProof/>
          <w:sz w:val="22"/>
          <w:szCs w:val="22"/>
          <w:u w:val="single"/>
          <w:lang w:val="sr-Latn-BA"/>
        </w:rPr>
        <w:t>Lizozim/piridoksin</w:t>
      </w:r>
    </w:p>
    <w:p w:rsidR="00E65626" w:rsidRPr="00C67E42" w:rsidRDefault="00E65626" w:rsidP="00E626F0">
      <w:pPr>
        <w:jc w:val="both"/>
        <w:rPr>
          <w:rFonts w:eastAsia="Univers Condensed"/>
          <w:noProof/>
          <w:sz w:val="22"/>
          <w:szCs w:val="22"/>
          <w:lang w:val="sr-Latn-BA"/>
        </w:rPr>
      </w:pPr>
    </w:p>
    <w:p w:rsidR="00E65626" w:rsidRPr="00C67E42" w:rsidRDefault="00E65626" w:rsidP="00E626F0">
      <w:pPr>
        <w:jc w:val="both"/>
        <w:rPr>
          <w:rFonts w:eastAsia="Univers Condensed"/>
          <w:noProof/>
          <w:sz w:val="22"/>
          <w:szCs w:val="22"/>
          <w:lang w:val="sr-Latn-BA"/>
        </w:rPr>
      </w:pPr>
      <w:r w:rsidRPr="00C67E42">
        <w:rPr>
          <w:rFonts w:eastAsia="Univers Condensed"/>
          <w:noProof/>
          <w:sz w:val="22"/>
          <w:szCs w:val="22"/>
          <w:lang w:val="sr-Latn-BA"/>
        </w:rPr>
        <w:t xml:space="preserve">Subhronična oralna primjena lijeka koji sadrži lizozim i piridoksin kod </w:t>
      </w:r>
      <w:r w:rsidR="00C827D0" w:rsidRPr="00C67E42">
        <w:rPr>
          <w:rFonts w:eastAsia="Univers Condensed"/>
          <w:noProof/>
          <w:sz w:val="22"/>
          <w:szCs w:val="22"/>
          <w:lang w:val="sr-Latn-BA"/>
        </w:rPr>
        <w:t>pacova</w:t>
      </w:r>
      <w:r w:rsidRPr="00C67E42">
        <w:rPr>
          <w:rFonts w:eastAsia="Univers Condensed"/>
          <w:noProof/>
          <w:sz w:val="22"/>
          <w:szCs w:val="22"/>
          <w:lang w:val="sr-Latn-BA"/>
        </w:rPr>
        <w:t>, nije</w:t>
      </w:r>
      <w:r w:rsidR="00D65116" w:rsidRPr="00C67E42">
        <w:rPr>
          <w:rFonts w:eastAsia="Univers Condensed"/>
          <w:noProof/>
          <w:sz w:val="22"/>
          <w:szCs w:val="22"/>
          <w:lang w:val="sr-Latn-BA"/>
        </w:rPr>
        <w:t xml:space="preserve"> pokazala nikakav efekat</w:t>
      </w:r>
      <w:r w:rsidRPr="00C67E42">
        <w:rPr>
          <w:rFonts w:eastAsia="Univers Condensed"/>
          <w:noProof/>
          <w:sz w:val="22"/>
          <w:szCs w:val="22"/>
          <w:lang w:val="sr-Latn-BA"/>
        </w:rPr>
        <w:t xml:space="preserve"> pri dozama višim o</w:t>
      </w:r>
      <w:r w:rsidR="00737071">
        <w:rPr>
          <w:rFonts w:eastAsia="Univers Condensed"/>
          <w:noProof/>
          <w:sz w:val="22"/>
          <w:szCs w:val="22"/>
          <w:lang w:val="sr-Latn-BA"/>
        </w:rPr>
        <w:t>d predviđenih terapijskih doza kod</w:t>
      </w:r>
      <w:r w:rsidRPr="00C67E42">
        <w:rPr>
          <w:rFonts w:eastAsia="Univers Condensed"/>
          <w:noProof/>
          <w:sz w:val="22"/>
          <w:szCs w:val="22"/>
          <w:lang w:val="sr-Latn-BA"/>
        </w:rPr>
        <w:t xml:space="preserve"> ljudi.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6.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FARMACEUTSKI PODACI</w:t>
      </w:r>
    </w:p>
    <w:p w:rsidR="00836B35" w:rsidRPr="00C67E42" w:rsidRDefault="00836B35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6.1.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Lista pomoćnih supstanci</w:t>
      </w:r>
      <w:r w:rsidR="002E0135" w:rsidRPr="00C67E42">
        <w:rPr>
          <w:b/>
          <w:bCs/>
          <w:noProof/>
          <w:sz w:val="22"/>
          <w:szCs w:val="22"/>
          <w:lang w:val="sr-Latn-BA"/>
        </w:rPr>
        <w:t xml:space="preserve"> (ekscipijenasa)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Laktoza monohidrat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Hipromeloza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Magnezij</w:t>
      </w:r>
      <w:r w:rsidR="001F4C6C">
        <w:rPr>
          <w:bCs/>
          <w:noProof/>
          <w:sz w:val="22"/>
          <w:szCs w:val="22"/>
          <w:lang w:val="sr-Latn-BA"/>
        </w:rPr>
        <w:t>um</w:t>
      </w:r>
      <w:r w:rsidRPr="00C67E42">
        <w:rPr>
          <w:bCs/>
          <w:noProof/>
          <w:sz w:val="22"/>
          <w:szCs w:val="22"/>
          <w:lang w:val="sr-Latn-BA"/>
        </w:rPr>
        <w:t xml:space="preserve"> stearat </w:t>
      </w:r>
    </w:p>
    <w:p w:rsidR="00E65626" w:rsidRPr="00C67E42" w:rsidRDefault="001F4C6C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>
        <w:rPr>
          <w:bCs/>
          <w:noProof/>
          <w:sz w:val="22"/>
          <w:szCs w:val="22"/>
          <w:lang w:val="sr-Latn-BA"/>
        </w:rPr>
        <w:t>Saharin natrijum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Vanilin</w:t>
      </w:r>
      <w:r w:rsidRPr="00C67E42">
        <w:rPr>
          <w:bCs/>
          <w:noProof/>
          <w:sz w:val="22"/>
          <w:szCs w:val="22"/>
          <w:lang w:val="sr-Latn-BA"/>
        </w:rPr>
        <w:tab/>
        <w:t xml:space="preserve">   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6.2.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Inkompatibilnost</w:t>
      </w:r>
      <w:r w:rsidR="002846DB" w:rsidRPr="00C67E42">
        <w:rPr>
          <w:b/>
          <w:bCs/>
          <w:noProof/>
          <w:sz w:val="22"/>
          <w:szCs w:val="22"/>
          <w:lang w:val="sr-Latn-BA"/>
        </w:rPr>
        <w:t>i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65626" w:rsidRDefault="00AA6FDD" w:rsidP="00E626F0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BA"/>
        </w:rPr>
      </w:pPr>
      <w:r w:rsidRPr="00AA6FDD">
        <w:rPr>
          <w:noProof/>
          <w:color w:val="000000"/>
          <w:sz w:val="22"/>
          <w:szCs w:val="22"/>
          <w:lang w:val="sr-Latn-BA"/>
        </w:rPr>
        <w:t>Podaci o inkompatibilnosti nijesu poznati.</w:t>
      </w:r>
    </w:p>
    <w:p w:rsidR="00AA6FDD" w:rsidRPr="00C67E42" w:rsidRDefault="00AA6FDD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lastRenderedPageBreak/>
        <w:t>6.3.</w:t>
      </w:r>
      <w:r w:rsidR="00C05DF8" w:rsidRPr="00C67E42">
        <w:rPr>
          <w:b/>
          <w:bCs/>
          <w:noProof/>
          <w:sz w:val="22"/>
          <w:szCs w:val="22"/>
          <w:lang w:val="sr-Latn-BA"/>
        </w:rPr>
        <w:t xml:space="preserve">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Rok upotrebe</w:t>
      </w:r>
    </w:p>
    <w:p w:rsidR="00E65626" w:rsidRPr="00C67E42" w:rsidRDefault="00E65626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E65626" w:rsidRPr="00C67E42" w:rsidRDefault="006304A8" w:rsidP="00E626F0">
      <w:pPr>
        <w:jc w:val="both"/>
        <w:rPr>
          <w:noProof/>
          <w:sz w:val="22"/>
          <w:szCs w:val="22"/>
          <w:lang w:val="sr-Latn-BA"/>
        </w:rPr>
      </w:pPr>
      <w:r>
        <w:rPr>
          <w:noProof/>
          <w:sz w:val="22"/>
          <w:szCs w:val="22"/>
          <w:lang w:val="sr-Latn-BA"/>
        </w:rPr>
        <w:t>5</w:t>
      </w:r>
      <w:r w:rsidR="00E65626" w:rsidRPr="00C67E42">
        <w:rPr>
          <w:noProof/>
          <w:sz w:val="22"/>
          <w:szCs w:val="22"/>
          <w:lang w:val="sr-Latn-BA"/>
        </w:rPr>
        <w:t xml:space="preserve"> </w:t>
      </w:r>
      <w:r>
        <w:rPr>
          <w:noProof/>
          <w:sz w:val="22"/>
          <w:szCs w:val="22"/>
          <w:lang w:val="sr-Latn-BA"/>
        </w:rPr>
        <w:t>godina</w:t>
      </w:r>
      <w:r w:rsidR="00E65626" w:rsidRPr="00C67E42">
        <w:rPr>
          <w:noProof/>
          <w:sz w:val="22"/>
          <w:szCs w:val="22"/>
          <w:lang w:val="sr-Latn-BA"/>
        </w:rPr>
        <w:t xml:space="preserve"> 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6.4.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Posebne mjere upozorenja pri čuvanju</w:t>
      </w:r>
      <w:r w:rsidR="00F8570A" w:rsidRPr="00C67E42">
        <w:rPr>
          <w:b/>
          <w:bCs/>
          <w:noProof/>
          <w:sz w:val="22"/>
          <w:szCs w:val="22"/>
          <w:lang w:val="sr-Latn-BA"/>
        </w:rPr>
        <w:t xml:space="preserve"> lijeka</w:t>
      </w:r>
    </w:p>
    <w:p w:rsidR="00EC2532" w:rsidRPr="00C67E42" w:rsidRDefault="00EC253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65626" w:rsidRDefault="00C5658B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5658B">
        <w:rPr>
          <w:bCs/>
          <w:noProof/>
          <w:sz w:val="22"/>
          <w:szCs w:val="22"/>
          <w:lang w:val="sr-Latn-BA"/>
        </w:rPr>
        <w:t>Nema posebnih uslova čuvanja.</w:t>
      </w:r>
    </w:p>
    <w:p w:rsidR="00C5658B" w:rsidRPr="00C67E42" w:rsidRDefault="00C5658B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6.5.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="002846DB" w:rsidRPr="00C67E42">
        <w:rPr>
          <w:b/>
          <w:bCs/>
          <w:noProof/>
          <w:sz w:val="22"/>
          <w:szCs w:val="22"/>
          <w:lang w:val="sr-Latn-BA"/>
        </w:rPr>
        <w:t xml:space="preserve">Vrsta i sadržaj </w:t>
      </w:r>
      <w:r w:rsidR="00F8570A" w:rsidRPr="00C67E42">
        <w:rPr>
          <w:b/>
          <w:bCs/>
          <w:noProof/>
          <w:sz w:val="22"/>
          <w:szCs w:val="22"/>
          <w:lang w:val="sr-Latn-BA"/>
        </w:rPr>
        <w:t>pakovanja</w:t>
      </w:r>
      <w:r w:rsidR="00C06864" w:rsidRPr="00C67E42">
        <w:rPr>
          <w:b/>
          <w:bCs/>
          <w:noProof/>
          <w:sz w:val="22"/>
          <w:szCs w:val="22"/>
          <w:lang w:val="sr-Latn-BA"/>
        </w:rPr>
        <w:t xml:space="preserve"> </w:t>
      </w: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E65626" w:rsidRDefault="002F1C4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2F1C42">
        <w:rPr>
          <w:bCs/>
          <w:noProof/>
          <w:sz w:val="22"/>
          <w:szCs w:val="22"/>
          <w:lang w:val="sr-Latn-BA"/>
        </w:rPr>
        <w:t>PVC/Al blister sa 10 komprimovanih lozengi, pakovanih u kutije koje sadrže 30 komprimovanih lozengi (3 blistera sa po 10 lozengi).</w:t>
      </w:r>
    </w:p>
    <w:p w:rsidR="002F1C42" w:rsidRPr="00C67E42" w:rsidRDefault="002F1C4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2846DB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6.6.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color w:val="000000"/>
          <w:sz w:val="22"/>
          <w:szCs w:val="22"/>
          <w:lang w:val="sr-Latn-BA"/>
        </w:rPr>
        <w:t>Posebne mjere opreza pri odlaganju materijala koji treba odbaciti nakon primjene lijeka</w:t>
      </w:r>
      <w:r w:rsidRPr="00C67E42">
        <w:rPr>
          <w:b/>
          <w:bCs/>
          <w:noProof/>
          <w:sz w:val="22"/>
          <w:szCs w:val="22"/>
          <w:lang w:val="sr-Latn-BA"/>
        </w:rPr>
        <w:t xml:space="preserve"> </w:t>
      </w:r>
      <w:r w:rsidR="00310F03" w:rsidRPr="00C67E42">
        <w:rPr>
          <w:b/>
          <w:bCs/>
          <w:noProof/>
          <w:sz w:val="22"/>
          <w:szCs w:val="22"/>
          <w:lang w:val="sr-Latn-BA"/>
        </w:rPr>
        <w:t>(i druga uputs</w:t>
      </w:r>
      <w:r w:rsidR="004109FA" w:rsidRPr="00C67E42">
        <w:rPr>
          <w:b/>
          <w:bCs/>
          <w:noProof/>
          <w:sz w:val="22"/>
          <w:szCs w:val="22"/>
          <w:lang w:val="sr-Latn-BA"/>
        </w:rPr>
        <w:t>t</w:t>
      </w:r>
      <w:r w:rsidR="00310F03" w:rsidRPr="00C67E42">
        <w:rPr>
          <w:b/>
          <w:bCs/>
          <w:noProof/>
          <w:sz w:val="22"/>
          <w:szCs w:val="22"/>
          <w:lang w:val="sr-Latn-BA"/>
        </w:rPr>
        <w:t xml:space="preserve">va za rukovanje lijekom) </w:t>
      </w:r>
    </w:p>
    <w:p w:rsidR="00B66A70" w:rsidRPr="00C67E42" w:rsidRDefault="00B66A70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72020E" w:rsidRDefault="002F1C4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2F1C42">
        <w:rPr>
          <w:bCs/>
          <w:noProof/>
          <w:sz w:val="22"/>
          <w:szCs w:val="22"/>
          <w:lang w:val="sr-Latn-BA"/>
        </w:rPr>
        <w:t>Svu neiskorišćenu količinu lijeka ili otpadnog materijala nakon njegove upotrebe treba ukloniti u skladu sa važećim propisima.</w:t>
      </w:r>
    </w:p>
    <w:p w:rsidR="002F1C42" w:rsidRDefault="002F1C42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304A8" w:rsidRPr="00C67E42" w:rsidRDefault="006304A8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F8570A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7.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NOSILAC DOZVOLE</w:t>
      </w:r>
      <w:r w:rsidR="00483928" w:rsidRPr="00C67E42">
        <w:rPr>
          <w:b/>
          <w:bCs/>
          <w:noProof/>
          <w:sz w:val="22"/>
          <w:szCs w:val="22"/>
          <w:lang w:val="sr-Latn-BA"/>
        </w:rPr>
        <w:t xml:space="preserve"> </w:t>
      </w:r>
    </w:p>
    <w:p w:rsidR="0084784D" w:rsidRPr="00C67E42" w:rsidRDefault="0084784D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</w:p>
    <w:p w:rsidR="00C61BE0" w:rsidRPr="00C67E42" w:rsidRDefault="003004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Cs/>
          <w:noProof/>
          <w:sz w:val="22"/>
          <w:szCs w:val="22"/>
          <w:lang w:val="sr-Latn-BA"/>
        </w:rPr>
        <w:t>Bosnalijek d.d. Predstavništvo Crna Gora, Bulevar Svetog Petra Cetinjskog 63, Podgorica</w:t>
      </w:r>
    </w:p>
    <w:p w:rsidR="00C37FD7" w:rsidRDefault="00C37FD7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304A8" w:rsidRPr="00C67E42" w:rsidRDefault="006304A8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8.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>BROJ DOZVOLE</w:t>
      </w:r>
      <w:r w:rsidR="008A6D43" w:rsidRPr="00C67E42">
        <w:rPr>
          <w:b/>
          <w:bCs/>
          <w:noProof/>
          <w:sz w:val="22"/>
          <w:szCs w:val="22"/>
          <w:lang w:val="sr-Latn-BA"/>
        </w:rPr>
        <w:t xml:space="preserve"> ZA STAVLJANJE LIJEKA U PROMET</w:t>
      </w:r>
    </w:p>
    <w:p w:rsidR="0072020E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304A8" w:rsidRPr="00C67E42" w:rsidRDefault="006304A8" w:rsidP="006304A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>
        <w:rPr>
          <w:bCs/>
          <w:noProof/>
          <w:sz w:val="22"/>
          <w:szCs w:val="22"/>
          <w:lang w:val="sr-Latn-BA"/>
        </w:rPr>
        <w:t>2020/10/114 - 02-28</w:t>
      </w:r>
    </w:p>
    <w:p w:rsidR="00F45F77" w:rsidRDefault="00F45F77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304A8" w:rsidRPr="00C67E42" w:rsidRDefault="006304A8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72020E" w:rsidRPr="00C67E42" w:rsidRDefault="0072020E" w:rsidP="00E626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9.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Pr="00C67E42">
        <w:rPr>
          <w:b/>
          <w:bCs/>
          <w:noProof/>
          <w:sz w:val="22"/>
          <w:szCs w:val="22"/>
          <w:lang w:val="sr-Latn-BA"/>
        </w:rPr>
        <w:t xml:space="preserve">DATUM </w:t>
      </w:r>
      <w:r w:rsidR="00C05DF8" w:rsidRPr="00C67E42">
        <w:rPr>
          <w:b/>
          <w:bCs/>
          <w:noProof/>
          <w:sz w:val="22"/>
          <w:szCs w:val="22"/>
          <w:lang w:val="sr-Latn-BA"/>
        </w:rPr>
        <w:t xml:space="preserve">PRVE </w:t>
      </w:r>
      <w:r w:rsidR="008A6D43" w:rsidRPr="00C67E42">
        <w:rPr>
          <w:b/>
          <w:bCs/>
          <w:noProof/>
          <w:sz w:val="22"/>
          <w:szCs w:val="22"/>
          <w:lang w:val="sr-Latn-BA"/>
        </w:rPr>
        <w:t>DOZVOLE</w:t>
      </w:r>
      <w:r w:rsidR="00C05DF8" w:rsidRPr="00C67E42">
        <w:rPr>
          <w:b/>
          <w:bCs/>
          <w:noProof/>
          <w:sz w:val="22"/>
          <w:szCs w:val="22"/>
          <w:lang w:val="sr-Latn-BA"/>
        </w:rPr>
        <w:t>/OBNOVE DOZVOLE</w:t>
      </w:r>
      <w:r w:rsidR="008A6D43" w:rsidRPr="00C67E42">
        <w:rPr>
          <w:b/>
          <w:bCs/>
          <w:noProof/>
          <w:sz w:val="22"/>
          <w:szCs w:val="22"/>
          <w:lang w:val="sr-Latn-BA"/>
        </w:rPr>
        <w:t xml:space="preserve"> ZA STAVLJANJE LIJEKA U PROMET</w:t>
      </w:r>
    </w:p>
    <w:p w:rsidR="0072020E" w:rsidRDefault="0072020E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304A8" w:rsidRPr="00C67E42" w:rsidRDefault="006304A8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 w:rsidRPr="006304A8">
        <w:rPr>
          <w:bCs/>
          <w:noProof/>
          <w:sz w:val="22"/>
          <w:szCs w:val="22"/>
          <w:lang w:val="sr-Latn-BA"/>
        </w:rPr>
        <w:t>18.03.</w:t>
      </w:r>
      <w:r>
        <w:rPr>
          <w:bCs/>
          <w:noProof/>
          <w:sz w:val="22"/>
          <w:szCs w:val="22"/>
          <w:lang w:val="sr-Latn-BA"/>
        </w:rPr>
        <w:t>20</w:t>
      </w:r>
      <w:r w:rsidRPr="006304A8">
        <w:rPr>
          <w:bCs/>
          <w:noProof/>
          <w:sz w:val="22"/>
          <w:szCs w:val="22"/>
          <w:lang w:val="sr-Latn-BA"/>
        </w:rPr>
        <w:t>10</w:t>
      </w:r>
      <w:r>
        <w:rPr>
          <w:bCs/>
          <w:noProof/>
          <w:sz w:val="22"/>
          <w:szCs w:val="22"/>
          <w:lang w:val="sr-Latn-BA"/>
        </w:rPr>
        <w:t>. godine</w:t>
      </w:r>
    </w:p>
    <w:p w:rsidR="00836B35" w:rsidRDefault="00836B35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6304A8" w:rsidRPr="00C67E42" w:rsidRDefault="006304A8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3F6A59" w:rsidRPr="00C67E42" w:rsidRDefault="0072020E" w:rsidP="00E626F0">
      <w:pPr>
        <w:tabs>
          <w:tab w:val="left" w:pos="540"/>
          <w:tab w:val="left" w:pos="569"/>
        </w:tabs>
        <w:ind w:left="540" w:hanging="540"/>
        <w:jc w:val="both"/>
        <w:rPr>
          <w:bCs/>
          <w:noProof/>
          <w:sz w:val="22"/>
          <w:szCs w:val="22"/>
          <w:lang w:val="sr-Latn-BA"/>
        </w:rPr>
      </w:pPr>
      <w:r w:rsidRPr="00C67E42">
        <w:rPr>
          <w:b/>
          <w:bCs/>
          <w:noProof/>
          <w:sz w:val="22"/>
          <w:szCs w:val="22"/>
          <w:lang w:val="sr-Latn-BA"/>
        </w:rPr>
        <w:t xml:space="preserve">10. </w:t>
      </w:r>
      <w:r w:rsidR="00480FB1" w:rsidRPr="00C67E42">
        <w:rPr>
          <w:b/>
          <w:bCs/>
          <w:noProof/>
          <w:sz w:val="22"/>
          <w:szCs w:val="22"/>
          <w:lang w:val="sr-Latn-BA"/>
        </w:rPr>
        <w:tab/>
      </w:r>
      <w:r w:rsidR="002846DB" w:rsidRPr="00C67E42">
        <w:rPr>
          <w:b/>
          <w:bCs/>
          <w:noProof/>
          <w:sz w:val="22"/>
          <w:szCs w:val="22"/>
          <w:lang w:val="sr-Latn-BA"/>
        </w:rPr>
        <w:t>D</w:t>
      </w:r>
      <w:r w:rsidR="00EC2532" w:rsidRPr="00C67E42">
        <w:rPr>
          <w:b/>
          <w:bCs/>
          <w:noProof/>
          <w:sz w:val="22"/>
          <w:szCs w:val="22"/>
          <w:lang w:val="sr-Latn-BA"/>
        </w:rPr>
        <w:t xml:space="preserve">ATUM REVIZIJE TEKSTA </w:t>
      </w:r>
    </w:p>
    <w:p w:rsidR="003F6A59" w:rsidRPr="00C67E42" w:rsidRDefault="003F6A59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</w:p>
    <w:p w:rsidR="008A6D43" w:rsidRPr="00C67E42" w:rsidRDefault="006304A8" w:rsidP="00E626F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BA"/>
        </w:rPr>
      </w:pPr>
      <w:r>
        <w:rPr>
          <w:bCs/>
          <w:noProof/>
          <w:sz w:val="22"/>
          <w:szCs w:val="22"/>
          <w:lang w:val="sr-Latn-BA"/>
        </w:rPr>
        <w:t>Avgust,</w:t>
      </w:r>
      <w:r w:rsidRPr="00C67E42">
        <w:rPr>
          <w:bCs/>
          <w:noProof/>
          <w:sz w:val="22"/>
          <w:szCs w:val="22"/>
          <w:lang w:val="sr-Latn-BA"/>
        </w:rPr>
        <w:t xml:space="preserve"> </w:t>
      </w:r>
      <w:r w:rsidR="0057311F">
        <w:rPr>
          <w:bCs/>
          <w:noProof/>
          <w:sz w:val="22"/>
          <w:szCs w:val="22"/>
          <w:lang w:val="sr-Latn-BA"/>
        </w:rPr>
        <w:t>2024</w:t>
      </w:r>
      <w:bookmarkStart w:id="0" w:name="_GoBack"/>
      <w:bookmarkEnd w:id="0"/>
      <w:r w:rsidR="002F5969" w:rsidRPr="00C67E42">
        <w:rPr>
          <w:bCs/>
          <w:noProof/>
          <w:sz w:val="22"/>
          <w:szCs w:val="22"/>
          <w:lang w:val="sr-Latn-BA"/>
        </w:rPr>
        <w:t>.</w:t>
      </w:r>
      <w:r>
        <w:rPr>
          <w:bCs/>
          <w:noProof/>
          <w:sz w:val="22"/>
          <w:szCs w:val="22"/>
          <w:lang w:val="sr-Latn-BA"/>
        </w:rPr>
        <w:t xml:space="preserve"> godine</w:t>
      </w:r>
    </w:p>
    <w:p w:rsidR="003F6A59" w:rsidRPr="00C67E42" w:rsidRDefault="003F6A59" w:rsidP="00E626F0">
      <w:pPr>
        <w:jc w:val="both"/>
        <w:rPr>
          <w:noProof/>
          <w:sz w:val="22"/>
          <w:szCs w:val="22"/>
          <w:lang w:val="sr-Latn-BA"/>
        </w:rPr>
      </w:pPr>
    </w:p>
    <w:sectPr w:rsidR="003F6A59" w:rsidRPr="00C67E42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04" w:rsidRDefault="00B40804">
      <w:r>
        <w:separator/>
      </w:r>
    </w:p>
  </w:endnote>
  <w:endnote w:type="continuationSeparator" w:id="0">
    <w:p w:rsidR="00B40804" w:rsidRDefault="00B4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1509B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7311F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7311F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04" w:rsidRDefault="00B40804">
      <w:r>
        <w:separator/>
      </w:r>
    </w:p>
  </w:footnote>
  <w:footnote w:type="continuationSeparator" w:id="0">
    <w:p w:rsidR="00B40804" w:rsidRDefault="00B4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F47B51"/>
    <w:multiLevelType w:val="hybridMultilevel"/>
    <w:tmpl w:val="2B864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186C"/>
    <w:rsid w:val="00011445"/>
    <w:rsid w:val="000176CA"/>
    <w:rsid w:val="00036FA0"/>
    <w:rsid w:val="0003793F"/>
    <w:rsid w:val="00057E35"/>
    <w:rsid w:val="00076726"/>
    <w:rsid w:val="00080303"/>
    <w:rsid w:val="000A0DE6"/>
    <w:rsid w:val="000A3F58"/>
    <w:rsid w:val="000C5ECF"/>
    <w:rsid w:val="000D2343"/>
    <w:rsid w:val="000D3449"/>
    <w:rsid w:val="000D425A"/>
    <w:rsid w:val="000D60CC"/>
    <w:rsid w:val="000E2084"/>
    <w:rsid w:val="000E6F55"/>
    <w:rsid w:val="000F6CAB"/>
    <w:rsid w:val="000F77FA"/>
    <w:rsid w:val="00107BF7"/>
    <w:rsid w:val="001121EF"/>
    <w:rsid w:val="00126F53"/>
    <w:rsid w:val="001324FC"/>
    <w:rsid w:val="001355A0"/>
    <w:rsid w:val="0014766D"/>
    <w:rsid w:val="001509B9"/>
    <w:rsid w:val="001536CC"/>
    <w:rsid w:val="0015655E"/>
    <w:rsid w:val="001A3FBA"/>
    <w:rsid w:val="001A5518"/>
    <w:rsid w:val="001B1C6A"/>
    <w:rsid w:val="001C1263"/>
    <w:rsid w:val="001C1417"/>
    <w:rsid w:val="001D44DB"/>
    <w:rsid w:val="001E390B"/>
    <w:rsid w:val="001F42FB"/>
    <w:rsid w:val="001F4C6C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0E3E"/>
    <w:rsid w:val="00264D65"/>
    <w:rsid w:val="00266046"/>
    <w:rsid w:val="0027347B"/>
    <w:rsid w:val="002846DB"/>
    <w:rsid w:val="00284AC5"/>
    <w:rsid w:val="00284CCD"/>
    <w:rsid w:val="002A4DBA"/>
    <w:rsid w:val="002B1D5B"/>
    <w:rsid w:val="002C284C"/>
    <w:rsid w:val="002C6637"/>
    <w:rsid w:val="002E0135"/>
    <w:rsid w:val="002E37A5"/>
    <w:rsid w:val="002F1C42"/>
    <w:rsid w:val="002F5969"/>
    <w:rsid w:val="0030040E"/>
    <w:rsid w:val="003071DB"/>
    <w:rsid w:val="00310F03"/>
    <w:rsid w:val="00313F85"/>
    <w:rsid w:val="00321426"/>
    <w:rsid w:val="003247D2"/>
    <w:rsid w:val="00331061"/>
    <w:rsid w:val="00331C69"/>
    <w:rsid w:val="00333382"/>
    <w:rsid w:val="00335731"/>
    <w:rsid w:val="003445C1"/>
    <w:rsid w:val="00355B61"/>
    <w:rsid w:val="00362686"/>
    <w:rsid w:val="00371510"/>
    <w:rsid w:val="00381096"/>
    <w:rsid w:val="00396DFD"/>
    <w:rsid w:val="003A7059"/>
    <w:rsid w:val="003B7A36"/>
    <w:rsid w:val="003C17AB"/>
    <w:rsid w:val="003C7823"/>
    <w:rsid w:val="003D2267"/>
    <w:rsid w:val="003E1DCC"/>
    <w:rsid w:val="003F11A1"/>
    <w:rsid w:val="003F316F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959EC"/>
    <w:rsid w:val="004C331F"/>
    <w:rsid w:val="004D6103"/>
    <w:rsid w:val="004E3BCE"/>
    <w:rsid w:val="004E70AD"/>
    <w:rsid w:val="004F0E97"/>
    <w:rsid w:val="004F3A2E"/>
    <w:rsid w:val="004F79FE"/>
    <w:rsid w:val="00501DD1"/>
    <w:rsid w:val="00506877"/>
    <w:rsid w:val="005123FA"/>
    <w:rsid w:val="00512DE3"/>
    <w:rsid w:val="00515C21"/>
    <w:rsid w:val="00530BD7"/>
    <w:rsid w:val="00545CD2"/>
    <w:rsid w:val="005476F3"/>
    <w:rsid w:val="00572527"/>
    <w:rsid w:val="0057311F"/>
    <w:rsid w:val="00573E40"/>
    <w:rsid w:val="0057521B"/>
    <w:rsid w:val="00576348"/>
    <w:rsid w:val="00583DB1"/>
    <w:rsid w:val="00597EB7"/>
    <w:rsid w:val="005A0B2E"/>
    <w:rsid w:val="005A23D2"/>
    <w:rsid w:val="005A36CB"/>
    <w:rsid w:val="005A556E"/>
    <w:rsid w:val="005B49B8"/>
    <w:rsid w:val="005C0741"/>
    <w:rsid w:val="005C5EF4"/>
    <w:rsid w:val="005E2E0B"/>
    <w:rsid w:val="005E7A7D"/>
    <w:rsid w:val="005E7C9D"/>
    <w:rsid w:val="00602457"/>
    <w:rsid w:val="006304A8"/>
    <w:rsid w:val="00644FC3"/>
    <w:rsid w:val="00646BD1"/>
    <w:rsid w:val="006561C2"/>
    <w:rsid w:val="00670EE0"/>
    <w:rsid w:val="00671CB3"/>
    <w:rsid w:val="00674BAF"/>
    <w:rsid w:val="00682200"/>
    <w:rsid w:val="00684F3E"/>
    <w:rsid w:val="00692BF6"/>
    <w:rsid w:val="006A1497"/>
    <w:rsid w:val="006B0BD1"/>
    <w:rsid w:val="006B5404"/>
    <w:rsid w:val="006C69A6"/>
    <w:rsid w:val="006D20A5"/>
    <w:rsid w:val="006D37BF"/>
    <w:rsid w:val="006E34B4"/>
    <w:rsid w:val="00702E22"/>
    <w:rsid w:val="00716790"/>
    <w:rsid w:val="0072020E"/>
    <w:rsid w:val="007276DD"/>
    <w:rsid w:val="007356BE"/>
    <w:rsid w:val="00737071"/>
    <w:rsid w:val="00780D3A"/>
    <w:rsid w:val="00786071"/>
    <w:rsid w:val="00797FCA"/>
    <w:rsid w:val="007A3ECB"/>
    <w:rsid w:val="007D50F1"/>
    <w:rsid w:val="007D7BB3"/>
    <w:rsid w:val="00824AB9"/>
    <w:rsid w:val="00836B35"/>
    <w:rsid w:val="00843BDE"/>
    <w:rsid w:val="0084784D"/>
    <w:rsid w:val="0087588C"/>
    <w:rsid w:val="0089705C"/>
    <w:rsid w:val="008A0311"/>
    <w:rsid w:val="008A6D43"/>
    <w:rsid w:val="008B491E"/>
    <w:rsid w:val="008C1A28"/>
    <w:rsid w:val="008C266A"/>
    <w:rsid w:val="008C2E98"/>
    <w:rsid w:val="008E49BD"/>
    <w:rsid w:val="008E53E9"/>
    <w:rsid w:val="008E5771"/>
    <w:rsid w:val="008F4ACF"/>
    <w:rsid w:val="00900D7D"/>
    <w:rsid w:val="00924166"/>
    <w:rsid w:val="00931441"/>
    <w:rsid w:val="00940B9B"/>
    <w:rsid w:val="0095676E"/>
    <w:rsid w:val="00956983"/>
    <w:rsid w:val="0096135B"/>
    <w:rsid w:val="00963CF0"/>
    <w:rsid w:val="00964BB1"/>
    <w:rsid w:val="009775D9"/>
    <w:rsid w:val="009809E6"/>
    <w:rsid w:val="00986B25"/>
    <w:rsid w:val="00987DEC"/>
    <w:rsid w:val="00997175"/>
    <w:rsid w:val="009A1847"/>
    <w:rsid w:val="009B062A"/>
    <w:rsid w:val="009E7C6F"/>
    <w:rsid w:val="009F1793"/>
    <w:rsid w:val="009F2D23"/>
    <w:rsid w:val="00A01D69"/>
    <w:rsid w:val="00A02235"/>
    <w:rsid w:val="00A0232C"/>
    <w:rsid w:val="00A02335"/>
    <w:rsid w:val="00A15595"/>
    <w:rsid w:val="00A456AD"/>
    <w:rsid w:val="00A46C9A"/>
    <w:rsid w:val="00A619F3"/>
    <w:rsid w:val="00A62A73"/>
    <w:rsid w:val="00A73E35"/>
    <w:rsid w:val="00A758C7"/>
    <w:rsid w:val="00A87FF6"/>
    <w:rsid w:val="00AA0A3B"/>
    <w:rsid w:val="00AA2763"/>
    <w:rsid w:val="00AA33B6"/>
    <w:rsid w:val="00AA6FDD"/>
    <w:rsid w:val="00AB50CA"/>
    <w:rsid w:val="00AB6D64"/>
    <w:rsid w:val="00AC3A6B"/>
    <w:rsid w:val="00AC53CE"/>
    <w:rsid w:val="00AD2193"/>
    <w:rsid w:val="00AE1990"/>
    <w:rsid w:val="00AF2AC7"/>
    <w:rsid w:val="00AF4127"/>
    <w:rsid w:val="00AF74CE"/>
    <w:rsid w:val="00B208DB"/>
    <w:rsid w:val="00B23F69"/>
    <w:rsid w:val="00B32C5A"/>
    <w:rsid w:val="00B40804"/>
    <w:rsid w:val="00B60619"/>
    <w:rsid w:val="00B624D3"/>
    <w:rsid w:val="00B64D83"/>
    <w:rsid w:val="00B66A70"/>
    <w:rsid w:val="00B67366"/>
    <w:rsid w:val="00B67F24"/>
    <w:rsid w:val="00B76554"/>
    <w:rsid w:val="00B80EE1"/>
    <w:rsid w:val="00B813B9"/>
    <w:rsid w:val="00B84135"/>
    <w:rsid w:val="00BA09E3"/>
    <w:rsid w:val="00BD1C7F"/>
    <w:rsid w:val="00BD67FD"/>
    <w:rsid w:val="00BE002E"/>
    <w:rsid w:val="00C04D34"/>
    <w:rsid w:val="00C05DF8"/>
    <w:rsid w:val="00C06864"/>
    <w:rsid w:val="00C10F54"/>
    <w:rsid w:val="00C23D8D"/>
    <w:rsid w:val="00C37AA3"/>
    <w:rsid w:val="00C37FD7"/>
    <w:rsid w:val="00C43419"/>
    <w:rsid w:val="00C43B90"/>
    <w:rsid w:val="00C44CF3"/>
    <w:rsid w:val="00C5658B"/>
    <w:rsid w:val="00C61BE0"/>
    <w:rsid w:val="00C66E55"/>
    <w:rsid w:val="00C6707E"/>
    <w:rsid w:val="00C67E42"/>
    <w:rsid w:val="00C70B0E"/>
    <w:rsid w:val="00C773CA"/>
    <w:rsid w:val="00C827D0"/>
    <w:rsid w:val="00C83785"/>
    <w:rsid w:val="00C94C0D"/>
    <w:rsid w:val="00CA1FEB"/>
    <w:rsid w:val="00CB68E9"/>
    <w:rsid w:val="00CD2B3A"/>
    <w:rsid w:val="00CD4F85"/>
    <w:rsid w:val="00CD6F02"/>
    <w:rsid w:val="00CE246D"/>
    <w:rsid w:val="00CF07A0"/>
    <w:rsid w:val="00CF3E03"/>
    <w:rsid w:val="00CF75A0"/>
    <w:rsid w:val="00D0082A"/>
    <w:rsid w:val="00D21455"/>
    <w:rsid w:val="00D47634"/>
    <w:rsid w:val="00D65116"/>
    <w:rsid w:val="00D709B3"/>
    <w:rsid w:val="00D75D66"/>
    <w:rsid w:val="00DA2ED6"/>
    <w:rsid w:val="00DB76B8"/>
    <w:rsid w:val="00DC2EA1"/>
    <w:rsid w:val="00DD6AAF"/>
    <w:rsid w:val="00DD74E4"/>
    <w:rsid w:val="00DE3F5C"/>
    <w:rsid w:val="00DE454F"/>
    <w:rsid w:val="00DF1D20"/>
    <w:rsid w:val="00E21324"/>
    <w:rsid w:val="00E22CF9"/>
    <w:rsid w:val="00E246B9"/>
    <w:rsid w:val="00E31FEA"/>
    <w:rsid w:val="00E333D1"/>
    <w:rsid w:val="00E45169"/>
    <w:rsid w:val="00E47787"/>
    <w:rsid w:val="00E51C30"/>
    <w:rsid w:val="00E626F0"/>
    <w:rsid w:val="00E64180"/>
    <w:rsid w:val="00E65626"/>
    <w:rsid w:val="00E67F97"/>
    <w:rsid w:val="00E74AEE"/>
    <w:rsid w:val="00E82196"/>
    <w:rsid w:val="00E868E5"/>
    <w:rsid w:val="00E909D4"/>
    <w:rsid w:val="00E9237A"/>
    <w:rsid w:val="00E939FA"/>
    <w:rsid w:val="00EA5765"/>
    <w:rsid w:val="00EB0832"/>
    <w:rsid w:val="00EB429E"/>
    <w:rsid w:val="00EC2532"/>
    <w:rsid w:val="00ED25C8"/>
    <w:rsid w:val="00ED7812"/>
    <w:rsid w:val="00EF3B86"/>
    <w:rsid w:val="00EF547F"/>
    <w:rsid w:val="00F317E9"/>
    <w:rsid w:val="00F34554"/>
    <w:rsid w:val="00F41301"/>
    <w:rsid w:val="00F45F77"/>
    <w:rsid w:val="00F5167F"/>
    <w:rsid w:val="00F52258"/>
    <w:rsid w:val="00F80C54"/>
    <w:rsid w:val="00F8570A"/>
    <w:rsid w:val="00F91C7B"/>
    <w:rsid w:val="00FF0D1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B09FB"/>
  <w15:docId w15:val="{6178D4C7-6548-4EB8-9043-EC63BAFC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9B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CF75A0"/>
    <w:pPr>
      <w:ind w:left="720"/>
      <w:contextualSpacing/>
    </w:pPr>
    <w:rPr>
      <w:lang w:val="bs-Latn-BA" w:eastAsia="bs-Latn-BA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E65626"/>
    <w:rPr>
      <w:rFonts w:ascii="Arial" w:eastAsia="Univers Condensed" w:hAnsi="Arial"/>
      <w:szCs w:val="20"/>
      <w:lang w:val="en-GB"/>
    </w:rPr>
  </w:style>
  <w:style w:type="paragraph" w:styleId="NormalWeb">
    <w:name w:val="Normal (Web)"/>
    <w:basedOn w:val="Normal"/>
    <w:uiPriority w:val="99"/>
    <w:rsid w:val="00E65626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link w:val="BodyText2Char"/>
    <w:rsid w:val="00E65626"/>
    <w:pPr>
      <w:jc w:val="both"/>
    </w:pPr>
    <w:rPr>
      <w:rFonts w:ascii="Arial" w:hAnsi="Arial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E65626"/>
    <w:rPr>
      <w:rFonts w:ascii="Arial" w:hAnsi="Arial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F2AA-B8EA-4533-B87B-A7A423FE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8372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Aleksandra Ljumović</cp:lastModifiedBy>
  <cp:revision>2</cp:revision>
  <dcterms:created xsi:type="dcterms:W3CDTF">2024-08-07T08:05:00Z</dcterms:created>
  <dcterms:modified xsi:type="dcterms:W3CDTF">2024-08-07T08:05:00Z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